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ECCEE" w14:textId="77777777" w:rsidR="001554A9" w:rsidRDefault="001554A9" w:rsidP="001554A9">
      <w:pPr>
        <w:pStyle w:val="Default"/>
        <w:rPr>
          <w:sz w:val="29"/>
          <w:szCs w:val="29"/>
        </w:rPr>
      </w:pPr>
      <w:r>
        <w:rPr>
          <w:b/>
          <w:bCs/>
          <w:sz w:val="29"/>
          <w:szCs w:val="29"/>
        </w:rPr>
        <w:t>A</w:t>
      </w:r>
      <w:r>
        <w:rPr>
          <w:b/>
          <w:bCs/>
          <w:sz w:val="22"/>
          <w:szCs w:val="22"/>
        </w:rPr>
        <w:t xml:space="preserve">DDENDUM TO </w:t>
      </w:r>
      <w:r>
        <w:rPr>
          <w:b/>
          <w:bCs/>
          <w:sz w:val="29"/>
          <w:szCs w:val="29"/>
        </w:rPr>
        <w:t>W</w:t>
      </w:r>
      <w:r>
        <w:rPr>
          <w:b/>
          <w:bCs/>
          <w:sz w:val="22"/>
          <w:szCs w:val="22"/>
        </w:rPr>
        <w:t xml:space="preserve">ORKPAPER </w:t>
      </w:r>
      <w:r>
        <w:rPr>
          <w:b/>
          <w:bCs/>
          <w:sz w:val="29"/>
          <w:szCs w:val="29"/>
        </w:rPr>
        <w:t>D</w:t>
      </w:r>
      <w:r>
        <w:rPr>
          <w:b/>
          <w:bCs/>
          <w:sz w:val="22"/>
          <w:szCs w:val="22"/>
        </w:rPr>
        <w:t xml:space="preserve">OCUMENTING </w:t>
      </w:r>
      <w:r>
        <w:rPr>
          <w:b/>
          <w:bCs/>
          <w:sz w:val="29"/>
          <w:szCs w:val="29"/>
        </w:rPr>
        <w:t>I</w:t>
      </w:r>
      <w:r>
        <w:rPr>
          <w:b/>
          <w:bCs/>
          <w:sz w:val="22"/>
          <w:szCs w:val="22"/>
        </w:rPr>
        <w:t xml:space="preserve">NCENTIVE </w:t>
      </w:r>
      <w:r>
        <w:rPr>
          <w:b/>
          <w:bCs/>
          <w:sz w:val="29"/>
          <w:szCs w:val="29"/>
        </w:rPr>
        <w:t>G</w:t>
      </w:r>
      <w:r>
        <w:rPr>
          <w:b/>
          <w:bCs/>
          <w:sz w:val="22"/>
          <w:szCs w:val="22"/>
        </w:rPr>
        <w:t xml:space="preserve">REATER THAN </w:t>
      </w:r>
      <w:r>
        <w:rPr>
          <w:b/>
          <w:bCs/>
          <w:sz w:val="29"/>
          <w:szCs w:val="29"/>
        </w:rPr>
        <w:t xml:space="preserve">IMC </w:t>
      </w:r>
    </w:p>
    <w:p w14:paraId="37589D61" w14:textId="692EF03C" w:rsidR="001554A9" w:rsidRDefault="001554A9" w:rsidP="001554A9">
      <w:pPr>
        <w:pStyle w:val="Default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This addendum is required for statewide workpapers where individual Program Administrators (PAs) are seeking to offer an incentive higher than the Incremental Measure Cost (IMC) for a fuel substitution program.</w:t>
      </w:r>
    </w:p>
    <w:p w14:paraId="48C31EA3" w14:textId="007B4230" w:rsidR="001554A9" w:rsidRDefault="001554A9" w:rsidP="001554A9">
      <w:pPr>
        <w:pStyle w:val="Default"/>
        <w:rPr>
          <w:rFonts w:ascii="Garamond" w:hAnsi="Garamond" w:cs="Garamond"/>
          <w:b/>
          <w:bCs/>
          <w:sz w:val="23"/>
          <w:szCs w:val="23"/>
        </w:rPr>
      </w:pPr>
    </w:p>
    <w:p w14:paraId="13A6DF4A" w14:textId="03D0E80A" w:rsidR="001554A9" w:rsidRDefault="001554A9" w:rsidP="001554A9">
      <w:pPr>
        <w:pStyle w:val="Default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Workpaper Information:</w:t>
      </w:r>
    </w:p>
    <w:p w14:paraId="5F5FC3C7" w14:textId="77777777" w:rsidR="001554A9" w:rsidRDefault="001554A9" w:rsidP="001554A9">
      <w:pPr>
        <w:pStyle w:val="Default"/>
        <w:rPr>
          <w:sz w:val="23"/>
          <w:szCs w:val="23"/>
        </w:rPr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695"/>
        <w:gridCol w:w="6210"/>
      </w:tblGrid>
      <w:tr w:rsidR="001554A9" w14:paraId="067C2099" w14:textId="516FF3F1" w:rsidTr="001554A9">
        <w:trPr>
          <w:trHeight w:val="246"/>
        </w:trPr>
        <w:tc>
          <w:tcPr>
            <w:tcW w:w="2695" w:type="dxa"/>
          </w:tcPr>
          <w:p w14:paraId="5D9A60B0" w14:textId="185311DE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Workpaper title and workpaper ID </w:t>
            </w:r>
          </w:p>
        </w:tc>
        <w:tc>
          <w:tcPr>
            <w:tcW w:w="6210" w:type="dxa"/>
          </w:tcPr>
          <w:p w14:paraId="2E44C45C" w14:textId="77777777" w:rsidR="00C65AC0" w:rsidRDefault="00C65AC0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 w:rsidRPr="00C65AC0">
              <w:rPr>
                <w:rFonts w:ascii="Garamond" w:hAnsi="Garamond" w:cs="Garamond"/>
                <w:b/>
                <w:bCs/>
                <w:sz w:val="23"/>
                <w:szCs w:val="23"/>
              </w:rPr>
              <w:t>SWFS021-01</w:t>
            </w:r>
          </w:p>
          <w:p w14:paraId="4EEE3553" w14:textId="2C4C9B8C" w:rsidR="001554A9" w:rsidRPr="001554A9" w:rsidRDefault="00C65AC0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Commercial Fryer Fuel </w:t>
            </w:r>
            <w:r w:rsidR="001554A9" w:rsidRPr="001554A9">
              <w:rPr>
                <w:rFonts w:ascii="Garamond" w:hAnsi="Garamond" w:cs="Calibri Light"/>
                <w:b/>
                <w:bCs/>
                <w:sz w:val="23"/>
                <w:szCs w:val="23"/>
              </w:rPr>
              <w:t xml:space="preserve"> Substitution</w:t>
            </w:r>
          </w:p>
        </w:tc>
      </w:tr>
      <w:tr w:rsidR="001554A9" w14:paraId="5DCD592B" w14:textId="238083A7" w:rsidTr="001554A9">
        <w:trPr>
          <w:trHeight w:val="246"/>
        </w:trPr>
        <w:tc>
          <w:tcPr>
            <w:tcW w:w="2695" w:type="dxa"/>
          </w:tcPr>
          <w:p w14:paraId="62FB4D32" w14:textId="77777777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Workpaper submission date </w:t>
            </w:r>
          </w:p>
        </w:tc>
        <w:tc>
          <w:tcPr>
            <w:tcW w:w="6210" w:type="dxa"/>
          </w:tcPr>
          <w:p w14:paraId="1447509F" w14:textId="5FBFAD87" w:rsidR="001554A9" w:rsidRDefault="001554A9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>6/</w:t>
            </w:r>
            <w:r w:rsidR="00C65AC0">
              <w:rPr>
                <w:rFonts w:ascii="Garamond" w:hAnsi="Garamond" w:cs="Garamond"/>
                <w:b/>
                <w:bCs/>
                <w:sz w:val="23"/>
                <w:szCs w:val="23"/>
              </w:rPr>
              <w:t>15</w:t>
            </w: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>/2020</w:t>
            </w:r>
          </w:p>
        </w:tc>
      </w:tr>
      <w:tr w:rsidR="001554A9" w14:paraId="7990F9BD" w14:textId="0EECAB06" w:rsidTr="001554A9">
        <w:trPr>
          <w:trHeight w:val="246"/>
        </w:trPr>
        <w:tc>
          <w:tcPr>
            <w:tcW w:w="2695" w:type="dxa"/>
          </w:tcPr>
          <w:p w14:paraId="29E2B6F1" w14:textId="77777777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PA Submitting Addendum </w:t>
            </w:r>
          </w:p>
        </w:tc>
        <w:tc>
          <w:tcPr>
            <w:tcW w:w="6210" w:type="dxa"/>
          </w:tcPr>
          <w:p w14:paraId="2869AEB1" w14:textId="7CAA63CF" w:rsidR="001554A9" w:rsidRDefault="001554A9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>SCE</w:t>
            </w:r>
          </w:p>
        </w:tc>
      </w:tr>
      <w:tr w:rsidR="001554A9" w14:paraId="5BA68ACF" w14:textId="795F87E6" w:rsidTr="001554A9">
        <w:trPr>
          <w:trHeight w:val="246"/>
        </w:trPr>
        <w:tc>
          <w:tcPr>
            <w:tcW w:w="2695" w:type="dxa"/>
          </w:tcPr>
          <w:p w14:paraId="49C9BEB9" w14:textId="77777777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PA contact – Name, title, email, phone </w:t>
            </w:r>
          </w:p>
        </w:tc>
        <w:tc>
          <w:tcPr>
            <w:tcW w:w="6210" w:type="dxa"/>
          </w:tcPr>
          <w:p w14:paraId="13CF7656" w14:textId="77777777" w:rsidR="001554A9" w:rsidRDefault="00B7396C" w:rsidP="00B7396C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 w:rsidRPr="00B7396C">
              <w:rPr>
                <w:rFonts w:ascii="Garamond" w:hAnsi="Garamond" w:cs="Garamond"/>
                <w:b/>
                <w:bCs/>
                <w:sz w:val="23"/>
                <w:szCs w:val="23"/>
              </w:rPr>
              <w:t>Jay Bhakta</w:t>
            </w: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, </w:t>
            </w:r>
            <w:hyperlink r:id="rId4" w:history="1">
              <w:r w:rsidRPr="00B7396C">
                <w:rPr>
                  <w:rStyle w:val="Hyperlink"/>
                  <w:rFonts w:ascii="Garamond" w:hAnsi="Garamond" w:cs="Garamond"/>
                  <w:b/>
                  <w:bCs/>
                  <w:sz w:val="23"/>
                  <w:szCs w:val="23"/>
                </w:rPr>
                <w:t>Jay.Bhakta@sce.com</w:t>
              </w:r>
            </w:hyperlink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 </w:t>
            </w:r>
          </w:p>
          <w:p w14:paraId="60ED8D52" w14:textId="212DF621" w:rsidR="00B7396C" w:rsidRDefault="00B7396C" w:rsidP="00B7396C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 w:rsidRPr="00B7396C">
              <w:rPr>
                <w:rFonts w:ascii="Garamond" w:hAnsi="Garamond" w:cs="Garamond"/>
                <w:b/>
                <w:bCs/>
                <w:sz w:val="23"/>
                <w:szCs w:val="23"/>
              </w:rPr>
              <w:t>626-302-0791</w:t>
            </w:r>
            <w:bookmarkStart w:id="0" w:name="_GoBack"/>
            <w:bookmarkEnd w:id="0"/>
          </w:p>
        </w:tc>
      </w:tr>
    </w:tbl>
    <w:p w14:paraId="3E22B32B" w14:textId="77777777" w:rsidR="00E35EE2" w:rsidRDefault="00E35EE2">
      <w:pPr>
        <w:rPr>
          <w:b/>
          <w:bCs/>
          <w:sz w:val="23"/>
          <w:szCs w:val="23"/>
        </w:rPr>
      </w:pPr>
    </w:p>
    <w:p w14:paraId="42A56AAB" w14:textId="77777777" w:rsidR="00E35EE2" w:rsidRDefault="00E35EE2">
      <w:pPr>
        <w:rPr>
          <w:b/>
          <w:bCs/>
          <w:sz w:val="23"/>
          <w:szCs w:val="23"/>
        </w:rPr>
      </w:pPr>
    </w:p>
    <w:p w14:paraId="465A4B87" w14:textId="54405262" w:rsidR="001554A9" w:rsidRDefault="001554A9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Workpaper Measure Cost Information:</w:t>
      </w:r>
    </w:p>
    <w:tbl>
      <w:tblPr>
        <w:tblStyle w:val="TableGrid"/>
        <w:tblW w:w="10093" w:type="dxa"/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440"/>
        <w:gridCol w:w="1080"/>
        <w:gridCol w:w="1080"/>
        <w:gridCol w:w="1710"/>
        <w:gridCol w:w="1908"/>
      </w:tblGrid>
      <w:tr w:rsidR="00D36445" w:rsidRPr="002E2849" w14:paraId="0E541038" w14:textId="77777777" w:rsidTr="00D34AC2">
        <w:trPr>
          <w:trHeight w:val="383"/>
        </w:trPr>
        <w:tc>
          <w:tcPr>
            <w:tcW w:w="1435" w:type="dxa"/>
            <w:vAlign w:val="bottom"/>
          </w:tcPr>
          <w:p w14:paraId="6A87B316" w14:textId="47F8E444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Measure ID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2EE3811" w14:textId="3259EB22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Baseline Technology</w:t>
            </w:r>
          </w:p>
        </w:tc>
        <w:tc>
          <w:tcPr>
            <w:tcW w:w="1440" w:type="dxa"/>
            <w:vAlign w:val="bottom"/>
          </w:tcPr>
          <w:p w14:paraId="37E9E5A7" w14:textId="3E9E3671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Measure Technology</w:t>
            </w:r>
          </w:p>
        </w:tc>
        <w:tc>
          <w:tcPr>
            <w:tcW w:w="1080" w:type="dxa"/>
            <w:vAlign w:val="bottom"/>
          </w:tcPr>
          <w:p w14:paraId="231C0CB7" w14:textId="569B64A4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Baseline Cost ($)</w:t>
            </w:r>
          </w:p>
        </w:tc>
        <w:tc>
          <w:tcPr>
            <w:tcW w:w="1080" w:type="dxa"/>
            <w:vAlign w:val="bottom"/>
          </w:tcPr>
          <w:p w14:paraId="0620822E" w14:textId="2270CE62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Measure Cost ($)</w:t>
            </w:r>
          </w:p>
        </w:tc>
        <w:tc>
          <w:tcPr>
            <w:tcW w:w="1710" w:type="dxa"/>
            <w:vAlign w:val="bottom"/>
          </w:tcPr>
          <w:p w14:paraId="282ECCF2" w14:textId="5CAA412B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Incremental Measure Cost ($)</w:t>
            </w:r>
          </w:p>
        </w:tc>
        <w:tc>
          <w:tcPr>
            <w:tcW w:w="1908" w:type="dxa"/>
            <w:vAlign w:val="bottom"/>
          </w:tcPr>
          <w:p w14:paraId="2679162A" w14:textId="0A92F7F9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Rebate Amount ($)</w:t>
            </w:r>
          </w:p>
        </w:tc>
      </w:tr>
      <w:tr w:rsidR="00D36445" w14:paraId="78F21336" w14:textId="77777777" w:rsidTr="00BB5ABE">
        <w:trPr>
          <w:trHeight w:val="541"/>
        </w:trPr>
        <w:tc>
          <w:tcPr>
            <w:tcW w:w="1435" w:type="dxa"/>
            <w:vAlign w:val="center"/>
          </w:tcPr>
          <w:p w14:paraId="7F83160C" w14:textId="0AFAA5B1" w:rsidR="00D36445" w:rsidRPr="00D34AC2" w:rsidRDefault="00DF21E1" w:rsidP="00D36445">
            <w:pPr>
              <w:jc w:val="center"/>
              <w:rPr>
                <w:rFonts w:ascii="Garamond" w:hAnsi="Garamond"/>
              </w:rPr>
            </w:pPr>
            <w:r w:rsidRPr="00DF21E1">
              <w:rPr>
                <w:rFonts w:ascii="Garamond" w:hAnsi="Garamond" w:cs="Calibri"/>
              </w:rPr>
              <w:t>SWFS021A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F1BC40" w14:textId="42C36B7D" w:rsidR="00D36445" w:rsidRPr="00D34AC2" w:rsidRDefault="00DF21E1" w:rsidP="00C74DFB">
            <w:pPr>
              <w:jc w:val="center"/>
              <w:rPr>
                <w:rFonts w:ascii="Garamond" w:hAnsi="Garamond"/>
              </w:rPr>
            </w:pPr>
            <w:r w:rsidRPr="00DF21E1">
              <w:rPr>
                <w:rFonts w:ascii="Garamond" w:hAnsi="Garamond" w:cs="Calibri"/>
                <w:color w:val="000000"/>
              </w:rPr>
              <w:t>Standard, Commercial Fryer, Gas</w:t>
            </w:r>
          </w:p>
        </w:tc>
        <w:tc>
          <w:tcPr>
            <w:tcW w:w="1440" w:type="dxa"/>
            <w:vAlign w:val="center"/>
          </w:tcPr>
          <w:p w14:paraId="6ECFC0AF" w14:textId="5BBDD3E0" w:rsidR="00D36445" w:rsidRPr="00D34AC2" w:rsidRDefault="00DF21E1" w:rsidP="00D36445">
            <w:pPr>
              <w:jc w:val="center"/>
              <w:rPr>
                <w:rFonts w:ascii="Garamond" w:hAnsi="Garamond"/>
              </w:rPr>
            </w:pPr>
            <w:r w:rsidRPr="00DF21E1">
              <w:rPr>
                <w:rFonts w:ascii="Garamond" w:hAnsi="Garamond"/>
              </w:rPr>
              <w:t>Efficient, Commercial Fryer, Electric</w:t>
            </w:r>
          </w:p>
        </w:tc>
        <w:tc>
          <w:tcPr>
            <w:tcW w:w="1080" w:type="dxa"/>
            <w:vAlign w:val="center"/>
          </w:tcPr>
          <w:p w14:paraId="331FE6D2" w14:textId="6F37F54A" w:rsidR="00D36445" w:rsidRPr="00D34AC2" w:rsidRDefault="00DD4C65" w:rsidP="00D3644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$3,597</w:t>
            </w:r>
          </w:p>
        </w:tc>
        <w:tc>
          <w:tcPr>
            <w:tcW w:w="1080" w:type="dxa"/>
            <w:vAlign w:val="center"/>
          </w:tcPr>
          <w:p w14:paraId="69E6D9D5" w14:textId="6FB9B971" w:rsidR="00D36445" w:rsidRPr="00D34AC2" w:rsidRDefault="00DD4C65" w:rsidP="00D3644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34AC2">
              <w:rPr>
                <w:rFonts w:ascii="Garamond" w:hAnsi="Garamond" w:cs="Calibri"/>
                <w:color w:val="000000"/>
                <w:sz w:val="20"/>
                <w:szCs w:val="20"/>
              </w:rPr>
              <w:t>$5,7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710" w:type="dxa"/>
            <w:vAlign w:val="center"/>
          </w:tcPr>
          <w:p w14:paraId="583FAE86" w14:textId="63A72964" w:rsidR="00D36445" w:rsidRPr="00D34AC2" w:rsidRDefault="00DD4C65" w:rsidP="00D3644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34AC2">
              <w:rPr>
                <w:rFonts w:ascii="Garamond" w:hAnsi="Garamond" w:cs="Calibri"/>
                <w:color w:val="000000"/>
                <w:sz w:val="20"/>
                <w:szCs w:val="20"/>
              </w:rPr>
              <w:t>$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  <w:r w:rsidRPr="00D34AC2">
              <w:rPr>
                <w:rFonts w:ascii="Garamond" w:hAnsi="Garamond" w:cs="Calibri"/>
                <w:color w:val="000000"/>
                <w:sz w:val="20"/>
                <w:szCs w:val="20"/>
              </w:rPr>
              <w:t>,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11</w:t>
            </w:r>
            <w:r w:rsidRPr="00D34AC2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  <w:vAlign w:val="center"/>
          </w:tcPr>
          <w:p w14:paraId="1E1724F8" w14:textId="35D0CABB" w:rsidR="00D36445" w:rsidRPr="00D34AC2" w:rsidRDefault="00BB5ABE" w:rsidP="00BB5AB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TBD</w:t>
            </w:r>
          </w:p>
        </w:tc>
      </w:tr>
    </w:tbl>
    <w:p w14:paraId="3D07A398" w14:textId="1EEBC429" w:rsidR="00D34AC2" w:rsidRPr="00D34AC2" w:rsidRDefault="00D34AC2" w:rsidP="00D34A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b/>
          <w:bCs/>
          <w:color w:val="000000"/>
          <w:sz w:val="23"/>
          <w:szCs w:val="23"/>
        </w:rPr>
      </w:pPr>
      <w:r w:rsidRPr="00D34AC2">
        <w:rPr>
          <w:rFonts w:ascii="Garamond" w:hAnsi="Garamond" w:cs="Garamond"/>
          <w:b/>
          <w:bCs/>
          <w:color w:val="000000"/>
          <w:sz w:val="23"/>
          <w:szCs w:val="23"/>
        </w:rPr>
        <w:t xml:space="preserve">Reason for a rebate or incentive that exceeds the IMC of a measure to a participant: </w:t>
      </w:r>
    </w:p>
    <w:p w14:paraId="6B75837D" w14:textId="478FB150" w:rsidR="00D34AC2" w:rsidRPr="00D34AC2" w:rsidRDefault="00D34AC2" w:rsidP="00D34A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b/>
          <w:bCs/>
          <w:color w:val="000000"/>
          <w:sz w:val="23"/>
          <w:szCs w:val="23"/>
        </w:rPr>
      </w:pPr>
      <w:r w:rsidRPr="00D34AC2">
        <w:rPr>
          <w:rFonts w:ascii="Garamond" w:hAnsi="Garamond" w:cs="Garamond"/>
          <w:b/>
          <w:bCs/>
          <w:color w:val="000000"/>
          <w:sz w:val="23"/>
          <w:szCs w:val="23"/>
        </w:rPr>
        <w:t>Market barriers require a larger incentive than the IMC.</w:t>
      </w:r>
    </w:p>
    <w:p w14:paraId="52F2F1DA" w14:textId="77777777" w:rsidR="001554A9" w:rsidRDefault="001554A9"/>
    <w:sectPr w:rsidR="0015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A9"/>
    <w:rsid w:val="001554A9"/>
    <w:rsid w:val="002E2849"/>
    <w:rsid w:val="00605608"/>
    <w:rsid w:val="0069261F"/>
    <w:rsid w:val="009B4A25"/>
    <w:rsid w:val="00B170FD"/>
    <w:rsid w:val="00B21350"/>
    <w:rsid w:val="00B7396C"/>
    <w:rsid w:val="00BB5ABE"/>
    <w:rsid w:val="00C17EAC"/>
    <w:rsid w:val="00C65AC0"/>
    <w:rsid w:val="00C74DFB"/>
    <w:rsid w:val="00D34AC2"/>
    <w:rsid w:val="00D36445"/>
    <w:rsid w:val="00DA3E52"/>
    <w:rsid w:val="00DD4C65"/>
    <w:rsid w:val="00DF21E1"/>
    <w:rsid w:val="00E3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0D6704F"/>
  <w15:chartTrackingRefBased/>
  <w15:docId w15:val="{BDD159FD-691C-4307-B691-BCF53D04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554A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55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5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A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54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y.Bhakta@s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Madden</dc:creator>
  <cp:keywords/>
  <dc:description/>
  <cp:lastModifiedBy>Jay Bhakta</cp:lastModifiedBy>
  <cp:revision>4</cp:revision>
  <dcterms:created xsi:type="dcterms:W3CDTF">2020-06-16T01:42:00Z</dcterms:created>
  <dcterms:modified xsi:type="dcterms:W3CDTF">2020-06-16T02:25:00Z</dcterms:modified>
</cp:coreProperties>
</file>