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85967" w14:textId="77777777" w:rsidR="00181E01" w:rsidRDefault="00181E01" w:rsidP="0053748E">
      <w:pPr>
        <w:jc w:val="center"/>
        <w:rPr>
          <w:spacing w:val="80"/>
          <w:sz w:val="28"/>
        </w:rPr>
      </w:pPr>
      <w:bookmarkStart w:id="0" w:name="_GoBack"/>
      <w:bookmarkEnd w:id="0"/>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D221D">
        <w:trPr>
          <w:cantSplit/>
          <w:trHeight w:hRule="exact" w:val="1440"/>
          <w:jc w:val="right"/>
        </w:trPr>
        <w:tc>
          <w:tcPr>
            <w:tcW w:w="9000" w:type="dxa"/>
            <w:shd w:val="clear" w:color="auto" w:fill="8DC63F"/>
            <w:vAlign w:val="center"/>
          </w:tcPr>
          <w:p w14:paraId="3EF67A49" w14:textId="062F9283" w:rsidR="00BD221D" w:rsidRPr="000110D9" w:rsidRDefault="006C1C16" w:rsidP="00BD221D">
            <w:pPr>
              <w:pStyle w:val="eTRMHeading1"/>
              <w:jc w:val="center"/>
            </w:pPr>
            <w:r>
              <w:t>Appliance</w:t>
            </w:r>
          </w:p>
          <w:p w14:paraId="10BE1877" w14:textId="4BB11462" w:rsidR="00BD221D" w:rsidRPr="000110D9" w:rsidRDefault="006C1C16" w:rsidP="0070408B">
            <w:pPr>
              <w:pStyle w:val="eTRMHeading2"/>
            </w:pPr>
            <w:r w:rsidRPr="008277A2">
              <w:t>SWAP</w:t>
            </w:r>
            <w:r w:rsidR="00582BD7">
              <w:t>015</w:t>
            </w:r>
            <w:r w:rsidRPr="008277A2">
              <w:t>-01</w:t>
            </w:r>
            <w:r>
              <w:t xml:space="preserve"> </w:t>
            </w:r>
            <w:r w:rsidR="00173E24" w:rsidRPr="00173E24">
              <w:t>Induction Cooking with or without Electric Range, Residential</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419DA139" w14:textId="660ACBBC" w:rsidR="00CB688F"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CB688F">
        <w:rPr>
          <w:noProof/>
        </w:rPr>
        <w:t>Measure Name</w:t>
      </w:r>
      <w:r w:rsidR="00CB688F">
        <w:rPr>
          <w:noProof/>
        </w:rPr>
        <w:tab/>
      </w:r>
      <w:r w:rsidR="00CB688F">
        <w:rPr>
          <w:noProof/>
        </w:rPr>
        <w:fldChar w:fldCharType="begin"/>
      </w:r>
      <w:r w:rsidR="00CB688F">
        <w:rPr>
          <w:noProof/>
        </w:rPr>
        <w:instrText xml:space="preserve"> PAGEREF _Toc32819832 \h </w:instrText>
      </w:r>
      <w:r w:rsidR="00CB688F">
        <w:rPr>
          <w:noProof/>
        </w:rPr>
      </w:r>
      <w:r w:rsidR="00CB688F">
        <w:rPr>
          <w:noProof/>
        </w:rPr>
        <w:fldChar w:fldCharType="separate"/>
      </w:r>
      <w:r w:rsidR="00CB688F">
        <w:rPr>
          <w:noProof/>
        </w:rPr>
        <w:t>2</w:t>
      </w:r>
      <w:r w:rsidR="00CB688F">
        <w:rPr>
          <w:noProof/>
        </w:rPr>
        <w:fldChar w:fldCharType="end"/>
      </w:r>
    </w:p>
    <w:p w14:paraId="573EE511" w14:textId="34518148" w:rsidR="00CB688F" w:rsidRDefault="00CB688F">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_Toc32819833 \h </w:instrText>
      </w:r>
      <w:r>
        <w:rPr>
          <w:noProof/>
        </w:rPr>
      </w:r>
      <w:r>
        <w:rPr>
          <w:noProof/>
        </w:rPr>
        <w:fldChar w:fldCharType="separate"/>
      </w:r>
      <w:r>
        <w:rPr>
          <w:noProof/>
        </w:rPr>
        <w:t>2</w:t>
      </w:r>
      <w:r>
        <w:rPr>
          <w:noProof/>
        </w:rPr>
        <w:fldChar w:fldCharType="end"/>
      </w:r>
    </w:p>
    <w:p w14:paraId="22E6A374" w14:textId="5DC7DBA4" w:rsidR="00CB688F" w:rsidRDefault="00CB688F">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_Toc32819834 \h </w:instrText>
      </w:r>
      <w:r>
        <w:rPr>
          <w:noProof/>
        </w:rPr>
      </w:r>
      <w:r>
        <w:rPr>
          <w:noProof/>
        </w:rPr>
        <w:fldChar w:fldCharType="separate"/>
      </w:r>
      <w:r>
        <w:rPr>
          <w:noProof/>
        </w:rPr>
        <w:t>2</w:t>
      </w:r>
      <w:r>
        <w:rPr>
          <w:noProof/>
        </w:rPr>
        <w:fldChar w:fldCharType="end"/>
      </w:r>
    </w:p>
    <w:p w14:paraId="051970A9" w14:textId="0862328D" w:rsidR="00CB688F" w:rsidRDefault="00CB688F">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_Toc32819835 \h </w:instrText>
      </w:r>
      <w:r>
        <w:rPr>
          <w:noProof/>
        </w:rPr>
      </w:r>
      <w:r>
        <w:rPr>
          <w:noProof/>
        </w:rPr>
        <w:fldChar w:fldCharType="separate"/>
      </w:r>
      <w:r>
        <w:rPr>
          <w:noProof/>
        </w:rPr>
        <w:t>4</w:t>
      </w:r>
      <w:r>
        <w:rPr>
          <w:noProof/>
        </w:rPr>
        <w:fldChar w:fldCharType="end"/>
      </w:r>
    </w:p>
    <w:p w14:paraId="3C03BCDD" w14:textId="57471AA6" w:rsidR="00CB688F" w:rsidRDefault="00CB688F">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_Toc32819836 \h </w:instrText>
      </w:r>
      <w:r>
        <w:rPr>
          <w:noProof/>
        </w:rPr>
      </w:r>
      <w:r>
        <w:rPr>
          <w:noProof/>
        </w:rPr>
        <w:fldChar w:fldCharType="separate"/>
      </w:r>
      <w:r>
        <w:rPr>
          <w:noProof/>
        </w:rPr>
        <w:t>4</w:t>
      </w:r>
      <w:r>
        <w:rPr>
          <w:noProof/>
        </w:rPr>
        <w:fldChar w:fldCharType="end"/>
      </w:r>
    </w:p>
    <w:p w14:paraId="76715056" w14:textId="4DFD4F0D" w:rsidR="00CB688F" w:rsidRDefault="00CB688F">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_Toc32819837 \h </w:instrText>
      </w:r>
      <w:r>
        <w:rPr>
          <w:noProof/>
        </w:rPr>
      </w:r>
      <w:r>
        <w:rPr>
          <w:noProof/>
        </w:rPr>
        <w:fldChar w:fldCharType="separate"/>
      </w:r>
      <w:r>
        <w:rPr>
          <w:noProof/>
        </w:rPr>
        <w:t>5</w:t>
      </w:r>
      <w:r>
        <w:rPr>
          <w:noProof/>
        </w:rPr>
        <w:fldChar w:fldCharType="end"/>
      </w:r>
    </w:p>
    <w:p w14:paraId="7423DC37" w14:textId="363D3A6A" w:rsidR="00CB688F" w:rsidRDefault="00CB688F">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_Toc32819838 \h </w:instrText>
      </w:r>
      <w:r>
        <w:rPr>
          <w:noProof/>
        </w:rPr>
      </w:r>
      <w:r>
        <w:rPr>
          <w:noProof/>
        </w:rPr>
        <w:fldChar w:fldCharType="separate"/>
      </w:r>
      <w:r>
        <w:rPr>
          <w:noProof/>
        </w:rPr>
        <w:t>5</w:t>
      </w:r>
      <w:r>
        <w:rPr>
          <w:noProof/>
        </w:rPr>
        <w:fldChar w:fldCharType="end"/>
      </w:r>
    </w:p>
    <w:p w14:paraId="1EC41641" w14:textId="1D5FA40C" w:rsidR="00CB688F" w:rsidRDefault="00CB688F">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_Toc32819839 \h </w:instrText>
      </w:r>
      <w:r>
        <w:rPr>
          <w:noProof/>
        </w:rPr>
      </w:r>
      <w:r>
        <w:rPr>
          <w:noProof/>
        </w:rPr>
        <w:fldChar w:fldCharType="separate"/>
      </w:r>
      <w:r>
        <w:rPr>
          <w:noProof/>
        </w:rPr>
        <w:t>6</w:t>
      </w:r>
      <w:r>
        <w:rPr>
          <w:noProof/>
        </w:rPr>
        <w:fldChar w:fldCharType="end"/>
      </w:r>
    </w:p>
    <w:p w14:paraId="63968138" w14:textId="385B687D" w:rsidR="00CB688F" w:rsidRDefault="00CB688F">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_Toc32819840 \h </w:instrText>
      </w:r>
      <w:r>
        <w:rPr>
          <w:noProof/>
        </w:rPr>
      </w:r>
      <w:r>
        <w:rPr>
          <w:noProof/>
        </w:rPr>
        <w:fldChar w:fldCharType="separate"/>
      </w:r>
      <w:r>
        <w:rPr>
          <w:noProof/>
        </w:rPr>
        <w:t>6</w:t>
      </w:r>
      <w:r>
        <w:rPr>
          <w:noProof/>
        </w:rPr>
        <w:fldChar w:fldCharType="end"/>
      </w:r>
    </w:p>
    <w:p w14:paraId="1FE837BC" w14:textId="28D582EE" w:rsidR="00CB688F" w:rsidRDefault="00CB688F">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_Toc32819841 \h </w:instrText>
      </w:r>
      <w:r>
        <w:rPr>
          <w:noProof/>
        </w:rPr>
      </w:r>
      <w:r>
        <w:rPr>
          <w:noProof/>
        </w:rPr>
        <w:fldChar w:fldCharType="separate"/>
      </w:r>
      <w:r>
        <w:rPr>
          <w:noProof/>
        </w:rPr>
        <w:t>7</w:t>
      </w:r>
      <w:r>
        <w:rPr>
          <w:noProof/>
        </w:rPr>
        <w:fldChar w:fldCharType="end"/>
      </w:r>
    </w:p>
    <w:p w14:paraId="2AAEDA79" w14:textId="79A79D3F" w:rsidR="00CB688F" w:rsidRDefault="00CB688F">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_Toc32819842 \h </w:instrText>
      </w:r>
      <w:r>
        <w:rPr>
          <w:noProof/>
        </w:rPr>
      </w:r>
      <w:r>
        <w:rPr>
          <w:noProof/>
        </w:rPr>
        <w:fldChar w:fldCharType="separate"/>
      </w:r>
      <w:r>
        <w:rPr>
          <w:noProof/>
        </w:rPr>
        <w:t>7</w:t>
      </w:r>
      <w:r>
        <w:rPr>
          <w:noProof/>
        </w:rPr>
        <w:fldChar w:fldCharType="end"/>
      </w:r>
    </w:p>
    <w:p w14:paraId="1100301F" w14:textId="42E82F93" w:rsidR="00CB688F" w:rsidRDefault="00CB688F">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_Toc32819843 \h </w:instrText>
      </w:r>
      <w:r>
        <w:rPr>
          <w:noProof/>
        </w:rPr>
      </w:r>
      <w:r>
        <w:rPr>
          <w:noProof/>
        </w:rPr>
        <w:fldChar w:fldCharType="separate"/>
      </w:r>
      <w:r>
        <w:rPr>
          <w:noProof/>
        </w:rPr>
        <w:t>7</w:t>
      </w:r>
      <w:r>
        <w:rPr>
          <w:noProof/>
        </w:rPr>
        <w:fldChar w:fldCharType="end"/>
      </w:r>
    </w:p>
    <w:p w14:paraId="4F42D8C6" w14:textId="04C1F4B4" w:rsidR="00CB688F" w:rsidRDefault="00CB688F">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_Toc32819844 \h </w:instrText>
      </w:r>
      <w:r>
        <w:rPr>
          <w:noProof/>
        </w:rPr>
      </w:r>
      <w:r>
        <w:rPr>
          <w:noProof/>
        </w:rPr>
        <w:fldChar w:fldCharType="separate"/>
      </w:r>
      <w:r>
        <w:rPr>
          <w:noProof/>
        </w:rPr>
        <w:t>9</w:t>
      </w:r>
      <w:r>
        <w:rPr>
          <w:noProof/>
        </w:rPr>
        <w:fldChar w:fldCharType="end"/>
      </w:r>
    </w:p>
    <w:p w14:paraId="5282F0A8" w14:textId="7E307DEB" w:rsidR="00CB688F" w:rsidRDefault="00CB688F">
      <w:pPr>
        <w:pStyle w:val="TOC3"/>
        <w:rPr>
          <w:rFonts w:asciiTheme="minorHAnsi" w:hAnsiTheme="minorHAnsi"/>
          <w:noProof/>
          <w:szCs w:val="22"/>
        </w:rPr>
      </w:pPr>
      <w:r>
        <w:rPr>
          <w:noProof/>
        </w:rPr>
        <w:t>Gas Penalty (Therms)</w:t>
      </w:r>
      <w:r>
        <w:rPr>
          <w:noProof/>
        </w:rPr>
        <w:tab/>
      </w:r>
      <w:r>
        <w:rPr>
          <w:noProof/>
        </w:rPr>
        <w:fldChar w:fldCharType="begin"/>
      </w:r>
      <w:r>
        <w:rPr>
          <w:noProof/>
        </w:rPr>
        <w:instrText xml:space="preserve"> PAGEREF _Toc32819845 \h </w:instrText>
      </w:r>
      <w:r>
        <w:rPr>
          <w:noProof/>
        </w:rPr>
      </w:r>
      <w:r>
        <w:rPr>
          <w:noProof/>
        </w:rPr>
        <w:fldChar w:fldCharType="separate"/>
      </w:r>
      <w:r>
        <w:rPr>
          <w:noProof/>
        </w:rPr>
        <w:t>9</w:t>
      </w:r>
      <w:r>
        <w:rPr>
          <w:noProof/>
        </w:rPr>
        <w:fldChar w:fldCharType="end"/>
      </w:r>
    </w:p>
    <w:p w14:paraId="045736E0" w14:textId="266819CA" w:rsidR="00CB688F" w:rsidRDefault="00CB688F">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_Toc32819846 \h </w:instrText>
      </w:r>
      <w:r>
        <w:rPr>
          <w:noProof/>
        </w:rPr>
      </w:r>
      <w:r>
        <w:rPr>
          <w:noProof/>
        </w:rPr>
        <w:fldChar w:fldCharType="separate"/>
      </w:r>
      <w:r>
        <w:rPr>
          <w:noProof/>
        </w:rPr>
        <w:t>10</w:t>
      </w:r>
      <w:r>
        <w:rPr>
          <w:noProof/>
        </w:rPr>
        <w:fldChar w:fldCharType="end"/>
      </w:r>
    </w:p>
    <w:p w14:paraId="20E0DAB0" w14:textId="711022B5" w:rsidR="00CB688F" w:rsidRDefault="00CB688F">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_Toc32819847 \h </w:instrText>
      </w:r>
      <w:r>
        <w:rPr>
          <w:noProof/>
        </w:rPr>
      </w:r>
      <w:r>
        <w:rPr>
          <w:noProof/>
        </w:rPr>
        <w:fldChar w:fldCharType="separate"/>
      </w:r>
      <w:r>
        <w:rPr>
          <w:noProof/>
        </w:rPr>
        <w:t>10</w:t>
      </w:r>
      <w:r>
        <w:rPr>
          <w:noProof/>
        </w:rPr>
        <w:fldChar w:fldCharType="end"/>
      </w:r>
    </w:p>
    <w:p w14:paraId="6D3244F6" w14:textId="0F45E5C5" w:rsidR="00CB688F" w:rsidRDefault="00CB688F">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_Toc32819848 \h </w:instrText>
      </w:r>
      <w:r>
        <w:rPr>
          <w:noProof/>
        </w:rPr>
      </w:r>
      <w:r>
        <w:rPr>
          <w:noProof/>
        </w:rPr>
        <w:fldChar w:fldCharType="separate"/>
      </w:r>
      <w:r>
        <w:rPr>
          <w:noProof/>
        </w:rPr>
        <w:t>11</w:t>
      </w:r>
      <w:r>
        <w:rPr>
          <w:noProof/>
        </w:rPr>
        <w:fldChar w:fldCharType="end"/>
      </w:r>
    </w:p>
    <w:p w14:paraId="3C8C85F5" w14:textId="30F87582" w:rsidR="00CB688F" w:rsidRDefault="00CB688F">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_Toc32819849 \h </w:instrText>
      </w:r>
      <w:r>
        <w:rPr>
          <w:noProof/>
        </w:rPr>
      </w:r>
      <w:r>
        <w:rPr>
          <w:noProof/>
        </w:rPr>
        <w:fldChar w:fldCharType="separate"/>
      </w:r>
      <w:r>
        <w:rPr>
          <w:noProof/>
        </w:rPr>
        <w:t>12</w:t>
      </w:r>
      <w:r>
        <w:rPr>
          <w:noProof/>
        </w:rPr>
        <w:fldChar w:fldCharType="end"/>
      </w:r>
    </w:p>
    <w:p w14:paraId="75FBD3C1" w14:textId="3D237B2D" w:rsidR="00CB688F" w:rsidRDefault="00CB688F">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_Toc32819850 \h </w:instrText>
      </w:r>
      <w:r>
        <w:rPr>
          <w:noProof/>
        </w:rPr>
      </w:r>
      <w:r>
        <w:rPr>
          <w:noProof/>
        </w:rPr>
        <w:fldChar w:fldCharType="separate"/>
      </w:r>
      <w:r>
        <w:rPr>
          <w:noProof/>
        </w:rPr>
        <w:t>12</w:t>
      </w:r>
      <w:r>
        <w:rPr>
          <w:noProof/>
        </w:rPr>
        <w:fldChar w:fldCharType="end"/>
      </w:r>
    </w:p>
    <w:p w14:paraId="58F78574" w14:textId="1EF91E11" w:rsidR="00CB688F" w:rsidRDefault="00CB688F">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_Toc32819851 \h </w:instrText>
      </w:r>
      <w:r>
        <w:rPr>
          <w:noProof/>
        </w:rPr>
      </w:r>
      <w:r>
        <w:rPr>
          <w:noProof/>
        </w:rPr>
        <w:fldChar w:fldCharType="separate"/>
      </w:r>
      <w:r>
        <w:rPr>
          <w:noProof/>
        </w:rPr>
        <w:t>12</w:t>
      </w:r>
      <w:r>
        <w:rPr>
          <w:noProof/>
        </w:rPr>
        <w:fldChar w:fldCharType="end"/>
      </w:r>
    </w:p>
    <w:p w14:paraId="2AC7942D" w14:textId="33127973" w:rsidR="00CB688F" w:rsidRDefault="00CB688F">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_Toc32819852 \h </w:instrText>
      </w:r>
      <w:r>
        <w:rPr>
          <w:noProof/>
        </w:rPr>
      </w:r>
      <w:r>
        <w:rPr>
          <w:noProof/>
        </w:rPr>
        <w:fldChar w:fldCharType="separate"/>
      </w:r>
      <w:r>
        <w:rPr>
          <w:noProof/>
        </w:rPr>
        <w:t>13</w:t>
      </w:r>
      <w:r>
        <w:rPr>
          <w:noProof/>
        </w:rPr>
        <w:fldChar w:fldCharType="end"/>
      </w:r>
    </w:p>
    <w:p w14:paraId="458C3E71" w14:textId="366DC325" w:rsidR="00CB688F" w:rsidRDefault="00CB688F">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_Toc32819853 \h </w:instrText>
      </w:r>
      <w:r>
        <w:rPr>
          <w:noProof/>
        </w:rPr>
      </w:r>
      <w:r>
        <w:rPr>
          <w:noProof/>
        </w:rPr>
        <w:fldChar w:fldCharType="separate"/>
      </w:r>
      <w:r>
        <w:rPr>
          <w:noProof/>
        </w:rPr>
        <w:t>13</w:t>
      </w:r>
      <w:r>
        <w:rPr>
          <w:noProof/>
        </w:rPr>
        <w:fldChar w:fldCharType="end"/>
      </w:r>
    </w:p>
    <w:p w14:paraId="30444274" w14:textId="65F04154" w:rsidR="00CB688F" w:rsidRDefault="00CB688F">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_Toc32819854 \h </w:instrText>
      </w:r>
      <w:r>
        <w:rPr>
          <w:noProof/>
        </w:rPr>
      </w:r>
      <w:r>
        <w:rPr>
          <w:noProof/>
        </w:rPr>
        <w:fldChar w:fldCharType="separate"/>
      </w:r>
      <w:r>
        <w:rPr>
          <w:noProof/>
        </w:rPr>
        <w:t>14</w:t>
      </w:r>
      <w:r>
        <w:rPr>
          <w:noProof/>
        </w:rPr>
        <w:fldChar w:fldCharType="end"/>
      </w:r>
    </w:p>
    <w:p w14:paraId="45B627F8" w14:textId="483852FB" w:rsidR="00CB688F" w:rsidRDefault="00CB688F">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_Toc32819855 \h </w:instrText>
      </w:r>
      <w:r>
        <w:rPr>
          <w:noProof/>
        </w:rPr>
      </w:r>
      <w:r>
        <w:rPr>
          <w:noProof/>
        </w:rPr>
        <w:fldChar w:fldCharType="separate"/>
      </w:r>
      <w:r>
        <w:rPr>
          <w:noProof/>
        </w:rPr>
        <w:t>14</w:t>
      </w:r>
      <w:r>
        <w:rPr>
          <w:noProof/>
        </w:rPr>
        <w:fldChar w:fldCharType="end"/>
      </w:r>
    </w:p>
    <w:p w14:paraId="4C194BAF" w14:textId="28589C5C" w:rsidR="001C6C9B" w:rsidRPr="00D12B8C" w:rsidRDefault="001C6C9B" w:rsidP="00D12B8C">
      <w:r>
        <w:fldChar w:fldCharType="end"/>
      </w:r>
    </w:p>
    <w:p w14:paraId="7DD78D3A" w14:textId="77777777" w:rsidR="007E1F66" w:rsidRDefault="007E1F66" w:rsidP="00142FC9">
      <w:pPr>
        <w:pStyle w:val="eTRMHeading3"/>
        <w:sectPr w:rsidR="007E1F66"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4A850774" w14:textId="6C7BBECF" w:rsidR="00E14349" w:rsidRDefault="00E14349"/>
    <w:p w14:paraId="41594B9B" w14:textId="77777777" w:rsidR="00C95D04" w:rsidRPr="007E1F66" w:rsidRDefault="00C95D04" w:rsidP="008277A2">
      <w:pPr>
        <w:pStyle w:val="eTRMHeading3"/>
      </w:pPr>
      <w:bookmarkStart w:id="1" w:name="_Toc486490839"/>
      <w:bookmarkStart w:id="2" w:name="_Toc486580912"/>
      <w:bookmarkStart w:id="3" w:name="_Toc32819832"/>
      <w:r w:rsidRPr="007E1F66">
        <w:t>Measure Name</w:t>
      </w:r>
      <w:bookmarkEnd w:id="1"/>
      <w:bookmarkEnd w:id="2"/>
      <w:bookmarkEnd w:id="3"/>
    </w:p>
    <w:p w14:paraId="4B2365A0" w14:textId="23617C1F" w:rsidR="00582BD7" w:rsidRDefault="00582BD7" w:rsidP="00B4710D">
      <w:pPr>
        <w:keepNext/>
        <w:keepLines/>
        <w:spacing w:beforeLines="20" w:before="48" w:afterLines="20" w:after="48" w:line="240" w:lineRule="auto"/>
      </w:pPr>
      <w:r w:rsidRPr="008277A2">
        <w:t>Induction Cooking with or without Electric Range, Residential</w:t>
      </w:r>
      <w:r w:rsidR="00D45B06" w:rsidRPr="00582BD7" w:rsidDel="00582BD7">
        <w:rPr>
          <w:highlight w:val="yellow"/>
        </w:rPr>
        <w:t xml:space="preserve"> </w:t>
      </w:r>
    </w:p>
    <w:p w14:paraId="50A3324E" w14:textId="77777777" w:rsidR="00C95D04" w:rsidRPr="00401C43" w:rsidRDefault="00C95D04" w:rsidP="00B4710D">
      <w:pPr>
        <w:keepNext/>
        <w:keepLines/>
        <w:spacing w:beforeLines="20" w:before="48" w:afterLines="20" w:after="48" w:line="240" w:lineRule="auto"/>
      </w:pPr>
    </w:p>
    <w:p w14:paraId="02392F23" w14:textId="77777777" w:rsidR="00C95D04" w:rsidRPr="00074E3E" w:rsidRDefault="00C95D04" w:rsidP="008277A2">
      <w:pPr>
        <w:pStyle w:val="eTRMHeading3"/>
      </w:pPr>
      <w:bookmarkStart w:id="4" w:name="_Toc486490840"/>
      <w:bookmarkStart w:id="5" w:name="_Toc486580913"/>
      <w:bookmarkStart w:id="6" w:name="_Toc32819833"/>
      <w:r>
        <w:t>Statewide Measure ID</w:t>
      </w:r>
      <w:bookmarkEnd w:id="4"/>
      <w:bookmarkEnd w:id="5"/>
      <w:bookmarkEnd w:id="6"/>
    </w:p>
    <w:p w14:paraId="21ED4E56" w14:textId="6DE368C8" w:rsidR="002C2F28" w:rsidRPr="002C2F28" w:rsidRDefault="006C1C16" w:rsidP="002C2F28">
      <w:r w:rsidRPr="008277A2">
        <w:t>SWAP0</w:t>
      </w:r>
      <w:r w:rsidR="00582BD7" w:rsidRPr="008277A2">
        <w:t>15</w:t>
      </w:r>
      <w:r w:rsidRPr="008277A2">
        <w:t>-01</w:t>
      </w:r>
    </w:p>
    <w:p w14:paraId="302A23AB" w14:textId="77777777" w:rsidR="00C95D04" w:rsidRPr="00401C43" w:rsidRDefault="00C95D04" w:rsidP="00B4710D">
      <w:pPr>
        <w:keepNext/>
        <w:keepLines/>
        <w:spacing w:beforeLines="20" w:before="48" w:afterLines="20" w:after="48" w:line="240" w:lineRule="auto"/>
      </w:pPr>
    </w:p>
    <w:p w14:paraId="0F7CA2E6" w14:textId="77777777" w:rsidR="00E70CBD" w:rsidRPr="00154391" w:rsidRDefault="00E70CBD" w:rsidP="00142FC9">
      <w:pPr>
        <w:pStyle w:val="eTRMHeading3"/>
      </w:pPr>
      <w:bookmarkStart w:id="7" w:name="_Toc486490847"/>
      <w:bookmarkStart w:id="8" w:name="_Toc486580918"/>
      <w:bookmarkStart w:id="9" w:name="_Toc32819834"/>
      <w:r w:rsidRPr="00154391">
        <w:t>Technology Summary</w:t>
      </w:r>
      <w:bookmarkEnd w:id="7"/>
      <w:bookmarkEnd w:id="8"/>
      <w:bookmarkEnd w:id="9"/>
      <w:r w:rsidRPr="00154391">
        <w:t xml:space="preserve"> </w:t>
      </w:r>
    </w:p>
    <w:p w14:paraId="55DFD3E4" w14:textId="77777777" w:rsidR="006C1C16" w:rsidRPr="00A93B6C" w:rsidRDefault="006C1C16" w:rsidP="006C1C16">
      <w:pPr>
        <w:rPr>
          <w:rFonts w:cs="Calibri Light"/>
        </w:rPr>
      </w:pPr>
      <w:r>
        <w:rPr>
          <w:rFonts w:cs="Calibri Light"/>
        </w:rPr>
        <w:t>Residential cooking appliances include ovens, cooktop, and full ranges. Range technology consists of an oven with a built-in cooktop.</w:t>
      </w:r>
      <w:bookmarkStart w:id="10" w:name="_Ref23866971"/>
      <w:r>
        <w:rPr>
          <w:rStyle w:val="FootnoteReference"/>
          <w:rFonts w:cs="Calibri Light"/>
        </w:rPr>
        <w:footnoteReference w:id="1"/>
      </w:r>
      <w:bookmarkEnd w:id="10"/>
      <w:r>
        <w:rPr>
          <w:rFonts w:cs="Calibri Light"/>
        </w:rPr>
        <w:t xml:space="preserve"> Ovens can be categorized as either self-cleaning or manual-clean and be either free-standing or wall configurations. Self-cleaning ovens heat to temperatures around 880</w:t>
      </w:r>
      <w:r>
        <w:rPr>
          <w:rFonts w:cs="Calibri Light"/>
          <w:vertAlign w:val="superscript"/>
        </w:rPr>
        <w:t>o</w:t>
      </w:r>
      <w:r>
        <w:rPr>
          <w:rFonts w:cs="Calibri Light"/>
        </w:rPr>
        <w:t>F for up to three hours to decompose food soils. This resultant ash can then be wiped out with a wet cloth. Without this technology, the oven must be cleaned by scrubbing the soilage with soap and water.</w:t>
      </w:r>
      <w:r>
        <w:rPr>
          <w:rStyle w:val="FootnoteReference"/>
          <w:rFonts w:cs="Calibri Light"/>
        </w:rPr>
        <w:footnoteReference w:id="2"/>
      </w:r>
      <w:r>
        <w:rPr>
          <w:rFonts w:cs="Calibri Light"/>
        </w:rPr>
        <w:t xml:space="preserve"> </w:t>
      </w:r>
    </w:p>
    <w:p w14:paraId="5E6AF27D" w14:textId="77777777" w:rsidR="00AA577F" w:rsidRDefault="006C1C16" w:rsidP="006C1C16">
      <w:pPr>
        <w:rPr>
          <w:rFonts w:cs="Calibri Light"/>
        </w:rPr>
      </w:pPr>
      <w:r w:rsidRPr="00C6243E">
        <w:rPr>
          <w:rFonts w:cs="Calibri Light"/>
        </w:rPr>
        <w:t xml:space="preserve">An </w:t>
      </w:r>
      <w:r w:rsidRPr="00C6243E">
        <w:rPr>
          <w:rFonts w:cs="Calibri Light"/>
          <w:b/>
        </w:rPr>
        <w:t>Induction Range</w:t>
      </w:r>
      <w:r w:rsidRPr="00C6243E">
        <w:rPr>
          <w:rFonts w:cs="Calibri Light"/>
        </w:rPr>
        <w:t xml:space="preserve"> is a</w:t>
      </w:r>
      <w:r>
        <w:rPr>
          <w:rFonts w:cs="Calibri Light"/>
        </w:rPr>
        <w:t>n electric oven</w:t>
      </w:r>
      <w:r w:rsidRPr="00C6243E">
        <w:rPr>
          <w:rFonts w:cs="Calibri Light"/>
        </w:rPr>
        <w:t xml:space="preserve"> with a built-in </w:t>
      </w:r>
      <w:r w:rsidRPr="00001F1E">
        <w:rPr>
          <w:rFonts w:cs="Calibri Light"/>
          <w:b/>
        </w:rPr>
        <w:t xml:space="preserve">Induction </w:t>
      </w:r>
      <w:r>
        <w:rPr>
          <w:rFonts w:cs="Calibri Light"/>
          <w:b/>
        </w:rPr>
        <w:t>cooktop</w:t>
      </w:r>
      <w:r w:rsidRPr="00C6243E">
        <w:rPr>
          <w:rFonts w:cs="Calibri Light"/>
        </w:rPr>
        <w:t xml:space="preserve">. Induction technology works on the principle of magnetic induction, where </w:t>
      </w:r>
      <w:r>
        <w:rPr>
          <w:rFonts w:cs="Calibri Light"/>
        </w:rPr>
        <w:t xml:space="preserve">excited </w:t>
      </w:r>
      <w:r w:rsidRPr="00C6243E">
        <w:rPr>
          <w:rFonts w:cs="Calibri Light"/>
        </w:rPr>
        <w:t xml:space="preserve">eddy currents in ferromagnetic cookware within the presence of an oscillating magnetic field dissipate heat through the Joule effect. This heat is directly </w:t>
      </w:r>
      <w:r>
        <w:rPr>
          <w:rFonts w:cs="Calibri Light"/>
        </w:rPr>
        <w:t>generated by the cookware and is transmitted to</w:t>
      </w:r>
      <w:r w:rsidRPr="00C6243E">
        <w:rPr>
          <w:rFonts w:cs="Calibri Light"/>
        </w:rPr>
        <w:t xml:space="preserve"> the food within it, lessening </w:t>
      </w:r>
      <w:r>
        <w:rPr>
          <w:rFonts w:cs="Calibri Light"/>
        </w:rPr>
        <w:t xml:space="preserve">thermal conduction </w:t>
      </w:r>
      <w:r w:rsidRPr="00C6243E">
        <w:rPr>
          <w:rFonts w:cs="Calibri Light"/>
        </w:rPr>
        <w:t>heat loss between the heating element and the cookware.</w:t>
      </w:r>
      <w:bookmarkStart w:id="11" w:name="_Ref14673221"/>
      <w:r w:rsidRPr="00C6243E">
        <w:rPr>
          <w:rStyle w:val="FootnoteReference"/>
          <w:rFonts w:cs="Calibri Light"/>
        </w:rPr>
        <w:footnoteReference w:id="3"/>
      </w:r>
      <w:bookmarkEnd w:id="11"/>
      <w:r w:rsidRPr="00C6243E">
        <w:rPr>
          <w:rFonts w:cs="Calibri Light"/>
        </w:rPr>
        <w:t xml:space="preserve"> Induction cookers are composed of a switching power electronics circuit that delivers high-frequency current to a planar coil of wire embedded in the cooking surface. The cookware is magnetically coupled to the coil by the oscillating magnetic field. Current flows in the cooking vessel due to the low resistance of the metal. Resistance is a function of permeability and resistivity of the cookware as well as the frequency of excitation.</w:t>
      </w:r>
      <w:r>
        <w:rPr>
          <w:rStyle w:val="FootnoteReference"/>
          <w:rFonts w:cs="Calibri Light"/>
        </w:rPr>
        <w:footnoteReference w:id="4"/>
      </w:r>
      <w:r w:rsidDel="003B76B6">
        <w:rPr>
          <w:rFonts w:cs="Calibri Light"/>
        </w:rPr>
        <w:t xml:space="preserve"> </w:t>
      </w:r>
      <w:r w:rsidRPr="00C6243E">
        <w:rPr>
          <w:rFonts w:cs="Calibri Light"/>
        </w:rPr>
        <w:t xml:space="preserve"> Typical induction cookers operate at switching frequency between 25 kHz and 50 kHz, which restricts coupling to ferromagnetic cookware such as cast iron and some alloys of stainless steel</w:t>
      </w:r>
      <w:r>
        <w:rPr>
          <w:rFonts w:cs="Calibri Light"/>
        </w:rPr>
        <w:t>.</w:t>
      </w:r>
      <w:r>
        <w:rPr>
          <w:rStyle w:val="FootnoteReference"/>
          <w:rFonts w:cs="Calibri Light"/>
        </w:rPr>
        <w:footnoteReference w:id="5"/>
      </w:r>
      <w:r w:rsidDel="003B76B6">
        <w:t xml:space="preserve"> </w:t>
      </w:r>
      <w:r w:rsidRPr="00C6243E">
        <w:rPr>
          <w:rFonts w:cs="Calibri Light"/>
        </w:rPr>
        <w:t>According to manufacturers, induction stoves heat food faster, are easier to clean, are less likely to burn those using them, and have a higher</w:t>
      </w:r>
      <w:r>
        <w:rPr>
          <w:rFonts w:cs="Calibri Light"/>
        </w:rPr>
        <w:t xml:space="preserve"> cooking</w:t>
      </w:r>
      <w:r w:rsidRPr="00C6243E">
        <w:rPr>
          <w:rFonts w:cs="Calibri Light"/>
        </w:rPr>
        <w:t xml:space="preserve"> efficiency than electrical resistance </w:t>
      </w:r>
      <w:r w:rsidR="00AA577F">
        <w:rPr>
          <w:rFonts w:cs="Calibri Light"/>
        </w:rPr>
        <w:t>stoves</w:t>
      </w:r>
      <w:r w:rsidRPr="00C6243E">
        <w:rPr>
          <w:rFonts w:cs="Calibri Light"/>
        </w:rPr>
        <w:t>.</w:t>
      </w:r>
      <w:r>
        <w:rPr>
          <w:rStyle w:val="FootnoteReference"/>
          <w:rFonts w:cs="Calibri Light"/>
        </w:rPr>
        <w:footnoteReference w:id="6"/>
      </w:r>
      <w:r w:rsidDel="00A93B6C">
        <w:t xml:space="preserve"> </w:t>
      </w:r>
      <w:r>
        <w:rPr>
          <w:rFonts w:cs="Calibri Light"/>
        </w:rPr>
        <w:t xml:space="preserve"> </w:t>
      </w:r>
    </w:p>
    <w:p w14:paraId="4301E97D" w14:textId="2DD4EAFC" w:rsidR="006C1C16" w:rsidRDefault="006C1C16" w:rsidP="006C1C16">
      <w:r>
        <w:rPr>
          <w:rFonts w:cs="Calibri Light"/>
          <w:b/>
        </w:rPr>
        <w:lastRenderedPageBreak/>
        <w:t xml:space="preserve">Cooking Efficiency </w:t>
      </w:r>
      <w:r>
        <w:rPr>
          <w:rFonts w:cs="Calibri Light"/>
        </w:rPr>
        <w:t>is calculated as the ratio of thermal energy absorbed by the food divided by the energy consumed by the device as it is heating the food.</w:t>
      </w:r>
      <w:r>
        <w:rPr>
          <w:rStyle w:val="FootnoteReference"/>
          <w:rFonts w:cs="Calibri Light"/>
        </w:rPr>
        <w:footnoteReference w:id="7"/>
      </w:r>
      <w:r w:rsidDel="00A93B6C">
        <w:t xml:space="preserve"> </w:t>
      </w:r>
      <w:r w:rsidRPr="00C6243E">
        <w:rPr>
          <w:rFonts w:cs="Calibri Light"/>
        </w:rPr>
        <w:t xml:space="preserve"> </w:t>
      </w:r>
      <w:r>
        <w:rPr>
          <w:rFonts w:cs="Calibri Light"/>
        </w:rPr>
        <w:t xml:space="preserve">At higher cooking efficiencies and with faster heat-up times, induction </w:t>
      </w:r>
      <w:r w:rsidRPr="00B06E4A">
        <w:rPr>
          <w:rFonts w:cs="Calibri Light"/>
        </w:rPr>
        <w:t>cooktop</w:t>
      </w:r>
      <w:r>
        <w:rPr>
          <w:rFonts w:cs="Calibri Light"/>
        </w:rPr>
        <w:t xml:space="preserve">s have </w:t>
      </w:r>
      <w:r w:rsidR="00774947">
        <w:rPr>
          <w:rFonts w:cs="Calibri Light"/>
        </w:rPr>
        <w:t xml:space="preserve">better </w:t>
      </w:r>
      <w:r>
        <w:rPr>
          <w:rFonts w:cs="Calibri Light"/>
        </w:rPr>
        <w:t>heat-up performance and higher heat input compared to electric resistan</w:t>
      </w:r>
      <w:r w:rsidR="00AA577F">
        <w:rPr>
          <w:rFonts w:cs="Calibri Light"/>
        </w:rPr>
        <w:t>ce cooktops</w:t>
      </w:r>
      <w:r>
        <w:rPr>
          <w:rFonts w:cs="Calibri Light"/>
        </w:rPr>
        <w:t>.</w:t>
      </w:r>
      <w:r>
        <w:rPr>
          <w:rStyle w:val="FootnoteReference"/>
          <w:rFonts w:cs="Calibri Light"/>
        </w:rPr>
        <w:footnoteReference w:id="8"/>
      </w:r>
      <w:r>
        <w:rPr>
          <w:rFonts w:cs="Calibri Light"/>
        </w:rPr>
        <w:t xml:space="preserve"> </w:t>
      </w:r>
      <w:r w:rsidRPr="00C6243E">
        <w:rPr>
          <w:rFonts w:cs="Calibri Light"/>
        </w:rPr>
        <w:t xml:space="preserve">Although induction ranges have a higher </w:t>
      </w:r>
      <w:r w:rsidRPr="00A12ACD">
        <w:rPr>
          <w:rFonts w:cs="Calibri Light"/>
        </w:rPr>
        <w:t xml:space="preserve">initial equipment </w:t>
      </w:r>
      <w:r w:rsidRPr="00C6243E">
        <w:rPr>
          <w:rFonts w:cs="Calibri Light"/>
        </w:rPr>
        <w:t xml:space="preserve">cost than electrical resistance </w:t>
      </w:r>
      <w:r w:rsidR="00AA577F">
        <w:rPr>
          <w:rFonts w:cs="Calibri Light"/>
        </w:rPr>
        <w:t>ranges</w:t>
      </w:r>
      <w:r w:rsidRPr="00C6243E">
        <w:rPr>
          <w:rFonts w:cs="Calibri Light"/>
        </w:rPr>
        <w:t>, the benefits of increased efficien</w:t>
      </w:r>
      <w:r w:rsidR="00AA577F">
        <w:rPr>
          <w:rFonts w:cs="Calibri Light"/>
        </w:rPr>
        <w:t>c</w:t>
      </w:r>
      <w:r w:rsidR="00A35BDF">
        <w:rPr>
          <w:rFonts w:cs="Calibri Light"/>
        </w:rPr>
        <w:t>y</w:t>
      </w:r>
      <w:r w:rsidRPr="00C6243E">
        <w:rPr>
          <w:rFonts w:cs="Calibri Light"/>
        </w:rPr>
        <w:t xml:space="preserve"> make them desirable replacement options.</w:t>
      </w:r>
    </w:p>
    <w:p w14:paraId="79DD63DC" w14:textId="5C478C34" w:rsidR="0004729C" w:rsidRDefault="0004729C">
      <w:pPr>
        <w:spacing w:before="0" w:after="0" w:line="240" w:lineRule="auto"/>
        <w:rPr>
          <w:rFonts w:eastAsiaTheme="majorEastAsia" w:cstheme="majorBidi"/>
          <w:caps/>
          <w:color w:val="CFAB7A"/>
          <w:w w:val="102"/>
          <w:sz w:val="24"/>
          <w:szCs w:val="30"/>
        </w:rPr>
      </w:pPr>
      <w:bookmarkStart w:id="12" w:name="_Toc486490848"/>
      <w:bookmarkStart w:id="13" w:name="_Toc486580919"/>
    </w:p>
    <w:p w14:paraId="5AF18021" w14:textId="375CB01F" w:rsidR="007D230B" w:rsidRPr="004B06E3" w:rsidRDefault="007D230B" w:rsidP="00142FC9">
      <w:pPr>
        <w:pStyle w:val="eTRMHeading3"/>
      </w:pPr>
      <w:bookmarkStart w:id="14" w:name="_Toc32819835"/>
      <w:r w:rsidRPr="004B06E3">
        <w:t>Measure Case Description</w:t>
      </w:r>
      <w:bookmarkEnd w:id="12"/>
      <w:bookmarkEnd w:id="13"/>
      <w:bookmarkEnd w:id="14"/>
    </w:p>
    <w:p w14:paraId="5B8BDD42" w14:textId="682F789C" w:rsidR="00AA577F" w:rsidRDefault="00AA577F" w:rsidP="00AA577F">
      <w:pPr>
        <w:rPr>
          <w:rFonts w:cs="Calibri Light"/>
        </w:rPr>
      </w:pPr>
      <w:r w:rsidRPr="00C6243E">
        <w:rPr>
          <w:rFonts w:cs="Calibri Light"/>
        </w:rPr>
        <w:t xml:space="preserve">The measure </w:t>
      </w:r>
      <w:r>
        <w:rPr>
          <w:rFonts w:cs="Calibri Light"/>
        </w:rPr>
        <w:t>case is</w:t>
      </w:r>
      <w:r w:rsidRPr="00C6243E">
        <w:rPr>
          <w:rFonts w:cs="Calibri Light"/>
        </w:rPr>
        <w:t xml:space="preserve"> defined as</w:t>
      </w:r>
      <w:r>
        <w:rPr>
          <w:rFonts w:cs="Calibri Light"/>
        </w:rPr>
        <w:t xml:space="preserve"> either</w:t>
      </w:r>
      <w:r w:rsidRPr="00C6243E">
        <w:rPr>
          <w:rFonts w:cs="Calibri Light"/>
        </w:rPr>
        <w:t xml:space="preserve"> the </w:t>
      </w:r>
      <w:r w:rsidR="00D160A9">
        <w:rPr>
          <w:rFonts w:cs="Calibri Light"/>
        </w:rPr>
        <w:t xml:space="preserve">replacement of </w:t>
      </w:r>
      <w:r w:rsidR="007005A1">
        <w:rPr>
          <w:rFonts w:cs="Calibri Light"/>
        </w:rPr>
        <w:t>fully electri</w:t>
      </w:r>
      <w:r w:rsidR="00D160A9">
        <w:rPr>
          <w:rFonts w:cs="Calibri Light"/>
        </w:rPr>
        <w:t xml:space="preserve">c range with an </w:t>
      </w:r>
      <w:r w:rsidR="007005A1">
        <w:rPr>
          <w:rFonts w:cs="Calibri Light"/>
        </w:rPr>
        <w:t xml:space="preserve">electric oven with </w:t>
      </w:r>
      <w:r w:rsidR="00D160A9">
        <w:rPr>
          <w:rFonts w:cs="Calibri Light"/>
        </w:rPr>
        <w:t>induction cooktop or a standalone electric resistance cooktop with a standalone induction cooktop.</w:t>
      </w:r>
      <w:r w:rsidR="00F640C1">
        <w:rPr>
          <w:rFonts w:cs="Calibri Light"/>
        </w:rPr>
        <w:t xml:space="preserve"> </w:t>
      </w:r>
    </w:p>
    <w:p w14:paraId="1FB40219" w14:textId="77777777" w:rsidR="00AA577F" w:rsidRDefault="00AA577F" w:rsidP="00AA577F">
      <w:pPr>
        <w:rPr>
          <w:rFonts w:cs="Calibri Ligh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7195"/>
      </w:tblGrid>
      <w:tr w:rsidR="00AA577F" w14:paraId="347FE8E9" w14:textId="77777777" w:rsidTr="00F92DA3">
        <w:trPr>
          <w:trHeight w:val="261"/>
        </w:trPr>
        <w:tc>
          <w:tcPr>
            <w:tcW w:w="2155" w:type="dxa"/>
            <w:shd w:val="clear" w:color="auto" w:fill="F2F2F2" w:themeFill="background1" w:themeFillShade="F2"/>
          </w:tcPr>
          <w:p w14:paraId="57C139BE" w14:textId="77777777" w:rsidR="00AA577F" w:rsidRDefault="00AA577F" w:rsidP="00F92DA3">
            <w:pPr>
              <w:rPr>
                <w:rFonts w:eastAsia="Times New Roman" w:cs="Calibri Light"/>
                <w:b/>
                <w:sz w:val="20"/>
                <w:szCs w:val="20"/>
              </w:rPr>
            </w:pPr>
            <w:r>
              <w:rPr>
                <w:rFonts w:eastAsia="Times New Roman" w:cs="Calibri Light"/>
                <w:b/>
                <w:sz w:val="20"/>
                <w:szCs w:val="20"/>
              </w:rPr>
              <w:t>Statewide Offering ID</w:t>
            </w:r>
          </w:p>
        </w:tc>
        <w:tc>
          <w:tcPr>
            <w:tcW w:w="7195" w:type="dxa"/>
            <w:shd w:val="clear" w:color="auto" w:fill="F2F2F2" w:themeFill="background1" w:themeFillShade="F2"/>
            <w:vAlign w:val="center"/>
          </w:tcPr>
          <w:p w14:paraId="2AD124DC" w14:textId="77777777" w:rsidR="00AA577F" w:rsidRPr="003346BA" w:rsidRDefault="00AA577F" w:rsidP="00F92DA3">
            <w:pPr>
              <w:rPr>
                <w:rFonts w:eastAsia="Times New Roman" w:cs="Calibri Light"/>
                <w:b/>
                <w:sz w:val="20"/>
                <w:szCs w:val="20"/>
              </w:rPr>
            </w:pPr>
            <w:r>
              <w:rPr>
                <w:rFonts w:eastAsia="Times New Roman" w:cs="Calibri Light"/>
                <w:b/>
                <w:sz w:val="20"/>
                <w:szCs w:val="20"/>
              </w:rPr>
              <w:t>Measure</w:t>
            </w:r>
          </w:p>
        </w:tc>
      </w:tr>
      <w:tr w:rsidR="00AA577F" w14:paraId="566B38ED" w14:textId="77777777" w:rsidTr="00F92DA3">
        <w:trPr>
          <w:trHeight w:val="242"/>
        </w:trPr>
        <w:tc>
          <w:tcPr>
            <w:tcW w:w="2155" w:type="dxa"/>
          </w:tcPr>
          <w:p w14:paraId="2A16F615" w14:textId="77777777" w:rsidR="00AA577F" w:rsidRPr="00623508" w:rsidRDefault="00AA577F" w:rsidP="00F92DA3">
            <w:pPr>
              <w:rPr>
                <w:sz w:val="18"/>
                <w:szCs w:val="20"/>
              </w:rPr>
            </w:pPr>
            <w:r w:rsidRPr="00623508">
              <w:rPr>
                <w:sz w:val="18"/>
                <w:szCs w:val="20"/>
              </w:rPr>
              <w:t>A</w:t>
            </w:r>
          </w:p>
        </w:tc>
        <w:tc>
          <w:tcPr>
            <w:tcW w:w="7195" w:type="dxa"/>
            <w:shd w:val="clear" w:color="auto" w:fill="auto"/>
          </w:tcPr>
          <w:p w14:paraId="4DEB4963" w14:textId="0032D79C" w:rsidR="00AA577F" w:rsidRPr="00D24467" w:rsidRDefault="00AA577F" w:rsidP="00F92DA3">
            <w:pPr>
              <w:rPr>
                <w:rFonts w:eastAsia="Times New Roman" w:cs="Calibri Light"/>
                <w:sz w:val="18"/>
                <w:szCs w:val="20"/>
              </w:rPr>
            </w:pPr>
            <w:r w:rsidRPr="00D24467">
              <w:rPr>
                <w:sz w:val="18"/>
                <w:szCs w:val="20"/>
              </w:rPr>
              <w:t xml:space="preserve">Induction Cooktop </w:t>
            </w:r>
            <w:r w:rsidRPr="00FA4E34">
              <w:rPr>
                <w:sz w:val="18"/>
                <w:szCs w:val="20"/>
              </w:rPr>
              <w:t xml:space="preserve">replacing </w:t>
            </w:r>
            <w:r w:rsidR="00D160A9" w:rsidRPr="00FA4E34">
              <w:rPr>
                <w:sz w:val="18"/>
                <w:szCs w:val="20"/>
              </w:rPr>
              <w:t xml:space="preserve">Electric Resistance </w:t>
            </w:r>
            <w:r w:rsidRPr="00FA4E34">
              <w:rPr>
                <w:sz w:val="18"/>
                <w:szCs w:val="20"/>
              </w:rPr>
              <w:t>Cooktop</w:t>
            </w:r>
          </w:p>
        </w:tc>
      </w:tr>
      <w:tr w:rsidR="00AA577F" w14:paraId="2AB56EC7" w14:textId="77777777" w:rsidTr="00F92DA3">
        <w:trPr>
          <w:trHeight w:val="261"/>
        </w:trPr>
        <w:tc>
          <w:tcPr>
            <w:tcW w:w="2155" w:type="dxa"/>
          </w:tcPr>
          <w:p w14:paraId="6A73AD65" w14:textId="77777777" w:rsidR="00AA577F" w:rsidRPr="00623508" w:rsidRDefault="00AA577F" w:rsidP="00F92DA3">
            <w:pPr>
              <w:rPr>
                <w:sz w:val="18"/>
                <w:szCs w:val="20"/>
              </w:rPr>
            </w:pPr>
            <w:r w:rsidRPr="00623508">
              <w:rPr>
                <w:sz w:val="18"/>
                <w:szCs w:val="20"/>
              </w:rPr>
              <w:t>B</w:t>
            </w:r>
          </w:p>
        </w:tc>
        <w:tc>
          <w:tcPr>
            <w:tcW w:w="7195" w:type="dxa"/>
            <w:shd w:val="clear" w:color="auto" w:fill="auto"/>
          </w:tcPr>
          <w:p w14:paraId="72CFD89A" w14:textId="39863478" w:rsidR="00AA577F" w:rsidRPr="00D24467" w:rsidRDefault="00AA577F" w:rsidP="00F92DA3">
            <w:pPr>
              <w:rPr>
                <w:rFonts w:eastAsia="Times New Roman" w:cs="Calibri Light"/>
                <w:sz w:val="18"/>
                <w:szCs w:val="20"/>
              </w:rPr>
            </w:pPr>
            <w:r w:rsidRPr="00D24467">
              <w:rPr>
                <w:sz w:val="18"/>
                <w:szCs w:val="20"/>
              </w:rPr>
              <w:t xml:space="preserve">Electric Range with Induction Cooktop </w:t>
            </w:r>
            <w:r w:rsidRPr="00FA4E34">
              <w:rPr>
                <w:sz w:val="18"/>
                <w:szCs w:val="20"/>
              </w:rPr>
              <w:t xml:space="preserve">replacing </w:t>
            </w:r>
            <w:r w:rsidR="00D160A9" w:rsidRPr="00FA4E34">
              <w:rPr>
                <w:sz w:val="18"/>
                <w:szCs w:val="20"/>
              </w:rPr>
              <w:t>Electric Range with Electric Resistance Cooktop</w:t>
            </w:r>
          </w:p>
        </w:tc>
      </w:tr>
    </w:tbl>
    <w:p w14:paraId="15285CD3" w14:textId="77777777" w:rsidR="00AA577F" w:rsidRDefault="00AA577F" w:rsidP="00AA577F">
      <w:pPr>
        <w:spacing w:before="0" w:after="0" w:line="240" w:lineRule="auto"/>
        <w:rPr>
          <w:rFonts w:eastAsia="Calibri" w:cs="Calibri Light"/>
          <w:b/>
          <w:szCs w:val="22"/>
        </w:rPr>
      </w:pPr>
    </w:p>
    <w:p w14:paraId="487DC47F" w14:textId="77777777" w:rsidR="00AA577F" w:rsidRDefault="00AA577F" w:rsidP="00AA577F">
      <w:pPr>
        <w:spacing w:before="0" w:after="0" w:line="240" w:lineRule="auto"/>
        <w:rPr>
          <w:rFonts w:eastAsia="Calibri" w:cs="Calibri Light"/>
          <w:b/>
          <w:szCs w:val="22"/>
        </w:rPr>
      </w:pPr>
      <w:r>
        <w:rPr>
          <w:rFonts w:eastAsia="Calibri" w:cs="Calibri Light"/>
          <w:b/>
          <w:szCs w:val="22"/>
        </w:rPr>
        <w:t>Measure</w:t>
      </w:r>
      <w:r w:rsidRPr="00C6243E">
        <w:rPr>
          <w:rFonts w:eastAsia="Calibri" w:cs="Calibri Light"/>
          <w:b/>
          <w:szCs w:val="22"/>
        </w:rPr>
        <w:t xml:space="preserve"> Case Technology Characterization</w:t>
      </w:r>
    </w:p>
    <w:p w14:paraId="6DAAE1E3" w14:textId="75A2CFF9" w:rsidR="0004729C" w:rsidRDefault="00AA577F" w:rsidP="00F92DA3">
      <w:pPr>
        <w:rPr>
          <w:rFonts w:cs="Calibri Light"/>
        </w:rPr>
      </w:pPr>
      <w:r>
        <w:rPr>
          <w:rFonts w:cs="Calibri Light"/>
        </w:rPr>
        <w:t>Measure</w:t>
      </w:r>
      <w:r w:rsidRPr="00C6243E">
        <w:rPr>
          <w:rFonts w:cs="Calibri Light"/>
        </w:rPr>
        <w:t xml:space="preserve"> characterization for this measure is being informed by CASE Plug Load and Lighting Modeling </w:t>
      </w:r>
      <w:r w:rsidRPr="003A6806">
        <w:rPr>
          <w:rFonts w:cs="Calibri Light"/>
        </w:rPr>
        <w:t>(Measure Number: 2016-RES-ACM-D)</w:t>
      </w:r>
      <w:r>
        <w:rPr>
          <w:rStyle w:val="FootnoteReference"/>
          <w:rFonts w:cs="Calibri Light"/>
        </w:rPr>
        <w:footnoteReference w:id="9"/>
      </w:r>
      <w:r>
        <w:rPr>
          <w:rFonts w:cs="Calibri Light"/>
        </w:rPr>
        <w:t xml:space="preserve"> and US Energy Efficiency and Renewable Energy Office</w:t>
      </w:r>
      <w:r>
        <w:rPr>
          <w:rStyle w:val="FootnoteReference"/>
          <w:rFonts w:cs="Calibri Light"/>
        </w:rPr>
        <w:footnoteReference w:id="10"/>
      </w:r>
      <w:r>
        <w:rPr>
          <w:rFonts w:cs="Calibri Light"/>
        </w:rPr>
        <w:t>.</w:t>
      </w:r>
    </w:p>
    <w:p w14:paraId="79ED7C86" w14:textId="1DE310C7" w:rsidR="00F640C1" w:rsidRDefault="00F640C1" w:rsidP="00F92DA3">
      <w:pPr>
        <w:rPr>
          <w:rFonts w:cs="Calibri Light"/>
        </w:rPr>
      </w:pPr>
      <w:r w:rsidRPr="00F640C1">
        <w:rPr>
          <w:rFonts w:cs="Calibri Light"/>
        </w:rPr>
        <w:t>Range ovens have separate cooking efficiencies from cooktops. Ranges with induction and electric resistance cooktops both have electric resistance oven components; thus, baseline to measure cooking efficiencies for ovens are equivalent and are not included in the savings calculations of this workpaper.</w:t>
      </w:r>
      <w:r>
        <w:rPr>
          <w:rFonts w:cs="Calibri Light"/>
        </w:rPr>
        <w:t xml:space="preserve"> Costing is calculated separately for the two measures as the inclusion of an oven does impact cost.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0"/>
        <w:gridCol w:w="4680"/>
      </w:tblGrid>
      <w:tr w:rsidR="00AA577F" w14:paraId="76C76C9A" w14:textId="77777777" w:rsidTr="008277A2">
        <w:trPr>
          <w:trHeight w:val="49"/>
        </w:trPr>
        <w:tc>
          <w:tcPr>
            <w:tcW w:w="4670" w:type="dxa"/>
            <w:shd w:val="clear" w:color="auto" w:fill="F2F2F2" w:themeFill="background1" w:themeFillShade="F2"/>
            <w:vAlign w:val="center"/>
          </w:tcPr>
          <w:p w14:paraId="56B55B7B" w14:textId="11E00C56" w:rsidR="00AA577F" w:rsidRPr="003346BA" w:rsidRDefault="00AA577F" w:rsidP="00F92DA3">
            <w:pPr>
              <w:rPr>
                <w:rFonts w:eastAsia="Times New Roman" w:cs="Calibri Light"/>
                <w:b/>
                <w:sz w:val="20"/>
                <w:szCs w:val="20"/>
              </w:rPr>
            </w:pPr>
            <w:r>
              <w:rPr>
                <w:rFonts w:cs="Calibri Light"/>
              </w:rPr>
              <w:t xml:space="preserve"> </w:t>
            </w:r>
            <w:r>
              <w:rPr>
                <w:rFonts w:cs="Calibri Light"/>
                <w:b/>
                <w:sz w:val="20"/>
                <w:szCs w:val="20"/>
              </w:rPr>
              <w:t>Equipment</w:t>
            </w:r>
            <w:r w:rsidRPr="00C6243E">
              <w:rPr>
                <w:rFonts w:cs="Calibri Light"/>
                <w:b/>
                <w:sz w:val="20"/>
                <w:szCs w:val="20"/>
              </w:rPr>
              <w:t xml:space="preserve"> </w:t>
            </w:r>
          </w:p>
        </w:tc>
        <w:tc>
          <w:tcPr>
            <w:tcW w:w="4680" w:type="dxa"/>
            <w:shd w:val="clear" w:color="auto" w:fill="F2F2F2" w:themeFill="background1" w:themeFillShade="F2"/>
            <w:vAlign w:val="center"/>
          </w:tcPr>
          <w:p w14:paraId="06835102" w14:textId="77777777" w:rsidR="00AA577F" w:rsidRPr="001A6156" w:rsidRDefault="00AA577F" w:rsidP="00F92DA3">
            <w:pPr>
              <w:rPr>
                <w:rFonts w:eastAsia="Times New Roman" w:cs="Calibri Light"/>
                <w:b/>
                <w:sz w:val="20"/>
                <w:szCs w:val="20"/>
              </w:rPr>
            </w:pPr>
            <w:r w:rsidRPr="00C6243E">
              <w:rPr>
                <w:rFonts w:cs="Calibri Light"/>
                <w:b/>
                <w:sz w:val="20"/>
                <w:szCs w:val="20"/>
              </w:rPr>
              <w:t>Cooking Efficiency</w:t>
            </w:r>
            <w:r>
              <w:rPr>
                <w:rFonts w:cs="Calibri Light"/>
                <w:b/>
                <w:sz w:val="20"/>
                <w:szCs w:val="20"/>
              </w:rPr>
              <w:t xml:space="preserve"> (BTU</w:t>
            </w:r>
            <w:r w:rsidRPr="001A6156">
              <w:rPr>
                <w:rFonts w:cs="Calibri Light"/>
                <w:b/>
                <w:sz w:val="24"/>
                <w:szCs w:val="20"/>
                <w:vertAlign w:val="subscript"/>
              </w:rPr>
              <w:t>FOOD</w:t>
            </w:r>
            <w:r>
              <w:rPr>
                <w:rFonts w:cs="Calibri Light"/>
                <w:b/>
                <w:sz w:val="20"/>
                <w:szCs w:val="20"/>
              </w:rPr>
              <w:t>/BTU</w:t>
            </w:r>
            <w:r w:rsidRPr="001A6156">
              <w:rPr>
                <w:rFonts w:cs="Calibri Light"/>
                <w:b/>
                <w:sz w:val="24"/>
                <w:szCs w:val="20"/>
                <w:vertAlign w:val="subscript"/>
              </w:rPr>
              <w:t>APPLIANCE</w:t>
            </w:r>
            <w:r>
              <w:rPr>
                <w:rFonts w:cs="Calibri Light"/>
                <w:b/>
                <w:sz w:val="20"/>
                <w:szCs w:val="20"/>
              </w:rPr>
              <w:t>)</w:t>
            </w:r>
          </w:p>
        </w:tc>
      </w:tr>
      <w:tr w:rsidR="00AA577F" w14:paraId="4CE23BBC" w14:textId="77777777" w:rsidTr="008277A2">
        <w:trPr>
          <w:trHeight w:val="35"/>
        </w:trPr>
        <w:tc>
          <w:tcPr>
            <w:tcW w:w="4670" w:type="dxa"/>
            <w:shd w:val="clear" w:color="auto" w:fill="auto"/>
          </w:tcPr>
          <w:p w14:paraId="5B9E3699" w14:textId="77777777" w:rsidR="00AA577F" w:rsidRPr="00863169" w:rsidRDefault="00AA577F" w:rsidP="00F92DA3">
            <w:pPr>
              <w:rPr>
                <w:rFonts w:eastAsia="Times New Roman" w:cs="Calibri Light"/>
                <w:sz w:val="18"/>
                <w:szCs w:val="20"/>
              </w:rPr>
            </w:pPr>
            <w:r>
              <w:rPr>
                <w:rFonts w:cs="Calibri Light"/>
                <w:sz w:val="18"/>
                <w:szCs w:val="18"/>
              </w:rPr>
              <w:t>Electric Induction Cooktop</w:t>
            </w:r>
          </w:p>
        </w:tc>
        <w:tc>
          <w:tcPr>
            <w:tcW w:w="4680" w:type="dxa"/>
          </w:tcPr>
          <w:p w14:paraId="5FA15FBA" w14:textId="77777777" w:rsidR="00AA577F" w:rsidRPr="00863169" w:rsidRDefault="00AA577F" w:rsidP="00F92DA3">
            <w:pPr>
              <w:rPr>
                <w:rFonts w:eastAsia="Times New Roman" w:cs="Calibri Light"/>
                <w:sz w:val="18"/>
                <w:szCs w:val="18"/>
              </w:rPr>
            </w:pPr>
            <w:r w:rsidRPr="0010321F">
              <w:rPr>
                <w:rFonts w:cs="Calibri Light"/>
                <w:sz w:val="18"/>
                <w:szCs w:val="18"/>
              </w:rPr>
              <w:t>84%</w:t>
            </w:r>
            <w:r>
              <w:rPr>
                <w:rStyle w:val="FootnoteReference"/>
                <w:rFonts w:cs="Calibri Light"/>
                <w:sz w:val="18"/>
                <w:szCs w:val="18"/>
              </w:rPr>
              <w:footnoteReference w:id="11"/>
            </w:r>
          </w:p>
        </w:tc>
      </w:tr>
    </w:tbl>
    <w:p w14:paraId="0CE0D6A8" w14:textId="536FA9D3" w:rsidR="00F11D86" w:rsidRDefault="00F11D86" w:rsidP="00D67698"/>
    <w:p w14:paraId="7DD2EFEC" w14:textId="2A8510F1" w:rsidR="00A35BDF" w:rsidRDefault="00A35BDF" w:rsidP="00D67698">
      <w:pPr>
        <w:rPr>
          <w:rFonts w:cs="Calibri Light"/>
        </w:rPr>
      </w:pPr>
      <w:r w:rsidRPr="003A6806">
        <w:rPr>
          <w:rFonts w:cs="Calibri Light"/>
        </w:rPr>
        <w:lastRenderedPageBreak/>
        <w:t>The measure draws from a variety of existing data sources that are used to inform assumptions about the range baselines discussed in the scope of this paper. Based on the estimated age of devices in new homes, energy efficiency standards, and market trends, the statewide CASE Team determined the likely efficiency of ranges to be used in homes built during the 2016 code cycle.</w:t>
      </w:r>
    </w:p>
    <w:p w14:paraId="4DE7C97D" w14:textId="77777777" w:rsidR="00A35BDF" w:rsidRPr="004B06E3" w:rsidRDefault="00A35BDF" w:rsidP="00D67698"/>
    <w:p w14:paraId="54FD79D6" w14:textId="77777777" w:rsidR="00E70CBD" w:rsidRPr="00171BB8" w:rsidRDefault="00E70CBD" w:rsidP="00142FC9">
      <w:pPr>
        <w:pStyle w:val="eTRMHeading3"/>
      </w:pPr>
      <w:bookmarkStart w:id="15" w:name="_Toc486490849"/>
      <w:bookmarkStart w:id="16" w:name="_Toc486580920"/>
      <w:bookmarkStart w:id="17" w:name="_Toc32819836"/>
      <w:r w:rsidRPr="004B06E3">
        <w:t>Base Case Description</w:t>
      </w:r>
      <w:bookmarkEnd w:id="15"/>
      <w:bookmarkEnd w:id="16"/>
      <w:bookmarkEnd w:id="17"/>
      <w:r w:rsidRPr="00171BB8">
        <w:t xml:space="preserve"> </w:t>
      </w:r>
    </w:p>
    <w:p w14:paraId="036F732B" w14:textId="5974FAB7" w:rsidR="00DA6785" w:rsidRDefault="0004729C" w:rsidP="0004729C">
      <w:pPr>
        <w:rPr>
          <w:rFonts w:cs="Calibri Light"/>
        </w:rPr>
      </w:pPr>
      <w:bookmarkStart w:id="18" w:name="_Toc486490850"/>
      <w:bookmarkStart w:id="19" w:name="_Toc486580921"/>
      <w:r w:rsidRPr="00C6243E">
        <w:rPr>
          <w:rFonts w:cs="Calibri Light"/>
          <w:szCs w:val="20"/>
        </w:rPr>
        <w:t xml:space="preserve">The base case is defined as </w:t>
      </w:r>
      <w:r>
        <w:rPr>
          <w:rFonts w:cs="Calibri Light"/>
          <w:szCs w:val="20"/>
        </w:rPr>
        <w:t>an electric range with electric resistance cooktop or a standalone electric resistance cooktop.</w:t>
      </w:r>
      <w:r w:rsidR="00F640C1" w:rsidRPr="00F640C1">
        <w:t xml:space="preserve"> </w:t>
      </w:r>
    </w:p>
    <w:p w14:paraId="6CCAB3B2" w14:textId="0177EEB3" w:rsidR="0004729C" w:rsidRDefault="0004729C" w:rsidP="0004729C">
      <w:pPr>
        <w:rPr>
          <w:rFonts w:cs="Calibri Light"/>
        </w:rPr>
      </w:pPr>
      <w:r w:rsidRPr="00C6243E">
        <w:rPr>
          <w:rFonts w:cs="Calibri Light"/>
        </w:rPr>
        <w:t xml:space="preserve">Baseline characterization for this measure is being informed by CASE Plug Load and Lighting Modeling </w:t>
      </w:r>
      <w:r w:rsidRPr="003A6806">
        <w:rPr>
          <w:rFonts w:cs="Calibri Light"/>
        </w:rPr>
        <w:t>(Measure Number: 2016-RES-ACM-D).</w:t>
      </w:r>
      <w:bookmarkStart w:id="20" w:name="_Ref16843690"/>
      <w:r w:rsidRPr="003A6806">
        <w:rPr>
          <w:rStyle w:val="FootnoteReference"/>
          <w:rFonts w:cs="Calibri Light"/>
        </w:rPr>
        <w:footnoteReference w:id="12"/>
      </w:r>
      <w:bookmarkEnd w:id="20"/>
      <w:r>
        <w:rPr>
          <w:rFonts w:cs="Calibri Light"/>
        </w:rPr>
        <w:t xml:space="preserve"> </w:t>
      </w:r>
    </w:p>
    <w:p w14:paraId="320CE7C6" w14:textId="59AD14B2" w:rsidR="00F640C1" w:rsidRDefault="00F640C1" w:rsidP="00F640C1">
      <w:pPr>
        <w:rPr>
          <w:rFonts w:cs="Calibri Light"/>
        </w:rPr>
      </w:pPr>
    </w:p>
    <w:p w14:paraId="1F01081A" w14:textId="08CAF2A1" w:rsidR="0004729C" w:rsidRDefault="0004729C" w:rsidP="0004729C">
      <w:pPr>
        <w:spacing w:before="0" w:after="0" w:line="240" w:lineRule="auto"/>
        <w:rPr>
          <w:rFonts w:eastAsia="Calibri" w:cs="Calibri Light"/>
          <w:b/>
          <w:szCs w:val="22"/>
        </w:rPr>
      </w:pPr>
      <w:r w:rsidRPr="00C6243E">
        <w:rPr>
          <w:rFonts w:eastAsia="Calibri" w:cs="Calibri Light"/>
          <w:b/>
          <w:szCs w:val="22"/>
        </w:rPr>
        <w:t>Base Case Technology Characterization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52"/>
      </w:tblGrid>
      <w:tr w:rsidR="0004729C" w14:paraId="00171842" w14:textId="77777777" w:rsidTr="0004729C">
        <w:trPr>
          <w:trHeight w:val="98"/>
        </w:trPr>
        <w:tc>
          <w:tcPr>
            <w:tcW w:w="4698" w:type="dxa"/>
            <w:shd w:val="clear" w:color="auto" w:fill="F2F2F2" w:themeFill="background1" w:themeFillShade="F2"/>
            <w:vAlign w:val="center"/>
          </w:tcPr>
          <w:p w14:paraId="05A08918" w14:textId="77777777" w:rsidR="0004729C" w:rsidRPr="003346BA" w:rsidRDefault="0004729C" w:rsidP="00F92DA3">
            <w:pPr>
              <w:rPr>
                <w:rFonts w:eastAsia="Times New Roman" w:cs="Calibri Light"/>
                <w:b/>
                <w:sz w:val="20"/>
                <w:szCs w:val="20"/>
              </w:rPr>
            </w:pPr>
            <w:r>
              <w:rPr>
                <w:rFonts w:cs="Calibri Light"/>
                <w:b/>
                <w:sz w:val="20"/>
                <w:szCs w:val="20"/>
              </w:rPr>
              <w:t>Equipment</w:t>
            </w:r>
            <w:r w:rsidRPr="00C6243E">
              <w:rPr>
                <w:rFonts w:cs="Calibri Light"/>
                <w:b/>
                <w:sz w:val="20"/>
                <w:szCs w:val="20"/>
              </w:rPr>
              <w:t xml:space="preserve"> </w:t>
            </w:r>
          </w:p>
        </w:tc>
        <w:tc>
          <w:tcPr>
            <w:tcW w:w="4652" w:type="dxa"/>
            <w:shd w:val="clear" w:color="auto" w:fill="F2F2F2" w:themeFill="background1" w:themeFillShade="F2"/>
            <w:vAlign w:val="center"/>
          </w:tcPr>
          <w:p w14:paraId="7AB8014E" w14:textId="77777777" w:rsidR="0004729C" w:rsidRPr="003346BA" w:rsidRDefault="0004729C" w:rsidP="00F92DA3">
            <w:pPr>
              <w:rPr>
                <w:rFonts w:eastAsia="Times New Roman" w:cs="Calibri Light"/>
                <w:b/>
                <w:sz w:val="20"/>
                <w:szCs w:val="20"/>
              </w:rPr>
            </w:pPr>
            <w:r w:rsidRPr="00C6243E">
              <w:rPr>
                <w:rFonts w:cs="Calibri Light"/>
                <w:b/>
                <w:sz w:val="20"/>
                <w:szCs w:val="20"/>
              </w:rPr>
              <w:t>Cooking Efficiency</w:t>
            </w:r>
          </w:p>
        </w:tc>
      </w:tr>
      <w:tr w:rsidR="0004729C" w14:paraId="2E1FFDBB" w14:textId="77777777" w:rsidTr="0004729C">
        <w:trPr>
          <w:trHeight w:val="70"/>
        </w:trPr>
        <w:tc>
          <w:tcPr>
            <w:tcW w:w="4698" w:type="dxa"/>
            <w:shd w:val="clear" w:color="auto" w:fill="auto"/>
          </w:tcPr>
          <w:p w14:paraId="110A4677" w14:textId="21C5A70D" w:rsidR="0004729C" w:rsidRPr="00863169" w:rsidRDefault="0004729C" w:rsidP="0004729C">
            <w:pPr>
              <w:rPr>
                <w:rFonts w:eastAsia="Times New Roman" w:cs="Calibri Light"/>
                <w:sz w:val="18"/>
                <w:szCs w:val="20"/>
              </w:rPr>
            </w:pPr>
            <w:r>
              <w:rPr>
                <w:rFonts w:cs="Calibri Light"/>
                <w:sz w:val="18"/>
                <w:szCs w:val="18"/>
              </w:rPr>
              <w:t>Electric Resistance Cooktop</w:t>
            </w:r>
          </w:p>
        </w:tc>
        <w:tc>
          <w:tcPr>
            <w:tcW w:w="4652" w:type="dxa"/>
          </w:tcPr>
          <w:p w14:paraId="523DF655" w14:textId="5C4E053B" w:rsidR="0004729C" w:rsidRPr="00863169" w:rsidRDefault="0004729C" w:rsidP="0004729C">
            <w:pPr>
              <w:rPr>
                <w:rFonts w:eastAsia="Times New Roman" w:cs="Calibri Light"/>
                <w:sz w:val="18"/>
                <w:szCs w:val="20"/>
              </w:rPr>
            </w:pPr>
            <w:r w:rsidRPr="0010321F">
              <w:rPr>
                <w:rFonts w:cs="Calibri Light"/>
                <w:sz w:val="18"/>
                <w:szCs w:val="18"/>
              </w:rPr>
              <w:t>74%</w:t>
            </w:r>
            <w:r w:rsidRPr="0010321F">
              <w:rPr>
                <w:rStyle w:val="FootnoteReference"/>
                <w:rFonts w:cs="Calibri Light"/>
                <w:sz w:val="18"/>
                <w:szCs w:val="18"/>
              </w:rPr>
              <w:footnoteReference w:id="13"/>
            </w:r>
          </w:p>
        </w:tc>
      </w:tr>
    </w:tbl>
    <w:p w14:paraId="4B5FE3C5" w14:textId="77777777" w:rsidR="00D67698" w:rsidRDefault="00D67698" w:rsidP="00BD1E1D">
      <w:pPr>
        <w:rPr>
          <w:highlight w:val="cyan"/>
        </w:rPr>
      </w:pPr>
    </w:p>
    <w:p w14:paraId="7D9DA4A6" w14:textId="4210FB7B" w:rsidR="007D230B" w:rsidRDefault="007D230B" w:rsidP="00142FC9">
      <w:pPr>
        <w:pStyle w:val="eTRMHeading3"/>
      </w:pPr>
      <w:bookmarkStart w:id="21" w:name="_Toc32819837"/>
      <w:r w:rsidRPr="004B06E3">
        <w:t>Code Requirements</w:t>
      </w:r>
      <w:bookmarkEnd w:id="18"/>
      <w:bookmarkEnd w:id="19"/>
      <w:bookmarkEnd w:id="21"/>
    </w:p>
    <w:p w14:paraId="21AA87F9" w14:textId="36E0CAB3" w:rsidR="0004729C" w:rsidRPr="00C6243E" w:rsidRDefault="0004729C" w:rsidP="0004729C">
      <w:pPr>
        <w:rPr>
          <w:rFonts w:cs="Calibri Light"/>
        </w:rPr>
      </w:pPr>
      <w:r>
        <w:rPr>
          <w:rFonts w:cs="Calibri Light"/>
        </w:rPr>
        <w:t>Test methods for the measurement of cooking efficiency include standardized DOE procedures for electric cooktops</w:t>
      </w:r>
      <w:r w:rsidR="00F640C1">
        <w:rPr>
          <w:rFonts w:cs="Calibri Light"/>
        </w:rPr>
        <w:t xml:space="preserve"> and</w:t>
      </w:r>
      <w:r>
        <w:rPr>
          <w:rFonts w:cs="Calibri Light"/>
        </w:rPr>
        <w:t xml:space="preserve"> modified and s</w:t>
      </w:r>
      <w:r w:rsidRPr="00C6243E">
        <w:rPr>
          <w:rFonts w:cs="Calibri Light"/>
        </w:rPr>
        <w:t>tandardized DOE procedure</w:t>
      </w:r>
      <w:r>
        <w:rPr>
          <w:rFonts w:cs="Calibri Light"/>
        </w:rPr>
        <w:t>s</w:t>
      </w:r>
      <w:r w:rsidRPr="00C6243E">
        <w:rPr>
          <w:rFonts w:cs="Calibri Light"/>
        </w:rPr>
        <w:t xml:space="preserve"> </w:t>
      </w:r>
      <w:r>
        <w:rPr>
          <w:rFonts w:cs="Calibri Light"/>
        </w:rPr>
        <w:t>to</w:t>
      </w:r>
      <w:r w:rsidRPr="00C6243E">
        <w:rPr>
          <w:rFonts w:cs="Calibri Light"/>
        </w:rPr>
        <w:t xml:space="preserve"> test induction </w:t>
      </w:r>
      <w:r>
        <w:rPr>
          <w:rFonts w:cs="Calibri Light"/>
        </w:rPr>
        <w:t>cooktops, ASTM 2012 standard F1521, and ANSI standard Z83.11. Each takes a different methodology to obtain cooking efficiency and can be used as verification for each other.</w:t>
      </w:r>
      <w:r>
        <w:rPr>
          <w:rStyle w:val="FootnoteReference"/>
          <w:rFonts w:cs="Calibri Light"/>
        </w:rPr>
        <w:footnoteReference w:id="14"/>
      </w:r>
    </w:p>
    <w:p w14:paraId="262F11A2" w14:textId="77777777" w:rsidR="0004729C" w:rsidRPr="00C6243E" w:rsidRDefault="0004729C" w:rsidP="0004729C">
      <w:pPr>
        <w:rPr>
          <w:rFonts w:cs="Calibri Light"/>
        </w:rPr>
      </w:pPr>
      <w:r>
        <w:rPr>
          <w:rFonts w:cs="Calibri Light"/>
        </w:rPr>
        <w:t>Residential cooking appliances</w:t>
      </w:r>
      <w:r w:rsidRPr="00C6243E">
        <w:rPr>
          <w:rFonts w:cs="Calibri Light"/>
        </w:rPr>
        <w:t xml:space="preserve"> do not fall under California Building Energy Efficiency Standards (Title 24).</w:t>
      </w:r>
    </w:p>
    <w:p w14:paraId="76C433D6" w14:textId="77777777" w:rsidR="0004729C" w:rsidRPr="00C6243E" w:rsidRDefault="0004729C" w:rsidP="0004729C">
      <w:pPr>
        <w:rPr>
          <w:rFonts w:cs="Calibri Light"/>
        </w:rPr>
      </w:pPr>
      <w:r w:rsidRPr="00C6243E">
        <w:rPr>
          <w:rFonts w:cs="Calibri Light"/>
        </w:rPr>
        <w:t>This measure is not governed by the California Appliance Efficiency Standards (Title 20) or federal regulations.</w:t>
      </w:r>
    </w:p>
    <w:p w14:paraId="60059D97" w14:textId="77777777" w:rsidR="0004729C" w:rsidRPr="00C6243E" w:rsidRDefault="0004729C" w:rsidP="0004729C">
      <w:pPr>
        <w:rPr>
          <w:rFonts w:cs="Calibri Light"/>
        </w:rPr>
      </w:pP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5"/>
        <w:gridCol w:w="2790"/>
        <w:gridCol w:w="1980"/>
      </w:tblGrid>
      <w:tr w:rsidR="0004729C" w:rsidRPr="00C6243E" w14:paraId="2AF0035A" w14:textId="77777777" w:rsidTr="00F92DA3">
        <w:trPr>
          <w:cantSplit/>
          <w:trHeight w:val="20"/>
        </w:trPr>
        <w:tc>
          <w:tcPr>
            <w:tcW w:w="4765" w:type="dxa"/>
            <w:shd w:val="clear" w:color="auto" w:fill="F2F2F2" w:themeFill="background1" w:themeFillShade="F2"/>
            <w:vAlign w:val="bottom"/>
          </w:tcPr>
          <w:p w14:paraId="527B85A4" w14:textId="77777777" w:rsidR="0004729C" w:rsidRPr="00C6243E" w:rsidRDefault="0004729C" w:rsidP="00F92DA3">
            <w:pPr>
              <w:keepNext/>
              <w:keepLines/>
              <w:spacing w:before="20" w:after="20"/>
              <w:rPr>
                <w:rFonts w:cs="Calibri Light"/>
                <w:b/>
                <w:sz w:val="20"/>
                <w:szCs w:val="20"/>
              </w:rPr>
            </w:pPr>
            <w:r w:rsidRPr="00C6243E">
              <w:rPr>
                <w:rFonts w:cs="Calibri Light"/>
                <w:b/>
                <w:sz w:val="20"/>
              </w:rPr>
              <w:t>Code</w:t>
            </w:r>
          </w:p>
        </w:tc>
        <w:tc>
          <w:tcPr>
            <w:tcW w:w="2790" w:type="dxa"/>
            <w:shd w:val="clear" w:color="auto" w:fill="F2F2F2" w:themeFill="background1" w:themeFillShade="F2"/>
            <w:vAlign w:val="bottom"/>
          </w:tcPr>
          <w:p w14:paraId="67C2D1F9" w14:textId="77777777" w:rsidR="0004729C" w:rsidRPr="00C6243E" w:rsidRDefault="0004729C" w:rsidP="00F92DA3">
            <w:pPr>
              <w:keepNext/>
              <w:keepLines/>
              <w:spacing w:before="20" w:after="20"/>
              <w:jc w:val="center"/>
              <w:rPr>
                <w:rFonts w:cs="Calibri Light"/>
                <w:b/>
                <w:sz w:val="20"/>
                <w:szCs w:val="20"/>
              </w:rPr>
            </w:pPr>
            <w:r w:rsidRPr="00C6243E">
              <w:rPr>
                <w:rFonts w:cs="Calibri Light"/>
                <w:b/>
                <w:sz w:val="20"/>
              </w:rPr>
              <w:t>Applicable Code Reference</w:t>
            </w:r>
          </w:p>
        </w:tc>
        <w:tc>
          <w:tcPr>
            <w:tcW w:w="1980" w:type="dxa"/>
            <w:shd w:val="clear" w:color="auto" w:fill="F2F2F2" w:themeFill="background1" w:themeFillShade="F2"/>
            <w:vAlign w:val="bottom"/>
          </w:tcPr>
          <w:p w14:paraId="37FE1ECA" w14:textId="77777777" w:rsidR="0004729C" w:rsidRPr="00C6243E" w:rsidRDefault="0004729C" w:rsidP="00F92DA3">
            <w:pPr>
              <w:keepNext/>
              <w:keepLines/>
              <w:spacing w:before="20" w:after="20"/>
              <w:jc w:val="center"/>
              <w:rPr>
                <w:rFonts w:cs="Calibri Light"/>
                <w:b/>
                <w:sz w:val="20"/>
                <w:szCs w:val="20"/>
              </w:rPr>
            </w:pPr>
            <w:r w:rsidRPr="00C6243E">
              <w:rPr>
                <w:rFonts w:cs="Calibri Light"/>
                <w:b/>
                <w:sz w:val="20"/>
              </w:rPr>
              <w:t>Effective Date</w:t>
            </w:r>
          </w:p>
        </w:tc>
      </w:tr>
      <w:tr w:rsidR="0004729C" w:rsidRPr="00C6243E" w14:paraId="364D7915" w14:textId="77777777" w:rsidTr="00F92DA3">
        <w:trPr>
          <w:cantSplit/>
          <w:trHeight w:val="20"/>
        </w:trPr>
        <w:tc>
          <w:tcPr>
            <w:tcW w:w="4765" w:type="dxa"/>
            <w:shd w:val="clear" w:color="auto" w:fill="auto"/>
          </w:tcPr>
          <w:p w14:paraId="54BD509C" w14:textId="77777777" w:rsidR="0004729C" w:rsidRPr="00A0176C" w:rsidRDefault="0004729C" w:rsidP="00F92DA3">
            <w:pPr>
              <w:keepNext/>
              <w:keepLines/>
              <w:spacing w:before="20" w:after="20"/>
              <w:rPr>
                <w:rFonts w:cs="Calibri Light"/>
                <w:sz w:val="18"/>
                <w:szCs w:val="20"/>
              </w:rPr>
            </w:pPr>
            <w:r w:rsidRPr="00A0176C">
              <w:rPr>
                <w:rFonts w:cs="Calibri Light"/>
                <w:sz w:val="18"/>
              </w:rPr>
              <w:t xml:space="preserve">CA Appliance Efficiency Regulations – Title 20 </w:t>
            </w:r>
          </w:p>
        </w:tc>
        <w:tc>
          <w:tcPr>
            <w:tcW w:w="2790" w:type="dxa"/>
            <w:shd w:val="clear" w:color="auto" w:fill="auto"/>
          </w:tcPr>
          <w:p w14:paraId="7DCA645C" w14:textId="77777777" w:rsidR="0004729C" w:rsidRPr="00A0176C" w:rsidRDefault="0004729C" w:rsidP="00F92DA3">
            <w:pPr>
              <w:keepNext/>
              <w:keepLines/>
              <w:spacing w:before="20" w:after="20"/>
              <w:rPr>
                <w:rFonts w:cs="Calibri Light"/>
                <w:sz w:val="18"/>
                <w:szCs w:val="20"/>
              </w:rPr>
            </w:pPr>
            <w:r w:rsidRPr="00A0176C">
              <w:rPr>
                <w:rFonts w:cs="Calibri Light"/>
                <w:sz w:val="18"/>
                <w:szCs w:val="20"/>
              </w:rPr>
              <w:t>N/A</w:t>
            </w:r>
          </w:p>
        </w:tc>
        <w:tc>
          <w:tcPr>
            <w:tcW w:w="1980" w:type="dxa"/>
            <w:shd w:val="clear" w:color="auto" w:fill="auto"/>
          </w:tcPr>
          <w:p w14:paraId="587908A5" w14:textId="77777777" w:rsidR="0004729C" w:rsidRPr="00A0176C" w:rsidRDefault="0004729C" w:rsidP="00F92DA3">
            <w:pPr>
              <w:keepNext/>
              <w:keepLines/>
              <w:spacing w:before="20" w:after="20"/>
              <w:rPr>
                <w:rFonts w:cs="Calibri Light"/>
                <w:sz w:val="18"/>
                <w:szCs w:val="20"/>
              </w:rPr>
            </w:pPr>
            <w:r w:rsidRPr="00A0176C">
              <w:rPr>
                <w:rFonts w:cs="Calibri Light"/>
                <w:sz w:val="18"/>
                <w:szCs w:val="20"/>
              </w:rPr>
              <w:t>N/A</w:t>
            </w:r>
          </w:p>
        </w:tc>
      </w:tr>
      <w:tr w:rsidR="0004729C" w:rsidRPr="00C6243E" w14:paraId="50C58BB2" w14:textId="77777777" w:rsidTr="00F92DA3">
        <w:trPr>
          <w:cantSplit/>
          <w:trHeight w:val="20"/>
        </w:trPr>
        <w:tc>
          <w:tcPr>
            <w:tcW w:w="4765" w:type="dxa"/>
            <w:shd w:val="clear" w:color="auto" w:fill="auto"/>
          </w:tcPr>
          <w:p w14:paraId="552AFDFC" w14:textId="77777777" w:rsidR="0004729C" w:rsidRPr="00A0176C" w:rsidRDefault="0004729C" w:rsidP="00F92DA3">
            <w:pPr>
              <w:keepNext/>
              <w:keepLines/>
              <w:spacing w:before="20" w:after="20"/>
              <w:rPr>
                <w:rFonts w:cs="Calibri Light"/>
                <w:sz w:val="18"/>
                <w:szCs w:val="20"/>
              </w:rPr>
            </w:pPr>
            <w:r w:rsidRPr="00A0176C">
              <w:rPr>
                <w:rFonts w:cs="Calibri Light"/>
                <w:sz w:val="18"/>
              </w:rPr>
              <w:t>CA Building Energy Efficiency Standards – Title 24 (2019)</w:t>
            </w:r>
          </w:p>
        </w:tc>
        <w:tc>
          <w:tcPr>
            <w:tcW w:w="2790" w:type="dxa"/>
            <w:shd w:val="clear" w:color="auto" w:fill="auto"/>
          </w:tcPr>
          <w:p w14:paraId="6D5E80D7" w14:textId="77777777" w:rsidR="0004729C" w:rsidRPr="00A0176C" w:rsidRDefault="0004729C" w:rsidP="00F92DA3">
            <w:pPr>
              <w:keepNext/>
              <w:keepLines/>
              <w:spacing w:before="20" w:after="20"/>
              <w:rPr>
                <w:rFonts w:cs="Calibri Light"/>
                <w:sz w:val="18"/>
                <w:szCs w:val="20"/>
              </w:rPr>
            </w:pPr>
            <w:r w:rsidRPr="00A0176C">
              <w:rPr>
                <w:rFonts w:cs="Calibri Light"/>
                <w:sz w:val="18"/>
                <w:szCs w:val="20"/>
              </w:rPr>
              <w:t>N/A</w:t>
            </w:r>
          </w:p>
        </w:tc>
        <w:tc>
          <w:tcPr>
            <w:tcW w:w="1980" w:type="dxa"/>
            <w:shd w:val="clear" w:color="auto" w:fill="auto"/>
          </w:tcPr>
          <w:p w14:paraId="5D819F35" w14:textId="77777777" w:rsidR="0004729C" w:rsidRPr="00A0176C" w:rsidRDefault="0004729C" w:rsidP="00F92DA3">
            <w:pPr>
              <w:keepNext/>
              <w:keepLines/>
              <w:spacing w:before="20" w:after="20"/>
              <w:rPr>
                <w:rFonts w:cs="Calibri Light"/>
                <w:sz w:val="18"/>
                <w:szCs w:val="20"/>
              </w:rPr>
            </w:pPr>
            <w:r w:rsidRPr="00A0176C">
              <w:rPr>
                <w:rFonts w:cs="Calibri Light"/>
                <w:sz w:val="18"/>
                <w:szCs w:val="20"/>
              </w:rPr>
              <w:t>N/A</w:t>
            </w:r>
          </w:p>
        </w:tc>
      </w:tr>
      <w:tr w:rsidR="0004729C" w:rsidRPr="00C6243E" w14:paraId="48AE0C7C" w14:textId="77777777" w:rsidTr="00F92DA3">
        <w:trPr>
          <w:cantSplit/>
          <w:trHeight w:val="20"/>
        </w:trPr>
        <w:tc>
          <w:tcPr>
            <w:tcW w:w="4765" w:type="dxa"/>
            <w:shd w:val="clear" w:color="auto" w:fill="auto"/>
          </w:tcPr>
          <w:p w14:paraId="458D0487" w14:textId="77777777" w:rsidR="0004729C" w:rsidRPr="00A0176C" w:rsidRDefault="0004729C" w:rsidP="00F92DA3">
            <w:pPr>
              <w:keepNext/>
              <w:keepLines/>
              <w:spacing w:before="20" w:after="20"/>
              <w:rPr>
                <w:rFonts w:cs="Calibri Light"/>
                <w:sz w:val="18"/>
                <w:szCs w:val="20"/>
              </w:rPr>
            </w:pPr>
            <w:r w:rsidRPr="00A0176C">
              <w:rPr>
                <w:rFonts w:cs="Calibri Light"/>
                <w:sz w:val="18"/>
              </w:rPr>
              <w:t>Federal Standards</w:t>
            </w:r>
          </w:p>
        </w:tc>
        <w:tc>
          <w:tcPr>
            <w:tcW w:w="2790" w:type="dxa"/>
            <w:shd w:val="clear" w:color="auto" w:fill="auto"/>
          </w:tcPr>
          <w:p w14:paraId="4DF39937" w14:textId="77777777" w:rsidR="0004729C" w:rsidRPr="00A0176C" w:rsidRDefault="0004729C" w:rsidP="00F92DA3">
            <w:pPr>
              <w:keepNext/>
              <w:keepLines/>
              <w:spacing w:before="20" w:after="20"/>
              <w:rPr>
                <w:rFonts w:cs="Calibri Light"/>
                <w:sz w:val="18"/>
                <w:szCs w:val="20"/>
              </w:rPr>
            </w:pPr>
            <w:r w:rsidRPr="00A0176C">
              <w:rPr>
                <w:rFonts w:cs="Calibri Light"/>
                <w:sz w:val="18"/>
                <w:szCs w:val="20"/>
              </w:rPr>
              <w:t>N/A</w:t>
            </w:r>
          </w:p>
        </w:tc>
        <w:tc>
          <w:tcPr>
            <w:tcW w:w="1980" w:type="dxa"/>
            <w:shd w:val="clear" w:color="auto" w:fill="auto"/>
          </w:tcPr>
          <w:p w14:paraId="1549BB95" w14:textId="77777777" w:rsidR="0004729C" w:rsidRPr="00A0176C" w:rsidRDefault="0004729C" w:rsidP="00F92DA3">
            <w:pPr>
              <w:keepNext/>
              <w:keepLines/>
              <w:spacing w:before="20" w:after="20"/>
              <w:rPr>
                <w:rFonts w:cs="Calibri Light"/>
                <w:sz w:val="18"/>
                <w:szCs w:val="20"/>
              </w:rPr>
            </w:pPr>
            <w:r w:rsidRPr="00A0176C">
              <w:rPr>
                <w:rFonts w:cs="Calibri Light"/>
                <w:sz w:val="18"/>
                <w:szCs w:val="20"/>
              </w:rPr>
              <w:t>N/A</w:t>
            </w:r>
          </w:p>
        </w:tc>
      </w:tr>
    </w:tbl>
    <w:p w14:paraId="69771661" w14:textId="77777777" w:rsidR="0004729C" w:rsidRPr="00171BB8" w:rsidRDefault="0004729C" w:rsidP="008277A2"/>
    <w:p w14:paraId="1EE16D20" w14:textId="77777777" w:rsidR="007D230B" w:rsidRPr="00171BB8" w:rsidRDefault="007D230B" w:rsidP="00142FC9">
      <w:pPr>
        <w:pStyle w:val="eTRMHeading3"/>
      </w:pPr>
      <w:bookmarkStart w:id="22" w:name="_Toc486490851"/>
      <w:bookmarkStart w:id="23" w:name="_Toc486580922"/>
      <w:bookmarkStart w:id="24" w:name="_Toc32819838"/>
      <w:r w:rsidRPr="00A83458">
        <w:lastRenderedPageBreak/>
        <w:t>Normalizing</w:t>
      </w:r>
      <w:r w:rsidRPr="00171BB8">
        <w:t xml:space="preserve"> Unit</w:t>
      </w:r>
      <w:bookmarkEnd w:id="22"/>
      <w:bookmarkEnd w:id="23"/>
      <w:bookmarkEnd w:id="24"/>
    </w:p>
    <w:p w14:paraId="119D4D0E" w14:textId="2F604808" w:rsidR="006C1C16" w:rsidRDefault="0004729C" w:rsidP="0004729C">
      <w:bookmarkStart w:id="25" w:name="_Toc486490852"/>
      <w:bookmarkStart w:id="26" w:name="_Toc486580923"/>
      <w:r>
        <w:t>Each</w:t>
      </w:r>
    </w:p>
    <w:p w14:paraId="0FCF51F4" w14:textId="77777777" w:rsidR="007005A1" w:rsidRDefault="007005A1" w:rsidP="008277A2"/>
    <w:p w14:paraId="2F4904E6" w14:textId="71277415" w:rsidR="007D230B" w:rsidRPr="004B06E3" w:rsidRDefault="007D230B" w:rsidP="00142FC9">
      <w:pPr>
        <w:pStyle w:val="eTRMHeading3"/>
      </w:pPr>
      <w:bookmarkStart w:id="27" w:name="_Toc32819839"/>
      <w:r w:rsidRPr="004B06E3">
        <w:t>Program Requirements</w:t>
      </w:r>
      <w:bookmarkEnd w:id="25"/>
      <w:bookmarkEnd w:id="26"/>
      <w:bookmarkEnd w:id="27"/>
      <w:r w:rsidRPr="004B06E3">
        <w:t xml:space="preserve"> </w:t>
      </w:r>
    </w:p>
    <w:p w14:paraId="5FC2C964" w14:textId="7965FE03" w:rsidR="008866C9" w:rsidRDefault="008866C9" w:rsidP="008866C9">
      <w:pPr>
        <w:pStyle w:val="eTRMHeading5"/>
        <w:keepNext/>
        <w:keepLines/>
      </w:pPr>
      <w:bookmarkStart w:id="28" w:name="_Hlk516047641"/>
      <w:r>
        <w:t xml:space="preserve">Measure </w:t>
      </w:r>
      <w:r w:rsidRPr="000229F1">
        <w:t>Implementation Eligibility</w:t>
      </w:r>
    </w:p>
    <w:p w14:paraId="03930329" w14:textId="77777777" w:rsidR="007005A1" w:rsidRDefault="007005A1" w:rsidP="007005A1">
      <w:pPr>
        <w:keepNext/>
        <w:keepLines/>
        <w:rPr>
          <w:rFonts w:cs="Calibri Light"/>
        </w:rPr>
      </w:pPr>
      <w:r w:rsidRPr="00C6243E">
        <w:rPr>
          <w:rFonts w:cs="Calibri Light"/>
        </w:rPr>
        <w:t>All measure application type, delivery type, and sector combinations that are established for this measure are specified below.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p>
    <w:p w14:paraId="58CEAD4D" w14:textId="6BD48469" w:rsidR="00AA577F" w:rsidRDefault="00AA577F" w:rsidP="00D160A9"/>
    <w:p w14:paraId="07D165A8" w14:textId="77777777" w:rsidR="007005A1" w:rsidRPr="00863169" w:rsidRDefault="007005A1" w:rsidP="007005A1">
      <w:r w:rsidRPr="00863169">
        <w:rPr>
          <w:b/>
        </w:rP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7005A1" w:rsidRPr="00C6243E" w14:paraId="4CB029AA" w14:textId="77777777" w:rsidTr="00F92DA3">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07359FBF" w14:textId="77777777" w:rsidR="007005A1" w:rsidRPr="00C6243E" w:rsidRDefault="007005A1" w:rsidP="00F92DA3">
            <w:pPr>
              <w:keepNext/>
              <w:spacing w:before="0" w:after="0"/>
              <w:rPr>
                <w:rFonts w:cs="Calibri Light"/>
                <w:b/>
                <w:bCs/>
                <w:sz w:val="20"/>
              </w:rPr>
            </w:pPr>
            <w:r w:rsidRPr="00C6243E">
              <w:rPr>
                <w:rFonts w:cs="Calibri Light"/>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2F3E2154" w14:textId="77777777" w:rsidR="007005A1" w:rsidRPr="00C6243E" w:rsidRDefault="007005A1" w:rsidP="00F92DA3">
            <w:pPr>
              <w:keepNext/>
              <w:spacing w:before="0" w:after="0"/>
              <w:rPr>
                <w:rFonts w:cs="Calibri Light"/>
                <w:b/>
                <w:bCs/>
                <w:sz w:val="20"/>
              </w:rPr>
            </w:pPr>
            <w:r w:rsidRPr="00C6243E">
              <w:rPr>
                <w:rFonts w:cs="Calibri Light"/>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7D915D2B" w14:textId="77777777" w:rsidR="007005A1" w:rsidRPr="00C6243E" w:rsidRDefault="007005A1" w:rsidP="00F92DA3">
            <w:pPr>
              <w:keepNext/>
              <w:spacing w:before="0" w:after="0"/>
              <w:rPr>
                <w:rFonts w:cs="Calibri Light"/>
                <w:b/>
                <w:bCs/>
                <w:sz w:val="20"/>
              </w:rPr>
            </w:pPr>
            <w:r w:rsidRPr="00C6243E">
              <w:rPr>
                <w:rFonts w:cs="Calibri Light"/>
                <w:b/>
                <w:bCs/>
                <w:sz w:val="20"/>
              </w:rPr>
              <w:t>Sector</w:t>
            </w:r>
          </w:p>
        </w:tc>
      </w:tr>
      <w:tr w:rsidR="007005A1" w:rsidRPr="00C6243E" w14:paraId="487732DD" w14:textId="77777777" w:rsidTr="00F92DA3">
        <w:trPr>
          <w:trHeight w:val="290"/>
        </w:trPr>
        <w:tc>
          <w:tcPr>
            <w:tcW w:w="3024" w:type="dxa"/>
            <w:noWrap/>
            <w:tcMar>
              <w:top w:w="0" w:type="dxa"/>
              <w:left w:w="108" w:type="dxa"/>
              <w:bottom w:w="0" w:type="dxa"/>
              <w:right w:w="108" w:type="dxa"/>
            </w:tcMar>
            <w:vAlign w:val="bottom"/>
          </w:tcPr>
          <w:p w14:paraId="1D3B4018" w14:textId="77777777" w:rsidR="007005A1" w:rsidRPr="00863169" w:rsidRDefault="007005A1" w:rsidP="00F92DA3">
            <w:pPr>
              <w:keepNext/>
              <w:spacing w:before="0" w:after="0"/>
              <w:rPr>
                <w:rFonts w:cs="Calibri Light"/>
                <w:color w:val="000000"/>
                <w:sz w:val="18"/>
              </w:rPr>
            </w:pPr>
            <w:r w:rsidRPr="00863169">
              <w:rPr>
                <w:rFonts w:cs="Calibri Light"/>
                <w:color w:val="000000"/>
                <w:sz w:val="18"/>
              </w:rPr>
              <w:t>NR</w:t>
            </w:r>
          </w:p>
        </w:tc>
        <w:tc>
          <w:tcPr>
            <w:tcW w:w="3024" w:type="dxa"/>
            <w:noWrap/>
            <w:tcMar>
              <w:top w:w="0" w:type="dxa"/>
              <w:left w:w="108" w:type="dxa"/>
              <w:bottom w:w="0" w:type="dxa"/>
              <w:right w:w="108" w:type="dxa"/>
            </w:tcMar>
            <w:vAlign w:val="bottom"/>
          </w:tcPr>
          <w:p w14:paraId="05168A53" w14:textId="77777777" w:rsidR="007005A1" w:rsidRPr="00863169" w:rsidRDefault="007005A1" w:rsidP="00F92DA3">
            <w:pPr>
              <w:keepNext/>
              <w:spacing w:before="0" w:after="0"/>
              <w:rPr>
                <w:rFonts w:cs="Calibri Light"/>
                <w:color w:val="000000"/>
                <w:sz w:val="18"/>
              </w:rPr>
            </w:pPr>
            <w:proofErr w:type="spellStart"/>
            <w:r>
              <w:rPr>
                <w:rFonts w:cs="Calibri Light"/>
                <w:color w:val="000000"/>
                <w:sz w:val="18"/>
              </w:rPr>
              <w:t>DnDeemed</w:t>
            </w:r>
            <w:proofErr w:type="spellEnd"/>
          </w:p>
        </w:tc>
        <w:tc>
          <w:tcPr>
            <w:tcW w:w="3024" w:type="dxa"/>
            <w:noWrap/>
            <w:tcMar>
              <w:top w:w="0" w:type="dxa"/>
              <w:left w:w="108" w:type="dxa"/>
              <w:bottom w:w="0" w:type="dxa"/>
              <w:right w:w="108" w:type="dxa"/>
            </w:tcMar>
            <w:vAlign w:val="bottom"/>
          </w:tcPr>
          <w:p w14:paraId="4CC54F12" w14:textId="77777777" w:rsidR="007005A1" w:rsidRPr="00863169" w:rsidRDefault="007005A1" w:rsidP="00F92DA3">
            <w:pPr>
              <w:keepNext/>
              <w:spacing w:before="0" w:after="0"/>
              <w:rPr>
                <w:rFonts w:cs="Calibri Light"/>
                <w:color w:val="000000"/>
                <w:sz w:val="18"/>
              </w:rPr>
            </w:pPr>
            <w:r w:rsidRPr="00863169">
              <w:rPr>
                <w:rFonts w:cs="Calibri Light"/>
                <w:color w:val="000000"/>
                <w:sz w:val="18"/>
              </w:rPr>
              <w:t>Res</w:t>
            </w:r>
          </w:p>
        </w:tc>
      </w:tr>
      <w:tr w:rsidR="007005A1" w:rsidRPr="00C6243E" w14:paraId="25E29545" w14:textId="77777777" w:rsidTr="00F92DA3">
        <w:trPr>
          <w:trHeight w:val="290"/>
        </w:trPr>
        <w:tc>
          <w:tcPr>
            <w:tcW w:w="3024" w:type="dxa"/>
            <w:noWrap/>
            <w:tcMar>
              <w:top w:w="0" w:type="dxa"/>
              <w:left w:w="108" w:type="dxa"/>
              <w:bottom w:w="0" w:type="dxa"/>
              <w:right w:w="108" w:type="dxa"/>
            </w:tcMar>
            <w:vAlign w:val="bottom"/>
          </w:tcPr>
          <w:p w14:paraId="1FE73383" w14:textId="77777777" w:rsidR="007005A1" w:rsidRPr="00863169" w:rsidRDefault="007005A1" w:rsidP="00F92DA3">
            <w:pPr>
              <w:keepNext/>
              <w:spacing w:before="0" w:after="0"/>
              <w:rPr>
                <w:rFonts w:cs="Calibri Light"/>
                <w:color w:val="000000"/>
                <w:sz w:val="18"/>
              </w:rPr>
            </w:pPr>
            <w:r w:rsidRPr="00863169">
              <w:rPr>
                <w:rFonts w:cs="Calibri Light"/>
                <w:color w:val="000000"/>
                <w:sz w:val="18"/>
              </w:rPr>
              <w:t>NR</w:t>
            </w:r>
          </w:p>
        </w:tc>
        <w:tc>
          <w:tcPr>
            <w:tcW w:w="3024" w:type="dxa"/>
            <w:noWrap/>
            <w:tcMar>
              <w:top w:w="0" w:type="dxa"/>
              <w:left w:w="108" w:type="dxa"/>
              <w:bottom w:w="0" w:type="dxa"/>
              <w:right w:w="108" w:type="dxa"/>
            </w:tcMar>
            <w:vAlign w:val="bottom"/>
          </w:tcPr>
          <w:p w14:paraId="03AFD94C" w14:textId="77777777" w:rsidR="007005A1" w:rsidRPr="00863169" w:rsidRDefault="007005A1" w:rsidP="00F92DA3">
            <w:pPr>
              <w:keepNext/>
              <w:spacing w:before="0" w:after="0"/>
              <w:rPr>
                <w:rFonts w:cs="Calibri Light"/>
                <w:color w:val="000000"/>
                <w:sz w:val="18"/>
              </w:rPr>
            </w:pPr>
            <w:proofErr w:type="spellStart"/>
            <w:r w:rsidRPr="00863169">
              <w:rPr>
                <w:rFonts w:cs="Calibri Light"/>
                <w:color w:val="000000"/>
                <w:sz w:val="18"/>
              </w:rPr>
              <w:t>D</w:t>
            </w:r>
            <w:r>
              <w:rPr>
                <w:rFonts w:cs="Calibri Light"/>
                <w:color w:val="000000"/>
                <w:sz w:val="18"/>
              </w:rPr>
              <w:t>nDeemDI</w:t>
            </w:r>
            <w:proofErr w:type="spellEnd"/>
          </w:p>
        </w:tc>
        <w:tc>
          <w:tcPr>
            <w:tcW w:w="3024" w:type="dxa"/>
            <w:noWrap/>
            <w:tcMar>
              <w:top w:w="0" w:type="dxa"/>
              <w:left w:w="108" w:type="dxa"/>
              <w:bottom w:w="0" w:type="dxa"/>
              <w:right w:w="108" w:type="dxa"/>
            </w:tcMar>
            <w:vAlign w:val="bottom"/>
          </w:tcPr>
          <w:p w14:paraId="0C2FEEA3" w14:textId="77777777" w:rsidR="007005A1" w:rsidRPr="00863169" w:rsidRDefault="007005A1" w:rsidP="00F92DA3">
            <w:pPr>
              <w:keepNext/>
              <w:spacing w:before="0" w:after="0"/>
              <w:rPr>
                <w:rFonts w:cs="Calibri Light"/>
                <w:color w:val="000000"/>
                <w:sz w:val="18"/>
              </w:rPr>
            </w:pPr>
            <w:r w:rsidRPr="00863169">
              <w:rPr>
                <w:rFonts w:cs="Calibri Light"/>
                <w:color w:val="000000"/>
                <w:sz w:val="18"/>
              </w:rPr>
              <w:t>Res</w:t>
            </w:r>
          </w:p>
        </w:tc>
      </w:tr>
      <w:tr w:rsidR="007005A1" w:rsidRPr="00C6243E" w14:paraId="01A29BB2" w14:textId="77777777" w:rsidTr="00F92DA3">
        <w:trPr>
          <w:trHeight w:val="290"/>
        </w:trPr>
        <w:tc>
          <w:tcPr>
            <w:tcW w:w="3024" w:type="dxa"/>
            <w:noWrap/>
            <w:tcMar>
              <w:top w:w="0" w:type="dxa"/>
              <w:left w:w="108" w:type="dxa"/>
              <w:bottom w:w="0" w:type="dxa"/>
              <w:right w:w="108" w:type="dxa"/>
            </w:tcMar>
            <w:vAlign w:val="bottom"/>
          </w:tcPr>
          <w:p w14:paraId="0085386F" w14:textId="77777777" w:rsidR="007005A1" w:rsidRPr="00863169" w:rsidRDefault="007005A1" w:rsidP="00F92DA3">
            <w:pPr>
              <w:keepNext/>
              <w:spacing w:before="0" w:after="0"/>
              <w:rPr>
                <w:rFonts w:cs="Calibri Light"/>
                <w:color w:val="000000"/>
                <w:sz w:val="18"/>
              </w:rPr>
            </w:pPr>
            <w:r w:rsidRPr="00863169">
              <w:rPr>
                <w:rFonts w:cs="Calibri Light"/>
                <w:color w:val="000000"/>
                <w:sz w:val="18"/>
              </w:rPr>
              <w:t>NR</w:t>
            </w:r>
          </w:p>
        </w:tc>
        <w:tc>
          <w:tcPr>
            <w:tcW w:w="3024" w:type="dxa"/>
            <w:noWrap/>
            <w:tcMar>
              <w:top w:w="0" w:type="dxa"/>
              <w:left w:w="108" w:type="dxa"/>
              <w:bottom w:w="0" w:type="dxa"/>
              <w:right w:w="108" w:type="dxa"/>
            </w:tcMar>
            <w:vAlign w:val="bottom"/>
          </w:tcPr>
          <w:p w14:paraId="11D2AEED" w14:textId="77777777" w:rsidR="007005A1" w:rsidRPr="00863169" w:rsidRDefault="007005A1" w:rsidP="00F92DA3">
            <w:pPr>
              <w:keepNext/>
              <w:spacing w:before="0" w:after="0"/>
              <w:rPr>
                <w:rFonts w:cs="Calibri Light"/>
                <w:color w:val="000000"/>
                <w:sz w:val="18"/>
              </w:rPr>
            </w:pPr>
            <w:proofErr w:type="spellStart"/>
            <w:r w:rsidRPr="00863169">
              <w:rPr>
                <w:rFonts w:cs="Calibri Light"/>
                <w:color w:val="000000"/>
                <w:sz w:val="18"/>
              </w:rPr>
              <w:t>U</w:t>
            </w:r>
            <w:r>
              <w:rPr>
                <w:rFonts w:cs="Calibri Light"/>
                <w:color w:val="000000"/>
                <w:sz w:val="18"/>
              </w:rPr>
              <w:t>pDeemed</w:t>
            </w:r>
            <w:proofErr w:type="spellEnd"/>
          </w:p>
        </w:tc>
        <w:tc>
          <w:tcPr>
            <w:tcW w:w="3024" w:type="dxa"/>
            <w:noWrap/>
            <w:tcMar>
              <w:top w:w="0" w:type="dxa"/>
              <w:left w:w="108" w:type="dxa"/>
              <w:bottom w:w="0" w:type="dxa"/>
              <w:right w:w="108" w:type="dxa"/>
            </w:tcMar>
            <w:vAlign w:val="bottom"/>
          </w:tcPr>
          <w:p w14:paraId="5A8D8134" w14:textId="77777777" w:rsidR="007005A1" w:rsidRPr="00863169" w:rsidRDefault="007005A1" w:rsidP="00F92DA3">
            <w:pPr>
              <w:keepNext/>
              <w:spacing w:before="0" w:after="0"/>
              <w:rPr>
                <w:rFonts w:cs="Calibri Light"/>
                <w:color w:val="000000"/>
                <w:sz w:val="18"/>
              </w:rPr>
            </w:pPr>
            <w:r w:rsidRPr="00863169">
              <w:rPr>
                <w:rFonts w:cs="Calibri Light"/>
                <w:color w:val="000000"/>
                <w:sz w:val="18"/>
              </w:rPr>
              <w:t>Res</w:t>
            </w:r>
          </w:p>
        </w:tc>
      </w:tr>
      <w:tr w:rsidR="007005A1" w:rsidRPr="00C6243E" w14:paraId="2DD79AD6" w14:textId="77777777" w:rsidTr="00F92DA3">
        <w:trPr>
          <w:trHeight w:val="290"/>
        </w:trPr>
        <w:tc>
          <w:tcPr>
            <w:tcW w:w="3024" w:type="dxa"/>
            <w:noWrap/>
            <w:tcMar>
              <w:top w:w="0" w:type="dxa"/>
              <w:left w:w="108" w:type="dxa"/>
              <w:bottom w:w="0" w:type="dxa"/>
              <w:right w:w="108" w:type="dxa"/>
            </w:tcMar>
            <w:vAlign w:val="bottom"/>
          </w:tcPr>
          <w:p w14:paraId="563BB7C1" w14:textId="77777777" w:rsidR="007005A1" w:rsidRPr="00863169" w:rsidRDefault="007005A1" w:rsidP="00F92DA3">
            <w:pPr>
              <w:keepNext/>
              <w:spacing w:before="0" w:after="0"/>
              <w:rPr>
                <w:rFonts w:cs="Calibri Light"/>
                <w:color w:val="000000"/>
                <w:sz w:val="18"/>
              </w:rPr>
            </w:pPr>
            <w:r>
              <w:rPr>
                <w:rFonts w:cs="Calibri Light"/>
                <w:color w:val="000000"/>
                <w:sz w:val="18"/>
              </w:rPr>
              <w:t>NC</w:t>
            </w:r>
          </w:p>
        </w:tc>
        <w:tc>
          <w:tcPr>
            <w:tcW w:w="3024" w:type="dxa"/>
            <w:noWrap/>
            <w:tcMar>
              <w:top w:w="0" w:type="dxa"/>
              <w:left w:w="108" w:type="dxa"/>
              <w:bottom w:w="0" w:type="dxa"/>
              <w:right w:w="108" w:type="dxa"/>
            </w:tcMar>
            <w:vAlign w:val="bottom"/>
          </w:tcPr>
          <w:p w14:paraId="4C055AE1" w14:textId="77777777" w:rsidR="007005A1" w:rsidRPr="00863169" w:rsidRDefault="007005A1" w:rsidP="00F92DA3">
            <w:pPr>
              <w:keepNext/>
              <w:spacing w:before="0" w:after="0"/>
              <w:rPr>
                <w:rFonts w:cs="Calibri Light"/>
                <w:color w:val="000000"/>
                <w:sz w:val="18"/>
              </w:rPr>
            </w:pPr>
            <w:proofErr w:type="spellStart"/>
            <w:r>
              <w:rPr>
                <w:rFonts w:cs="Calibri Light"/>
                <w:color w:val="000000"/>
                <w:sz w:val="18"/>
              </w:rPr>
              <w:t>DnDeemed</w:t>
            </w:r>
            <w:proofErr w:type="spellEnd"/>
          </w:p>
        </w:tc>
        <w:tc>
          <w:tcPr>
            <w:tcW w:w="3024" w:type="dxa"/>
            <w:noWrap/>
            <w:tcMar>
              <w:top w:w="0" w:type="dxa"/>
              <w:left w:w="108" w:type="dxa"/>
              <w:bottom w:w="0" w:type="dxa"/>
              <w:right w:w="108" w:type="dxa"/>
            </w:tcMar>
            <w:vAlign w:val="bottom"/>
          </w:tcPr>
          <w:p w14:paraId="047C4109" w14:textId="77777777" w:rsidR="007005A1" w:rsidRPr="00863169" w:rsidRDefault="007005A1" w:rsidP="00F92DA3">
            <w:pPr>
              <w:keepNext/>
              <w:spacing w:before="0" w:after="0"/>
              <w:rPr>
                <w:rFonts w:cs="Calibri Light"/>
                <w:color w:val="000000"/>
                <w:sz w:val="18"/>
              </w:rPr>
            </w:pPr>
            <w:r w:rsidRPr="00863169">
              <w:rPr>
                <w:rFonts w:cs="Calibri Light"/>
                <w:color w:val="000000"/>
                <w:sz w:val="18"/>
              </w:rPr>
              <w:t>Res</w:t>
            </w:r>
          </w:p>
        </w:tc>
      </w:tr>
      <w:tr w:rsidR="007005A1" w:rsidRPr="00C6243E" w14:paraId="2B0A5234" w14:textId="77777777" w:rsidTr="00F92DA3">
        <w:trPr>
          <w:trHeight w:val="290"/>
        </w:trPr>
        <w:tc>
          <w:tcPr>
            <w:tcW w:w="3024" w:type="dxa"/>
            <w:noWrap/>
            <w:tcMar>
              <w:top w:w="0" w:type="dxa"/>
              <w:left w:w="108" w:type="dxa"/>
              <w:bottom w:w="0" w:type="dxa"/>
              <w:right w:w="108" w:type="dxa"/>
            </w:tcMar>
            <w:vAlign w:val="bottom"/>
          </w:tcPr>
          <w:p w14:paraId="435BCFCB" w14:textId="77777777" w:rsidR="007005A1" w:rsidRPr="00863169" w:rsidRDefault="007005A1" w:rsidP="00F92DA3">
            <w:pPr>
              <w:keepNext/>
              <w:spacing w:before="0" w:after="0"/>
              <w:rPr>
                <w:rFonts w:cs="Calibri Light"/>
                <w:color w:val="000000"/>
                <w:sz w:val="18"/>
              </w:rPr>
            </w:pPr>
            <w:r>
              <w:rPr>
                <w:rFonts w:cs="Calibri Light"/>
                <w:color w:val="000000"/>
                <w:sz w:val="18"/>
              </w:rPr>
              <w:t>NC</w:t>
            </w:r>
          </w:p>
        </w:tc>
        <w:tc>
          <w:tcPr>
            <w:tcW w:w="3024" w:type="dxa"/>
            <w:noWrap/>
            <w:tcMar>
              <w:top w:w="0" w:type="dxa"/>
              <w:left w:w="108" w:type="dxa"/>
              <w:bottom w:w="0" w:type="dxa"/>
              <w:right w:w="108" w:type="dxa"/>
            </w:tcMar>
            <w:vAlign w:val="bottom"/>
          </w:tcPr>
          <w:p w14:paraId="343F8699" w14:textId="77777777" w:rsidR="007005A1" w:rsidRPr="00863169" w:rsidRDefault="007005A1" w:rsidP="00F92DA3">
            <w:pPr>
              <w:keepNext/>
              <w:spacing w:before="0" w:after="0"/>
              <w:rPr>
                <w:rFonts w:cs="Calibri Light"/>
                <w:color w:val="000000"/>
                <w:sz w:val="18"/>
              </w:rPr>
            </w:pPr>
            <w:proofErr w:type="spellStart"/>
            <w:r w:rsidRPr="00863169">
              <w:rPr>
                <w:rFonts w:cs="Calibri Light"/>
                <w:color w:val="000000"/>
                <w:sz w:val="18"/>
              </w:rPr>
              <w:t>D</w:t>
            </w:r>
            <w:r>
              <w:rPr>
                <w:rFonts w:cs="Calibri Light"/>
                <w:color w:val="000000"/>
                <w:sz w:val="18"/>
              </w:rPr>
              <w:t>nDeemDI</w:t>
            </w:r>
            <w:proofErr w:type="spellEnd"/>
          </w:p>
        </w:tc>
        <w:tc>
          <w:tcPr>
            <w:tcW w:w="3024" w:type="dxa"/>
            <w:noWrap/>
            <w:tcMar>
              <w:top w:w="0" w:type="dxa"/>
              <w:left w:w="108" w:type="dxa"/>
              <w:bottom w:w="0" w:type="dxa"/>
              <w:right w:w="108" w:type="dxa"/>
            </w:tcMar>
            <w:vAlign w:val="bottom"/>
          </w:tcPr>
          <w:p w14:paraId="041B6BFC" w14:textId="77777777" w:rsidR="007005A1" w:rsidRPr="00863169" w:rsidRDefault="007005A1" w:rsidP="00F92DA3">
            <w:pPr>
              <w:keepNext/>
              <w:spacing w:before="0" w:after="0"/>
              <w:rPr>
                <w:rFonts w:cs="Calibri Light"/>
                <w:color w:val="000000"/>
                <w:sz w:val="18"/>
              </w:rPr>
            </w:pPr>
            <w:r w:rsidRPr="00863169">
              <w:rPr>
                <w:rFonts w:cs="Calibri Light"/>
                <w:color w:val="000000"/>
                <w:sz w:val="18"/>
              </w:rPr>
              <w:t>Res</w:t>
            </w:r>
          </w:p>
        </w:tc>
      </w:tr>
      <w:tr w:rsidR="00F640C1" w:rsidRPr="00C6243E" w14:paraId="1C2D844F" w14:textId="77777777" w:rsidTr="00F92DA3">
        <w:trPr>
          <w:trHeight w:val="290"/>
        </w:trPr>
        <w:tc>
          <w:tcPr>
            <w:tcW w:w="3024" w:type="dxa"/>
            <w:noWrap/>
            <w:tcMar>
              <w:top w:w="0" w:type="dxa"/>
              <w:left w:w="108" w:type="dxa"/>
              <w:bottom w:w="0" w:type="dxa"/>
              <w:right w:w="108" w:type="dxa"/>
            </w:tcMar>
            <w:vAlign w:val="bottom"/>
          </w:tcPr>
          <w:p w14:paraId="419D46E5" w14:textId="4D261BF8" w:rsidR="00F640C1" w:rsidRDefault="00F640C1" w:rsidP="00F92DA3">
            <w:pPr>
              <w:keepNext/>
              <w:spacing w:before="0" w:after="0"/>
              <w:rPr>
                <w:rFonts w:cs="Calibri Light"/>
                <w:color w:val="000000"/>
                <w:sz w:val="18"/>
              </w:rPr>
            </w:pPr>
            <w:r>
              <w:rPr>
                <w:rFonts w:cs="Calibri Light"/>
                <w:color w:val="000000"/>
                <w:sz w:val="18"/>
              </w:rPr>
              <w:t>NC</w:t>
            </w:r>
          </w:p>
        </w:tc>
        <w:tc>
          <w:tcPr>
            <w:tcW w:w="3024" w:type="dxa"/>
            <w:noWrap/>
            <w:tcMar>
              <w:top w:w="0" w:type="dxa"/>
              <w:left w:w="108" w:type="dxa"/>
              <w:bottom w:w="0" w:type="dxa"/>
              <w:right w:w="108" w:type="dxa"/>
            </w:tcMar>
            <w:vAlign w:val="bottom"/>
          </w:tcPr>
          <w:p w14:paraId="49B59655" w14:textId="434BEADB" w:rsidR="00F640C1" w:rsidRPr="00863169" w:rsidRDefault="00F640C1" w:rsidP="00F92DA3">
            <w:pPr>
              <w:keepNext/>
              <w:spacing w:before="0" w:after="0"/>
              <w:rPr>
                <w:rFonts w:cs="Calibri Light"/>
                <w:color w:val="000000"/>
                <w:sz w:val="18"/>
              </w:rPr>
            </w:pPr>
            <w:proofErr w:type="spellStart"/>
            <w:r>
              <w:rPr>
                <w:rFonts w:cs="Calibri Light"/>
                <w:color w:val="000000"/>
                <w:sz w:val="18"/>
              </w:rPr>
              <w:t>UpDeemed</w:t>
            </w:r>
            <w:proofErr w:type="spellEnd"/>
          </w:p>
        </w:tc>
        <w:tc>
          <w:tcPr>
            <w:tcW w:w="3024" w:type="dxa"/>
            <w:noWrap/>
            <w:tcMar>
              <w:top w:w="0" w:type="dxa"/>
              <w:left w:w="108" w:type="dxa"/>
              <w:bottom w:w="0" w:type="dxa"/>
              <w:right w:w="108" w:type="dxa"/>
            </w:tcMar>
            <w:vAlign w:val="bottom"/>
          </w:tcPr>
          <w:p w14:paraId="565529B2" w14:textId="0BB177D9" w:rsidR="00F640C1" w:rsidRPr="00863169" w:rsidRDefault="00F640C1" w:rsidP="00F92DA3">
            <w:pPr>
              <w:keepNext/>
              <w:spacing w:before="0" w:after="0"/>
              <w:rPr>
                <w:rFonts w:cs="Calibri Light"/>
                <w:color w:val="000000"/>
                <w:sz w:val="18"/>
              </w:rPr>
            </w:pPr>
            <w:r>
              <w:rPr>
                <w:rFonts w:cs="Calibri Light"/>
                <w:color w:val="000000"/>
                <w:sz w:val="18"/>
              </w:rPr>
              <w:t>Res</w:t>
            </w:r>
          </w:p>
        </w:tc>
      </w:tr>
    </w:tbl>
    <w:p w14:paraId="46005C72" w14:textId="6DF7E1AA" w:rsidR="007005A1" w:rsidRDefault="007005A1" w:rsidP="007005A1"/>
    <w:p w14:paraId="59993A8E" w14:textId="110B0851" w:rsidR="006C6EBC" w:rsidRPr="009F2B52" w:rsidRDefault="006C6EBC" w:rsidP="007005A1">
      <w:r w:rsidRPr="009F2B52">
        <w:t xml:space="preserve">For </w:t>
      </w:r>
      <w:proofErr w:type="spellStart"/>
      <w:r w:rsidRPr="009F2B52">
        <w:t>UpDeemed</w:t>
      </w:r>
      <w:proofErr w:type="spellEnd"/>
      <w:r w:rsidRPr="009F2B52">
        <w:t xml:space="preserve">, </w:t>
      </w:r>
      <w:r w:rsidR="009F2B52">
        <w:t>D</w:t>
      </w:r>
      <w:r w:rsidRPr="009F2B52">
        <w:t xml:space="preserve">istributor and/or Installer shall </w:t>
      </w:r>
      <w:r w:rsidR="00FA4E34" w:rsidRPr="00491FE3">
        <w:t>provide</w:t>
      </w:r>
      <w:r w:rsidRPr="009F2B52">
        <w:t xml:space="preserve"> and track customer information including </w:t>
      </w:r>
      <w:r w:rsidRPr="00DA627C">
        <w:t>(a) Resident</w:t>
      </w:r>
      <w:r w:rsidRPr="009F2B52">
        <w:t xml:space="preserve"> </w:t>
      </w:r>
      <w:proofErr w:type="spellStart"/>
      <w:r w:rsidRPr="009F2B52">
        <w:t>zipcode</w:t>
      </w:r>
      <w:proofErr w:type="spellEnd"/>
      <w:r w:rsidRPr="009F2B52">
        <w:t xml:space="preserve"> where the new equipment is being installed and (b) existing equipment</w:t>
      </w:r>
      <w:r w:rsidR="00DA627C">
        <w:t>’s</w:t>
      </w:r>
      <w:r w:rsidRPr="00DA627C">
        <w:t xml:space="preserve"> make and model and (c) fuel type</w:t>
      </w:r>
      <w:r w:rsidR="009F2B52">
        <w:t xml:space="preserve"> powering </w:t>
      </w:r>
      <w:r w:rsidR="00DA627C">
        <w:t xml:space="preserve">existing </w:t>
      </w:r>
      <w:r w:rsidR="009F2B52">
        <w:t>appliance</w:t>
      </w:r>
      <w:r w:rsidRPr="009F2B52">
        <w:t xml:space="preserve">.    </w:t>
      </w:r>
    </w:p>
    <w:bookmarkEnd w:id="28"/>
    <w:p w14:paraId="50711562" w14:textId="0613EF1B" w:rsidR="00AA46AF" w:rsidRDefault="00196649" w:rsidP="00154391">
      <w:pPr>
        <w:pStyle w:val="eTRMHeading5"/>
      </w:pPr>
      <w:r>
        <w:t>Eligible Products</w:t>
      </w:r>
    </w:p>
    <w:p w14:paraId="34531AE7" w14:textId="77777777" w:rsidR="007005A1" w:rsidRPr="00C6243E" w:rsidRDefault="007005A1" w:rsidP="007005A1">
      <w:pPr>
        <w:rPr>
          <w:rFonts w:cs="Calibri Light"/>
          <w:b/>
          <w:sz w:val="28"/>
          <w:szCs w:val="28"/>
        </w:rPr>
      </w:pPr>
      <w:r w:rsidRPr="00624B80">
        <w:rPr>
          <w:rFonts w:cs="Calibri Light"/>
          <w:b/>
        </w:rPr>
        <w:t>General Eligibility Requirements</w:t>
      </w:r>
    </w:p>
    <w:p w14:paraId="733BD214" w14:textId="2F37038A" w:rsidR="007005A1" w:rsidRDefault="007005A1" w:rsidP="007005A1">
      <w:pPr>
        <w:rPr>
          <w:rFonts w:cs="Calibri Light"/>
        </w:rPr>
      </w:pPr>
      <w:r>
        <w:rPr>
          <w:rFonts w:cs="Calibri Light"/>
        </w:rPr>
        <w:t xml:space="preserve">Installed equipment must be an electric </w:t>
      </w:r>
      <w:r w:rsidR="00A35BDF">
        <w:rPr>
          <w:rFonts w:cs="Calibri Light"/>
        </w:rPr>
        <w:t>range</w:t>
      </w:r>
      <w:r>
        <w:rPr>
          <w:rFonts w:cs="Calibri Light"/>
        </w:rPr>
        <w:t xml:space="preserve"> with induction cooktop or a standalone induction cooktop. Existing base equipment must be disposed.</w:t>
      </w:r>
      <w:r w:rsidR="00A35BDF">
        <w:rPr>
          <w:rFonts w:cs="Calibri Light"/>
        </w:rPr>
        <w:t xml:space="preserve"> </w:t>
      </w:r>
      <w:r w:rsidR="00A35BDF" w:rsidRPr="00A35BDF">
        <w:rPr>
          <w:rFonts w:cs="Calibri Light"/>
        </w:rPr>
        <w:t xml:space="preserve">For new construction, the baseline can be a gas-fired </w:t>
      </w:r>
      <w:r w:rsidR="00173E24">
        <w:rPr>
          <w:rFonts w:cs="Calibri Light"/>
        </w:rPr>
        <w:t>range or cooktop</w:t>
      </w:r>
      <w:r w:rsidR="00A35BDF">
        <w:rPr>
          <w:rFonts w:cs="Calibri Light"/>
        </w:rPr>
        <w:t>; however,</w:t>
      </w:r>
      <w:r w:rsidR="00A35BDF" w:rsidRPr="00A35BDF">
        <w:rPr>
          <w:rFonts w:cs="Calibri Light"/>
        </w:rPr>
        <w:t xml:space="preserve"> </w:t>
      </w:r>
      <w:r w:rsidR="0019734A">
        <w:rPr>
          <w:rFonts w:cs="Calibri Light"/>
        </w:rPr>
        <w:t xml:space="preserve">evaluation and reporting of </w:t>
      </w:r>
      <w:r w:rsidR="00A35BDF" w:rsidRPr="00A35BDF">
        <w:rPr>
          <w:rFonts w:cs="Calibri Light"/>
        </w:rPr>
        <w:t xml:space="preserve">energy savings </w:t>
      </w:r>
      <w:r w:rsidR="00586304">
        <w:rPr>
          <w:rFonts w:cs="Calibri Light"/>
        </w:rPr>
        <w:t xml:space="preserve">and measures costs in this workpaper </w:t>
      </w:r>
      <w:r w:rsidR="00A35BDF" w:rsidRPr="00A35BDF">
        <w:rPr>
          <w:rFonts w:cs="Calibri Light"/>
        </w:rPr>
        <w:t xml:space="preserve">will be the difference between </w:t>
      </w:r>
      <w:r w:rsidR="00173E24">
        <w:rPr>
          <w:rFonts w:cs="Calibri Light"/>
        </w:rPr>
        <w:t>the</w:t>
      </w:r>
      <w:r w:rsidR="00370953">
        <w:rPr>
          <w:rFonts w:cs="Calibri Light"/>
        </w:rPr>
        <w:t xml:space="preserve"> (electric)</w:t>
      </w:r>
      <w:r w:rsidR="00173E24">
        <w:rPr>
          <w:rFonts w:cs="Calibri Light"/>
        </w:rPr>
        <w:t xml:space="preserve"> induction measure</w:t>
      </w:r>
      <w:r w:rsidR="00A35BDF" w:rsidRPr="00A35BDF">
        <w:rPr>
          <w:rFonts w:cs="Calibri Light"/>
        </w:rPr>
        <w:t xml:space="preserve"> and the </w:t>
      </w:r>
      <w:r w:rsidR="00173E24">
        <w:rPr>
          <w:rFonts w:cs="Calibri Light"/>
        </w:rPr>
        <w:t>electric baseline</w:t>
      </w:r>
      <w:r w:rsidR="00A35BDF">
        <w:rPr>
          <w:rFonts w:cs="Calibri Light"/>
        </w:rPr>
        <w:t>.</w:t>
      </w:r>
    </w:p>
    <w:p w14:paraId="24D57385" w14:textId="77777777" w:rsidR="0066040F" w:rsidRDefault="0066040F" w:rsidP="0066040F">
      <w:pPr>
        <w:pStyle w:val="Reminders0"/>
        <w:tabs>
          <w:tab w:val="num" w:pos="360"/>
        </w:tabs>
        <w:rPr>
          <w:rFonts w:asciiTheme="minorHAnsi" w:hAnsiTheme="minorHAnsi" w:cstheme="minorHAnsi"/>
          <w:i w:val="0"/>
          <w:color w:val="auto"/>
          <w:szCs w:val="22"/>
        </w:rPr>
      </w:pPr>
    </w:p>
    <w:p w14:paraId="3D56376D" w14:textId="23A1897B" w:rsidR="00571E16" w:rsidRPr="00571E16" w:rsidRDefault="007B6A74" w:rsidP="001C5B02">
      <w:pPr>
        <w:pStyle w:val="eTRMHeading5"/>
        <w:keepNext/>
        <w:keepLines/>
      </w:pPr>
      <w:r w:rsidRPr="00401C43">
        <w:t>Eligible Building Types</w:t>
      </w:r>
      <w:r w:rsidR="00571E16">
        <w:t xml:space="preserve"> and Vintages</w:t>
      </w:r>
    </w:p>
    <w:p w14:paraId="19E35B57" w14:textId="3C439986" w:rsidR="00DC7303" w:rsidRDefault="007005A1" w:rsidP="00DC7303">
      <w:pPr>
        <w:spacing w:before="0" w:after="0" w:line="240" w:lineRule="auto"/>
      </w:pPr>
      <w:r w:rsidRPr="007005A1">
        <w:t>This measure is applicable for all residential building types (single family, multifamily, and mobile homes) of</w:t>
      </w:r>
      <w:r w:rsidR="00B709F4">
        <w:t xml:space="preserve"> both new and</w:t>
      </w:r>
      <w:r w:rsidRPr="007005A1">
        <w:t xml:space="preserve"> existing vintage.</w:t>
      </w:r>
    </w:p>
    <w:p w14:paraId="31047356" w14:textId="77777777" w:rsidR="00DC7303" w:rsidRPr="00F16853" w:rsidRDefault="00DC7303" w:rsidP="008277A2">
      <w:pPr>
        <w:spacing w:before="0" w:after="0" w:line="240" w:lineRule="auto"/>
      </w:pPr>
    </w:p>
    <w:p w14:paraId="1A3705F3" w14:textId="08656E78" w:rsidR="007B6A74" w:rsidRPr="004B06E3" w:rsidRDefault="00DC7303" w:rsidP="00DC7303">
      <w:pPr>
        <w:pStyle w:val="eTRMHeading5"/>
      </w:pPr>
      <w:r>
        <w:t>E</w:t>
      </w:r>
      <w:r w:rsidR="00196649">
        <w:t>ligible Climate Zones</w:t>
      </w:r>
    </w:p>
    <w:p w14:paraId="67C9F111" w14:textId="77777777" w:rsidR="007005A1" w:rsidRDefault="007005A1" w:rsidP="007005A1">
      <w:pPr>
        <w:rPr>
          <w:rFonts w:cs="Calibri Light"/>
        </w:rPr>
      </w:pPr>
      <w:r w:rsidRPr="00C6243E">
        <w:rPr>
          <w:rFonts w:cs="Calibri Light"/>
        </w:rPr>
        <w:t xml:space="preserve">This measure is applicable in all California climate zones. </w:t>
      </w:r>
    </w:p>
    <w:p w14:paraId="448C00DF" w14:textId="77777777" w:rsidR="007005A1" w:rsidRPr="004B06E3" w:rsidRDefault="007005A1" w:rsidP="004B06E3"/>
    <w:p w14:paraId="47630D60" w14:textId="77777777" w:rsidR="007D230B" w:rsidRPr="004B06E3" w:rsidRDefault="007D230B" w:rsidP="00142FC9">
      <w:pPr>
        <w:pStyle w:val="eTRMHeading3"/>
      </w:pPr>
      <w:bookmarkStart w:id="29" w:name="_Toc486490853"/>
      <w:bookmarkStart w:id="30" w:name="_Toc486580924"/>
      <w:bookmarkStart w:id="31" w:name="_Toc32819840"/>
      <w:r w:rsidRPr="004B06E3">
        <w:lastRenderedPageBreak/>
        <w:t>Program Exclusions</w:t>
      </w:r>
      <w:bookmarkEnd w:id="29"/>
      <w:bookmarkEnd w:id="30"/>
      <w:bookmarkEnd w:id="31"/>
      <w:r w:rsidRPr="004B06E3">
        <w:t xml:space="preserve"> </w:t>
      </w:r>
    </w:p>
    <w:p w14:paraId="226FF2E9" w14:textId="3CA77419" w:rsidR="00CE74DF" w:rsidRPr="00CE74DF" w:rsidRDefault="00CE74DF" w:rsidP="00CE74DF">
      <w:r>
        <w:t xml:space="preserve">Replacement induction </w:t>
      </w:r>
      <w:r w:rsidRPr="00CE74DF">
        <w:t>cooktop</w:t>
      </w:r>
      <w:r>
        <w:t xml:space="preserve"> equipment</w:t>
      </w:r>
      <w:r w:rsidRPr="00CE74DF">
        <w:t xml:space="preserve"> must have either 4 or 5 burners.</w:t>
      </w:r>
    </w:p>
    <w:p w14:paraId="2ED6F8C3" w14:textId="77777777" w:rsidR="001C5B02" w:rsidRDefault="001C5B02" w:rsidP="00F364AA"/>
    <w:p w14:paraId="655E299F" w14:textId="77777777" w:rsidR="007D230B" w:rsidRPr="004B06E3" w:rsidRDefault="007D230B" w:rsidP="00142FC9">
      <w:pPr>
        <w:pStyle w:val="eTRMHeading3"/>
      </w:pPr>
      <w:bookmarkStart w:id="32" w:name="_Toc486490854"/>
      <w:bookmarkStart w:id="33" w:name="_Toc486580925"/>
      <w:bookmarkStart w:id="34" w:name="_Toc32819841"/>
      <w:r w:rsidRPr="004B06E3">
        <w:t>Data Collection Requirements</w:t>
      </w:r>
      <w:bookmarkEnd w:id="32"/>
      <w:bookmarkEnd w:id="33"/>
      <w:bookmarkEnd w:id="34"/>
      <w:r w:rsidRPr="004B06E3">
        <w:t xml:space="preserve"> </w:t>
      </w:r>
    </w:p>
    <w:p w14:paraId="3EFBECD2" w14:textId="5B9961A6" w:rsidR="00CE74DF" w:rsidRPr="00CE74DF" w:rsidRDefault="00CE74DF" w:rsidP="00CE74DF">
      <w:bookmarkStart w:id="35" w:name="_Hlk24095716"/>
      <w:r w:rsidRPr="00CE74DF">
        <w:t>Baseline equipment type and fuel source must be verified for downstream</w:t>
      </w:r>
      <w:r w:rsidR="00DE058D">
        <w:t xml:space="preserve"> Normal Replacement</w:t>
      </w:r>
      <w:r w:rsidRPr="00CE74DF">
        <w:t xml:space="preserve"> measures.</w:t>
      </w:r>
    </w:p>
    <w:bookmarkEnd w:id="35"/>
    <w:p w14:paraId="60959C8A" w14:textId="77777777" w:rsidR="001C5B02" w:rsidRPr="001C5B02" w:rsidRDefault="001C5B02" w:rsidP="001C5B02"/>
    <w:p w14:paraId="4891FCAB" w14:textId="77777777" w:rsidR="007D230B" w:rsidRPr="004B06E3" w:rsidRDefault="007D230B" w:rsidP="00142FC9">
      <w:pPr>
        <w:pStyle w:val="eTRMHeading3"/>
      </w:pPr>
      <w:bookmarkStart w:id="36" w:name="_Toc486490855"/>
      <w:bookmarkStart w:id="37" w:name="_Toc486580926"/>
      <w:bookmarkStart w:id="38" w:name="_Toc32819842"/>
      <w:r w:rsidRPr="004B06E3">
        <w:t>Use Category</w:t>
      </w:r>
      <w:bookmarkEnd w:id="36"/>
      <w:bookmarkEnd w:id="37"/>
      <w:bookmarkEnd w:id="38"/>
    </w:p>
    <w:p w14:paraId="13382FF9" w14:textId="405EAE41" w:rsidR="004142EF" w:rsidRDefault="00582BD7" w:rsidP="00CE74DF">
      <w:pPr>
        <w:tabs>
          <w:tab w:val="left" w:pos="1269"/>
        </w:tabs>
      </w:pPr>
      <w:r>
        <w:rPr>
          <w:color w:val="000000"/>
        </w:rPr>
        <w:t>Appliance or Plug Load</w:t>
      </w:r>
      <w:r w:rsidR="00CE74DF">
        <w:tab/>
      </w:r>
    </w:p>
    <w:p w14:paraId="3DD37DF4" w14:textId="77777777" w:rsidR="00CE74DF" w:rsidRPr="004B06E3" w:rsidRDefault="00CE74DF" w:rsidP="008277A2">
      <w:pPr>
        <w:tabs>
          <w:tab w:val="left" w:pos="1269"/>
        </w:tabs>
      </w:pPr>
    </w:p>
    <w:p w14:paraId="2D02634C" w14:textId="77777777" w:rsidR="00E82790" w:rsidRDefault="00E82790" w:rsidP="00142FC9">
      <w:pPr>
        <w:pStyle w:val="eTRMHeading3"/>
      </w:pPr>
      <w:bookmarkStart w:id="39" w:name="_Toc506890113"/>
      <w:bookmarkStart w:id="40" w:name="_Toc517178421"/>
      <w:bookmarkStart w:id="41" w:name="_Toc32819843"/>
      <w:r>
        <w:t>Electric Savings (kWh)</w:t>
      </w:r>
      <w:bookmarkEnd w:id="39"/>
      <w:bookmarkEnd w:id="40"/>
      <w:bookmarkEnd w:id="41"/>
    </w:p>
    <w:p w14:paraId="09CC370E" w14:textId="77777777" w:rsidR="00CE74DF" w:rsidRPr="00C6243E" w:rsidRDefault="00CE74DF" w:rsidP="00CE74DF">
      <w:pPr>
        <w:pStyle w:val="eTRMHeading4"/>
        <w:rPr>
          <w:rFonts w:cs="Calibri Light"/>
        </w:rPr>
      </w:pPr>
      <w:r w:rsidRPr="00C6243E">
        <w:rPr>
          <w:rFonts w:cs="Calibri Light"/>
        </w:rPr>
        <w:t>Data Sources</w:t>
      </w:r>
    </w:p>
    <w:p w14:paraId="7A68C2B0" w14:textId="7FFD8694" w:rsidR="00CE74DF" w:rsidRPr="00C6243E" w:rsidRDefault="00CE74DF" w:rsidP="00CE74DF">
      <w:pPr>
        <w:pStyle w:val="Normal1"/>
        <w:spacing w:line="276" w:lineRule="auto"/>
        <w:contextualSpacing/>
        <w:rPr>
          <w:rFonts w:ascii="Calibri Light" w:hAnsi="Calibri Light" w:cs="Calibri Light"/>
        </w:rPr>
      </w:pPr>
      <w:r w:rsidRPr="00C6243E">
        <w:rPr>
          <w:rFonts w:ascii="Calibri Light" w:hAnsi="Calibri Light" w:cs="Calibri Light"/>
        </w:rPr>
        <w:t xml:space="preserve">The following sources were used to determine the baseline and measure energy usage </w:t>
      </w:r>
      <w:r>
        <w:rPr>
          <w:rFonts w:ascii="Calibri Light" w:hAnsi="Calibri Light" w:cs="Calibri Light"/>
        </w:rPr>
        <w:t xml:space="preserve">and </w:t>
      </w:r>
      <w:r w:rsidRPr="00C6243E">
        <w:rPr>
          <w:rFonts w:ascii="Calibri Light" w:hAnsi="Calibri Light" w:cs="Calibri Light"/>
        </w:rPr>
        <w:t>savings</w:t>
      </w:r>
      <w:r>
        <w:rPr>
          <w:rFonts w:ascii="Calibri Light" w:hAnsi="Calibri Light" w:cs="Calibri Light"/>
        </w:rPr>
        <w:t xml:space="preserve"> for all technologies</w:t>
      </w:r>
      <w:r w:rsidRPr="00C6243E">
        <w:rPr>
          <w:rFonts w:ascii="Calibri Light" w:hAnsi="Calibri Light" w:cs="Calibri Light"/>
        </w:rPr>
        <w:t>.</w:t>
      </w:r>
      <w:r>
        <w:rPr>
          <w:rFonts w:ascii="Calibri Light" w:hAnsi="Calibri Light" w:cs="Calibri Light"/>
        </w:rPr>
        <w:t xml:space="preserve"> CASE ‘Plug Loads and Lighting Modeling’ contains a technical assessment of induction cooking performed by the Electric Power Research Institute (EPRI) for the California Energy Commission (CEC). Frontier Energy ‘Residential Cooktop Performance and Energy Comparison Study’ has substantive cooking efficiency test results for induction and electric resistance cooktops. EPRI ‘Induction Cooking </w:t>
      </w:r>
      <w:r w:rsidRPr="00A17413">
        <w:rPr>
          <w:rFonts w:ascii="Calibri Light" w:hAnsi="Calibri Light" w:cs="Calibri Light"/>
        </w:rPr>
        <w:t xml:space="preserve">Technology Design and Assessment’ contains a comprehensive description and energy performance assessment of commercial cooking equipment. Energy Efficiency and Renewable Energy Office (EERE) ‘Draft </w:t>
      </w:r>
      <w:r>
        <w:rPr>
          <w:rFonts w:ascii="Calibri Light" w:hAnsi="Calibri Light" w:cs="Calibri Light"/>
        </w:rPr>
        <w:t>Cooktop</w:t>
      </w:r>
      <w:r w:rsidRPr="00A17413">
        <w:rPr>
          <w:rFonts w:ascii="Calibri Light" w:hAnsi="Calibri Light" w:cs="Calibri Light"/>
        </w:rPr>
        <w:t xml:space="preserve"> Life-Cycle Cost</w:t>
      </w:r>
      <w:r>
        <w:rPr>
          <w:rFonts w:ascii="Calibri Light" w:hAnsi="Calibri Light" w:cs="Calibri Light"/>
        </w:rPr>
        <w:t xml:space="preserve"> Spreadsheet’ is a database of cooktop costs and </w:t>
      </w:r>
      <w:r w:rsidR="00C158F0">
        <w:rPr>
          <w:rFonts w:ascii="Calibri Light" w:hAnsi="Calibri Light" w:cs="Calibri Light"/>
        </w:rPr>
        <w:t>lifecycles</w:t>
      </w:r>
      <w:r>
        <w:rPr>
          <w:rFonts w:ascii="Calibri Light" w:hAnsi="Calibri Light" w:cs="Calibri Light"/>
        </w:rPr>
        <w:t>.</w:t>
      </w:r>
    </w:p>
    <w:p w14:paraId="2001D965" w14:textId="77777777" w:rsidR="00CE74DF" w:rsidRPr="00FC342F" w:rsidRDefault="00CE74DF" w:rsidP="00CE74DF">
      <w:pPr>
        <w:pStyle w:val="Normal1"/>
        <w:spacing w:line="276" w:lineRule="auto"/>
        <w:contextualSpacing/>
        <w:rPr>
          <w:rFonts w:ascii="Calibri Light" w:hAnsi="Calibri Light" w:cs="Calibri Light"/>
        </w:rPr>
      </w:pPr>
    </w:p>
    <w:p w14:paraId="01FDAA1F" w14:textId="77777777" w:rsidR="00CE74DF" w:rsidRDefault="00CE74DF" w:rsidP="00CE74DF">
      <w:pPr>
        <w:pStyle w:val="Normal1"/>
        <w:spacing w:line="276" w:lineRule="auto"/>
        <w:contextualSpacing/>
        <w:rPr>
          <w:rFonts w:ascii="Calibri Light" w:hAnsi="Calibri Light" w:cs="Calibri Light"/>
          <w:b/>
        </w:rPr>
      </w:pPr>
      <w:r w:rsidRPr="00C6243E">
        <w:rPr>
          <w:rFonts w:ascii="Calibri Light" w:hAnsi="Calibri Light" w:cs="Calibri Light"/>
          <w:b/>
        </w:rPr>
        <w:t>Codes and Standards Enhancement Initiative (CASE): Plug Loads and Lighting Modeling</w:t>
      </w:r>
      <w:bookmarkStart w:id="42" w:name="_Ref14603998"/>
      <w:r>
        <w:rPr>
          <w:rStyle w:val="FootnoteReference"/>
          <w:rFonts w:ascii="Calibri Light" w:hAnsi="Calibri Light" w:cs="Calibri Light"/>
          <w:b/>
        </w:rPr>
        <w:footnoteReference w:id="15"/>
      </w:r>
      <w:bookmarkEnd w:id="42"/>
    </w:p>
    <w:p w14:paraId="7B74241A" w14:textId="77777777" w:rsidR="00CE74DF" w:rsidRDefault="00CE74DF" w:rsidP="00CE74DF">
      <w:pPr>
        <w:pStyle w:val="Normal1"/>
        <w:numPr>
          <w:ilvl w:val="0"/>
          <w:numId w:val="39"/>
        </w:numPr>
        <w:spacing w:line="276" w:lineRule="auto"/>
        <w:contextualSpacing/>
        <w:rPr>
          <w:rFonts w:ascii="Calibri Light" w:hAnsi="Calibri Light" w:cs="Calibri Light"/>
        </w:rPr>
      </w:pPr>
      <w:r>
        <w:rPr>
          <w:rFonts w:ascii="Calibri Light" w:hAnsi="Calibri Light" w:cs="Calibri Light"/>
        </w:rPr>
        <w:t>Oven and cooktop energy use disaggregation and per-cycle energy use</w:t>
      </w:r>
    </w:p>
    <w:p w14:paraId="3199E62B" w14:textId="19BBC620" w:rsidR="00CE74DF" w:rsidRDefault="00CE74DF" w:rsidP="00CE74DF">
      <w:pPr>
        <w:pStyle w:val="Normal1"/>
        <w:numPr>
          <w:ilvl w:val="0"/>
          <w:numId w:val="39"/>
        </w:numPr>
        <w:spacing w:line="276" w:lineRule="auto"/>
        <w:contextualSpacing/>
        <w:rPr>
          <w:rFonts w:ascii="Calibri Light" w:hAnsi="Calibri Light" w:cs="Calibri Light"/>
        </w:rPr>
      </w:pPr>
      <w:r>
        <w:rPr>
          <w:rFonts w:ascii="Calibri Light" w:hAnsi="Calibri Light" w:cs="Calibri Light"/>
        </w:rPr>
        <w:t>Estimated Annual Energy Consumption (AEC) of electric ranges, cooktops, and ovens</w:t>
      </w:r>
    </w:p>
    <w:p w14:paraId="781FDF9A" w14:textId="7455045D" w:rsidR="00CE74DF" w:rsidRDefault="00CE74DF" w:rsidP="00CE74DF">
      <w:pPr>
        <w:pStyle w:val="Normal1"/>
        <w:numPr>
          <w:ilvl w:val="0"/>
          <w:numId w:val="39"/>
        </w:numPr>
        <w:spacing w:line="276" w:lineRule="auto"/>
        <w:contextualSpacing/>
        <w:rPr>
          <w:rFonts w:ascii="Calibri Light" w:hAnsi="Calibri Light" w:cs="Calibri Light"/>
        </w:rPr>
      </w:pPr>
      <w:r>
        <w:rPr>
          <w:rFonts w:ascii="Calibri Light" w:hAnsi="Calibri Light" w:cs="Calibri Light"/>
        </w:rPr>
        <w:t>Electric resistance cooktop cooking efficiencies</w:t>
      </w:r>
    </w:p>
    <w:p w14:paraId="09FA538F" w14:textId="77777777" w:rsidR="00CE74DF" w:rsidRDefault="00CE74DF" w:rsidP="00CE74DF">
      <w:pPr>
        <w:pStyle w:val="Normal1"/>
        <w:spacing w:line="276" w:lineRule="auto"/>
        <w:contextualSpacing/>
        <w:rPr>
          <w:rFonts w:ascii="Calibri Light" w:hAnsi="Calibri Light" w:cs="Calibri Light"/>
        </w:rPr>
      </w:pPr>
    </w:p>
    <w:p w14:paraId="63645B9B" w14:textId="77777777" w:rsidR="00CE74DF" w:rsidRDefault="00CE74DF" w:rsidP="00CE74DF">
      <w:pPr>
        <w:pStyle w:val="Normal1"/>
        <w:spacing w:line="276" w:lineRule="auto"/>
        <w:contextualSpacing/>
        <w:rPr>
          <w:rFonts w:ascii="Calibri Light" w:hAnsi="Calibri Light" w:cs="Calibri Light"/>
          <w:b/>
        </w:rPr>
      </w:pPr>
      <w:r>
        <w:rPr>
          <w:rFonts w:ascii="Calibri Light" w:hAnsi="Calibri Light" w:cs="Calibri Light"/>
          <w:b/>
        </w:rPr>
        <w:t>Frontier Energy: Residential Cooktop Performance and Energy Comparison Study</w:t>
      </w:r>
      <w:r>
        <w:rPr>
          <w:rStyle w:val="FootnoteReference"/>
          <w:rFonts w:ascii="Calibri Light" w:hAnsi="Calibri Light" w:cs="Calibri Light"/>
          <w:b/>
        </w:rPr>
        <w:footnoteReference w:id="16"/>
      </w:r>
    </w:p>
    <w:p w14:paraId="1C1B2E2A" w14:textId="77777777" w:rsidR="00CE74DF" w:rsidRDefault="00CE74DF" w:rsidP="00CE74DF">
      <w:pPr>
        <w:pStyle w:val="Normal1"/>
        <w:numPr>
          <w:ilvl w:val="0"/>
          <w:numId w:val="41"/>
        </w:numPr>
        <w:spacing w:line="276" w:lineRule="auto"/>
        <w:contextualSpacing/>
        <w:rPr>
          <w:rFonts w:ascii="Calibri Light" w:hAnsi="Calibri Light" w:cs="Calibri Light"/>
        </w:rPr>
      </w:pPr>
      <w:r>
        <w:rPr>
          <w:rFonts w:ascii="Calibri Light" w:hAnsi="Calibri Light" w:cs="Calibri Light"/>
        </w:rPr>
        <w:t>Induction cooktop cooking efficiency</w:t>
      </w:r>
    </w:p>
    <w:p w14:paraId="59C6C777" w14:textId="0129DB68" w:rsidR="00CE74DF" w:rsidRPr="0035522D" w:rsidRDefault="00CE74DF" w:rsidP="00CE74DF">
      <w:pPr>
        <w:pStyle w:val="Normal1"/>
        <w:numPr>
          <w:ilvl w:val="0"/>
          <w:numId w:val="41"/>
        </w:numPr>
        <w:spacing w:line="276" w:lineRule="auto"/>
        <w:contextualSpacing/>
        <w:rPr>
          <w:rFonts w:ascii="Calibri Light" w:hAnsi="Calibri Light" w:cs="Calibri Light"/>
        </w:rPr>
      </w:pPr>
      <w:r>
        <w:rPr>
          <w:rFonts w:ascii="Calibri Light" w:hAnsi="Calibri Light" w:cs="Calibri Light"/>
        </w:rPr>
        <w:t xml:space="preserve">Electric cooktop cooking </w:t>
      </w:r>
      <w:r w:rsidRPr="0035522D">
        <w:rPr>
          <w:rFonts w:ascii="Calibri Light" w:hAnsi="Calibri Light" w:cs="Calibri Light"/>
        </w:rPr>
        <w:t>efficiencies</w:t>
      </w:r>
    </w:p>
    <w:p w14:paraId="39DF01A3" w14:textId="77777777" w:rsidR="00CE74DF" w:rsidRDefault="00CE74DF" w:rsidP="00CE74DF">
      <w:pPr>
        <w:pStyle w:val="Normal1"/>
        <w:spacing w:line="276" w:lineRule="auto"/>
        <w:contextualSpacing/>
        <w:rPr>
          <w:rFonts w:ascii="Calibri Light" w:hAnsi="Calibri Light" w:cs="Calibri Light"/>
          <w:b/>
        </w:rPr>
      </w:pPr>
    </w:p>
    <w:p w14:paraId="3B4EA926" w14:textId="77777777" w:rsidR="00CE74DF" w:rsidRDefault="00CE74DF" w:rsidP="00CE74DF">
      <w:pPr>
        <w:pStyle w:val="Normal1"/>
        <w:spacing w:line="276" w:lineRule="auto"/>
        <w:contextualSpacing/>
        <w:rPr>
          <w:rFonts w:ascii="Calibri Light" w:hAnsi="Calibri Light" w:cs="Calibri Light"/>
          <w:b/>
        </w:rPr>
      </w:pPr>
      <w:r>
        <w:rPr>
          <w:rFonts w:ascii="Calibri Light" w:hAnsi="Calibri Light" w:cs="Calibri Light"/>
          <w:b/>
        </w:rPr>
        <w:lastRenderedPageBreak/>
        <w:t>Electric Power Research Institute (EPRI): Induction Cooking Technology Design and Assessment</w:t>
      </w:r>
      <w:r>
        <w:rPr>
          <w:rStyle w:val="FootnoteReference"/>
          <w:rFonts w:ascii="Calibri Light" w:hAnsi="Calibri Light" w:cs="Calibri Light"/>
          <w:b/>
        </w:rPr>
        <w:footnoteReference w:id="17"/>
      </w:r>
    </w:p>
    <w:p w14:paraId="53BBF5F6" w14:textId="203C5016" w:rsidR="00CE74DF" w:rsidRDefault="00CE74DF" w:rsidP="008277A2">
      <w:pPr>
        <w:pStyle w:val="Normal1"/>
        <w:numPr>
          <w:ilvl w:val="0"/>
          <w:numId w:val="42"/>
        </w:numPr>
        <w:spacing w:line="276" w:lineRule="auto"/>
        <w:contextualSpacing/>
        <w:rPr>
          <w:rFonts w:ascii="Calibri Light" w:hAnsi="Calibri Light" w:cs="Calibri Light"/>
        </w:rPr>
      </w:pPr>
      <w:r>
        <w:rPr>
          <w:rFonts w:ascii="Calibri Light" w:hAnsi="Calibri Light" w:cs="Calibri Light"/>
        </w:rPr>
        <w:t>Electric resistance cooking efficiencies</w:t>
      </w:r>
    </w:p>
    <w:p w14:paraId="6CD7D26E" w14:textId="77777777" w:rsidR="00CE74DF" w:rsidRPr="00801E66" w:rsidRDefault="00CE74DF" w:rsidP="00CE74DF">
      <w:pPr>
        <w:pStyle w:val="Normal1"/>
        <w:spacing w:line="276" w:lineRule="auto"/>
        <w:ind w:left="720"/>
        <w:contextualSpacing/>
        <w:rPr>
          <w:rFonts w:ascii="Calibri Light" w:hAnsi="Calibri Light" w:cs="Calibri Light"/>
        </w:rPr>
      </w:pPr>
    </w:p>
    <w:p w14:paraId="2EB0ADAA" w14:textId="77777777" w:rsidR="00CE74DF" w:rsidRDefault="00CE74DF" w:rsidP="00CE74DF">
      <w:pPr>
        <w:pStyle w:val="Normal1"/>
        <w:spacing w:line="276" w:lineRule="auto"/>
        <w:contextualSpacing/>
        <w:rPr>
          <w:rFonts w:ascii="Calibri Light" w:hAnsi="Calibri Light" w:cs="Calibri Light"/>
          <w:b/>
        </w:rPr>
      </w:pPr>
      <w:r w:rsidRPr="00C6243E">
        <w:rPr>
          <w:rFonts w:ascii="Calibri Light" w:hAnsi="Calibri Light" w:cs="Calibri Light"/>
          <w:b/>
        </w:rPr>
        <w:t xml:space="preserve">Energy Efficiency and Renewable Energy Office (EERE): Draft </w:t>
      </w:r>
      <w:r>
        <w:rPr>
          <w:rFonts w:ascii="Calibri Light" w:hAnsi="Calibri Light" w:cs="Calibri Light"/>
          <w:b/>
        </w:rPr>
        <w:t>Stovetop</w:t>
      </w:r>
      <w:r w:rsidRPr="00C6243E">
        <w:rPr>
          <w:rFonts w:ascii="Calibri Light" w:hAnsi="Calibri Light" w:cs="Calibri Light"/>
          <w:b/>
        </w:rPr>
        <w:t xml:space="preserve"> Life-Cycle Cost Spreadsheet</w:t>
      </w:r>
      <w:r>
        <w:rPr>
          <w:rStyle w:val="FootnoteReference"/>
          <w:rFonts w:ascii="Calibri Light" w:hAnsi="Calibri Light" w:cs="Calibri Light"/>
          <w:b/>
        </w:rPr>
        <w:footnoteReference w:id="18"/>
      </w:r>
    </w:p>
    <w:p w14:paraId="4B031538" w14:textId="77777777" w:rsidR="00CE74DF" w:rsidRDefault="00CE74DF" w:rsidP="00CE74DF">
      <w:pPr>
        <w:pStyle w:val="Normal1"/>
        <w:numPr>
          <w:ilvl w:val="0"/>
          <w:numId w:val="40"/>
        </w:numPr>
        <w:spacing w:line="276" w:lineRule="auto"/>
        <w:contextualSpacing/>
        <w:rPr>
          <w:rFonts w:ascii="Calibri Light" w:hAnsi="Calibri Light" w:cs="Calibri Light"/>
        </w:rPr>
      </w:pPr>
      <w:r>
        <w:rPr>
          <w:rFonts w:ascii="Calibri Light" w:hAnsi="Calibri Light" w:cs="Calibri Light"/>
        </w:rPr>
        <w:t>Induction cooktop cooking efficiency</w:t>
      </w:r>
    </w:p>
    <w:p w14:paraId="7095781D" w14:textId="513DC81A" w:rsidR="00CE74DF" w:rsidRDefault="00CE74DF" w:rsidP="00CE74DF">
      <w:pPr>
        <w:spacing w:before="0" w:after="0" w:line="240" w:lineRule="auto"/>
        <w:rPr>
          <w:rFonts w:cs="Calibri Light"/>
          <w:b/>
          <w:szCs w:val="22"/>
        </w:rPr>
      </w:pPr>
    </w:p>
    <w:p w14:paraId="312DE354" w14:textId="77777777" w:rsidR="00CE74DF" w:rsidRDefault="00CE74DF" w:rsidP="00CE74DF">
      <w:pPr>
        <w:rPr>
          <w:rFonts w:cs="Calibri Light"/>
          <w:szCs w:val="22"/>
        </w:rPr>
      </w:pPr>
      <w:r>
        <w:rPr>
          <w:rFonts w:cs="Calibri Light"/>
          <w:b/>
          <w:szCs w:val="22"/>
        </w:rPr>
        <w:t>Cooktop Consumption</w:t>
      </w:r>
    </w:p>
    <w:p w14:paraId="4876CB7B" w14:textId="726A3FF0" w:rsidR="00CE74DF" w:rsidRDefault="00CE74DF" w:rsidP="00CE74DF">
      <w:pPr>
        <w:rPr>
          <w:rFonts w:cs="Calibri Light"/>
          <w:szCs w:val="22"/>
        </w:rPr>
      </w:pPr>
      <w:r>
        <w:rPr>
          <w:rFonts w:cs="Calibri Light"/>
          <w:szCs w:val="22"/>
        </w:rPr>
        <w:t>Using the estimated cooking efficiency of 84% the total consumption of an induction stove</w:t>
      </w:r>
      <w:r w:rsidR="00DE058D">
        <w:rPr>
          <w:rFonts w:cs="Calibri Light"/>
          <w:szCs w:val="22"/>
        </w:rPr>
        <w:t>top</w:t>
      </w:r>
      <w:r>
        <w:rPr>
          <w:rFonts w:cs="Calibri Light"/>
          <w:szCs w:val="22"/>
        </w:rPr>
        <w:t xml:space="preserve"> was calculated using the cooking efficiency and consumption of an electric resistance stove as shown below.</w:t>
      </w:r>
      <w:r>
        <w:rPr>
          <w:rStyle w:val="FootnoteReference"/>
          <w:rFonts w:cs="Calibri Light"/>
          <w:szCs w:val="22"/>
        </w:rPr>
        <w:footnoteReference w:id="19"/>
      </w:r>
      <w:r w:rsidDel="0035522D">
        <w:rPr>
          <w:rFonts w:cs="Calibri Light"/>
          <w:szCs w:val="22"/>
        </w:rPr>
        <w:t xml:space="preserve"> </w:t>
      </w:r>
    </w:p>
    <w:p w14:paraId="10690FD8" w14:textId="77777777" w:rsidR="00CE74DF" w:rsidRDefault="00CE74DF" w:rsidP="00CE74DF">
      <w:pPr>
        <w:rPr>
          <w:rFonts w:cs="Calibri Light"/>
          <w:szCs w:val="22"/>
        </w:rPr>
      </w:pPr>
    </w:p>
    <w:p w14:paraId="29918300" w14:textId="77777777" w:rsidR="00CE74DF" w:rsidRPr="005F6F5F" w:rsidRDefault="009026F6" w:rsidP="00CE74DF">
      <w:pPr>
        <w:spacing w:before="0" w:after="0" w:line="240" w:lineRule="auto"/>
        <w:rPr>
          <w:rFonts w:cs="Calibri Light"/>
          <w:szCs w:val="22"/>
        </w:rPr>
      </w:pPr>
      <m:oMathPara>
        <m:oMath>
          <m:sSub>
            <m:sSubPr>
              <m:ctrlPr>
                <w:rPr>
                  <w:rFonts w:ascii="Cambria Math" w:hAnsi="Cambria Math" w:cs="Calibri Light"/>
                  <w:i/>
                  <w:szCs w:val="22"/>
                </w:rPr>
              </m:ctrlPr>
            </m:sSubPr>
            <m:e>
              <m:d>
                <m:dPr>
                  <m:ctrlPr>
                    <w:rPr>
                      <w:rFonts w:ascii="Cambria Math" w:hAnsi="Cambria Math" w:cs="Calibri Light"/>
                      <w:i/>
                      <w:szCs w:val="22"/>
                    </w:rPr>
                  </m:ctrlPr>
                </m:dPr>
                <m:e>
                  <m:r>
                    <w:rPr>
                      <w:rFonts w:ascii="Cambria Math" w:hAnsi="Cambria Math" w:cs="Calibri Light"/>
                      <w:szCs w:val="22"/>
                    </w:rPr>
                    <m:t>Consumption</m:t>
                  </m:r>
                </m:e>
              </m:d>
            </m:e>
            <m:sub>
              <m:r>
                <w:rPr>
                  <w:rFonts w:ascii="Cambria Math" w:hAnsi="Cambria Math" w:cs="Calibri Light"/>
                  <w:szCs w:val="22"/>
                </w:rPr>
                <m:t>Induction</m:t>
              </m:r>
            </m:sub>
          </m:sSub>
          <m:r>
            <w:rPr>
              <w:rFonts w:ascii="Cambria Math" w:hAnsi="Cambria Math" w:cs="Calibri Light"/>
              <w:szCs w:val="22"/>
            </w:rPr>
            <m:t xml:space="preserve"> </m:t>
          </m:r>
          <m:d>
            <m:dPr>
              <m:begChr m:val="["/>
              <m:endChr m:val="]"/>
              <m:ctrlPr>
                <w:rPr>
                  <w:rFonts w:ascii="Cambria Math" w:hAnsi="Cambria Math" w:cs="Calibri Light"/>
                  <w:i/>
                  <w:szCs w:val="22"/>
                </w:rPr>
              </m:ctrlPr>
            </m:dPr>
            <m:e>
              <m:r>
                <w:rPr>
                  <w:rFonts w:ascii="Cambria Math" w:hAnsi="Cambria Math" w:cs="Calibri Light"/>
                  <w:szCs w:val="22"/>
                </w:rPr>
                <m:t>kWh</m:t>
              </m:r>
            </m:e>
          </m:d>
          <m:r>
            <w:rPr>
              <w:rFonts w:ascii="Cambria Math" w:hAnsi="Cambria Math" w:cs="Calibri Light"/>
              <w:szCs w:val="22"/>
            </w:rPr>
            <m:t>=(</m:t>
          </m:r>
          <m:f>
            <m:fPr>
              <m:ctrlPr>
                <w:rPr>
                  <w:rFonts w:ascii="Cambria Math" w:hAnsi="Cambria Math" w:cs="Calibri Light"/>
                  <w:i/>
                  <w:szCs w:val="22"/>
                </w:rPr>
              </m:ctrlPr>
            </m:fPr>
            <m:num>
              <m:sSub>
                <m:sSubPr>
                  <m:ctrlPr>
                    <w:rPr>
                      <w:rFonts w:ascii="Cambria Math" w:hAnsi="Cambria Math" w:cs="Calibri Light"/>
                      <w:i/>
                      <w:szCs w:val="22"/>
                    </w:rPr>
                  </m:ctrlPr>
                </m:sSubPr>
                <m:e>
                  <m:r>
                    <w:rPr>
                      <w:rFonts w:ascii="Cambria Math" w:hAnsi="Cambria Math" w:cs="Calibri Light"/>
                      <w:szCs w:val="22"/>
                    </w:rPr>
                    <m:t>η</m:t>
                  </m:r>
                </m:e>
                <m:sub>
                  <m:r>
                    <w:rPr>
                      <w:rFonts w:ascii="Cambria Math" w:hAnsi="Cambria Math" w:cs="Calibri Light"/>
                      <w:szCs w:val="22"/>
                    </w:rPr>
                    <m:t>Electrical Resistance</m:t>
                  </m:r>
                </m:sub>
              </m:sSub>
            </m:num>
            <m:den>
              <m:sSub>
                <m:sSubPr>
                  <m:ctrlPr>
                    <w:rPr>
                      <w:rFonts w:ascii="Cambria Math" w:hAnsi="Cambria Math" w:cs="Calibri Light"/>
                      <w:i/>
                      <w:szCs w:val="22"/>
                    </w:rPr>
                  </m:ctrlPr>
                </m:sSubPr>
                <m:e>
                  <m:r>
                    <w:rPr>
                      <w:rFonts w:ascii="Cambria Math" w:hAnsi="Cambria Math" w:cs="Calibri Light"/>
                      <w:szCs w:val="22"/>
                    </w:rPr>
                    <m:t>η</m:t>
                  </m:r>
                </m:e>
                <m:sub>
                  <m:r>
                    <w:rPr>
                      <w:rFonts w:ascii="Cambria Math" w:hAnsi="Cambria Math" w:cs="Calibri Light"/>
                      <w:szCs w:val="22"/>
                    </w:rPr>
                    <m:t>Induction</m:t>
                  </m:r>
                </m:sub>
              </m:sSub>
            </m:den>
          </m:f>
          <m:sSub>
            <m:sSubPr>
              <m:ctrlPr>
                <w:rPr>
                  <w:rFonts w:ascii="Cambria Math" w:hAnsi="Cambria Math" w:cs="Calibri Light"/>
                  <w:i/>
                  <w:szCs w:val="22"/>
                </w:rPr>
              </m:ctrlPr>
            </m:sSubPr>
            <m:e>
              <m:r>
                <w:rPr>
                  <w:rFonts w:ascii="Cambria Math" w:hAnsi="Cambria Math" w:cs="Calibri Light"/>
                  <w:szCs w:val="22"/>
                </w:rPr>
                <m:t>)×</m:t>
              </m:r>
              <m:d>
                <m:dPr>
                  <m:ctrlPr>
                    <w:rPr>
                      <w:rFonts w:ascii="Cambria Math" w:hAnsi="Cambria Math" w:cs="Calibri Light"/>
                      <w:i/>
                      <w:szCs w:val="22"/>
                    </w:rPr>
                  </m:ctrlPr>
                </m:dPr>
                <m:e>
                  <m:r>
                    <w:rPr>
                      <w:rFonts w:ascii="Cambria Math" w:hAnsi="Cambria Math" w:cs="Calibri Light"/>
                      <w:szCs w:val="22"/>
                    </w:rPr>
                    <m:t>Consumption</m:t>
                  </m:r>
                </m:e>
              </m:d>
            </m:e>
            <m:sub>
              <m:r>
                <w:rPr>
                  <w:rFonts w:ascii="Cambria Math" w:hAnsi="Cambria Math" w:cs="Calibri Light"/>
                  <w:szCs w:val="22"/>
                </w:rPr>
                <m:t>Electrical Resistance</m:t>
              </m:r>
            </m:sub>
          </m:sSub>
          <m:r>
            <w:rPr>
              <w:rFonts w:ascii="Cambria Math" w:hAnsi="Cambria Math" w:cs="Calibri Light"/>
              <w:szCs w:val="22"/>
            </w:rPr>
            <m:t xml:space="preserve"> </m:t>
          </m:r>
          <m:d>
            <m:dPr>
              <m:begChr m:val="["/>
              <m:endChr m:val="]"/>
              <m:ctrlPr>
                <w:rPr>
                  <w:rFonts w:ascii="Cambria Math" w:hAnsi="Cambria Math" w:cs="Calibri Light"/>
                  <w:i/>
                  <w:szCs w:val="22"/>
                </w:rPr>
              </m:ctrlPr>
            </m:dPr>
            <m:e>
              <m:r>
                <w:rPr>
                  <w:rFonts w:ascii="Cambria Math" w:hAnsi="Cambria Math" w:cs="Calibri Light"/>
                  <w:szCs w:val="22"/>
                </w:rPr>
                <m:t>kWh</m:t>
              </m:r>
            </m:e>
          </m:d>
        </m:oMath>
      </m:oMathPara>
    </w:p>
    <w:p w14:paraId="4E5B4CF3" w14:textId="77777777" w:rsidR="00CE74DF" w:rsidRPr="005F6F5F" w:rsidRDefault="00CE74DF" w:rsidP="00CE74DF">
      <w:pPr>
        <w:jc w:val="center"/>
        <w:rPr>
          <w:rFonts w:cs="Calibri Light"/>
          <w:szCs w:val="22"/>
        </w:rPr>
      </w:pPr>
      <m:oMathPara>
        <m:oMath>
          <m:r>
            <w:rPr>
              <w:rFonts w:ascii="Cambria Math" w:hAnsi="Cambria Math" w:cs="Calibri Light"/>
              <w:szCs w:val="22"/>
            </w:rPr>
            <m:t>⟹</m:t>
          </m:r>
          <m:sSub>
            <m:sSubPr>
              <m:ctrlPr>
                <w:rPr>
                  <w:rFonts w:ascii="Cambria Math" w:hAnsi="Cambria Math" w:cs="Calibri Light"/>
                  <w:i/>
                  <w:szCs w:val="22"/>
                </w:rPr>
              </m:ctrlPr>
            </m:sSubPr>
            <m:e>
              <m:d>
                <m:dPr>
                  <m:ctrlPr>
                    <w:rPr>
                      <w:rFonts w:ascii="Cambria Math" w:hAnsi="Cambria Math" w:cs="Calibri Light"/>
                      <w:i/>
                      <w:szCs w:val="22"/>
                    </w:rPr>
                  </m:ctrlPr>
                </m:dPr>
                <m:e>
                  <m:r>
                    <w:rPr>
                      <w:rFonts w:ascii="Cambria Math" w:hAnsi="Cambria Math" w:cs="Calibri Light"/>
                      <w:szCs w:val="22"/>
                    </w:rPr>
                    <m:t>Consumption</m:t>
                  </m:r>
                </m:e>
              </m:d>
            </m:e>
            <m:sub>
              <m:r>
                <w:rPr>
                  <w:rFonts w:ascii="Cambria Math" w:hAnsi="Cambria Math" w:cs="Calibri Light"/>
                  <w:szCs w:val="22"/>
                </w:rPr>
                <m:t>Induction</m:t>
              </m:r>
            </m:sub>
          </m:sSub>
          <m:r>
            <w:rPr>
              <w:rFonts w:ascii="Cambria Math" w:hAnsi="Cambria Math" w:cs="Calibri Light"/>
              <w:szCs w:val="22"/>
            </w:rPr>
            <m:t xml:space="preserve"> </m:t>
          </m:r>
          <m:d>
            <m:dPr>
              <m:begChr m:val="["/>
              <m:endChr m:val="]"/>
              <m:ctrlPr>
                <w:rPr>
                  <w:rFonts w:ascii="Cambria Math" w:hAnsi="Cambria Math" w:cs="Calibri Light"/>
                  <w:i/>
                  <w:szCs w:val="22"/>
                </w:rPr>
              </m:ctrlPr>
            </m:dPr>
            <m:e>
              <m:r>
                <w:rPr>
                  <w:rFonts w:ascii="Cambria Math" w:hAnsi="Cambria Math" w:cs="Calibri Light"/>
                  <w:szCs w:val="22"/>
                </w:rPr>
                <m:t>kWh</m:t>
              </m:r>
            </m:e>
          </m:d>
          <m:r>
            <w:rPr>
              <w:rFonts w:ascii="Cambria Math" w:hAnsi="Cambria Math" w:cs="Calibri Light"/>
              <w:szCs w:val="22"/>
            </w:rPr>
            <m:t>=</m:t>
          </m:r>
          <m:d>
            <m:dPr>
              <m:ctrlPr>
                <w:rPr>
                  <w:rFonts w:ascii="Cambria Math" w:hAnsi="Cambria Math" w:cs="Calibri Light"/>
                  <w:i/>
                  <w:szCs w:val="22"/>
                </w:rPr>
              </m:ctrlPr>
            </m:dPr>
            <m:e>
              <m:f>
                <m:fPr>
                  <m:ctrlPr>
                    <w:rPr>
                      <w:rFonts w:ascii="Cambria Math" w:hAnsi="Cambria Math" w:cs="Calibri Light"/>
                      <w:i/>
                      <w:szCs w:val="22"/>
                    </w:rPr>
                  </m:ctrlPr>
                </m:fPr>
                <m:num>
                  <m:r>
                    <w:rPr>
                      <w:rFonts w:ascii="Cambria Math" w:hAnsi="Cambria Math" w:cs="Calibri Light"/>
                      <w:szCs w:val="22"/>
                    </w:rPr>
                    <m:t>.74</m:t>
                  </m:r>
                </m:num>
                <m:den>
                  <m:r>
                    <w:rPr>
                      <w:rFonts w:ascii="Cambria Math" w:hAnsi="Cambria Math" w:cs="Calibri Light"/>
                      <w:szCs w:val="22"/>
                    </w:rPr>
                    <m:t>.84</m:t>
                  </m:r>
                </m:den>
              </m:f>
            </m:e>
          </m:d>
          <m:r>
            <w:rPr>
              <w:rFonts w:ascii="Cambria Math" w:hAnsi="Cambria Math" w:cs="Calibri Light"/>
              <w:szCs w:val="22"/>
            </w:rPr>
            <m:t>×</m:t>
          </m:r>
          <m:d>
            <m:dPr>
              <m:ctrlPr>
                <w:rPr>
                  <w:rFonts w:ascii="Cambria Math" w:hAnsi="Cambria Math" w:cs="Calibri Light"/>
                  <w:i/>
                  <w:szCs w:val="22"/>
                </w:rPr>
              </m:ctrlPr>
            </m:dPr>
            <m:e>
              <m:r>
                <w:rPr>
                  <w:rFonts w:ascii="Cambria Math" w:hAnsi="Cambria Math" w:cs="Calibri Light"/>
                  <w:szCs w:val="22"/>
                </w:rPr>
                <m:t>102 [kWh]</m:t>
              </m:r>
            </m:e>
          </m:d>
          <m:r>
            <w:rPr>
              <w:rFonts w:ascii="Cambria Math" w:hAnsi="Cambria Math" w:cs="Calibri Light"/>
              <w:szCs w:val="22"/>
            </w:rPr>
            <m:t>=89.86 [kWh]</m:t>
          </m:r>
        </m:oMath>
      </m:oMathPara>
    </w:p>
    <w:p w14:paraId="1FA3D7BA" w14:textId="77777777" w:rsidR="00CE74DF" w:rsidRDefault="00CE74DF" w:rsidP="00CE74DF">
      <w:pPr>
        <w:rPr>
          <w:rFonts w:cs="Calibri Light"/>
          <w:b/>
          <w:szCs w:val="22"/>
        </w:rPr>
      </w:pPr>
    </w:p>
    <w:tbl>
      <w:tblPr>
        <w:tblW w:w="8001"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090"/>
        <w:gridCol w:w="1708"/>
        <w:gridCol w:w="1815"/>
        <w:gridCol w:w="1388"/>
      </w:tblGrid>
      <w:tr w:rsidR="00CE74DF" w:rsidRPr="00C6243E" w14:paraId="6ABA8A14" w14:textId="77777777" w:rsidTr="008277A2">
        <w:trPr>
          <w:cantSplit/>
          <w:trHeight w:val="8"/>
          <w:jc w:val="center"/>
        </w:trPr>
        <w:tc>
          <w:tcPr>
            <w:tcW w:w="3090" w:type="dxa"/>
            <w:shd w:val="clear" w:color="auto" w:fill="F2F2F2" w:themeFill="background1" w:themeFillShade="F2"/>
            <w:vAlign w:val="center"/>
          </w:tcPr>
          <w:p w14:paraId="6B97BF0D" w14:textId="77777777" w:rsidR="00CE74DF" w:rsidRPr="00C6243E" w:rsidRDefault="00CE74DF" w:rsidP="00F92DA3">
            <w:pPr>
              <w:keepNext/>
              <w:keepLines/>
              <w:spacing w:before="20" w:after="20"/>
              <w:jc w:val="center"/>
              <w:rPr>
                <w:rFonts w:cs="Calibri Light"/>
                <w:b/>
                <w:sz w:val="20"/>
                <w:szCs w:val="20"/>
              </w:rPr>
            </w:pPr>
            <w:r>
              <w:rPr>
                <w:rFonts w:cs="Calibri Light"/>
                <w:b/>
                <w:sz w:val="20"/>
              </w:rPr>
              <w:t>Technology</w:t>
            </w:r>
          </w:p>
        </w:tc>
        <w:tc>
          <w:tcPr>
            <w:tcW w:w="1708" w:type="dxa"/>
            <w:shd w:val="clear" w:color="auto" w:fill="F2F2F2" w:themeFill="background1" w:themeFillShade="F2"/>
            <w:vAlign w:val="center"/>
          </w:tcPr>
          <w:p w14:paraId="378956AD" w14:textId="77777777" w:rsidR="00CE74DF" w:rsidRPr="00C6243E" w:rsidRDefault="00CE74DF" w:rsidP="00F92DA3">
            <w:pPr>
              <w:keepNext/>
              <w:keepLines/>
              <w:spacing w:before="20" w:after="20"/>
              <w:jc w:val="center"/>
              <w:rPr>
                <w:rFonts w:cs="Calibri Light"/>
                <w:b/>
                <w:sz w:val="20"/>
                <w:szCs w:val="20"/>
              </w:rPr>
            </w:pPr>
            <w:r>
              <w:rPr>
                <w:rFonts w:cs="Calibri Light"/>
                <w:b/>
                <w:sz w:val="20"/>
                <w:szCs w:val="20"/>
              </w:rPr>
              <w:t>Fuel Source</w:t>
            </w:r>
          </w:p>
        </w:tc>
        <w:tc>
          <w:tcPr>
            <w:tcW w:w="1815" w:type="dxa"/>
            <w:shd w:val="clear" w:color="auto" w:fill="F2F2F2" w:themeFill="background1" w:themeFillShade="F2"/>
            <w:vAlign w:val="center"/>
          </w:tcPr>
          <w:p w14:paraId="2ACEF58E" w14:textId="77777777" w:rsidR="00CE74DF" w:rsidRDefault="00CE74DF" w:rsidP="00F92DA3">
            <w:pPr>
              <w:keepNext/>
              <w:keepLines/>
              <w:spacing w:before="20" w:after="20"/>
              <w:jc w:val="center"/>
              <w:rPr>
                <w:rFonts w:cs="Calibri Light"/>
                <w:b/>
                <w:sz w:val="20"/>
                <w:szCs w:val="20"/>
              </w:rPr>
            </w:pPr>
            <w:r>
              <w:rPr>
                <w:rFonts w:cs="Calibri Light"/>
                <w:b/>
                <w:sz w:val="20"/>
                <w:szCs w:val="20"/>
              </w:rPr>
              <w:t>Efficiency (Cooking)</w:t>
            </w:r>
          </w:p>
        </w:tc>
        <w:tc>
          <w:tcPr>
            <w:tcW w:w="1388" w:type="dxa"/>
            <w:shd w:val="clear" w:color="auto" w:fill="F2F2F2" w:themeFill="background1" w:themeFillShade="F2"/>
            <w:vAlign w:val="center"/>
          </w:tcPr>
          <w:p w14:paraId="34959D26" w14:textId="77777777" w:rsidR="00CE74DF" w:rsidRDefault="00CE74DF" w:rsidP="00F92DA3">
            <w:pPr>
              <w:keepNext/>
              <w:keepLines/>
              <w:spacing w:before="20" w:after="20"/>
              <w:jc w:val="center"/>
              <w:rPr>
                <w:rFonts w:cs="Calibri Light"/>
                <w:b/>
                <w:sz w:val="20"/>
                <w:szCs w:val="20"/>
              </w:rPr>
            </w:pPr>
            <w:r>
              <w:rPr>
                <w:rFonts w:cs="Calibri Light"/>
                <w:b/>
                <w:sz w:val="20"/>
              </w:rPr>
              <w:t>kWh</w:t>
            </w:r>
          </w:p>
        </w:tc>
      </w:tr>
      <w:tr w:rsidR="00CE74DF" w:rsidRPr="00C6243E" w14:paraId="70A685CE" w14:textId="77777777" w:rsidTr="008277A2">
        <w:trPr>
          <w:cantSplit/>
          <w:trHeight w:val="8"/>
          <w:jc w:val="center"/>
        </w:trPr>
        <w:tc>
          <w:tcPr>
            <w:tcW w:w="3090" w:type="dxa"/>
            <w:shd w:val="clear" w:color="auto" w:fill="auto"/>
            <w:vAlign w:val="center"/>
          </w:tcPr>
          <w:p w14:paraId="16FB0BC9" w14:textId="77777777" w:rsidR="00CE74DF" w:rsidRPr="00107398" w:rsidRDefault="00CE74DF" w:rsidP="00F92DA3">
            <w:pPr>
              <w:keepNext/>
              <w:keepLines/>
              <w:spacing w:before="20" w:after="20"/>
              <w:jc w:val="center"/>
              <w:rPr>
                <w:rFonts w:cs="Calibri Light"/>
                <w:sz w:val="18"/>
                <w:szCs w:val="18"/>
              </w:rPr>
            </w:pPr>
            <w:r w:rsidRPr="00107398">
              <w:rPr>
                <w:rFonts w:cs="Calibri Light"/>
                <w:sz w:val="18"/>
                <w:szCs w:val="18"/>
              </w:rPr>
              <w:t xml:space="preserve">Electric Resistance </w:t>
            </w:r>
            <w:r>
              <w:rPr>
                <w:rFonts w:cs="Calibri Light"/>
                <w:sz w:val="18"/>
                <w:szCs w:val="18"/>
              </w:rPr>
              <w:t>Cooktop</w:t>
            </w:r>
          </w:p>
        </w:tc>
        <w:tc>
          <w:tcPr>
            <w:tcW w:w="1708" w:type="dxa"/>
            <w:shd w:val="clear" w:color="auto" w:fill="auto"/>
            <w:vAlign w:val="center"/>
          </w:tcPr>
          <w:p w14:paraId="37FFE6B3" w14:textId="77777777" w:rsidR="00CE74DF" w:rsidRPr="00107398" w:rsidRDefault="00CE74DF" w:rsidP="00F92DA3">
            <w:pPr>
              <w:keepNext/>
              <w:keepLines/>
              <w:spacing w:before="20" w:after="20"/>
              <w:jc w:val="center"/>
              <w:rPr>
                <w:rFonts w:cs="Calibri Light"/>
                <w:sz w:val="18"/>
                <w:szCs w:val="18"/>
              </w:rPr>
            </w:pPr>
            <w:r w:rsidRPr="00107398">
              <w:rPr>
                <w:rFonts w:cs="Calibri Light"/>
                <w:sz w:val="18"/>
                <w:szCs w:val="18"/>
              </w:rPr>
              <w:t>Electricity</w:t>
            </w:r>
          </w:p>
        </w:tc>
        <w:tc>
          <w:tcPr>
            <w:tcW w:w="1815" w:type="dxa"/>
            <w:vAlign w:val="center"/>
          </w:tcPr>
          <w:p w14:paraId="6F424235" w14:textId="77777777" w:rsidR="00CE74DF" w:rsidRPr="00107398" w:rsidRDefault="00CE74DF" w:rsidP="00F92DA3">
            <w:pPr>
              <w:keepNext/>
              <w:keepLines/>
              <w:spacing w:before="20" w:after="20"/>
              <w:jc w:val="center"/>
              <w:rPr>
                <w:rFonts w:cs="Calibri Light"/>
                <w:sz w:val="18"/>
                <w:szCs w:val="18"/>
              </w:rPr>
            </w:pPr>
            <w:r w:rsidRPr="00107398">
              <w:rPr>
                <w:rFonts w:cs="Calibri Light"/>
                <w:sz w:val="18"/>
                <w:szCs w:val="18"/>
              </w:rPr>
              <w:t>74%</w:t>
            </w:r>
            <w:r>
              <w:rPr>
                <w:rStyle w:val="FootnoteReference"/>
                <w:rFonts w:cs="Calibri Light"/>
                <w:sz w:val="18"/>
                <w:szCs w:val="18"/>
              </w:rPr>
              <w:footnoteReference w:id="20"/>
            </w:r>
          </w:p>
        </w:tc>
        <w:tc>
          <w:tcPr>
            <w:tcW w:w="1388" w:type="dxa"/>
            <w:vAlign w:val="center"/>
          </w:tcPr>
          <w:p w14:paraId="0EE13478" w14:textId="77777777" w:rsidR="00CE74DF" w:rsidRPr="002E2AC0" w:rsidRDefault="00CE74DF" w:rsidP="00F92DA3">
            <w:pPr>
              <w:keepNext/>
              <w:keepLines/>
              <w:spacing w:before="20" w:after="20"/>
              <w:jc w:val="center"/>
              <w:rPr>
                <w:rFonts w:cs="Calibri Light"/>
                <w:sz w:val="18"/>
                <w:szCs w:val="18"/>
              </w:rPr>
            </w:pPr>
            <w:r w:rsidRPr="00107398">
              <w:rPr>
                <w:rFonts w:cs="Calibri Light"/>
                <w:sz w:val="18"/>
                <w:szCs w:val="18"/>
              </w:rPr>
              <w:t>102.00</w:t>
            </w:r>
            <w:r>
              <w:rPr>
                <w:rStyle w:val="FootnoteReference"/>
                <w:rFonts w:cs="Calibri Light"/>
                <w:sz w:val="18"/>
                <w:szCs w:val="18"/>
              </w:rPr>
              <w:footnoteReference w:id="21"/>
            </w:r>
          </w:p>
        </w:tc>
      </w:tr>
      <w:tr w:rsidR="00CE74DF" w:rsidRPr="00C6243E" w14:paraId="313AE0E8" w14:textId="77777777" w:rsidTr="008277A2">
        <w:trPr>
          <w:cantSplit/>
          <w:trHeight w:val="8"/>
          <w:jc w:val="center"/>
        </w:trPr>
        <w:tc>
          <w:tcPr>
            <w:tcW w:w="3090" w:type="dxa"/>
            <w:shd w:val="clear" w:color="auto" w:fill="auto"/>
            <w:vAlign w:val="center"/>
          </w:tcPr>
          <w:p w14:paraId="3F68221A" w14:textId="77777777" w:rsidR="00CE74DF" w:rsidRPr="00107398" w:rsidRDefault="00CE74DF" w:rsidP="00F92DA3">
            <w:pPr>
              <w:keepNext/>
              <w:keepLines/>
              <w:spacing w:before="20" w:after="20"/>
              <w:jc w:val="center"/>
              <w:rPr>
                <w:rFonts w:cs="Calibri Light"/>
                <w:sz w:val="18"/>
                <w:szCs w:val="18"/>
              </w:rPr>
            </w:pPr>
            <w:r w:rsidRPr="00107398">
              <w:rPr>
                <w:rFonts w:cs="Calibri Light"/>
                <w:sz w:val="18"/>
                <w:szCs w:val="18"/>
              </w:rPr>
              <w:t xml:space="preserve">Induction </w:t>
            </w:r>
            <w:r>
              <w:rPr>
                <w:rFonts w:cs="Calibri Light"/>
                <w:sz w:val="18"/>
                <w:szCs w:val="18"/>
              </w:rPr>
              <w:t>Cooktop</w:t>
            </w:r>
          </w:p>
        </w:tc>
        <w:tc>
          <w:tcPr>
            <w:tcW w:w="1708" w:type="dxa"/>
            <w:shd w:val="clear" w:color="auto" w:fill="auto"/>
            <w:vAlign w:val="center"/>
          </w:tcPr>
          <w:p w14:paraId="18F11970" w14:textId="77777777" w:rsidR="00CE74DF" w:rsidRPr="00107398" w:rsidRDefault="00CE74DF" w:rsidP="00F92DA3">
            <w:pPr>
              <w:keepNext/>
              <w:keepLines/>
              <w:spacing w:before="20" w:after="20"/>
              <w:jc w:val="center"/>
              <w:rPr>
                <w:rFonts w:cs="Calibri Light"/>
                <w:sz w:val="18"/>
                <w:szCs w:val="18"/>
              </w:rPr>
            </w:pPr>
            <w:r w:rsidRPr="00107398">
              <w:rPr>
                <w:rFonts w:cs="Calibri Light"/>
                <w:sz w:val="18"/>
                <w:szCs w:val="18"/>
              </w:rPr>
              <w:t>Electricity</w:t>
            </w:r>
          </w:p>
        </w:tc>
        <w:tc>
          <w:tcPr>
            <w:tcW w:w="1815" w:type="dxa"/>
            <w:vAlign w:val="center"/>
          </w:tcPr>
          <w:p w14:paraId="746996EE" w14:textId="77777777" w:rsidR="00CE74DF" w:rsidRPr="00107398" w:rsidRDefault="00CE74DF" w:rsidP="00F92DA3">
            <w:pPr>
              <w:keepNext/>
              <w:keepLines/>
              <w:spacing w:before="20" w:after="20"/>
              <w:jc w:val="center"/>
              <w:rPr>
                <w:rFonts w:cs="Calibri Light"/>
                <w:sz w:val="18"/>
                <w:szCs w:val="18"/>
              </w:rPr>
            </w:pPr>
            <w:r w:rsidRPr="00107398">
              <w:rPr>
                <w:rFonts w:cs="Calibri Light"/>
                <w:sz w:val="18"/>
                <w:szCs w:val="18"/>
              </w:rPr>
              <w:t>84%</w:t>
            </w:r>
            <w:r>
              <w:rPr>
                <w:rStyle w:val="FootnoteReference"/>
                <w:rFonts w:cs="Calibri Light"/>
                <w:sz w:val="18"/>
                <w:szCs w:val="18"/>
              </w:rPr>
              <w:footnoteReference w:id="22"/>
            </w:r>
          </w:p>
        </w:tc>
        <w:tc>
          <w:tcPr>
            <w:tcW w:w="1388" w:type="dxa"/>
            <w:vAlign w:val="center"/>
          </w:tcPr>
          <w:p w14:paraId="78676281" w14:textId="77777777" w:rsidR="00CE74DF" w:rsidRPr="002E2AC0" w:rsidRDefault="00CE74DF" w:rsidP="00F92DA3">
            <w:pPr>
              <w:keepNext/>
              <w:keepLines/>
              <w:spacing w:before="20" w:after="20"/>
              <w:jc w:val="center"/>
              <w:rPr>
                <w:rFonts w:cs="Calibri Light"/>
                <w:sz w:val="18"/>
                <w:szCs w:val="18"/>
              </w:rPr>
            </w:pPr>
            <w:r w:rsidRPr="00107398">
              <w:rPr>
                <w:rFonts w:cs="Calibri Light"/>
                <w:sz w:val="18"/>
                <w:szCs w:val="18"/>
              </w:rPr>
              <w:t>89.86</w:t>
            </w:r>
            <w:r>
              <w:rPr>
                <w:rStyle w:val="FootnoteReference"/>
                <w:rFonts w:cs="Calibri Light"/>
                <w:sz w:val="18"/>
                <w:szCs w:val="18"/>
              </w:rPr>
              <w:footnoteReference w:id="23"/>
            </w:r>
          </w:p>
        </w:tc>
      </w:tr>
    </w:tbl>
    <w:p w14:paraId="1719C111" w14:textId="362C9E7E" w:rsidR="00DC7303" w:rsidRDefault="00DC7303">
      <w:pPr>
        <w:spacing w:before="0" w:after="0" w:line="240" w:lineRule="auto"/>
        <w:rPr>
          <w:rFonts w:cs="Calibri Light"/>
          <w:szCs w:val="22"/>
        </w:rPr>
      </w:pPr>
    </w:p>
    <w:p w14:paraId="625A02F0" w14:textId="77777777" w:rsidR="00CE74DF" w:rsidRDefault="00CE74DF" w:rsidP="00CE74DF">
      <w:pPr>
        <w:rPr>
          <w:rFonts w:cs="Calibri Light"/>
          <w:b/>
          <w:szCs w:val="22"/>
        </w:rPr>
      </w:pPr>
      <w:r>
        <w:rPr>
          <w:rFonts w:cs="Calibri Light"/>
          <w:b/>
          <w:szCs w:val="22"/>
        </w:rPr>
        <w:t>Total Consumption and Savings</w:t>
      </w:r>
    </w:p>
    <w:p w14:paraId="322FA63A" w14:textId="05F622E7" w:rsidR="00CE74DF" w:rsidRDefault="00CE74DF" w:rsidP="00CE74DF">
      <w:pPr>
        <w:rPr>
          <w:rFonts w:cs="Calibri Light"/>
          <w:szCs w:val="22"/>
        </w:rPr>
      </w:pPr>
      <w:r>
        <w:rPr>
          <w:rFonts w:cs="Calibri Light"/>
          <w:szCs w:val="22"/>
        </w:rPr>
        <w:t xml:space="preserve">Saving impacts calculated </w:t>
      </w:r>
      <w:r w:rsidR="003B1D94">
        <w:rPr>
          <w:rFonts w:cs="Calibri Light"/>
          <w:szCs w:val="22"/>
        </w:rPr>
        <w:t>for</w:t>
      </w:r>
      <w:r>
        <w:rPr>
          <w:rFonts w:cs="Calibri Light"/>
          <w:szCs w:val="22"/>
        </w:rPr>
        <w:t xml:space="preserve"> </w:t>
      </w:r>
      <w:r w:rsidR="00F92DA3">
        <w:rPr>
          <w:rFonts w:cs="Calibri Light"/>
          <w:szCs w:val="22"/>
        </w:rPr>
        <w:t>electric to induction measures</w:t>
      </w:r>
      <w:r>
        <w:rPr>
          <w:rFonts w:cs="Calibri Light"/>
          <w:szCs w:val="22"/>
        </w:rPr>
        <w:t xml:space="preserve"> are found below. These exclude HVAC IE or savings due to reduced kitchen hood consumption. </w:t>
      </w:r>
      <w:r w:rsidR="00A35BDF" w:rsidRPr="00F640C1">
        <w:rPr>
          <w:rFonts w:cs="Calibri Light"/>
        </w:rPr>
        <w:t xml:space="preserve">Range ovens have separate cooking efficiencies from cooktops. Ranges with induction and electric resistance cooktops both have electric resistance oven components; thus, baseline to measure cooking efficiencies for ovens are equivalent and are not included </w:t>
      </w:r>
      <w:r w:rsidR="00A35BDF" w:rsidRPr="00F640C1">
        <w:rPr>
          <w:rFonts w:cs="Calibri Light"/>
        </w:rPr>
        <w:lastRenderedPageBreak/>
        <w:t>in the savings calculations of this workpaper.</w:t>
      </w:r>
      <w:r w:rsidR="00A35BDF">
        <w:rPr>
          <w:rFonts w:cs="Calibri Light"/>
        </w:rPr>
        <w:t xml:space="preserve"> Costing is calculated separately for the two measures as the inclusion of an oven does impact cost</w:t>
      </w:r>
    </w:p>
    <w:p w14:paraId="6908CE44" w14:textId="77777777" w:rsidR="00CE74DF" w:rsidRDefault="00CE74DF" w:rsidP="00CE74DF">
      <w:pPr>
        <w:rPr>
          <w:rFonts w:cs="Calibri Light"/>
          <w:szCs w:val="22"/>
        </w:rPr>
      </w:pPr>
    </w:p>
    <w:tbl>
      <w:tblPr>
        <w:tblW w:w="9715"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3596"/>
        <w:gridCol w:w="2069"/>
        <w:gridCol w:w="2113"/>
        <w:gridCol w:w="1937"/>
      </w:tblGrid>
      <w:tr w:rsidR="00206ABF" w:rsidRPr="00C6243E" w14:paraId="087CC400" w14:textId="77777777" w:rsidTr="008277A2">
        <w:trPr>
          <w:cantSplit/>
          <w:trHeight w:val="554"/>
          <w:jc w:val="center"/>
        </w:trPr>
        <w:tc>
          <w:tcPr>
            <w:tcW w:w="3596" w:type="dxa"/>
            <w:shd w:val="clear" w:color="auto" w:fill="F2F2F2" w:themeFill="background1" w:themeFillShade="F2"/>
            <w:vAlign w:val="center"/>
          </w:tcPr>
          <w:p w14:paraId="11DE06AF" w14:textId="77777777" w:rsidR="00206ABF" w:rsidRPr="00C6243E" w:rsidRDefault="00206ABF" w:rsidP="00F92DA3">
            <w:pPr>
              <w:keepNext/>
              <w:keepLines/>
              <w:spacing w:before="20" w:after="20"/>
              <w:rPr>
                <w:rFonts w:cs="Calibri Light"/>
                <w:b/>
                <w:sz w:val="20"/>
                <w:szCs w:val="20"/>
              </w:rPr>
            </w:pPr>
            <w:r>
              <w:rPr>
                <w:rFonts w:cs="Calibri Light"/>
                <w:b/>
                <w:sz w:val="20"/>
              </w:rPr>
              <w:t>Measure</w:t>
            </w:r>
          </w:p>
        </w:tc>
        <w:tc>
          <w:tcPr>
            <w:tcW w:w="2069" w:type="dxa"/>
            <w:shd w:val="clear" w:color="auto" w:fill="F2F2F2" w:themeFill="background1" w:themeFillShade="F2"/>
            <w:vAlign w:val="center"/>
          </w:tcPr>
          <w:p w14:paraId="39FB237F" w14:textId="77777777" w:rsidR="00206ABF" w:rsidRPr="008277A2" w:rsidRDefault="00206ABF" w:rsidP="00F92DA3">
            <w:pPr>
              <w:keepNext/>
              <w:keepLines/>
              <w:spacing w:before="20" w:after="20"/>
              <w:jc w:val="center"/>
              <w:rPr>
                <w:rFonts w:cs="Calibri Light"/>
                <w:b/>
                <w:sz w:val="20"/>
              </w:rPr>
            </w:pPr>
            <w:r w:rsidRPr="00142FC9">
              <w:rPr>
                <w:rFonts w:cs="Calibri Light"/>
                <w:b/>
                <w:sz w:val="20"/>
                <w:szCs w:val="20"/>
              </w:rPr>
              <w:t>Baseline Consumption</w:t>
            </w:r>
          </w:p>
          <w:p w14:paraId="0DB32458" w14:textId="445C96FC" w:rsidR="00206ABF" w:rsidRPr="00142FC9" w:rsidRDefault="00206ABF" w:rsidP="00206ABF">
            <w:pPr>
              <w:keepNext/>
              <w:keepLines/>
              <w:spacing w:before="20" w:after="20"/>
              <w:jc w:val="center"/>
              <w:rPr>
                <w:rFonts w:cs="Calibri Light"/>
                <w:b/>
                <w:sz w:val="20"/>
              </w:rPr>
            </w:pPr>
            <w:r w:rsidRPr="008277A2">
              <w:rPr>
                <w:rFonts w:cs="Calibri Light"/>
                <w:b/>
                <w:sz w:val="18"/>
                <w:szCs w:val="18"/>
              </w:rPr>
              <w:t>[</w:t>
            </w:r>
            <w:r w:rsidRPr="00142FC9">
              <w:rPr>
                <w:rFonts w:cs="Calibri Light"/>
                <w:b/>
                <w:sz w:val="18"/>
                <w:szCs w:val="18"/>
              </w:rPr>
              <w:t>kWh</w:t>
            </w:r>
            <w:r w:rsidRPr="008277A2">
              <w:rPr>
                <w:rFonts w:cs="Calibri Light"/>
                <w:b/>
                <w:sz w:val="18"/>
                <w:szCs w:val="18"/>
              </w:rPr>
              <w:t>]</w:t>
            </w:r>
          </w:p>
        </w:tc>
        <w:tc>
          <w:tcPr>
            <w:tcW w:w="2113" w:type="dxa"/>
            <w:shd w:val="clear" w:color="auto" w:fill="F2F2F2" w:themeFill="background1" w:themeFillShade="F2"/>
          </w:tcPr>
          <w:p w14:paraId="428C70CE" w14:textId="77777777" w:rsidR="00206ABF" w:rsidRPr="008277A2" w:rsidRDefault="00206ABF" w:rsidP="00F92DA3">
            <w:pPr>
              <w:keepNext/>
              <w:keepLines/>
              <w:spacing w:before="20" w:after="20"/>
              <w:jc w:val="center"/>
              <w:rPr>
                <w:rFonts w:cs="Calibri Light"/>
                <w:b/>
                <w:sz w:val="20"/>
              </w:rPr>
            </w:pPr>
            <w:r w:rsidRPr="00142FC9">
              <w:rPr>
                <w:rFonts w:cs="Calibri Light"/>
                <w:b/>
                <w:sz w:val="20"/>
              </w:rPr>
              <w:t>Measure Consumption</w:t>
            </w:r>
          </w:p>
          <w:p w14:paraId="2C86035C" w14:textId="7136B6E5" w:rsidR="00206ABF" w:rsidRPr="00142FC9" w:rsidRDefault="00206ABF" w:rsidP="00206ABF">
            <w:pPr>
              <w:keepNext/>
              <w:keepLines/>
              <w:spacing w:before="20" w:after="20"/>
              <w:jc w:val="center"/>
              <w:rPr>
                <w:rFonts w:cs="Calibri Light"/>
                <w:b/>
                <w:sz w:val="20"/>
              </w:rPr>
            </w:pPr>
            <w:r w:rsidRPr="008277A2">
              <w:rPr>
                <w:rFonts w:cs="Calibri Light"/>
                <w:b/>
                <w:sz w:val="18"/>
                <w:szCs w:val="18"/>
              </w:rPr>
              <w:t>[</w:t>
            </w:r>
            <w:r w:rsidRPr="00142FC9">
              <w:rPr>
                <w:rFonts w:cs="Calibri Light"/>
                <w:b/>
                <w:sz w:val="18"/>
                <w:szCs w:val="18"/>
              </w:rPr>
              <w:t>kWh</w:t>
            </w:r>
            <w:r w:rsidRPr="008277A2">
              <w:rPr>
                <w:rFonts w:cs="Calibri Light"/>
                <w:b/>
                <w:sz w:val="18"/>
                <w:szCs w:val="18"/>
              </w:rPr>
              <w:t>]</w:t>
            </w:r>
          </w:p>
        </w:tc>
        <w:tc>
          <w:tcPr>
            <w:tcW w:w="1937" w:type="dxa"/>
            <w:shd w:val="clear" w:color="auto" w:fill="F2F2F2" w:themeFill="background1" w:themeFillShade="F2"/>
          </w:tcPr>
          <w:p w14:paraId="18B4001D" w14:textId="77777777" w:rsidR="00206ABF" w:rsidRPr="008277A2" w:rsidRDefault="00206ABF" w:rsidP="00F92DA3">
            <w:pPr>
              <w:keepNext/>
              <w:keepLines/>
              <w:spacing w:before="20" w:after="20"/>
              <w:jc w:val="center"/>
              <w:rPr>
                <w:rFonts w:cs="Calibri Light"/>
                <w:b/>
                <w:sz w:val="20"/>
              </w:rPr>
            </w:pPr>
            <w:r w:rsidRPr="00142FC9">
              <w:rPr>
                <w:rFonts w:cs="Calibri Light"/>
                <w:b/>
                <w:sz w:val="20"/>
              </w:rPr>
              <w:t>Measure Savings</w:t>
            </w:r>
          </w:p>
          <w:p w14:paraId="2C3BAD86" w14:textId="0F107C35" w:rsidR="00206ABF" w:rsidRPr="00142FC9" w:rsidRDefault="00206ABF" w:rsidP="00206ABF">
            <w:pPr>
              <w:keepNext/>
              <w:keepLines/>
              <w:spacing w:before="20" w:after="20"/>
              <w:jc w:val="center"/>
              <w:rPr>
                <w:rFonts w:cs="Calibri Light"/>
                <w:b/>
                <w:sz w:val="20"/>
              </w:rPr>
            </w:pPr>
            <w:r w:rsidRPr="008277A2">
              <w:rPr>
                <w:rFonts w:cs="Calibri Light"/>
                <w:b/>
                <w:sz w:val="18"/>
                <w:szCs w:val="18"/>
              </w:rPr>
              <w:t>[</w:t>
            </w:r>
            <w:r w:rsidRPr="00142FC9">
              <w:rPr>
                <w:rFonts w:cs="Calibri Light"/>
                <w:b/>
                <w:sz w:val="18"/>
                <w:szCs w:val="18"/>
              </w:rPr>
              <w:t>kWh</w:t>
            </w:r>
            <w:r w:rsidRPr="008277A2">
              <w:rPr>
                <w:rFonts w:cs="Calibri Light"/>
                <w:b/>
                <w:sz w:val="18"/>
                <w:szCs w:val="18"/>
              </w:rPr>
              <w:t>]</w:t>
            </w:r>
          </w:p>
        </w:tc>
      </w:tr>
      <w:tr w:rsidR="00206ABF" w:rsidRPr="00C6243E" w14:paraId="30E56847" w14:textId="77777777" w:rsidTr="008277A2">
        <w:trPr>
          <w:cantSplit/>
          <w:trHeight w:val="18"/>
          <w:jc w:val="center"/>
        </w:trPr>
        <w:tc>
          <w:tcPr>
            <w:tcW w:w="3596" w:type="dxa"/>
            <w:shd w:val="clear" w:color="auto" w:fill="auto"/>
          </w:tcPr>
          <w:p w14:paraId="042EE1EE" w14:textId="0679B0A9" w:rsidR="00206ABF" w:rsidRPr="00C6243E" w:rsidRDefault="00206ABF" w:rsidP="00F92DA3">
            <w:pPr>
              <w:keepNext/>
              <w:keepLines/>
              <w:spacing w:before="20" w:after="20"/>
              <w:rPr>
                <w:rFonts w:cs="Calibri Light"/>
                <w:sz w:val="20"/>
                <w:szCs w:val="20"/>
              </w:rPr>
            </w:pPr>
            <w:r>
              <w:rPr>
                <w:rFonts w:cs="Calibri Light"/>
                <w:sz w:val="20"/>
                <w:szCs w:val="20"/>
              </w:rPr>
              <w:t>Electric to Induction Cooking Appliance</w:t>
            </w:r>
          </w:p>
        </w:tc>
        <w:tc>
          <w:tcPr>
            <w:tcW w:w="2069" w:type="dxa"/>
            <w:shd w:val="clear" w:color="auto" w:fill="auto"/>
          </w:tcPr>
          <w:p w14:paraId="6C34899A" w14:textId="33D43E2D" w:rsidR="00206ABF" w:rsidRPr="00744A5B" w:rsidRDefault="00206ABF" w:rsidP="00F92DA3">
            <w:pPr>
              <w:keepNext/>
              <w:keepLines/>
              <w:spacing w:before="20" w:after="20"/>
              <w:jc w:val="center"/>
              <w:rPr>
                <w:rFonts w:cs="Calibri Light"/>
                <w:sz w:val="18"/>
                <w:szCs w:val="18"/>
              </w:rPr>
            </w:pPr>
            <w:r>
              <w:rPr>
                <w:rFonts w:cs="Calibri Light"/>
                <w:sz w:val="18"/>
                <w:szCs w:val="18"/>
              </w:rPr>
              <w:t>102.0</w:t>
            </w:r>
            <w:r w:rsidR="00CB688F">
              <w:rPr>
                <w:rFonts w:cs="Calibri Light"/>
                <w:sz w:val="18"/>
                <w:szCs w:val="18"/>
              </w:rPr>
              <w:t>0</w:t>
            </w:r>
          </w:p>
        </w:tc>
        <w:tc>
          <w:tcPr>
            <w:tcW w:w="2113" w:type="dxa"/>
          </w:tcPr>
          <w:p w14:paraId="43238B3F" w14:textId="0EBD4917" w:rsidR="00206ABF" w:rsidRPr="00744A5B" w:rsidRDefault="00206ABF" w:rsidP="00F92DA3">
            <w:pPr>
              <w:keepNext/>
              <w:keepLines/>
              <w:spacing w:before="20" w:after="20"/>
              <w:jc w:val="center"/>
              <w:rPr>
                <w:rFonts w:cs="Calibri Light"/>
                <w:sz w:val="18"/>
                <w:szCs w:val="18"/>
              </w:rPr>
            </w:pPr>
            <w:r>
              <w:rPr>
                <w:rFonts w:cs="Calibri Light"/>
                <w:sz w:val="18"/>
                <w:szCs w:val="18"/>
              </w:rPr>
              <w:t>89.</w:t>
            </w:r>
            <w:r w:rsidR="00CB688F">
              <w:rPr>
                <w:rFonts w:cs="Calibri Light"/>
                <w:sz w:val="18"/>
                <w:szCs w:val="18"/>
              </w:rPr>
              <w:t>86</w:t>
            </w:r>
          </w:p>
        </w:tc>
        <w:tc>
          <w:tcPr>
            <w:tcW w:w="1937" w:type="dxa"/>
          </w:tcPr>
          <w:p w14:paraId="6C5FC3BF" w14:textId="0EA9B686" w:rsidR="00206ABF" w:rsidRPr="002816F1" w:rsidRDefault="00206ABF" w:rsidP="00F92DA3">
            <w:pPr>
              <w:keepNext/>
              <w:keepLines/>
              <w:spacing w:before="20" w:after="20"/>
              <w:jc w:val="center"/>
              <w:rPr>
                <w:sz w:val="18"/>
                <w:szCs w:val="20"/>
              </w:rPr>
            </w:pPr>
            <w:r>
              <w:rPr>
                <w:sz w:val="18"/>
                <w:szCs w:val="20"/>
              </w:rPr>
              <w:t>12.1</w:t>
            </w:r>
            <w:r w:rsidR="00CB688F">
              <w:rPr>
                <w:sz w:val="18"/>
                <w:szCs w:val="20"/>
              </w:rPr>
              <w:t>4</w:t>
            </w:r>
          </w:p>
        </w:tc>
      </w:tr>
    </w:tbl>
    <w:p w14:paraId="02941B6D" w14:textId="61115661" w:rsidR="00641996" w:rsidRPr="00641996" w:rsidRDefault="00641996" w:rsidP="008277A2">
      <w:pPr>
        <w:rPr>
          <w:rFonts w:ascii="Cambria Math" w:hAnsi="Cambria Math"/>
          <w:i/>
          <w:sz w:val="18"/>
          <w:szCs w:val="18"/>
        </w:rPr>
      </w:pPr>
    </w:p>
    <w:p w14:paraId="6DF22810" w14:textId="1210F7C8" w:rsidR="003755BA" w:rsidRDefault="003755BA" w:rsidP="00142FC9">
      <w:pPr>
        <w:pStyle w:val="eTRMHeading3"/>
      </w:pPr>
      <w:bookmarkStart w:id="43" w:name="_Toc486490856"/>
      <w:bookmarkStart w:id="44" w:name="_Toc486580927"/>
      <w:bookmarkStart w:id="45" w:name="_Toc32819844"/>
      <w:r w:rsidRPr="00142FC9">
        <w:t>Peak Electric Demand Reduction (kW)</w:t>
      </w:r>
      <w:bookmarkEnd w:id="43"/>
      <w:bookmarkEnd w:id="44"/>
      <w:bookmarkEnd w:id="45"/>
    </w:p>
    <w:p w14:paraId="03DAD319" w14:textId="77777777" w:rsidR="00206ABF" w:rsidRDefault="00206ABF" w:rsidP="00206ABF">
      <w:r>
        <w:t>Peak demand impacts are expected from this measure. There is an expected decrease in demand when converting from electric resistance to induction technologies. However, no studies could be found with measured peak demand impacts for cooking appliance equipment.</w:t>
      </w:r>
    </w:p>
    <w:p w14:paraId="2FFE706D" w14:textId="21E77DBC" w:rsidR="003B1D94" w:rsidRDefault="00206ABF" w:rsidP="00206ABF">
      <w:r>
        <w:t xml:space="preserve">PG&amp;E’s Residential Viewer document includes residential </w:t>
      </w:r>
      <w:r w:rsidR="00DE058D">
        <w:t xml:space="preserve">hourly </w:t>
      </w:r>
      <w:r>
        <w:t>load shapes for ranges (STOVE&amp;OVEN:ALL). In order to estimate the peak demand, the energy savings (kWh) were applied to the load shape. Subsequently, the average of the hourly values for the DEER2020 peak period was calculated for each climate zone. The DEER peak period is calculated for the hours of 4:00 PM to 9:00 PM on three consecutive days specific to each climate zone.  The table below shows the DEER Peak Period days for each climate zone.</w:t>
      </w:r>
    </w:p>
    <w:p w14:paraId="6522488D" w14:textId="019E5241" w:rsidR="00206ABF" w:rsidRDefault="00206ABF" w:rsidP="00206ABF"/>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785"/>
        <w:gridCol w:w="2250"/>
        <w:gridCol w:w="2160"/>
        <w:gridCol w:w="2160"/>
      </w:tblGrid>
      <w:tr w:rsidR="00206ABF" w:rsidRPr="00C6243E" w14:paraId="3853ECC0" w14:textId="77777777" w:rsidTr="00CB688F">
        <w:trPr>
          <w:cantSplit/>
          <w:trHeight w:val="20"/>
        </w:trPr>
        <w:tc>
          <w:tcPr>
            <w:tcW w:w="2785" w:type="dxa"/>
            <w:shd w:val="clear" w:color="auto" w:fill="F2F2F2" w:themeFill="background1" w:themeFillShade="F2"/>
            <w:vAlign w:val="center"/>
          </w:tcPr>
          <w:p w14:paraId="0B39D197" w14:textId="77777777" w:rsidR="00206ABF" w:rsidRPr="00F91A39" w:rsidRDefault="00206ABF" w:rsidP="00CB688F">
            <w:pPr>
              <w:keepNext/>
              <w:keepLines/>
              <w:spacing w:before="20" w:after="20"/>
              <w:jc w:val="center"/>
              <w:rPr>
                <w:rFonts w:cs="Calibri Light"/>
                <w:b/>
              </w:rPr>
            </w:pPr>
            <w:r w:rsidRPr="00F91A39">
              <w:rPr>
                <w:rFonts w:cs="Calibri Light"/>
                <w:b/>
              </w:rPr>
              <w:t>Climate Zone</w:t>
            </w:r>
          </w:p>
        </w:tc>
        <w:tc>
          <w:tcPr>
            <w:tcW w:w="2250" w:type="dxa"/>
            <w:shd w:val="clear" w:color="auto" w:fill="F2F2F2" w:themeFill="background1" w:themeFillShade="F2"/>
            <w:vAlign w:val="center"/>
          </w:tcPr>
          <w:p w14:paraId="442A53FD" w14:textId="77777777" w:rsidR="00206ABF" w:rsidRPr="00F91A39" w:rsidRDefault="00206ABF" w:rsidP="00CB688F">
            <w:pPr>
              <w:keepNext/>
              <w:keepLines/>
              <w:spacing w:before="20" w:after="20"/>
              <w:jc w:val="center"/>
              <w:rPr>
                <w:rFonts w:cs="Calibri Light"/>
                <w:b/>
              </w:rPr>
            </w:pPr>
            <w:r w:rsidRPr="00F91A39">
              <w:rPr>
                <w:rFonts w:cs="Calibri Light"/>
                <w:b/>
              </w:rPr>
              <w:t>Month</w:t>
            </w:r>
          </w:p>
        </w:tc>
        <w:tc>
          <w:tcPr>
            <w:tcW w:w="2160" w:type="dxa"/>
            <w:shd w:val="clear" w:color="auto" w:fill="F2F2F2" w:themeFill="background1" w:themeFillShade="F2"/>
            <w:vAlign w:val="center"/>
          </w:tcPr>
          <w:p w14:paraId="26E4EB5A" w14:textId="77777777" w:rsidR="00206ABF" w:rsidRPr="00F91A39" w:rsidRDefault="00206ABF" w:rsidP="00CB688F">
            <w:pPr>
              <w:keepNext/>
              <w:keepLines/>
              <w:spacing w:before="20" w:after="20"/>
              <w:jc w:val="center"/>
              <w:rPr>
                <w:rFonts w:cs="Calibri Light"/>
                <w:b/>
              </w:rPr>
            </w:pPr>
            <w:r w:rsidRPr="00F91A39">
              <w:rPr>
                <w:rFonts w:cs="Calibri Light"/>
                <w:b/>
              </w:rPr>
              <w:t>Start Day</w:t>
            </w:r>
          </w:p>
        </w:tc>
        <w:tc>
          <w:tcPr>
            <w:tcW w:w="2160" w:type="dxa"/>
            <w:shd w:val="clear" w:color="auto" w:fill="F2F2F2" w:themeFill="background1" w:themeFillShade="F2"/>
            <w:vAlign w:val="center"/>
          </w:tcPr>
          <w:p w14:paraId="37259863" w14:textId="77777777" w:rsidR="00206ABF" w:rsidRPr="00F91A39" w:rsidRDefault="00206ABF" w:rsidP="00CB688F">
            <w:pPr>
              <w:keepNext/>
              <w:keepLines/>
              <w:spacing w:before="20" w:after="20"/>
              <w:jc w:val="center"/>
              <w:rPr>
                <w:rFonts w:cs="Calibri Light"/>
                <w:b/>
              </w:rPr>
            </w:pPr>
            <w:r w:rsidRPr="00F91A39">
              <w:rPr>
                <w:rFonts w:cs="Calibri Light"/>
                <w:b/>
              </w:rPr>
              <w:t>End Day</w:t>
            </w:r>
          </w:p>
        </w:tc>
      </w:tr>
      <w:tr w:rsidR="00206ABF" w:rsidRPr="00C6243E" w14:paraId="27A6168B" w14:textId="77777777" w:rsidTr="00CB688F">
        <w:trPr>
          <w:cantSplit/>
          <w:trHeight w:val="20"/>
        </w:trPr>
        <w:tc>
          <w:tcPr>
            <w:tcW w:w="2785" w:type="dxa"/>
            <w:shd w:val="clear" w:color="auto" w:fill="auto"/>
          </w:tcPr>
          <w:p w14:paraId="06AE52FA"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CZ01</w:t>
            </w:r>
          </w:p>
        </w:tc>
        <w:tc>
          <w:tcPr>
            <w:tcW w:w="2250" w:type="dxa"/>
            <w:shd w:val="clear" w:color="auto" w:fill="auto"/>
          </w:tcPr>
          <w:p w14:paraId="68B1F066"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0D606002"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16</w:t>
            </w:r>
          </w:p>
        </w:tc>
        <w:tc>
          <w:tcPr>
            <w:tcW w:w="2160" w:type="dxa"/>
          </w:tcPr>
          <w:p w14:paraId="454FF63B"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18</w:t>
            </w:r>
          </w:p>
        </w:tc>
      </w:tr>
      <w:tr w:rsidR="00206ABF" w:rsidRPr="00C6243E" w14:paraId="1BA2DABD" w14:textId="77777777" w:rsidTr="00CB688F">
        <w:trPr>
          <w:cantSplit/>
          <w:trHeight w:val="20"/>
        </w:trPr>
        <w:tc>
          <w:tcPr>
            <w:tcW w:w="2785" w:type="dxa"/>
            <w:shd w:val="clear" w:color="auto" w:fill="auto"/>
          </w:tcPr>
          <w:p w14:paraId="29BB958F"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CZ02</w:t>
            </w:r>
          </w:p>
        </w:tc>
        <w:tc>
          <w:tcPr>
            <w:tcW w:w="2250" w:type="dxa"/>
            <w:shd w:val="clear" w:color="auto" w:fill="auto"/>
          </w:tcPr>
          <w:p w14:paraId="1C65583B"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7</w:t>
            </w:r>
          </w:p>
        </w:tc>
        <w:tc>
          <w:tcPr>
            <w:tcW w:w="2160" w:type="dxa"/>
            <w:shd w:val="clear" w:color="auto" w:fill="auto"/>
          </w:tcPr>
          <w:p w14:paraId="76F69BA2"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8</w:t>
            </w:r>
          </w:p>
        </w:tc>
        <w:tc>
          <w:tcPr>
            <w:tcW w:w="2160" w:type="dxa"/>
          </w:tcPr>
          <w:p w14:paraId="6DBD8BA3"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10</w:t>
            </w:r>
          </w:p>
        </w:tc>
      </w:tr>
      <w:tr w:rsidR="00206ABF" w:rsidRPr="00C6243E" w14:paraId="3CE49183" w14:textId="77777777" w:rsidTr="00CB688F">
        <w:trPr>
          <w:cantSplit/>
          <w:trHeight w:val="20"/>
        </w:trPr>
        <w:tc>
          <w:tcPr>
            <w:tcW w:w="2785" w:type="dxa"/>
            <w:shd w:val="clear" w:color="auto" w:fill="auto"/>
          </w:tcPr>
          <w:p w14:paraId="51AE3523"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CZ03</w:t>
            </w:r>
          </w:p>
        </w:tc>
        <w:tc>
          <w:tcPr>
            <w:tcW w:w="2250" w:type="dxa"/>
            <w:shd w:val="clear" w:color="auto" w:fill="auto"/>
          </w:tcPr>
          <w:p w14:paraId="23396D90"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7</w:t>
            </w:r>
          </w:p>
        </w:tc>
        <w:tc>
          <w:tcPr>
            <w:tcW w:w="2160" w:type="dxa"/>
            <w:shd w:val="clear" w:color="auto" w:fill="auto"/>
          </w:tcPr>
          <w:p w14:paraId="6D2CEBBA"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8</w:t>
            </w:r>
          </w:p>
        </w:tc>
        <w:tc>
          <w:tcPr>
            <w:tcW w:w="2160" w:type="dxa"/>
          </w:tcPr>
          <w:p w14:paraId="6F5C242C"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10</w:t>
            </w:r>
          </w:p>
        </w:tc>
      </w:tr>
      <w:tr w:rsidR="00206ABF" w:rsidRPr="00C6243E" w14:paraId="3C8E6A1E" w14:textId="77777777" w:rsidTr="00CB688F">
        <w:trPr>
          <w:cantSplit/>
          <w:trHeight w:val="20"/>
        </w:trPr>
        <w:tc>
          <w:tcPr>
            <w:tcW w:w="2785" w:type="dxa"/>
            <w:shd w:val="clear" w:color="auto" w:fill="auto"/>
          </w:tcPr>
          <w:p w14:paraId="27AF2D3A"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CZ04</w:t>
            </w:r>
          </w:p>
        </w:tc>
        <w:tc>
          <w:tcPr>
            <w:tcW w:w="2250" w:type="dxa"/>
            <w:shd w:val="clear" w:color="auto" w:fill="auto"/>
          </w:tcPr>
          <w:p w14:paraId="0666CD5C"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30E0FA3F"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w:t>
            </w:r>
          </w:p>
        </w:tc>
        <w:tc>
          <w:tcPr>
            <w:tcW w:w="2160" w:type="dxa"/>
          </w:tcPr>
          <w:p w14:paraId="41ED02BA"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3</w:t>
            </w:r>
          </w:p>
        </w:tc>
      </w:tr>
      <w:tr w:rsidR="00206ABF" w:rsidRPr="00C6243E" w14:paraId="12D380D1" w14:textId="77777777" w:rsidTr="00CB688F">
        <w:trPr>
          <w:cantSplit/>
          <w:trHeight w:val="20"/>
        </w:trPr>
        <w:tc>
          <w:tcPr>
            <w:tcW w:w="2785" w:type="dxa"/>
            <w:shd w:val="clear" w:color="auto" w:fill="auto"/>
          </w:tcPr>
          <w:p w14:paraId="3E89E4DA"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CZ05</w:t>
            </w:r>
          </w:p>
        </w:tc>
        <w:tc>
          <w:tcPr>
            <w:tcW w:w="2250" w:type="dxa"/>
            <w:shd w:val="clear" w:color="auto" w:fill="auto"/>
          </w:tcPr>
          <w:p w14:paraId="4B1D64DF"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41B3AB82"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8</w:t>
            </w:r>
          </w:p>
        </w:tc>
        <w:tc>
          <w:tcPr>
            <w:tcW w:w="2160" w:type="dxa"/>
          </w:tcPr>
          <w:p w14:paraId="24C774AB"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10</w:t>
            </w:r>
          </w:p>
        </w:tc>
      </w:tr>
      <w:tr w:rsidR="00206ABF" w:rsidRPr="00C6243E" w14:paraId="03190F04" w14:textId="77777777" w:rsidTr="00CB688F">
        <w:trPr>
          <w:cantSplit/>
          <w:trHeight w:val="20"/>
        </w:trPr>
        <w:tc>
          <w:tcPr>
            <w:tcW w:w="2785" w:type="dxa"/>
            <w:shd w:val="clear" w:color="auto" w:fill="auto"/>
          </w:tcPr>
          <w:p w14:paraId="57018A59"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CZ06</w:t>
            </w:r>
          </w:p>
        </w:tc>
        <w:tc>
          <w:tcPr>
            <w:tcW w:w="2250" w:type="dxa"/>
            <w:shd w:val="clear" w:color="auto" w:fill="auto"/>
          </w:tcPr>
          <w:p w14:paraId="7125498D"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3E83A287"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w:t>
            </w:r>
          </w:p>
        </w:tc>
        <w:tc>
          <w:tcPr>
            <w:tcW w:w="2160" w:type="dxa"/>
          </w:tcPr>
          <w:p w14:paraId="5AFEFC11"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3</w:t>
            </w:r>
          </w:p>
        </w:tc>
      </w:tr>
      <w:tr w:rsidR="00206ABF" w:rsidRPr="00C6243E" w14:paraId="2F357DD3" w14:textId="77777777" w:rsidTr="00CB688F">
        <w:trPr>
          <w:cantSplit/>
          <w:trHeight w:val="20"/>
        </w:trPr>
        <w:tc>
          <w:tcPr>
            <w:tcW w:w="2785" w:type="dxa"/>
            <w:shd w:val="clear" w:color="auto" w:fill="auto"/>
          </w:tcPr>
          <w:p w14:paraId="7361C313"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CZ07</w:t>
            </w:r>
          </w:p>
        </w:tc>
        <w:tc>
          <w:tcPr>
            <w:tcW w:w="2250" w:type="dxa"/>
            <w:shd w:val="clear" w:color="auto" w:fill="auto"/>
          </w:tcPr>
          <w:p w14:paraId="088599B5"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08666B3B"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w:t>
            </w:r>
          </w:p>
        </w:tc>
        <w:tc>
          <w:tcPr>
            <w:tcW w:w="2160" w:type="dxa"/>
          </w:tcPr>
          <w:p w14:paraId="5C2C6BEE"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3</w:t>
            </w:r>
          </w:p>
        </w:tc>
      </w:tr>
      <w:tr w:rsidR="00206ABF" w:rsidRPr="00C6243E" w14:paraId="6F73F43E" w14:textId="77777777" w:rsidTr="00CB688F">
        <w:trPr>
          <w:cantSplit/>
          <w:trHeight w:val="20"/>
        </w:trPr>
        <w:tc>
          <w:tcPr>
            <w:tcW w:w="2785" w:type="dxa"/>
            <w:shd w:val="clear" w:color="auto" w:fill="auto"/>
          </w:tcPr>
          <w:p w14:paraId="3228E4DD"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CZ08</w:t>
            </w:r>
          </w:p>
        </w:tc>
        <w:tc>
          <w:tcPr>
            <w:tcW w:w="2250" w:type="dxa"/>
            <w:shd w:val="clear" w:color="auto" w:fill="auto"/>
          </w:tcPr>
          <w:p w14:paraId="65E0CAA0"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7BCA3BE1"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w:t>
            </w:r>
          </w:p>
        </w:tc>
        <w:tc>
          <w:tcPr>
            <w:tcW w:w="2160" w:type="dxa"/>
          </w:tcPr>
          <w:p w14:paraId="18682C30"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3</w:t>
            </w:r>
          </w:p>
        </w:tc>
      </w:tr>
      <w:tr w:rsidR="00206ABF" w:rsidRPr="00C6243E" w14:paraId="64EA737F" w14:textId="77777777" w:rsidTr="00CB688F">
        <w:trPr>
          <w:cantSplit/>
          <w:trHeight w:val="20"/>
        </w:trPr>
        <w:tc>
          <w:tcPr>
            <w:tcW w:w="2785" w:type="dxa"/>
            <w:shd w:val="clear" w:color="auto" w:fill="auto"/>
          </w:tcPr>
          <w:p w14:paraId="4E6DE150"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CZ09</w:t>
            </w:r>
          </w:p>
        </w:tc>
        <w:tc>
          <w:tcPr>
            <w:tcW w:w="2250" w:type="dxa"/>
            <w:shd w:val="clear" w:color="auto" w:fill="auto"/>
          </w:tcPr>
          <w:p w14:paraId="68699E64"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36EE447C"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w:t>
            </w:r>
          </w:p>
        </w:tc>
        <w:tc>
          <w:tcPr>
            <w:tcW w:w="2160" w:type="dxa"/>
          </w:tcPr>
          <w:p w14:paraId="6DC620EF"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3</w:t>
            </w:r>
          </w:p>
        </w:tc>
      </w:tr>
      <w:tr w:rsidR="00206ABF" w:rsidRPr="00C6243E" w14:paraId="64585C65" w14:textId="77777777" w:rsidTr="00CB688F">
        <w:trPr>
          <w:cantSplit/>
          <w:trHeight w:val="20"/>
        </w:trPr>
        <w:tc>
          <w:tcPr>
            <w:tcW w:w="2785" w:type="dxa"/>
            <w:shd w:val="clear" w:color="auto" w:fill="auto"/>
          </w:tcPr>
          <w:p w14:paraId="115DC6F3"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CZ10</w:t>
            </w:r>
          </w:p>
        </w:tc>
        <w:tc>
          <w:tcPr>
            <w:tcW w:w="2250" w:type="dxa"/>
            <w:shd w:val="clear" w:color="auto" w:fill="auto"/>
          </w:tcPr>
          <w:p w14:paraId="55A61CC3"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60AA3F6D"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w:t>
            </w:r>
          </w:p>
        </w:tc>
        <w:tc>
          <w:tcPr>
            <w:tcW w:w="2160" w:type="dxa"/>
          </w:tcPr>
          <w:p w14:paraId="7E502996"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3</w:t>
            </w:r>
          </w:p>
        </w:tc>
      </w:tr>
      <w:tr w:rsidR="00206ABF" w:rsidRPr="00C6243E" w14:paraId="7B7C9C47" w14:textId="77777777" w:rsidTr="00CB688F">
        <w:trPr>
          <w:cantSplit/>
          <w:trHeight w:val="20"/>
        </w:trPr>
        <w:tc>
          <w:tcPr>
            <w:tcW w:w="2785" w:type="dxa"/>
            <w:shd w:val="clear" w:color="auto" w:fill="auto"/>
          </w:tcPr>
          <w:p w14:paraId="2CDD871A"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CZ11</w:t>
            </w:r>
          </w:p>
        </w:tc>
        <w:tc>
          <w:tcPr>
            <w:tcW w:w="2250" w:type="dxa"/>
            <w:shd w:val="clear" w:color="auto" w:fill="auto"/>
          </w:tcPr>
          <w:p w14:paraId="4994C650"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7</w:t>
            </w:r>
          </w:p>
        </w:tc>
        <w:tc>
          <w:tcPr>
            <w:tcW w:w="2160" w:type="dxa"/>
            <w:shd w:val="clear" w:color="auto" w:fill="auto"/>
          </w:tcPr>
          <w:p w14:paraId="6B88CB0B"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8</w:t>
            </w:r>
          </w:p>
        </w:tc>
        <w:tc>
          <w:tcPr>
            <w:tcW w:w="2160" w:type="dxa"/>
          </w:tcPr>
          <w:p w14:paraId="79E258FB"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10</w:t>
            </w:r>
          </w:p>
        </w:tc>
      </w:tr>
      <w:tr w:rsidR="00206ABF" w:rsidRPr="00C6243E" w14:paraId="56A492A9" w14:textId="77777777" w:rsidTr="00CB688F">
        <w:trPr>
          <w:cantSplit/>
          <w:trHeight w:val="20"/>
        </w:trPr>
        <w:tc>
          <w:tcPr>
            <w:tcW w:w="2785" w:type="dxa"/>
            <w:shd w:val="clear" w:color="auto" w:fill="auto"/>
          </w:tcPr>
          <w:p w14:paraId="76843CD0"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CZ12</w:t>
            </w:r>
          </w:p>
        </w:tc>
        <w:tc>
          <w:tcPr>
            <w:tcW w:w="2250" w:type="dxa"/>
            <w:shd w:val="clear" w:color="auto" w:fill="auto"/>
          </w:tcPr>
          <w:p w14:paraId="4A1DDC7E"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7</w:t>
            </w:r>
          </w:p>
        </w:tc>
        <w:tc>
          <w:tcPr>
            <w:tcW w:w="2160" w:type="dxa"/>
            <w:shd w:val="clear" w:color="auto" w:fill="auto"/>
          </w:tcPr>
          <w:p w14:paraId="76A09B06"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8</w:t>
            </w:r>
          </w:p>
        </w:tc>
        <w:tc>
          <w:tcPr>
            <w:tcW w:w="2160" w:type="dxa"/>
          </w:tcPr>
          <w:p w14:paraId="0A681970"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10</w:t>
            </w:r>
          </w:p>
        </w:tc>
      </w:tr>
      <w:tr w:rsidR="00206ABF" w:rsidRPr="00C6243E" w14:paraId="6E4CE376" w14:textId="77777777" w:rsidTr="00CB688F">
        <w:trPr>
          <w:cantSplit/>
          <w:trHeight w:val="20"/>
        </w:trPr>
        <w:tc>
          <w:tcPr>
            <w:tcW w:w="2785" w:type="dxa"/>
            <w:shd w:val="clear" w:color="auto" w:fill="auto"/>
          </w:tcPr>
          <w:p w14:paraId="029B4759"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CZ13</w:t>
            </w:r>
          </w:p>
        </w:tc>
        <w:tc>
          <w:tcPr>
            <w:tcW w:w="2250" w:type="dxa"/>
            <w:shd w:val="clear" w:color="auto" w:fill="auto"/>
          </w:tcPr>
          <w:p w14:paraId="1A0CCEAB"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7</w:t>
            </w:r>
          </w:p>
        </w:tc>
        <w:tc>
          <w:tcPr>
            <w:tcW w:w="2160" w:type="dxa"/>
            <w:shd w:val="clear" w:color="auto" w:fill="auto"/>
          </w:tcPr>
          <w:p w14:paraId="7861257A"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8</w:t>
            </w:r>
          </w:p>
        </w:tc>
        <w:tc>
          <w:tcPr>
            <w:tcW w:w="2160" w:type="dxa"/>
          </w:tcPr>
          <w:p w14:paraId="41E7A25F"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10</w:t>
            </w:r>
          </w:p>
        </w:tc>
      </w:tr>
      <w:tr w:rsidR="00206ABF" w:rsidRPr="00C6243E" w14:paraId="14283CD3" w14:textId="77777777" w:rsidTr="00CB688F">
        <w:trPr>
          <w:cantSplit/>
          <w:trHeight w:val="20"/>
        </w:trPr>
        <w:tc>
          <w:tcPr>
            <w:tcW w:w="2785" w:type="dxa"/>
            <w:shd w:val="clear" w:color="auto" w:fill="auto"/>
          </w:tcPr>
          <w:p w14:paraId="16BF149D"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CZ14</w:t>
            </w:r>
          </w:p>
        </w:tc>
        <w:tc>
          <w:tcPr>
            <w:tcW w:w="2250" w:type="dxa"/>
            <w:shd w:val="clear" w:color="auto" w:fill="auto"/>
          </w:tcPr>
          <w:p w14:paraId="3B86907F"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8</w:t>
            </w:r>
          </w:p>
        </w:tc>
        <w:tc>
          <w:tcPr>
            <w:tcW w:w="2160" w:type="dxa"/>
            <w:shd w:val="clear" w:color="auto" w:fill="auto"/>
          </w:tcPr>
          <w:p w14:paraId="34621A39"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26</w:t>
            </w:r>
          </w:p>
        </w:tc>
        <w:tc>
          <w:tcPr>
            <w:tcW w:w="2160" w:type="dxa"/>
          </w:tcPr>
          <w:p w14:paraId="3294DE7D"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28</w:t>
            </w:r>
          </w:p>
        </w:tc>
      </w:tr>
      <w:tr w:rsidR="00206ABF" w:rsidRPr="00C6243E" w14:paraId="08014C4B" w14:textId="77777777" w:rsidTr="00CB688F">
        <w:trPr>
          <w:cantSplit/>
          <w:trHeight w:val="20"/>
        </w:trPr>
        <w:tc>
          <w:tcPr>
            <w:tcW w:w="2785" w:type="dxa"/>
            <w:shd w:val="clear" w:color="auto" w:fill="auto"/>
          </w:tcPr>
          <w:p w14:paraId="66B23534"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CZ15</w:t>
            </w:r>
          </w:p>
        </w:tc>
        <w:tc>
          <w:tcPr>
            <w:tcW w:w="2250" w:type="dxa"/>
            <w:shd w:val="clear" w:color="auto" w:fill="auto"/>
          </w:tcPr>
          <w:p w14:paraId="5DB001D4"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8</w:t>
            </w:r>
          </w:p>
        </w:tc>
        <w:tc>
          <w:tcPr>
            <w:tcW w:w="2160" w:type="dxa"/>
            <w:shd w:val="clear" w:color="auto" w:fill="auto"/>
          </w:tcPr>
          <w:p w14:paraId="4442F81C"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26</w:t>
            </w:r>
          </w:p>
        </w:tc>
        <w:tc>
          <w:tcPr>
            <w:tcW w:w="2160" w:type="dxa"/>
          </w:tcPr>
          <w:p w14:paraId="583518B2"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28</w:t>
            </w:r>
          </w:p>
        </w:tc>
      </w:tr>
      <w:tr w:rsidR="00206ABF" w:rsidRPr="00C6243E" w14:paraId="7697A536" w14:textId="77777777" w:rsidTr="00CB688F">
        <w:trPr>
          <w:cantSplit/>
          <w:trHeight w:val="20"/>
        </w:trPr>
        <w:tc>
          <w:tcPr>
            <w:tcW w:w="2785" w:type="dxa"/>
            <w:shd w:val="clear" w:color="auto" w:fill="auto"/>
          </w:tcPr>
          <w:p w14:paraId="34D894BD"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CZ16</w:t>
            </w:r>
          </w:p>
        </w:tc>
        <w:tc>
          <w:tcPr>
            <w:tcW w:w="2250" w:type="dxa"/>
            <w:shd w:val="clear" w:color="auto" w:fill="auto"/>
          </w:tcPr>
          <w:p w14:paraId="73CEF90A"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7</w:t>
            </w:r>
          </w:p>
        </w:tc>
        <w:tc>
          <w:tcPr>
            <w:tcW w:w="2160" w:type="dxa"/>
            <w:shd w:val="clear" w:color="auto" w:fill="auto"/>
          </w:tcPr>
          <w:p w14:paraId="6634E16D"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8</w:t>
            </w:r>
          </w:p>
        </w:tc>
        <w:tc>
          <w:tcPr>
            <w:tcW w:w="2160" w:type="dxa"/>
          </w:tcPr>
          <w:p w14:paraId="15B908EA" w14:textId="77777777" w:rsidR="00206ABF" w:rsidRPr="00F91A39" w:rsidRDefault="00206ABF" w:rsidP="00CB688F">
            <w:pPr>
              <w:keepNext/>
              <w:keepLines/>
              <w:spacing w:before="20" w:after="20"/>
              <w:jc w:val="center"/>
              <w:rPr>
                <w:rFonts w:cs="Calibri Light"/>
                <w:sz w:val="18"/>
                <w:szCs w:val="18"/>
              </w:rPr>
            </w:pPr>
            <w:r w:rsidRPr="00F91A39">
              <w:rPr>
                <w:rFonts w:cs="Calibri Light"/>
                <w:sz w:val="18"/>
                <w:szCs w:val="18"/>
              </w:rPr>
              <w:t>10</w:t>
            </w:r>
          </w:p>
        </w:tc>
      </w:tr>
    </w:tbl>
    <w:p w14:paraId="31C6408F" w14:textId="77777777" w:rsidR="00206ABF" w:rsidRPr="004B06E3" w:rsidRDefault="00206ABF" w:rsidP="008277A2"/>
    <w:p w14:paraId="0E9D248B" w14:textId="72912DC9" w:rsidR="007D230B" w:rsidRPr="004B06E3" w:rsidRDefault="007D230B" w:rsidP="00142FC9">
      <w:pPr>
        <w:pStyle w:val="eTRMHeading3"/>
      </w:pPr>
      <w:bookmarkStart w:id="46" w:name="_Toc486490858"/>
      <w:bookmarkStart w:id="47" w:name="_Toc486580929"/>
      <w:bookmarkStart w:id="48" w:name="_Toc32819845"/>
      <w:r w:rsidRPr="004B06E3">
        <w:t xml:space="preserve">Gas </w:t>
      </w:r>
      <w:r w:rsidR="002E2DBB">
        <w:t>Penalty</w:t>
      </w:r>
      <w:r w:rsidR="002E2DBB" w:rsidRPr="004B06E3">
        <w:t xml:space="preserve"> </w:t>
      </w:r>
      <w:r w:rsidR="00245AFF" w:rsidRPr="004B06E3">
        <w:t>(Therms)</w:t>
      </w:r>
      <w:bookmarkEnd w:id="46"/>
      <w:bookmarkEnd w:id="47"/>
      <w:bookmarkEnd w:id="48"/>
    </w:p>
    <w:p w14:paraId="757CBFF3" w14:textId="14CE2A62" w:rsidR="007D230B" w:rsidRDefault="000754D1" w:rsidP="004B06E3">
      <w:r w:rsidRPr="000754D1">
        <w:t xml:space="preserve">Reduction in cooking energy may result in some </w:t>
      </w:r>
      <w:r w:rsidR="00A35BDF">
        <w:t>increase</w:t>
      </w:r>
      <w:r w:rsidRPr="000754D1">
        <w:t xml:space="preserve"> in natural gas consumption due to HVAC interactive effects. However, calculating this impact is difficult due to additional interactions with kitchen hood exhaust systems. Therefore, therms penalty impacts from HVAC IE are not being calculated for this measure. This aligns with the calculation methodology from SWAP013-01</w:t>
      </w:r>
      <w:r w:rsidR="00A35BDF">
        <w:t xml:space="preserve"> ‘Residential Cooking Appliances – Fuel Substitution’</w:t>
      </w:r>
      <w:r w:rsidRPr="000754D1">
        <w:t>.</w:t>
      </w:r>
    </w:p>
    <w:p w14:paraId="30C3381E" w14:textId="77777777" w:rsidR="003B1D94" w:rsidRDefault="003B1D94" w:rsidP="004B06E3"/>
    <w:p w14:paraId="3206929B" w14:textId="1E6E83E6" w:rsidR="003B1D94" w:rsidRPr="004B06E3" w:rsidRDefault="00245AFF" w:rsidP="00142FC9">
      <w:pPr>
        <w:pStyle w:val="eTRMHeading3"/>
      </w:pPr>
      <w:bookmarkStart w:id="49" w:name="_Toc32819846"/>
      <w:bookmarkStart w:id="50" w:name="_Toc486490859"/>
      <w:bookmarkStart w:id="51" w:name="_Toc486580930"/>
      <w:r w:rsidRPr="004B06E3">
        <w:t>Life Cycle</w:t>
      </w:r>
      <w:bookmarkEnd w:id="49"/>
      <w:r w:rsidR="007D230B" w:rsidRPr="004B06E3">
        <w:t xml:space="preserve"> </w:t>
      </w:r>
      <w:bookmarkEnd w:id="50"/>
      <w:bookmarkEnd w:id="51"/>
    </w:p>
    <w:p w14:paraId="04BE662A" w14:textId="77777777" w:rsidR="003B1D94" w:rsidRDefault="003B1D94" w:rsidP="003B1D94">
      <w:pPr>
        <w:rPr>
          <w:szCs w:val="22"/>
        </w:rPr>
      </w:pPr>
      <w:bookmarkStart w:id="52" w:name="_Toc486490860"/>
      <w:bookmarkStart w:id="53" w:name="_Toc486580931"/>
      <w:r>
        <w:rPr>
          <w:szCs w:val="22"/>
        </w:rPr>
        <w:t xml:space="preserve">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 have remained in service and operational had the program intervention not caused the replacement or alteration. </w:t>
      </w:r>
    </w:p>
    <w:p w14:paraId="1761F968" w14:textId="77777777" w:rsidR="003B1D94" w:rsidRDefault="003B1D94" w:rsidP="003B1D94">
      <w:pPr>
        <w:rPr>
          <w:szCs w:val="22"/>
        </w:rPr>
      </w:pPr>
    </w:p>
    <w:p w14:paraId="24A9BB56" w14:textId="7E5E8483" w:rsidR="003B1D94" w:rsidRPr="00C6243E" w:rsidRDefault="003B1D94" w:rsidP="003B1D94">
      <w:pPr>
        <w:rPr>
          <w:rFonts w:cs="Calibri Light"/>
        </w:rPr>
      </w:pPr>
      <w:r>
        <w:rPr>
          <w:szCs w:val="22"/>
        </w:rPr>
        <w:t xml:space="preserve">The EUL and RUL are specified below. The EUL was developed </w:t>
      </w:r>
      <w:r w:rsidR="000C5196">
        <w:rPr>
          <w:szCs w:val="22"/>
        </w:rPr>
        <w:t xml:space="preserve">in the </w:t>
      </w:r>
      <w:r w:rsidR="000C5196" w:rsidRPr="000C5196">
        <w:rPr>
          <w:szCs w:val="22"/>
        </w:rPr>
        <w:t xml:space="preserve">Energy Conservation Program: Energy Conservation Standards for Residential Conventional Cooking Products; Supplemental notice of proposed rulemaking (SNOPR) </w:t>
      </w:r>
      <w:r>
        <w:rPr>
          <w:rStyle w:val="FootnoteReference"/>
          <w:szCs w:val="22"/>
        </w:rPr>
        <w:footnoteReference w:id="24"/>
      </w:r>
      <w:r w:rsidR="00A35BDF">
        <w:rPr>
          <w:szCs w:val="22"/>
        </w:rPr>
        <w:t xml:space="preserve"> </w:t>
      </w:r>
      <w:r w:rsidR="00BB4A02">
        <w:rPr>
          <w:szCs w:val="22"/>
        </w:rPr>
        <w:t>and</w:t>
      </w:r>
      <w:r w:rsidR="000C5196">
        <w:rPr>
          <w:szCs w:val="22"/>
        </w:rPr>
        <w:t xml:space="preserve"> the </w:t>
      </w:r>
      <w:r w:rsidR="000C5196" w:rsidRPr="000C5196">
        <w:rPr>
          <w:szCs w:val="22"/>
        </w:rPr>
        <w:t>2016 SNOPR Analytical Tools: Life-Cycle Cost and Payback Period Analysis Spreadsheet</w:t>
      </w:r>
      <w:r w:rsidR="000C5196">
        <w:rPr>
          <w:rStyle w:val="FootnoteReference"/>
          <w:szCs w:val="22"/>
        </w:rPr>
        <w:footnoteReference w:id="25"/>
      </w:r>
      <w:r w:rsidR="000C5196">
        <w:rPr>
          <w:szCs w:val="22"/>
        </w:rPr>
        <w:t>. These values were adopted by the CPUC in</w:t>
      </w:r>
      <w:r w:rsidR="00A35BDF">
        <w:rPr>
          <w:szCs w:val="22"/>
        </w:rPr>
        <w:t xml:space="preserve"> DEER2020.</w:t>
      </w:r>
    </w:p>
    <w:p w14:paraId="1E84A0B2" w14:textId="77777777" w:rsidR="003B1D94" w:rsidRDefault="003B1D94" w:rsidP="003B1D94">
      <w:pPr>
        <w:rPr>
          <w:b/>
        </w:rPr>
      </w:pPr>
    </w:p>
    <w:p w14:paraId="611586F5" w14:textId="77777777" w:rsidR="003B1D94" w:rsidRPr="00863169" w:rsidRDefault="003B1D94" w:rsidP="003B1D94">
      <w:r w:rsidRPr="00A0176C">
        <w:rPr>
          <w:b/>
        </w:rPr>
        <w:t>Effective Useful Life and Remaining Useful Life</w:t>
      </w:r>
    </w:p>
    <w:tbl>
      <w:tblPr>
        <w:tblW w:w="97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394"/>
        <w:gridCol w:w="1467"/>
        <w:gridCol w:w="1287"/>
        <w:gridCol w:w="4592"/>
      </w:tblGrid>
      <w:tr w:rsidR="003B1D94" w:rsidRPr="00C6243E" w14:paraId="0132AEB2" w14:textId="77777777" w:rsidTr="00F92DA3">
        <w:trPr>
          <w:cantSplit/>
          <w:trHeight w:val="16"/>
        </w:trPr>
        <w:tc>
          <w:tcPr>
            <w:tcW w:w="2394" w:type="dxa"/>
            <w:shd w:val="clear" w:color="auto" w:fill="F2F2F2" w:themeFill="background1" w:themeFillShade="F2"/>
            <w:vAlign w:val="bottom"/>
          </w:tcPr>
          <w:p w14:paraId="11E74AFC" w14:textId="77777777" w:rsidR="003B1D94" w:rsidRPr="00C6243E" w:rsidRDefault="003B1D94" w:rsidP="00F92DA3">
            <w:pPr>
              <w:keepNext/>
              <w:keepLines/>
              <w:spacing w:before="20" w:after="20"/>
              <w:jc w:val="center"/>
              <w:rPr>
                <w:rFonts w:cs="Calibri Light"/>
                <w:b/>
                <w:sz w:val="20"/>
                <w:szCs w:val="20"/>
              </w:rPr>
            </w:pPr>
            <w:r w:rsidRPr="00C6243E">
              <w:rPr>
                <w:rFonts w:cs="Calibri Light"/>
                <w:b/>
                <w:sz w:val="20"/>
                <w:szCs w:val="20"/>
              </w:rPr>
              <w:t>Parameter</w:t>
            </w:r>
          </w:p>
        </w:tc>
        <w:tc>
          <w:tcPr>
            <w:tcW w:w="1467" w:type="dxa"/>
            <w:shd w:val="clear" w:color="auto" w:fill="F2F2F2" w:themeFill="background1" w:themeFillShade="F2"/>
          </w:tcPr>
          <w:p w14:paraId="71346130" w14:textId="77777777" w:rsidR="003B1D94" w:rsidRPr="00C6243E" w:rsidRDefault="003B1D94" w:rsidP="00F92DA3">
            <w:pPr>
              <w:keepNext/>
              <w:keepLines/>
              <w:spacing w:before="20" w:after="20"/>
              <w:jc w:val="center"/>
              <w:rPr>
                <w:rFonts w:cs="Calibri Light"/>
                <w:b/>
                <w:sz w:val="20"/>
                <w:szCs w:val="20"/>
              </w:rPr>
            </w:pPr>
            <w:r>
              <w:rPr>
                <w:rFonts w:cs="Calibri Light"/>
                <w:b/>
                <w:sz w:val="20"/>
                <w:szCs w:val="20"/>
              </w:rPr>
              <w:t>EUL ID</w:t>
            </w:r>
          </w:p>
        </w:tc>
        <w:tc>
          <w:tcPr>
            <w:tcW w:w="1287" w:type="dxa"/>
            <w:shd w:val="clear" w:color="auto" w:fill="F2F2F2" w:themeFill="background1" w:themeFillShade="F2"/>
          </w:tcPr>
          <w:p w14:paraId="01815EC2" w14:textId="77777777" w:rsidR="003B1D94" w:rsidRPr="00C6243E" w:rsidRDefault="003B1D94" w:rsidP="00F92DA3">
            <w:pPr>
              <w:keepNext/>
              <w:keepLines/>
              <w:spacing w:before="20" w:after="20"/>
              <w:jc w:val="center"/>
              <w:rPr>
                <w:rFonts w:cs="Calibri Light"/>
                <w:b/>
                <w:sz w:val="20"/>
                <w:szCs w:val="20"/>
              </w:rPr>
            </w:pPr>
            <w:r w:rsidRPr="00C6243E">
              <w:rPr>
                <w:rFonts w:cs="Calibri Light"/>
                <w:b/>
                <w:sz w:val="20"/>
                <w:szCs w:val="20"/>
              </w:rPr>
              <w:t>Value</w:t>
            </w:r>
          </w:p>
        </w:tc>
        <w:tc>
          <w:tcPr>
            <w:tcW w:w="4592" w:type="dxa"/>
            <w:shd w:val="clear" w:color="auto" w:fill="F2F2F2" w:themeFill="background1" w:themeFillShade="F2"/>
          </w:tcPr>
          <w:p w14:paraId="5B1CF6BE" w14:textId="77777777" w:rsidR="003B1D94" w:rsidRPr="00C6243E" w:rsidRDefault="003B1D94" w:rsidP="00F92DA3">
            <w:pPr>
              <w:keepNext/>
              <w:keepLines/>
              <w:spacing w:before="20" w:after="20"/>
              <w:jc w:val="center"/>
              <w:rPr>
                <w:rFonts w:cs="Calibri Light"/>
                <w:b/>
                <w:sz w:val="20"/>
                <w:szCs w:val="20"/>
              </w:rPr>
            </w:pPr>
            <w:r w:rsidRPr="00C6243E">
              <w:rPr>
                <w:rFonts w:cs="Calibri Light"/>
                <w:b/>
                <w:sz w:val="20"/>
                <w:szCs w:val="20"/>
              </w:rPr>
              <w:t>Source</w:t>
            </w:r>
          </w:p>
        </w:tc>
      </w:tr>
      <w:tr w:rsidR="003B1D94" w:rsidRPr="00C6243E" w14:paraId="3D746241" w14:textId="77777777" w:rsidTr="00F92DA3">
        <w:trPr>
          <w:cantSplit/>
          <w:trHeight w:val="16"/>
        </w:trPr>
        <w:tc>
          <w:tcPr>
            <w:tcW w:w="2394" w:type="dxa"/>
            <w:vAlign w:val="center"/>
          </w:tcPr>
          <w:p w14:paraId="10648F2D" w14:textId="77777777" w:rsidR="003B1D94" w:rsidRPr="00C6243E" w:rsidRDefault="003B1D94" w:rsidP="00F92DA3">
            <w:pPr>
              <w:keepNext/>
              <w:keepLines/>
              <w:spacing w:before="20" w:after="20"/>
              <w:jc w:val="center"/>
              <w:rPr>
                <w:rFonts w:cs="Calibri Light"/>
                <w:sz w:val="20"/>
                <w:szCs w:val="20"/>
              </w:rPr>
            </w:pPr>
            <w:r w:rsidRPr="00C6243E">
              <w:rPr>
                <w:rFonts w:cs="Calibri Light"/>
                <w:sz w:val="20"/>
                <w:szCs w:val="20"/>
              </w:rPr>
              <w:t>EUL (</w:t>
            </w:r>
            <w:proofErr w:type="spellStart"/>
            <w:r w:rsidRPr="00C6243E">
              <w:rPr>
                <w:rFonts w:cs="Calibri Light"/>
                <w:sz w:val="20"/>
                <w:szCs w:val="20"/>
              </w:rPr>
              <w:t>yrs</w:t>
            </w:r>
            <w:proofErr w:type="spellEnd"/>
            <w:r w:rsidRPr="00C6243E">
              <w:rPr>
                <w:rFonts w:cs="Calibri Light"/>
                <w:sz w:val="20"/>
                <w:szCs w:val="20"/>
              </w:rPr>
              <w:t>)</w:t>
            </w:r>
          </w:p>
        </w:tc>
        <w:tc>
          <w:tcPr>
            <w:tcW w:w="1467" w:type="dxa"/>
            <w:vAlign w:val="center"/>
          </w:tcPr>
          <w:p w14:paraId="7CD560C6" w14:textId="77777777" w:rsidR="003B1D94" w:rsidRPr="00C6243E" w:rsidRDefault="003B1D94" w:rsidP="00F92DA3">
            <w:pPr>
              <w:keepNext/>
              <w:keepLines/>
              <w:spacing w:before="20" w:after="20"/>
              <w:jc w:val="center"/>
              <w:rPr>
                <w:rFonts w:cs="Calibri Light"/>
                <w:sz w:val="20"/>
                <w:szCs w:val="20"/>
              </w:rPr>
            </w:pPr>
            <w:r>
              <w:rPr>
                <w:rFonts w:cs="Calibri Light"/>
                <w:sz w:val="20"/>
                <w:szCs w:val="20"/>
              </w:rPr>
              <w:t>Appl-Elec_Cooking</w:t>
            </w:r>
          </w:p>
        </w:tc>
        <w:tc>
          <w:tcPr>
            <w:tcW w:w="1287" w:type="dxa"/>
            <w:vAlign w:val="center"/>
          </w:tcPr>
          <w:p w14:paraId="20EE96D0" w14:textId="6D531885" w:rsidR="003B1D94" w:rsidRPr="00C6243E" w:rsidRDefault="003B1D94" w:rsidP="00F92DA3">
            <w:pPr>
              <w:keepNext/>
              <w:keepLines/>
              <w:spacing w:before="20" w:after="20"/>
              <w:jc w:val="center"/>
              <w:rPr>
                <w:rFonts w:cs="Calibri Light"/>
                <w:sz w:val="20"/>
                <w:szCs w:val="20"/>
              </w:rPr>
            </w:pPr>
            <w:r w:rsidRPr="00C6243E">
              <w:rPr>
                <w:rFonts w:cs="Calibri Light"/>
                <w:sz w:val="20"/>
                <w:szCs w:val="20"/>
              </w:rPr>
              <w:t>1</w:t>
            </w:r>
            <w:r>
              <w:rPr>
                <w:rFonts w:cs="Calibri Light"/>
                <w:sz w:val="20"/>
                <w:szCs w:val="20"/>
              </w:rPr>
              <w:t>6</w:t>
            </w:r>
            <w:r w:rsidR="00BD7CE5">
              <w:rPr>
                <w:rFonts w:cs="Calibri Light"/>
                <w:sz w:val="20"/>
                <w:szCs w:val="20"/>
              </w:rPr>
              <w:t>.0</w:t>
            </w:r>
          </w:p>
        </w:tc>
        <w:tc>
          <w:tcPr>
            <w:tcW w:w="4592" w:type="dxa"/>
            <w:vAlign w:val="center"/>
          </w:tcPr>
          <w:p w14:paraId="446B803F" w14:textId="12866093" w:rsidR="000C5196" w:rsidRDefault="000C5196" w:rsidP="00F92DA3">
            <w:pPr>
              <w:keepNext/>
              <w:keepLines/>
              <w:spacing w:before="20" w:after="20"/>
              <w:jc w:val="center"/>
              <w:rPr>
                <w:rFonts w:cs="Calibri Light"/>
                <w:sz w:val="20"/>
                <w:szCs w:val="20"/>
                <w:vertAlign w:val="superscript"/>
              </w:rPr>
            </w:pPr>
            <w:r w:rsidRPr="000C5196">
              <w:rPr>
                <w:rFonts w:cs="Calibri Light"/>
                <w:sz w:val="20"/>
                <w:szCs w:val="20"/>
              </w:rPr>
              <w:t>Energy Efficiency and Renewable Energy Office (EERE).2016. Energy Conservation Program: Energy Conservation Standards for Residential Conventional Cooking Products; Supplemental notice of proposed rulemaking (SNOPR)</w:t>
            </w:r>
            <w:r>
              <w:rPr>
                <w:rFonts w:cs="Calibri Light"/>
                <w:sz w:val="20"/>
                <w:szCs w:val="20"/>
              </w:rPr>
              <w:t>. 2016</w:t>
            </w:r>
            <w:r w:rsidR="003B1D94" w:rsidRPr="00E93801">
              <w:rPr>
                <w:rStyle w:val="FootnoteReference"/>
                <w:color w:val="000000"/>
                <w:sz w:val="20"/>
                <w:szCs w:val="28"/>
              </w:rPr>
              <w:footnoteReference w:id="26"/>
            </w:r>
          </w:p>
          <w:p w14:paraId="68270EEC" w14:textId="696D5C67" w:rsidR="003B1D94" w:rsidRPr="00307D31" w:rsidRDefault="000C5196" w:rsidP="00F92DA3">
            <w:pPr>
              <w:keepNext/>
              <w:keepLines/>
              <w:spacing w:before="20" w:after="20"/>
              <w:jc w:val="center"/>
              <w:rPr>
                <w:rFonts w:cs="Calibri Light"/>
                <w:sz w:val="20"/>
                <w:szCs w:val="28"/>
              </w:rPr>
            </w:pPr>
            <w:r w:rsidRPr="000C5196">
              <w:rPr>
                <w:rFonts w:cs="Calibri Light"/>
                <w:sz w:val="20"/>
                <w:szCs w:val="28"/>
              </w:rPr>
              <w:t xml:space="preserve">Energy Efficiency and Renewable Energy Office (EERE). 2016. 2016 SNOPR Analytical Tools: Life-Cycle Cost and Payback Period Analysis Spreadsheet. </w:t>
            </w:r>
            <w:r>
              <w:rPr>
                <w:rFonts w:cs="Calibri Light"/>
                <w:sz w:val="20"/>
                <w:szCs w:val="28"/>
              </w:rPr>
              <w:t>2016.</w:t>
            </w:r>
            <w:r>
              <w:rPr>
                <w:rStyle w:val="FootnoteReference"/>
                <w:rFonts w:cs="Calibri Light"/>
                <w:sz w:val="20"/>
                <w:szCs w:val="20"/>
              </w:rPr>
              <w:footnoteReference w:id="27"/>
            </w:r>
          </w:p>
        </w:tc>
      </w:tr>
      <w:tr w:rsidR="003B1D94" w:rsidRPr="00C6243E" w14:paraId="4629DC46" w14:textId="77777777" w:rsidTr="00F92DA3">
        <w:trPr>
          <w:cantSplit/>
          <w:trHeight w:val="16"/>
        </w:trPr>
        <w:tc>
          <w:tcPr>
            <w:tcW w:w="2394" w:type="dxa"/>
            <w:vAlign w:val="center"/>
          </w:tcPr>
          <w:p w14:paraId="34EA2E62" w14:textId="77777777" w:rsidR="003B1D94" w:rsidRPr="00C6243E" w:rsidRDefault="003B1D94" w:rsidP="00F92DA3">
            <w:pPr>
              <w:keepNext/>
              <w:keepLines/>
              <w:spacing w:before="20" w:after="20"/>
              <w:jc w:val="center"/>
              <w:rPr>
                <w:rFonts w:cs="Calibri Light"/>
                <w:sz w:val="20"/>
                <w:szCs w:val="20"/>
              </w:rPr>
            </w:pPr>
            <w:r>
              <w:rPr>
                <w:rFonts w:cs="Calibri Light"/>
                <w:sz w:val="20"/>
                <w:szCs w:val="20"/>
              </w:rPr>
              <w:t>RUL (</w:t>
            </w:r>
            <w:proofErr w:type="spellStart"/>
            <w:r>
              <w:rPr>
                <w:rFonts w:cs="Calibri Light"/>
                <w:sz w:val="20"/>
                <w:szCs w:val="20"/>
              </w:rPr>
              <w:t>yrs</w:t>
            </w:r>
            <w:proofErr w:type="spellEnd"/>
            <w:r>
              <w:rPr>
                <w:rFonts w:cs="Calibri Light"/>
                <w:sz w:val="20"/>
                <w:szCs w:val="20"/>
              </w:rPr>
              <w:t>)</w:t>
            </w:r>
          </w:p>
        </w:tc>
        <w:tc>
          <w:tcPr>
            <w:tcW w:w="1467" w:type="dxa"/>
            <w:vAlign w:val="center"/>
          </w:tcPr>
          <w:p w14:paraId="1702261E" w14:textId="342320F1" w:rsidR="003B1D94" w:rsidRDefault="003B1D94" w:rsidP="00F92DA3">
            <w:pPr>
              <w:keepNext/>
              <w:keepLines/>
              <w:spacing w:before="20" w:after="20"/>
              <w:jc w:val="center"/>
              <w:rPr>
                <w:rFonts w:cs="Calibri Light"/>
                <w:sz w:val="20"/>
                <w:szCs w:val="20"/>
              </w:rPr>
            </w:pPr>
            <w:r>
              <w:rPr>
                <w:rFonts w:cs="Calibri Light"/>
                <w:sz w:val="20"/>
                <w:szCs w:val="20"/>
              </w:rPr>
              <w:t>N/A</w:t>
            </w:r>
          </w:p>
        </w:tc>
        <w:tc>
          <w:tcPr>
            <w:tcW w:w="1287" w:type="dxa"/>
            <w:vAlign w:val="center"/>
          </w:tcPr>
          <w:p w14:paraId="487D0F6F" w14:textId="77777777" w:rsidR="003B1D94" w:rsidRPr="00C6243E" w:rsidRDefault="003B1D94" w:rsidP="00F92DA3">
            <w:pPr>
              <w:keepNext/>
              <w:keepLines/>
              <w:spacing w:before="20" w:after="20"/>
              <w:jc w:val="center"/>
              <w:rPr>
                <w:rFonts w:cs="Calibri Light"/>
                <w:sz w:val="20"/>
                <w:szCs w:val="20"/>
              </w:rPr>
            </w:pPr>
            <w:r>
              <w:rPr>
                <w:rFonts w:cs="Calibri Light"/>
                <w:sz w:val="20"/>
                <w:szCs w:val="20"/>
              </w:rPr>
              <w:t>N/A</w:t>
            </w:r>
          </w:p>
        </w:tc>
        <w:tc>
          <w:tcPr>
            <w:tcW w:w="4592" w:type="dxa"/>
            <w:vAlign w:val="center"/>
          </w:tcPr>
          <w:p w14:paraId="00C5FA8E" w14:textId="77777777" w:rsidR="003B1D94" w:rsidRPr="004B2B4E" w:rsidRDefault="003B1D94" w:rsidP="00F92DA3">
            <w:pPr>
              <w:keepNext/>
              <w:keepLines/>
              <w:spacing w:before="20" w:after="20"/>
              <w:jc w:val="center"/>
              <w:rPr>
                <w:rFonts w:cs="Calibri Light"/>
                <w:sz w:val="20"/>
                <w:szCs w:val="20"/>
              </w:rPr>
            </w:pPr>
            <w:r w:rsidRPr="004B2B4E">
              <w:rPr>
                <w:rFonts w:cs="Calibri Light"/>
                <w:sz w:val="20"/>
                <w:szCs w:val="20"/>
              </w:rPr>
              <w:t>N/A</w:t>
            </w:r>
          </w:p>
        </w:tc>
      </w:tr>
    </w:tbl>
    <w:p w14:paraId="3D445C5A" w14:textId="77777777" w:rsidR="00AA577F" w:rsidRDefault="00AA577F" w:rsidP="00142FC9">
      <w:pPr>
        <w:pStyle w:val="eTRMHeading3"/>
      </w:pPr>
    </w:p>
    <w:p w14:paraId="3B14B593" w14:textId="2C5F5A86" w:rsidR="007D230B" w:rsidRDefault="007D230B" w:rsidP="00142FC9">
      <w:pPr>
        <w:pStyle w:val="eTRMHeading3"/>
      </w:pPr>
      <w:bookmarkStart w:id="54" w:name="_Toc32819847"/>
      <w:r w:rsidRPr="004B06E3">
        <w:t>Base Case Material Cost ($/unit)</w:t>
      </w:r>
      <w:bookmarkEnd w:id="52"/>
      <w:bookmarkEnd w:id="53"/>
      <w:bookmarkEnd w:id="54"/>
    </w:p>
    <w:p w14:paraId="376551E9" w14:textId="1670A55B" w:rsidR="003B1D94" w:rsidRPr="00C6243E" w:rsidRDefault="003B1D94" w:rsidP="003B1D94">
      <w:pPr>
        <w:pStyle w:val="Normal1"/>
        <w:rPr>
          <w:rFonts w:ascii="Calibri Light" w:hAnsi="Calibri Light" w:cs="Calibri Light"/>
        </w:rPr>
      </w:pPr>
      <w:r w:rsidRPr="00ED44E2">
        <w:rPr>
          <w:rFonts w:ascii="Calibri Light" w:hAnsi="Calibri Light" w:cs="Calibri Light"/>
        </w:rPr>
        <w:t xml:space="preserve">The base case cost was obtained through online prices research from various retailer websites in the third quarter of 2019. Costing was </w:t>
      </w:r>
      <w:r w:rsidR="00142FC9">
        <w:rPr>
          <w:rFonts w:ascii="Calibri Light" w:hAnsi="Calibri Light" w:cs="Calibri Light"/>
        </w:rPr>
        <w:t>standardized</w:t>
      </w:r>
      <w:r w:rsidRPr="00ED44E2">
        <w:rPr>
          <w:rFonts w:ascii="Calibri Light" w:hAnsi="Calibri Light" w:cs="Calibri Light"/>
        </w:rPr>
        <w:t xml:space="preserve"> between </w:t>
      </w:r>
      <w:r>
        <w:rPr>
          <w:rFonts w:ascii="Calibri Light" w:hAnsi="Calibri Light" w:cs="Calibri Light"/>
        </w:rPr>
        <w:t>equipment</w:t>
      </w:r>
      <w:r w:rsidRPr="00ED44E2">
        <w:rPr>
          <w:rFonts w:ascii="Calibri Light" w:hAnsi="Calibri Light" w:cs="Calibri Light"/>
        </w:rPr>
        <w:t xml:space="preserve"> types due to large price jumps due to specific add-ons (</w:t>
      </w:r>
      <w:proofErr w:type="spellStart"/>
      <w:r w:rsidRPr="00ED44E2">
        <w:rPr>
          <w:rFonts w:ascii="Calibri Light" w:hAnsi="Calibri Light" w:cs="Calibri Light"/>
        </w:rPr>
        <w:t>ie</w:t>
      </w:r>
      <w:proofErr w:type="spellEnd"/>
      <w:r w:rsidRPr="00ED44E2">
        <w:rPr>
          <w:rFonts w:ascii="Calibri Light" w:hAnsi="Calibri Light" w:cs="Calibri Light"/>
        </w:rPr>
        <w:t xml:space="preserve">. two-oven ranges, Smart system [a system that includes automated controls and wi-fi </w:t>
      </w:r>
      <w:r w:rsidRPr="00ED44E2">
        <w:rPr>
          <w:rFonts w:ascii="Calibri Light" w:hAnsi="Calibri Light" w:cs="Calibri Light"/>
        </w:rPr>
        <w:lastRenderedPageBreak/>
        <w:t xml:space="preserve">connectivity], etc.). Base material costs per range type were restricted to single-oven, five to six cubic ft. oven volume, non-Smart, four or five burner ranges. </w:t>
      </w:r>
      <w:r w:rsidRPr="00ED44E2">
        <w:rPr>
          <w:rFonts w:ascii="Calibri Light" w:eastAsiaTheme="minorEastAsia" w:hAnsi="Calibri Light" w:cs="Calibri Light"/>
          <w:color w:val="auto"/>
          <w:szCs w:val="24"/>
        </w:rPr>
        <w:t xml:space="preserve">Costing for standalone </w:t>
      </w:r>
      <w:r>
        <w:rPr>
          <w:rFonts w:ascii="Calibri Light" w:eastAsiaTheme="minorEastAsia" w:hAnsi="Calibri Light" w:cs="Calibri Light"/>
          <w:color w:val="auto"/>
          <w:szCs w:val="24"/>
        </w:rPr>
        <w:t>cooktop</w:t>
      </w:r>
      <w:r w:rsidRPr="00ED44E2">
        <w:rPr>
          <w:rFonts w:ascii="Calibri Light" w:eastAsiaTheme="minorEastAsia" w:hAnsi="Calibri Light" w:cs="Calibri Light"/>
          <w:color w:val="auto"/>
          <w:szCs w:val="24"/>
        </w:rPr>
        <w:t>s were restricted to four or five burners and at least 1500 cubic in. volume.</w:t>
      </w:r>
      <w:r>
        <w:rPr>
          <w:rFonts w:ascii="Calibri Light" w:eastAsiaTheme="minorEastAsia" w:hAnsi="Calibri Light" w:cs="Calibri Light"/>
          <w:color w:val="auto"/>
          <w:szCs w:val="24"/>
        </w:rPr>
        <w:t xml:space="preserve"> </w:t>
      </w:r>
      <w:r w:rsidR="00142FC9">
        <w:rPr>
          <w:rFonts w:ascii="Calibri Light" w:eastAsiaTheme="minorEastAsia" w:hAnsi="Calibri Light" w:cs="Calibri Light"/>
          <w:color w:val="auto"/>
          <w:szCs w:val="24"/>
        </w:rPr>
        <w:t>Standardization</w:t>
      </w:r>
      <w:r w:rsidRPr="00B66FD8">
        <w:rPr>
          <w:rFonts w:ascii="Calibri Light" w:eastAsiaTheme="minorEastAsia" w:hAnsi="Calibri Light" w:cs="Calibri Light"/>
          <w:color w:val="auto"/>
          <w:szCs w:val="24"/>
        </w:rPr>
        <w:t xml:space="preserve"> was applied to more precisely compare samples.</w:t>
      </w:r>
      <w:r w:rsidRPr="00ED44E2">
        <w:rPr>
          <w:rFonts w:ascii="Calibri Light" w:eastAsiaTheme="minorEastAsia" w:hAnsi="Calibri Light" w:cs="Calibri Light"/>
          <w:color w:val="auto"/>
          <w:szCs w:val="24"/>
        </w:rPr>
        <w:t xml:space="preserve"> </w:t>
      </w:r>
    </w:p>
    <w:p w14:paraId="49C657EE" w14:textId="10501008" w:rsidR="003B1D94" w:rsidRDefault="003B1D94" w:rsidP="003B1D94">
      <w:pPr>
        <w:spacing w:before="0" w:after="0" w:line="240" w:lineRule="auto"/>
        <w:rPr>
          <w:b/>
        </w:rPr>
      </w:pPr>
    </w:p>
    <w:p w14:paraId="592821D9" w14:textId="4B44686A" w:rsidR="003B1D94" w:rsidRPr="00744A5B" w:rsidRDefault="003B1D94" w:rsidP="008277A2">
      <w:pPr>
        <w:spacing w:before="0" w:after="0" w:line="240" w:lineRule="auto"/>
        <w:rPr>
          <w:b/>
        </w:rPr>
      </w:pPr>
      <w:r w:rsidRPr="00744A5B">
        <w:rPr>
          <w:b/>
        </w:rPr>
        <w:t>Standardized Baseline Cost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5"/>
        <w:gridCol w:w="3420"/>
        <w:gridCol w:w="1885"/>
      </w:tblGrid>
      <w:tr w:rsidR="003B1D94" w:rsidRPr="00C6243E" w14:paraId="382D520E" w14:textId="77777777" w:rsidTr="008277A2">
        <w:trPr>
          <w:trHeight w:val="510"/>
        </w:trPr>
        <w:tc>
          <w:tcPr>
            <w:tcW w:w="4045" w:type="dxa"/>
            <w:shd w:val="clear" w:color="auto" w:fill="D9D9D9" w:themeFill="background1" w:themeFillShade="D9"/>
            <w:noWrap/>
            <w:vAlign w:val="center"/>
            <w:hideMark/>
          </w:tcPr>
          <w:p w14:paraId="73A75A3F" w14:textId="77777777" w:rsidR="003B1D94" w:rsidRPr="00142FC9" w:rsidRDefault="003B1D94" w:rsidP="00F92DA3">
            <w:pPr>
              <w:rPr>
                <w:rFonts w:eastAsia="Times New Roman" w:cs="Calibri Light"/>
                <w:b/>
                <w:bCs/>
                <w:sz w:val="20"/>
                <w:szCs w:val="20"/>
              </w:rPr>
            </w:pPr>
            <w:r w:rsidRPr="00142FC9">
              <w:rPr>
                <w:rFonts w:eastAsia="Times New Roman" w:cs="Calibri Light"/>
                <w:b/>
                <w:bCs/>
                <w:sz w:val="20"/>
                <w:szCs w:val="20"/>
              </w:rPr>
              <w:t>Appliance</w:t>
            </w:r>
          </w:p>
        </w:tc>
        <w:tc>
          <w:tcPr>
            <w:tcW w:w="3420" w:type="dxa"/>
            <w:shd w:val="clear" w:color="auto" w:fill="D9D9D9" w:themeFill="background1" w:themeFillShade="D9"/>
            <w:vAlign w:val="center"/>
            <w:hideMark/>
          </w:tcPr>
          <w:p w14:paraId="763E099C" w14:textId="77777777" w:rsidR="003B1D94" w:rsidRPr="00142FC9" w:rsidRDefault="003B1D94" w:rsidP="00142FC9">
            <w:pPr>
              <w:jc w:val="center"/>
              <w:rPr>
                <w:rFonts w:eastAsia="Times New Roman" w:cs="Calibri Light"/>
                <w:b/>
                <w:bCs/>
                <w:sz w:val="20"/>
                <w:szCs w:val="20"/>
              </w:rPr>
            </w:pPr>
            <w:r w:rsidRPr="00142FC9">
              <w:rPr>
                <w:rFonts w:eastAsia="Times New Roman" w:cs="Calibri Light"/>
                <w:b/>
                <w:bCs/>
                <w:sz w:val="20"/>
                <w:szCs w:val="20"/>
              </w:rPr>
              <w:t>Standardized Average Appliance Cost</w:t>
            </w:r>
            <w:r w:rsidRPr="00142FC9">
              <w:rPr>
                <w:rStyle w:val="FootnoteReference"/>
                <w:rFonts w:eastAsia="Times New Roman" w:cs="Calibri Light"/>
                <w:b/>
                <w:bCs/>
                <w:sz w:val="20"/>
                <w:szCs w:val="20"/>
              </w:rPr>
              <w:footnoteReference w:id="28"/>
            </w:r>
          </w:p>
        </w:tc>
        <w:tc>
          <w:tcPr>
            <w:tcW w:w="1885" w:type="dxa"/>
            <w:shd w:val="clear" w:color="auto" w:fill="D9D9D9" w:themeFill="background1" w:themeFillShade="D9"/>
          </w:tcPr>
          <w:p w14:paraId="4503A713" w14:textId="77777777" w:rsidR="003B1D94" w:rsidRPr="00142FC9" w:rsidRDefault="003B1D94" w:rsidP="00142FC9">
            <w:pPr>
              <w:jc w:val="center"/>
              <w:rPr>
                <w:rFonts w:eastAsia="Times New Roman" w:cs="Calibri Light"/>
                <w:b/>
                <w:bCs/>
                <w:sz w:val="20"/>
                <w:szCs w:val="20"/>
              </w:rPr>
            </w:pPr>
            <w:r w:rsidRPr="00142FC9">
              <w:rPr>
                <w:rFonts w:eastAsia="Times New Roman" w:cs="Calibri Light"/>
                <w:b/>
                <w:bCs/>
                <w:sz w:val="20"/>
                <w:szCs w:val="20"/>
              </w:rPr>
              <w:t>Sample Count</w:t>
            </w:r>
          </w:p>
        </w:tc>
      </w:tr>
      <w:tr w:rsidR="003B1D94" w:rsidRPr="00C6243E" w14:paraId="1AD20B41" w14:textId="77777777" w:rsidTr="008277A2">
        <w:trPr>
          <w:trHeight w:val="300"/>
        </w:trPr>
        <w:tc>
          <w:tcPr>
            <w:tcW w:w="4045" w:type="dxa"/>
            <w:shd w:val="clear" w:color="auto" w:fill="auto"/>
            <w:vAlign w:val="center"/>
          </w:tcPr>
          <w:p w14:paraId="3DB1A7DF" w14:textId="37F51753" w:rsidR="003B1D94" w:rsidRDefault="00142FC9" w:rsidP="00F92DA3">
            <w:pPr>
              <w:rPr>
                <w:rFonts w:eastAsia="Times New Roman" w:cs="Calibri Light"/>
                <w:sz w:val="20"/>
                <w:szCs w:val="20"/>
              </w:rPr>
            </w:pPr>
            <w:r>
              <w:rPr>
                <w:rFonts w:eastAsia="Times New Roman" w:cs="Calibri Light"/>
                <w:sz w:val="20"/>
                <w:szCs w:val="20"/>
              </w:rPr>
              <w:t>Electric Resistance Cooktop</w:t>
            </w:r>
          </w:p>
        </w:tc>
        <w:tc>
          <w:tcPr>
            <w:tcW w:w="3420" w:type="dxa"/>
            <w:shd w:val="clear" w:color="auto" w:fill="auto"/>
            <w:noWrap/>
            <w:vAlign w:val="bottom"/>
          </w:tcPr>
          <w:p w14:paraId="6381E61C" w14:textId="3A9DAA30" w:rsidR="003B1D94" w:rsidRDefault="00142FC9" w:rsidP="00F92DA3">
            <w:pPr>
              <w:jc w:val="center"/>
              <w:rPr>
                <w:rFonts w:eastAsia="Times New Roman" w:cs="Calibri Light"/>
                <w:sz w:val="20"/>
                <w:szCs w:val="20"/>
              </w:rPr>
            </w:pPr>
            <w:r>
              <w:rPr>
                <w:rFonts w:eastAsia="Times New Roman" w:cs="Calibri Light"/>
                <w:sz w:val="20"/>
                <w:szCs w:val="20"/>
              </w:rPr>
              <w:t>$948.51</w:t>
            </w:r>
          </w:p>
        </w:tc>
        <w:tc>
          <w:tcPr>
            <w:tcW w:w="1885" w:type="dxa"/>
          </w:tcPr>
          <w:p w14:paraId="0965A0AF" w14:textId="0DCC806A" w:rsidR="003B1D94" w:rsidRDefault="00142FC9" w:rsidP="00F92DA3">
            <w:pPr>
              <w:jc w:val="center"/>
              <w:rPr>
                <w:rFonts w:eastAsia="Times New Roman" w:cs="Calibri Light"/>
                <w:sz w:val="20"/>
                <w:szCs w:val="20"/>
              </w:rPr>
            </w:pPr>
            <w:r>
              <w:rPr>
                <w:rFonts w:eastAsia="Times New Roman" w:cs="Calibri Light"/>
                <w:sz w:val="20"/>
                <w:szCs w:val="20"/>
              </w:rPr>
              <w:t>76</w:t>
            </w:r>
          </w:p>
        </w:tc>
      </w:tr>
      <w:tr w:rsidR="003B1D94" w:rsidRPr="00C6243E" w14:paraId="4A1D0074" w14:textId="77777777" w:rsidTr="008277A2">
        <w:trPr>
          <w:trHeight w:val="300"/>
        </w:trPr>
        <w:tc>
          <w:tcPr>
            <w:tcW w:w="4045" w:type="dxa"/>
            <w:shd w:val="clear" w:color="auto" w:fill="auto"/>
            <w:vAlign w:val="center"/>
          </w:tcPr>
          <w:p w14:paraId="07068081" w14:textId="4E1C7C7A" w:rsidR="003B1D94" w:rsidRPr="00C6243E" w:rsidRDefault="00142FC9" w:rsidP="00F92DA3">
            <w:pPr>
              <w:rPr>
                <w:rFonts w:eastAsia="Times New Roman" w:cs="Calibri Light"/>
                <w:sz w:val="20"/>
                <w:szCs w:val="20"/>
              </w:rPr>
            </w:pPr>
            <w:r>
              <w:rPr>
                <w:rFonts w:eastAsia="Times New Roman" w:cs="Calibri Light"/>
                <w:sz w:val="20"/>
                <w:szCs w:val="20"/>
              </w:rPr>
              <w:t xml:space="preserve">Electric </w:t>
            </w:r>
            <w:r w:rsidR="00A35BDF">
              <w:rPr>
                <w:rFonts w:eastAsia="Times New Roman" w:cs="Calibri Light"/>
                <w:sz w:val="20"/>
                <w:szCs w:val="20"/>
              </w:rPr>
              <w:t>Range</w:t>
            </w:r>
            <w:r>
              <w:rPr>
                <w:rFonts w:eastAsia="Times New Roman" w:cs="Calibri Light"/>
                <w:sz w:val="20"/>
                <w:szCs w:val="20"/>
              </w:rPr>
              <w:t xml:space="preserve"> with Electric Resistance Cooktop</w:t>
            </w:r>
          </w:p>
        </w:tc>
        <w:tc>
          <w:tcPr>
            <w:tcW w:w="3420" w:type="dxa"/>
            <w:shd w:val="clear" w:color="auto" w:fill="auto"/>
            <w:noWrap/>
            <w:vAlign w:val="bottom"/>
          </w:tcPr>
          <w:p w14:paraId="1F7C77B5" w14:textId="7647C09E" w:rsidR="003B1D94" w:rsidRPr="00AF1AC2" w:rsidRDefault="00142FC9" w:rsidP="00F92DA3">
            <w:pPr>
              <w:jc w:val="center"/>
              <w:rPr>
                <w:rFonts w:eastAsia="Times New Roman" w:cs="Calibri Light"/>
                <w:sz w:val="20"/>
                <w:szCs w:val="20"/>
              </w:rPr>
            </w:pPr>
            <w:r>
              <w:rPr>
                <w:rFonts w:eastAsia="Times New Roman" w:cs="Calibri Light"/>
                <w:sz w:val="20"/>
                <w:szCs w:val="20"/>
              </w:rPr>
              <w:t>$708.00</w:t>
            </w:r>
          </w:p>
        </w:tc>
        <w:tc>
          <w:tcPr>
            <w:tcW w:w="1885" w:type="dxa"/>
          </w:tcPr>
          <w:p w14:paraId="05091FFE" w14:textId="3DFA9A56" w:rsidR="003B1D94" w:rsidRDefault="00142FC9" w:rsidP="00F92DA3">
            <w:pPr>
              <w:jc w:val="center"/>
              <w:rPr>
                <w:rFonts w:eastAsia="Times New Roman" w:cs="Calibri Light"/>
                <w:sz w:val="20"/>
                <w:szCs w:val="20"/>
              </w:rPr>
            </w:pPr>
            <w:r>
              <w:rPr>
                <w:rFonts w:eastAsia="Times New Roman" w:cs="Calibri Light"/>
                <w:sz w:val="20"/>
                <w:szCs w:val="20"/>
              </w:rPr>
              <w:t>23</w:t>
            </w:r>
          </w:p>
        </w:tc>
      </w:tr>
    </w:tbl>
    <w:p w14:paraId="602240B0" w14:textId="77777777" w:rsidR="003B1D94" w:rsidRDefault="003B1D94" w:rsidP="003B1D94">
      <w:pPr>
        <w:rPr>
          <w:rFonts w:cs="Calibri Light"/>
        </w:rPr>
      </w:pPr>
      <w:r w:rsidRPr="00C6243E">
        <w:rPr>
          <w:rFonts w:cs="Calibri Light"/>
        </w:rPr>
        <w:t>The total equipment cost includes 8.75% tax.</w:t>
      </w:r>
    </w:p>
    <w:p w14:paraId="621137E3" w14:textId="77777777" w:rsidR="008F254E" w:rsidRPr="00FF00DE" w:rsidRDefault="008F254E" w:rsidP="00F5604A">
      <w:pPr>
        <w:rPr>
          <w:rFonts w:cstheme="minorHAnsi"/>
        </w:rPr>
      </w:pPr>
    </w:p>
    <w:p w14:paraId="44E8DBEB" w14:textId="77777777" w:rsidR="007D230B" w:rsidRPr="004B06E3" w:rsidRDefault="007D230B" w:rsidP="00142FC9">
      <w:pPr>
        <w:pStyle w:val="eTRMHeading3"/>
      </w:pPr>
      <w:bookmarkStart w:id="55" w:name="_Toc486490861"/>
      <w:bookmarkStart w:id="56" w:name="_Toc486580932"/>
      <w:bookmarkStart w:id="57" w:name="_Toc32819848"/>
      <w:r w:rsidRPr="004B06E3">
        <w:t>Measure Case Material Cost ($/unit)</w:t>
      </w:r>
      <w:bookmarkEnd w:id="55"/>
      <w:bookmarkEnd w:id="56"/>
      <w:bookmarkEnd w:id="57"/>
    </w:p>
    <w:p w14:paraId="5DCDA202" w14:textId="548EC22F" w:rsidR="003B1D94" w:rsidRDefault="003B1D94" w:rsidP="003B1D94">
      <w:pPr>
        <w:pStyle w:val="Normal1"/>
        <w:rPr>
          <w:rFonts w:ascii="Calibri Light" w:eastAsiaTheme="minorEastAsia" w:hAnsi="Calibri Light" w:cs="Calibri Light"/>
          <w:color w:val="auto"/>
          <w:szCs w:val="24"/>
        </w:rPr>
      </w:pPr>
      <w:bookmarkStart w:id="58" w:name="_Toc486490862"/>
      <w:bookmarkStart w:id="59" w:name="_Toc486580933"/>
      <w:r w:rsidRPr="00EC7A31">
        <w:rPr>
          <w:rFonts w:ascii="Calibri Light" w:eastAsiaTheme="minorEastAsia" w:hAnsi="Calibri Light" w:cs="Calibri Light"/>
          <w:color w:val="auto"/>
          <w:szCs w:val="24"/>
        </w:rPr>
        <w:t xml:space="preserve">The </w:t>
      </w:r>
      <w:r>
        <w:rPr>
          <w:rFonts w:ascii="Calibri Light" w:eastAsiaTheme="minorEastAsia" w:hAnsi="Calibri Light" w:cs="Calibri Light"/>
          <w:color w:val="auto"/>
          <w:szCs w:val="24"/>
        </w:rPr>
        <w:t>measure</w:t>
      </w:r>
      <w:r w:rsidRPr="00EC7A31">
        <w:rPr>
          <w:rFonts w:ascii="Calibri Light" w:eastAsiaTheme="minorEastAsia" w:hAnsi="Calibri Light" w:cs="Calibri Light"/>
          <w:color w:val="auto"/>
          <w:szCs w:val="24"/>
        </w:rPr>
        <w:t xml:space="preserve"> case cost was obtained through online prices research from various retailer websites in the third quarter of 2019. Costing was </w:t>
      </w:r>
      <w:r w:rsidR="00142FC9">
        <w:rPr>
          <w:rFonts w:ascii="Calibri Light" w:eastAsiaTheme="minorEastAsia" w:hAnsi="Calibri Light" w:cs="Calibri Light"/>
          <w:color w:val="auto"/>
          <w:szCs w:val="24"/>
        </w:rPr>
        <w:t>standardized</w:t>
      </w:r>
      <w:r w:rsidRPr="00EC7A31">
        <w:rPr>
          <w:rFonts w:ascii="Calibri Light" w:eastAsiaTheme="minorEastAsia" w:hAnsi="Calibri Light" w:cs="Calibri Light"/>
          <w:color w:val="auto"/>
          <w:szCs w:val="24"/>
        </w:rPr>
        <w:t xml:space="preserve"> between </w:t>
      </w:r>
      <w:r>
        <w:rPr>
          <w:rFonts w:ascii="Calibri Light" w:eastAsiaTheme="minorEastAsia" w:hAnsi="Calibri Light" w:cs="Calibri Light"/>
          <w:color w:val="auto"/>
          <w:szCs w:val="24"/>
        </w:rPr>
        <w:t>equipment</w:t>
      </w:r>
      <w:r w:rsidRPr="00EC7A31">
        <w:rPr>
          <w:rFonts w:ascii="Calibri Light" w:eastAsiaTheme="minorEastAsia" w:hAnsi="Calibri Light" w:cs="Calibri Light"/>
          <w:color w:val="auto"/>
          <w:szCs w:val="24"/>
        </w:rPr>
        <w:t xml:space="preserve"> types due to large price jumps due to specific add-ons (</w:t>
      </w:r>
      <w:proofErr w:type="spellStart"/>
      <w:r w:rsidRPr="00EC7A31">
        <w:rPr>
          <w:rFonts w:ascii="Calibri Light" w:eastAsiaTheme="minorEastAsia" w:hAnsi="Calibri Light" w:cs="Calibri Light"/>
          <w:color w:val="auto"/>
          <w:szCs w:val="24"/>
        </w:rPr>
        <w:t>ie</w:t>
      </w:r>
      <w:proofErr w:type="spellEnd"/>
      <w:r w:rsidRPr="00EC7A31">
        <w:rPr>
          <w:rFonts w:ascii="Calibri Light" w:eastAsiaTheme="minorEastAsia" w:hAnsi="Calibri Light" w:cs="Calibri Light"/>
          <w:color w:val="auto"/>
          <w:szCs w:val="24"/>
        </w:rPr>
        <w:t xml:space="preserve">. two-oven ranges, Smart system [a system that includes automated controls and wi-fi connectivity], etc.). </w:t>
      </w:r>
      <w:r>
        <w:rPr>
          <w:rFonts w:ascii="Calibri Light" w:eastAsiaTheme="minorEastAsia" w:hAnsi="Calibri Light" w:cs="Calibri Light"/>
          <w:color w:val="auto"/>
          <w:szCs w:val="24"/>
        </w:rPr>
        <w:t>Electric</w:t>
      </w:r>
      <w:r w:rsidRPr="00B66FD8">
        <w:rPr>
          <w:rFonts w:ascii="Calibri Light" w:eastAsiaTheme="minorEastAsia" w:hAnsi="Calibri Light" w:cs="Calibri Light"/>
          <w:color w:val="auto"/>
          <w:szCs w:val="24"/>
        </w:rPr>
        <w:t xml:space="preserve"> range</w:t>
      </w:r>
      <w:r>
        <w:rPr>
          <w:rFonts w:ascii="Calibri Light" w:eastAsiaTheme="minorEastAsia" w:hAnsi="Calibri Light" w:cs="Calibri Light"/>
          <w:color w:val="auto"/>
          <w:szCs w:val="24"/>
        </w:rPr>
        <w:t>s with induction</w:t>
      </w:r>
      <w:r w:rsidRPr="00B66FD8">
        <w:rPr>
          <w:rFonts w:ascii="Calibri Light" w:eastAsiaTheme="minorEastAsia" w:hAnsi="Calibri Light" w:cs="Calibri Light"/>
          <w:color w:val="auto"/>
          <w:szCs w:val="24"/>
        </w:rPr>
        <w:t xml:space="preserve"> </w:t>
      </w:r>
      <w:r>
        <w:rPr>
          <w:rFonts w:ascii="Calibri Light" w:eastAsiaTheme="minorEastAsia" w:hAnsi="Calibri Light" w:cs="Calibri Light"/>
          <w:color w:val="auto"/>
          <w:szCs w:val="24"/>
        </w:rPr>
        <w:t>cooktop</w:t>
      </w:r>
      <w:r w:rsidRPr="00B66FD8">
        <w:rPr>
          <w:rFonts w:ascii="Calibri Light" w:eastAsiaTheme="minorEastAsia" w:hAnsi="Calibri Light" w:cs="Calibri Light"/>
          <w:color w:val="auto"/>
          <w:szCs w:val="24"/>
        </w:rPr>
        <w:t xml:space="preserve">s were </w:t>
      </w:r>
      <w:r w:rsidR="00142FC9">
        <w:rPr>
          <w:rFonts w:ascii="Calibri Light" w:eastAsiaTheme="minorEastAsia" w:hAnsi="Calibri Light" w:cs="Calibri Light"/>
          <w:color w:val="auto"/>
          <w:szCs w:val="24"/>
        </w:rPr>
        <w:t>standardized</w:t>
      </w:r>
      <w:r w:rsidRPr="00B66FD8">
        <w:rPr>
          <w:rFonts w:ascii="Calibri Light" w:eastAsiaTheme="minorEastAsia" w:hAnsi="Calibri Light" w:cs="Calibri Light"/>
          <w:color w:val="auto"/>
          <w:szCs w:val="24"/>
        </w:rPr>
        <w:t xml:space="preserve"> according to single-oven, five to six cubic ft. oven volume, non-SMART ranges. </w:t>
      </w:r>
      <w:r>
        <w:rPr>
          <w:rFonts w:ascii="Calibri Light" w:eastAsiaTheme="minorEastAsia" w:hAnsi="Calibri Light" w:cs="Calibri Light"/>
          <w:color w:val="auto"/>
          <w:szCs w:val="24"/>
        </w:rPr>
        <w:t xml:space="preserve">A similar approach was utilized for electric resistance where they were restricted to five to six cubic ft. oven volume and non-SMART criteria. </w:t>
      </w:r>
      <w:r w:rsidRPr="00B66FD8">
        <w:rPr>
          <w:rFonts w:ascii="Calibri Light" w:eastAsiaTheme="minorEastAsia" w:hAnsi="Calibri Light" w:cs="Calibri Light"/>
          <w:color w:val="auto"/>
          <w:szCs w:val="24"/>
        </w:rPr>
        <w:t xml:space="preserve">Induction standalone </w:t>
      </w:r>
      <w:r>
        <w:rPr>
          <w:rFonts w:ascii="Calibri Light" w:eastAsiaTheme="minorEastAsia" w:hAnsi="Calibri Light" w:cs="Calibri Light"/>
          <w:color w:val="auto"/>
          <w:szCs w:val="24"/>
        </w:rPr>
        <w:t>cooktop</w:t>
      </w:r>
      <w:r w:rsidRPr="00B66FD8">
        <w:rPr>
          <w:rFonts w:ascii="Calibri Light" w:eastAsiaTheme="minorEastAsia" w:hAnsi="Calibri Light" w:cs="Calibri Light"/>
          <w:color w:val="auto"/>
          <w:szCs w:val="24"/>
        </w:rPr>
        <w:t xml:space="preserve">s were </w:t>
      </w:r>
      <w:r>
        <w:rPr>
          <w:rFonts w:ascii="Calibri Light" w:eastAsiaTheme="minorEastAsia" w:hAnsi="Calibri Light" w:cs="Calibri Light"/>
          <w:color w:val="auto"/>
          <w:szCs w:val="24"/>
        </w:rPr>
        <w:t>normalized</w:t>
      </w:r>
      <w:r w:rsidRPr="00B66FD8">
        <w:rPr>
          <w:rFonts w:ascii="Calibri Light" w:eastAsiaTheme="minorEastAsia" w:hAnsi="Calibri Light" w:cs="Calibri Light"/>
          <w:color w:val="auto"/>
          <w:szCs w:val="24"/>
        </w:rPr>
        <w:t xml:space="preserve"> to four or five burners and at least 1,500 cubic in. volume. Until more updated studies are done, the online retail point of sales pricing is the best available data to support the measure equipment cost.</w:t>
      </w:r>
      <w:r w:rsidRPr="009C1195">
        <w:rPr>
          <w:rFonts w:ascii="Calibri Light" w:eastAsiaTheme="minorEastAsia" w:hAnsi="Calibri Light" w:cs="Calibri Light"/>
          <w:color w:val="auto"/>
          <w:szCs w:val="24"/>
        </w:rPr>
        <w:t xml:space="preserve"> </w:t>
      </w:r>
    </w:p>
    <w:p w14:paraId="34CD21C3" w14:textId="77777777" w:rsidR="003B1D94" w:rsidRDefault="003B1D94" w:rsidP="003B1D94">
      <w:pPr>
        <w:spacing w:before="0" w:after="0" w:line="240" w:lineRule="auto"/>
        <w:rPr>
          <w:b/>
        </w:rPr>
      </w:pPr>
    </w:p>
    <w:p w14:paraId="3C94FE85" w14:textId="77777777" w:rsidR="003B1D94" w:rsidRPr="00744A5B" w:rsidRDefault="003B1D94" w:rsidP="003B1D94">
      <w:pPr>
        <w:rPr>
          <w:b/>
        </w:rPr>
      </w:pPr>
      <w:r w:rsidRPr="00744A5B">
        <w:rPr>
          <w:b/>
        </w:rPr>
        <w:t>Standardized Measure Cost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5"/>
        <w:gridCol w:w="3420"/>
        <w:gridCol w:w="1885"/>
      </w:tblGrid>
      <w:tr w:rsidR="003B1D94" w:rsidRPr="00AF1AC2" w14:paraId="3E347641" w14:textId="77777777" w:rsidTr="008277A2">
        <w:trPr>
          <w:trHeight w:val="510"/>
        </w:trPr>
        <w:tc>
          <w:tcPr>
            <w:tcW w:w="4045" w:type="dxa"/>
            <w:shd w:val="clear" w:color="auto" w:fill="D9D9D9" w:themeFill="background1" w:themeFillShade="D9"/>
            <w:noWrap/>
            <w:vAlign w:val="center"/>
            <w:hideMark/>
          </w:tcPr>
          <w:p w14:paraId="3AF51580" w14:textId="77777777" w:rsidR="003B1D94" w:rsidRPr="00142FC9" w:rsidRDefault="003B1D94" w:rsidP="00F92DA3">
            <w:pPr>
              <w:rPr>
                <w:rFonts w:eastAsia="Times New Roman" w:cs="Calibri Light"/>
                <w:b/>
                <w:bCs/>
                <w:sz w:val="20"/>
                <w:szCs w:val="20"/>
              </w:rPr>
            </w:pPr>
            <w:r w:rsidRPr="00142FC9">
              <w:rPr>
                <w:rFonts w:eastAsia="Times New Roman" w:cs="Calibri Light"/>
                <w:b/>
                <w:bCs/>
                <w:sz w:val="20"/>
                <w:szCs w:val="20"/>
              </w:rPr>
              <w:t>Technology</w:t>
            </w:r>
          </w:p>
        </w:tc>
        <w:tc>
          <w:tcPr>
            <w:tcW w:w="3420" w:type="dxa"/>
            <w:shd w:val="clear" w:color="auto" w:fill="D9D9D9" w:themeFill="background1" w:themeFillShade="D9"/>
            <w:vAlign w:val="center"/>
            <w:hideMark/>
          </w:tcPr>
          <w:p w14:paraId="67469987" w14:textId="77777777" w:rsidR="003B1D94" w:rsidRPr="00142FC9" w:rsidRDefault="003B1D94" w:rsidP="008277A2">
            <w:pPr>
              <w:jc w:val="center"/>
              <w:rPr>
                <w:rFonts w:eastAsia="Times New Roman" w:cs="Calibri Light"/>
                <w:b/>
                <w:bCs/>
                <w:sz w:val="20"/>
                <w:szCs w:val="20"/>
              </w:rPr>
            </w:pPr>
            <w:r w:rsidRPr="00142FC9">
              <w:rPr>
                <w:rFonts w:eastAsia="Times New Roman" w:cs="Calibri Light"/>
                <w:b/>
                <w:bCs/>
                <w:sz w:val="20"/>
                <w:szCs w:val="20"/>
              </w:rPr>
              <w:t>Standardized Average Range Cost</w:t>
            </w:r>
            <w:r w:rsidRPr="00142FC9">
              <w:rPr>
                <w:rStyle w:val="FootnoteReference"/>
                <w:rFonts w:eastAsia="Times New Roman" w:cs="Calibri Light"/>
                <w:b/>
                <w:bCs/>
                <w:sz w:val="20"/>
                <w:szCs w:val="20"/>
              </w:rPr>
              <w:footnoteReference w:id="29"/>
            </w:r>
          </w:p>
        </w:tc>
        <w:tc>
          <w:tcPr>
            <w:tcW w:w="1885" w:type="dxa"/>
            <w:shd w:val="clear" w:color="auto" w:fill="D9D9D9" w:themeFill="background1" w:themeFillShade="D9"/>
          </w:tcPr>
          <w:p w14:paraId="1A7CBB91" w14:textId="77777777" w:rsidR="003B1D94" w:rsidRPr="00142FC9" w:rsidRDefault="003B1D94" w:rsidP="008277A2">
            <w:pPr>
              <w:jc w:val="center"/>
              <w:rPr>
                <w:rFonts w:eastAsia="Times New Roman" w:cs="Calibri Light"/>
                <w:b/>
                <w:bCs/>
                <w:sz w:val="20"/>
                <w:szCs w:val="20"/>
              </w:rPr>
            </w:pPr>
            <w:r w:rsidRPr="00142FC9">
              <w:rPr>
                <w:rFonts w:eastAsia="Times New Roman" w:cs="Calibri Light"/>
                <w:b/>
                <w:bCs/>
                <w:sz w:val="20"/>
                <w:szCs w:val="20"/>
              </w:rPr>
              <w:t>Sample Count</w:t>
            </w:r>
          </w:p>
        </w:tc>
      </w:tr>
      <w:tr w:rsidR="003B1D94" w:rsidRPr="00AF1AC2" w14:paraId="0768E128" w14:textId="77777777" w:rsidTr="008277A2">
        <w:trPr>
          <w:trHeight w:val="300"/>
        </w:trPr>
        <w:tc>
          <w:tcPr>
            <w:tcW w:w="4045" w:type="dxa"/>
            <w:shd w:val="clear" w:color="auto" w:fill="auto"/>
          </w:tcPr>
          <w:p w14:paraId="7DA96783" w14:textId="77777777" w:rsidR="003B1D94" w:rsidRDefault="003B1D94" w:rsidP="00F92DA3">
            <w:pPr>
              <w:rPr>
                <w:rFonts w:eastAsia="Times New Roman" w:cs="Calibri Light"/>
                <w:sz w:val="20"/>
                <w:szCs w:val="20"/>
              </w:rPr>
            </w:pPr>
            <w:r w:rsidRPr="0074289D">
              <w:rPr>
                <w:rFonts w:eastAsia="Times New Roman" w:cs="Calibri Light"/>
                <w:sz w:val="18"/>
                <w:szCs w:val="20"/>
              </w:rPr>
              <w:t xml:space="preserve">Induction </w:t>
            </w:r>
            <w:r>
              <w:rPr>
                <w:rFonts w:eastAsia="Times New Roman" w:cs="Calibri Light"/>
                <w:sz w:val="18"/>
                <w:szCs w:val="20"/>
              </w:rPr>
              <w:t>Cooktop</w:t>
            </w:r>
          </w:p>
        </w:tc>
        <w:tc>
          <w:tcPr>
            <w:tcW w:w="3420" w:type="dxa"/>
            <w:shd w:val="clear" w:color="auto" w:fill="auto"/>
            <w:noWrap/>
            <w:vAlign w:val="bottom"/>
          </w:tcPr>
          <w:p w14:paraId="66F50CDD" w14:textId="77777777" w:rsidR="003B1D94" w:rsidRPr="00AF1AC2" w:rsidRDefault="003B1D94" w:rsidP="00F92DA3">
            <w:pPr>
              <w:rPr>
                <w:rFonts w:eastAsia="Times New Roman" w:cs="Calibri Light"/>
                <w:sz w:val="20"/>
                <w:szCs w:val="20"/>
              </w:rPr>
            </w:pPr>
            <w:r>
              <w:rPr>
                <w:rFonts w:eastAsia="Times New Roman" w:cs="Calibri Light"/>
                <w:sz w:val="20"/>
                <w:szCs w:val="20"/>
              </w:rPr>
              <w:t>$ 1,635.56</w:t>
            </w:r>
          </w:p>
        </w:tc>
        <w:tc>
          <w:tcPr>
            <w:tcW w:w="1885" w:type="dxa"/>
          </w:tcPr>
          <w:p w14:paraId="61FB7949" w14:textId="77777777" w:rsidR="003B1D94" w:rsidRDefault="003B1D94" w:rsidP="00F92DA3">
            <w:pPr>
              <w:rPr>
                <w:rFonts w:eastAsia="Times New Roman" w:cs="Calibri Light"/>
                <w:sz w:val="20"/>
                <w:szCs w:val="20"/>
              </w:rPr>
            </w:pPr>
            <w:r>
              <w:rPr>
                <w:rFonts w:eastAsia="Times New Roman" w:cs="Calibri Light"/>
                <w:sz w:val="20"/>
                <w:szCs w:val="20"/>
              </w:rPr>
              <w:t>114</w:t>
            </w:r>
          </w:p>
        </w:tc>
      </w:tr>
      <w:tr w:rsidR="003B1D94" w:rsidRPr="00AF1AC2" w14:paraId="38B1F83A" w14:textId="77777777" w:rsidTr="008277A2">
        <w:trPr>
          <w:trHeight w:val="300"/>
        </w:trPr>
        <w:tc>
          <w:tcPr>
            <w:tcW w:w="4045" w:type="dxa"/>
            <w:shd w:val="clear" w:color="auto" w:fill="auto"/>
            <w:hideMark/>
          </w:tcPr>
          <w:p w14:paraId="5D9263C4" w14:textId="6B5EDCBB" w:rsidR="003B1D94" w:rsidRPr="00AF1AC2" w:rsidRDefault="003B1D94" w:rsidP="00F92DA3">
            <w:pPr>
              <w:rPr>
                <w:rFonts w:eastAsia="Times New Roman" w:cs="Calibri Light"/>
                <w:sz w:val="20"/>
                <w:szCs w:val="20"/>
              </w:rPr>
            </w:pPr>
            <w:r w:rsidRPr="0074289D">
              <w:rPr>
                <w:rFonts w:eastAsia="Times New Roman" w:cs="Calibri Light"/>
                <w:sz w:val="18"/>
                <w:szCs w:val="20"/>
              </w:rPr>
              <w:t xml:space="preserve">Electric </w:t>
            </w:r>
            <w:r w:rsidR="00A35BDF">
              <w:rPr>
                <w:rFonts w:eastAsia="Times New Roman" w:cs="Calibri Light"/>
                <w:sz w:val="18"/>
                <w:szCs w:val="20"/>
              </w:rPr>
              <w:t>Range</w:t>
            </w:r>
            <w:r w:rsidRPr="0074289D">
              <w:rPr>
                <w:rFonts w:eastAsia="Times New Roman" w:cs="Calibri Light"/>
                <w:sz w:val="18"/>
                <w:szCs w:val="20"/>
              </w:rPr>
              <w:t xml:space="preserve"> with Induction </w:t>
            </w:r>
            <w:r>
              <w:rPr>
                <w:rFonts w:eastAsia="Times New Roman" w:cs="Calibri Light"/>
                <w:sz w:val="18"/>
                <w:szCs w:val="20"/>
              </w:rPr>
              <w:t>Cooktop</w:t>
            </w:r>
          </w:p>
        </w:tc>
        <w:tc>
          <w:tcPr>
            <w:tcW w:w="3420" w:type="dxa"/>
            <w:shd w:val="clear" w:color="auto" w:fill="auto"/>
            <w:noWrap/>
            <w:vAlign w:val="bottom"/>
            <w:hideMark/>
          </w:tcPr>
          <w:p w14:paraId="540A44CC" w14:textId="77777777" w:rsidR="003B1D94" w:rsidRPr="00AF1AC2" w:rsidRDefault="003B1D94" w:rsidP="00F92DA3">
            <w:pPr>
              <w:rPr>
                <w:rFonts w:eastAsia="Times New Roman" w:cs="Calibri Light"/>
                <w:sz w:val="20"/>
                <w:szCs w:val="20"/>
              </w:rPr>
            </w:pPr>
            <w:r w:rsidRPr="00AF1AC2">
              <w:rPr>
                <w:rFonts w:eastAsia="Times New Roman" w:cs="Calibri Light"/>
                <w:sz w:val="20"/>
                <w:szCs w:val="20"/>
              </w:rPr>
              <w:t>$</w:t>
            </w:r>
            <w:r>
              <w:rPr>
                <w:rFonts w:eastAsia="Times New Roman" w:cs="Calibri Light"/>
                <w:sz w:val="20"/>
                <w:szCs w:val="20"/>
              </w:rPr>
              <w:t xml:space="preserve"> 1,657.23</w:t>
            </w:r>
          </w:p>
        </w:tc>
        <w:tc>
          <w:tcPr>
            <w:tcW w:w="1885" w:type="dxa"/>
          </w:tcPr>
          <w:p w14:paraId="28FE23D9" w14:textId="77777777" w:rsidR="003B1D94" w:rsidRPr="00AF1AC2" w:rsidRDefault="003B1D94" w:rsidP="00F92DA3">
            <w:pPr>
              <w:rPr>
                <w:rFonts w:eastAsia="Times New Roman" w:cs="Calibri Light"/>
                <w:sz w:val="20"/>
                <w:szCs w:val="20"/>
              </w:rPr>
            </w:pPr>
            <w:r>
              <w:rPr>
                <w:rFonts w:eastAsia="Times New Roman" w:cs="Calibri Light"/>
                <w:sz w:val="20"/>
                <w:szCs w:val="20"/>
              </w:rPr>
              <w:t>24</w:t>
            </w:r>
          </w:p>
        </w:tc>
      </w:tr>
    </w:tbl>
    <w:p w14:paraId="1629D191" w14:textId="77777777" w:rsidR="003B1D94" w:rsidRPr="00C6243E" w:rsidRDefault="003B1D94" w:rsidP="003B1D94">
      <w:pPr>
        <w:pStyle w:val="Normal1"/>
        <w:rPr>
          <w:rFonts w:ascii="Calibri Light" w:eastAsiaTheme="minorEastAsia" w:hAnsi="Calibri Light" w:cs="Calibri Light"/>
          <w:color w:val="auto"/>
          <w:szCs w:val="24"/>
        </w:rPr>
      </w:pPr>
      <w:r w:rsidRPr="00B66FD8">
        <w:rPr>
          <w:rFonts w:ascii="Calibri Light" w:eastAsiaTheme="minorEastAsia" w:hAnsi="Calibri Light" w:cs="Calibri Light"/>
          <w:color w:val="auto"/>
          <w:szCs w:val="24"/>
        </w:rPr>
        <w:t>The total equipment cost includes 8.75% tax.</w:t>
      </w:r>
    </w:p>
    <w:p w14:paraId="3092E29E" w14:textId="50EB3366" w:rsidR="003003B4" w:rsidRDefault="003003B4" w:rsidP="003003B4"/>
    <w:p w14:paraId="7180D0AF" w14:textId="77777777" w:rsidR="00F4226F" w:rsidRPr="00C6243E" w:rsidRDefault="00F4226F" w:rsidP="00F4226F">
      <w:pPr>
        <w:pStyle w:val="Normal1"/>
        <w:rPr>
          <w:rFonts w:ascii="Calibri Light" w:eastAsiaTheme="minorEastAsia" w:hAnsi="Calibri Light" w:cs="Calibri Light"/>
          <w:b/>
          <w:color w:val="auto"/>
          <w:szCs w:val="24"/>
        </w:rPr>
      </w:pPr>
      <w:r w:rsidRPr="00C6243E">
        <w:rPr>
          <w:rFonts w:ascii="Calibri Light" w:eastAsiaTheme="minorEastAsia" w:hAnsi="Calibri Light" w:cs="Calibri Light"/>
          <w:b/>
          <w:color w:val="auto"/>
          <w:szCs w:val="24"/>
        </w:rPr>
        <w:t>Cost Methodology/Approach</w:t>
      </w:r>
    </w:p>
    <w:p w14:paraId="75D2C68D" w14:textId="77777777" w:rsidR="00F4226F" w:rsidRDefault="00F4226F" w:rsidP="00F4226F">
      <w:pPr>
        <w:pStyle w:val="Normal1"/>
        <w:rPr>
          <w:rFonts w:ascii="Calibri Light" w:eastAsiaTheme="minorEastAsia" w:hAnsi="Calibri Light" w:cs="Calibri Light"/>
          <w:color w:val="auto"/>
          <w:szCs w:val="24"/>
        </w:rPr>
      </w:pPr>
      <w:r w:rsidRPr="00C6243E">
        <w:rPr>
          <w:rFonts w:ascii="Calibri Light" w:eastAsiaTheme="minorEastAsia" w:hAnsi="Calibri Light" w:cs="Calibri Light"/>
          <w:color w:val="auto"/>
          <w:szCs w:val="24"/>
        </w:rPr>
        <w:t xml:space="preserve">The incremental measure cost is the cost differential of the efficient option over the standard option attributable to features related to energy efficiency performance.  A robust analysis would involve developing a taxonomy of features and determining the cost of each feature or component.  This is generally done through such methods as product teardowns or hedonic price modeling.  However, for </w:t>
      </w:r>
      <w:r>
        <w:rPr>
          <w:rFonts w:ascii="Calibri Light" w:eastAsiaTheme="minorEastAsia" w:hAnsi="Calibri Light" w:cs="Calibri Light"/>
          <w:color w:val="auto"/>
          <w:szCs w:val="24"/>
        </w:rPr>
        <w:t xml:space="preserve">the </w:t>
      </w:r>
      <w:r>
        <w:rPr>
          <w:rFonts w:ascii="Calibri Light" w:eastAsiaTheme="minorEastAsia" w:hAnsi="Calibri Light" w:cs="Calibri Light"/>
          <w:color w:val="auto"/>
          <w:szCs w:val="24"/>
        </w:rPr>
        <w:lastRenderedPageBreak/>
        <w:t>applicable technologies</w:t>
      </w:r>
      <w:r w:rsidRPr="00C6243E">
        <w:rPr>
          <w:rFonts w:ascii="Calibri Light" w:eastAsiaTheme="minorEastAsia" w:hAnsi="Calibri Light" w:cs="Calibri Light"/>
          <w:color w:val="auto"/>
          <w:szCs w:val="24"/>
        </w:rPr>
        <w:t>, these methods become unwieldy because it is difficult to develop a standardized set of features due to various possible implementations of the technology and we may not find a reliable correlation between features and price.</w:t>
      </w:r>
      <w:r>
        <w:rPr>
          <w:rFonts w:ascii="Calibri Light" w:eastAsiaTheme="minorEastAsia" w:hAnsi="Calibri Light" w:cs="Calibri Light"/>
          <w:color w:val="auto"/>
          <w:szCs w:val="24"/>
        </w:rPr>
        <w:t xml:space="preserve"> Hence, the standardization of baseline and measure parameters.</w:t>
      </w:r>
    </w:p>
    <w:p w14:paraId="32180E87" w14:textId="77777777" w:rsidR="00F4226F" w:rsidRDefault="00F4226F" w:rsidP="00F4226F">
      <w:pPr>
        <w:pStyle w:val="Normal1"/>
        <w:rPr>
          <w:rFonts w:ascii="Calibri Light" w:eastAsiaTheme="minorEastAsia" w:hAnsi="Calibri Light" w:cs="Calibri Light"/>
          <w:color w:val="auto"/>
          <w:szCs w:val="24"/>
        </w:rPr>
      </w:pPr>
    </w:p>
    <w:p w14:paraId="5FF21BE5" w14:textId="77777777" w:rsidR="00F4226F" w:rsidRPr="00744A5B" w:rsidRDefault="00F4226F" w:rsidP="00F4226F">
      <w:pPr>
        <w:rPr>
          <w:b/>
        </w:rPr>
      </w:pPr>
      <w:r w:rsidRPr="00744A5B">
        <w:rPr>
          <w:b/>
        </w:rPr>
        <w:t>Incremental Measure Cost</w:t>
      </w:r>
    </w:p>
    <w:tbl>
      <w:tblPr>
        <w:tblW w:w="52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5"/>
        <w:gridCol w:w="3329"/>
        <w:gridCol w:w="2430"/>
      </w:tblGrid>
      <w:tr w:rsidR="00F4226F" w:rsidRPr="00AF1AC2" w14:paraId="33E1FD68" w14:textId="77777777" w:rsidTr="008277A2">
        <w:trPr>
          <w:trHeight w:val="444"/>
          <w:jc w:val="center"/>
        </w:trPr>
        <w:tc>
          <w:tcPr>
            <w:tcW w:w="4045" w:type="dxa"/>
            <w:shd w:val="clear" w:color="auto" w:fill="D9D9D9" w:themeFill="background1" w:themeFillShade="D9"/>
            <w:noWrap/>
            <w:vAlign w:val="center"/>
            <w:hideMark/>
          </w:tcPr>
          <w:p w14:paraId="66250BA3" w14:textId="77777777" w:rsidR="00F4226F" w:rsidRPr="00073CDC" w:rsidRDefault="00F4226F" w:rsidP="00F92DA3">
            <w:pPr>
              <w:rPr>
                <w:rFonts w:eastAsia="Times New Roman" w:cs="Calibri Light"/>
                <w:b/>
                <w:bCs/>
                <w:sz w:val="20"/>
                <w:szCs w:val="20"/>
              </w:rPr>
            </w:pPr>
            <w:r w:rsidRPr="00073CDC">
              <w:rPr>
                <w:rFonts w:eastAsia="Times New Roman" w:cs="Calibri Light"/>
                <w:b/>
                <w:bCs/>
                <w:sz w:val="20"/>
                <w:szCs w:val="20"/>
              </w:rPr>
              <w:t>Baseline</w:t>
            </w:r>
          </w:p>
        </w:tc>
        <w:tc>
          <w:tcPr>
            <w:tcW w:w="3330" w:type="dxa"/>
            <w:shd w:val="clear" w:color="auto" w:fill="D9D9D9" w:themeFill="background1" w:themeFillShade="D9"/>
          </w:tcPr>
          <w:p w14:paraId="363C5830" w14:textId="77777777" w:rsidR="00F4226F" w:rsidRPr="00073CDC" w:rsidRDefault="00F4226F" w:rsidP="00F92DA3">
            <w:pPr>
              <w:jc w:val="center"/>
              <w:rPr>
                <w:rFonts w:eastAsia="Times New Roman" w:cs="Calibri Light"/>
                <w:b/>
                <w:bCs/>
                <w:sz w:val="20"/>
                <w:szCs w:val="20"/>
              </w:rPr>
            </w:pPr>
            <w:r w:rsidRPr="00073CDC">
              <w:rPr>
                <w:rFonts w:eastAsia="Times New Roman" w:cs="Calibri Light"/>
                <w:b/>
                <w:bCs/>
                <w:sz w:val="20"/>
                <w:szCs w:val="20"/>
              </w:rPr>
              <w:t>Measure</w:t>
            </w:r>
          </w:p>
        </w:tc>
        <w:tc>
          <w:tcPr>
            <w:tcW w:w="2430" w:type="dxa"/>
            <w:shd w:val="clear" w:color="auto" w:fill="D9D9D9" w:themeFill="background1" w:themeFillShade="D9"/>
            <w:vAlign w:val="center"/>
            <w:hideMark/>
          </w:tcPr>
          <w:p w14:paraId="440FF976" w14:textId="77777777" w:rsidR="00F4226F" w:rsidRPr="00073CDC" w:rsidRDefault="00F4226F" w:rsidP="00F92DA3">
            <w:pPr>
              <w:jc w:val="center"/>
              <w:rPr>
                <w:rFonts w:eastAsia="Times New Roman" w:cs="Calibri Light"/>
                <w:b/>
                <w:bCs/>
                <w:sz w:val="20"/>
                <w:szCs w:val="20"/>
              </w:rPr>
            </w:pPr>
            <w:r w:rsidRPr="00073CDC">
              <w:rPr>
                <w:rFonts w:eastAsia="Times New Roman" w:cs="Calibri Light"/>
                <w:b/>
                <w:bCs/>
                <w:sz w:val="20"/>
                <w:szCs w:val="20"/>
              </w:rPr>
              <w:t>Incremental Measure Cost</w:t>
            </w:r>
          </w:p>
        </w:tc>
      </w:tr>
      <w:tr w:rsidR="00F4226F" w:rsidRPr="00AF1AC2" w14:paraId="5787C4DC" w14:textId="77777777" w:rsidTr="008277A2">
        <w:trPr>
          <w:trHeight w:val="261"/>
          <w:jc w:val="center"/>
        </w:trPr>
        <w:tc>
          <w:tcPr>
            <w:tcW w:w="4045" w:type="dxa"/>
            <w:shd w:val="clear" w:color="auto" w:fill="auto"/>
            <w:vAlign w:val="center"/>
          </w:tcPr>
          <w:p w14:paraId="7FC35AF1" w14:textId="4B07C839" w:rsidR="00F4226F" w:rsidRDefault="00142FC9" w:rsidP="00F92DA3">
            <w:pPr>
              <w:rPr>
                <w:rFonts w:eastAsia="Times New Roman" w:cs="Calibri Light"/>
                <w:sz w:val="20"/>
                <w:szCs w:val="20"/>
              </w:rPr>
            </w:pPr>
            <w:r>
              <w:rPr>
                <w:rFonts w:eastAsia="Times New Roman" w:cs="Calibri Light"/>
                <w:sz w:val="20"/>
                <w:szCs w:val="20"/>
              </w:rPr>
              <w:t>Electric Resistance Cooktop</w:t>
            </w:r>
          </w:p>
        </w:tc>
        <w:tc>
          <w:tcPr>
            <w:tcW w:w="3330" w:type="dxa"/>
          </w:tcPr>
          <w:p w14:paraId="0484B96E" w14:textId="5D2E136B" w:rsidR="00F4226F" w:rsidRDefault="00142FC9" w:rsidP="00F92DA3">
            <w:pPr>
              <w:jc w:val="center"/>
              <w:rPr>
                <w:rFonts w:eastAsia="Times New Roman" w:cs="Calibri Light"/>
                <w:sz w:val="20"/>
                <w:szCs w:val="20"/>
              </w:rPr>
            </w:pPr>
            <w:r>
              <w:rPr>
                <w:rFonts w:eastAsia="Times New Roman" w:cs="Calibri Light"/>
                <w:sz w:val="20"/>
                <w:szCs w:val="20"/>
              </w:rPr>
              <w:t>Induction Cooktop</w:t>
            </w:r>
          </w:p>
        </w:tc>
        <w:tc>
          <w:tcPr>
            <w:tcW w:w="2430" w:type="dxa"/>
            <w:shd w:val="clear" w:color="auto" w:fill="auto"/>
            <w:noWrap/>
            <w:vAlign w:val="bottom"/>
          </w:tcPr>
          <w:p w14:paraId="72CA5765" w14:textId="59D4392A" w:rsidR="00F4226F" w:rsidRDefault="00142FC9" w:rsidP="00F92DA3">
            <w:pPr>
              <w:jc w:val="center"/>
              <w:rPr>
                <w:rFonts w:eastAsia="Times New Roman" w:cs="Calibri Light"/>
                <w:sz w:val="20"/>
                <w:szCs w:val="20"/>
              </w:rPr>
            </w:pPr>
            <w:r>
              <w:rPr>
                <w:rFonts w:eastAsia="Times New Roman" w:cs="Calibri Light"/>
                <w:sz w:val="20"/>
                <w:szCs w:val="20"/>
              </w:rPr>
              <w:t>$687.05</w:t>
            </w:r>
          </w:p>
        </w:tc>
      </w:tr>
      <w:tr w:rsidR="00F4226F" w:rsidRPr="00AF1AC2" w14:paraId="431BB70C" w14:textId="77777777" w:rsidTr="008277A2">
        <w:trPr>
          <w:trHeight w:val="261"/>
          <w:jc w:val="center"/>
        </w:trPr>
        <w:tc>
          <w:tcPr>
            <w:tcW w:w="4045" w:type="dxa"/>
            <w:shd w:val="clear" w:color="auto" w:fill="auto"/>
            <w:vAlign w:val="center"/>
          </w:tcPr>
          <w:p w14:paraId="0E981FD7" w14:textId="3375EA8F" w:rsidR="00F4226F" w:rsidRDefault="00142FC9" w:rsidP="00F92DA3">
            <w:pPr>
              <w:rPr>
                <w:rFonts w:eastAsia="Times New Roman" w:cs="Calibri Light"/>
                <w:sz w:val="20"/>
                <w:szCs w:val="20"/>
              </w:rPr>
            </w:pPr>
            <w:r>
              <w:rPr>
                <w:rFonts w:eastAsia="Times New Roman" w:cs="Calibri Light"/>
                <w:sz w:val="20"/>
                <w:szCs w:val="20"/>
              </w:rPr>
              <w:t xml:space="preserve">Electric </w:t>
            </w:r>
            <w:r w:rsidR="00A35BDF">
              <w:rPr>
                <w:rFonts w:eastAsia="Times New Roman" w:cs="Calibri Light"/>
                <w:sz w:val="20"/>
                <w:szCs w:val="20"/>
              </w:rPr>
              <w:t>Range</w:t>
            </w:r>
            <w:r>
              <w:rPr>
                <w:rFonts w:eastAsia="Times New Roman" w:cs="Calibri Light"/>
                <w:sz w:val="20"/>
                <w:szCs w:val="20"/>
              </w:rPr>
              <w:t xml:space="preserve"> with Electric Resistance Cooktop</w:t>
            </w:r>
          </w:p>
        </w:tc>
        <w:tc>
          <w:tcPr>
            <w:tcW w:w="3330" w:type="dxa"/>
          </w:tcPr>
          <w:p w14:paraId="7D0A2E81" w14:textId="765F3461" w:rsidR="00F4226F" w:rsidRDefault="00142FC9" w:rsidP="00F92DA3">
            <w:pPr>
              <w:jc w:val="center"/>
              <w:rPr>
                <w:rFonts w:eastAsia="Times New Roman" w:cs="Calibri Light"/>
                <w:sz w:val="20"/>
                <w:szCs w:val="20"/>
              </w:rPr>
            </w:pPr>
            <w:r>
              <w:rPr>
                <w:rFonts w:eastAsia="Times New Roman" w:cs="Calibri Light"/>
                <w:sz w:val="20"/>
                <w:szCs w:val="20"/>
              </w:rPr>
              <w:t xml:space="preserve">Electric </w:t>
            </w:r>
            <w:r w:rsidR="00A35BDF">
              <w:rPr>
                <w:rFonts w:eastAsia="Times New Roman" w:cs="Calibri Light"/>
                <w:sz w:val="20"/>
                <w:szCs w:val="20"/>
              </w:rPr>
              <w:t>Range</w:t>
            </w:r>
            <w:r>
              <w:rPr>
                <w:rFonts w:eastAsia="Times New Roman" w:cs="Calibri Light"/>
                <w:sz w:val="20"/>
                <w:szCs w:val="20"/>
              </w:rPr>
              <w:t xml:space="preserve"> with Induction Cooktop</w:t>
            </w:r>
          </w:p>
        </w:tc>
        <w:tc>
          <w:tcPr>
            <w:tcW w:w="2430" w:type="dxa"/>
            <w:shd w:val="clear" w:color="auto" w:fill="auto"/>
            <w:noWrap/>
            <w:vAlign w:val="bottom"/>
          </w:tcPr>
          <w:p w14:paraId="0AA6FBEF" w14:textId="32553A9F" w:rsidR="00F4226F" w:rsidRPr="00AF1AC2" w:rsidRDefault="00142FC9" w:rsidP="00F92DA3">
            <w:pPr>
              <w:jc w:val="center"/>
              <w:rPr>
                <w:rFonts w:eastAsia="Times New Roman" w:cs="Calibri Light"/>
                <w:sz w:val="20"/>
                <w:szCs w:val="20"/>
              </w:rPr>
            </w:pPr>
            <w:r>
              <w:rPr>
                <w:rFonts w:eastAsia="Times New Roman" w:cs="Calibri Light"/>
                <w:sz w:val="20"/>
                <w:szCs w:val="20"/>
              </w:rPr>
              <w:t>$949.23</w:t>
            </w:r>
          </w:p>
        </w:tc>
      </w:tr>
    </w:tbl>
    <w:p w14:paraId="6A1FA77E" w14:textId="77777777" w:rsidR="00F4226F" w:rsidRDefault="00F4226F" w:rsidP="003003B4"/>
    <w:p w14:paraId="0BF2284E" w14:textId="77777777" w:rsidR="00F4226F" w:rsidRPr="00C6243E" w:rsidRDefault="00F4226F" w:rsidP="00142FC9">
      <w:pPr>
        <w:pStyle w:val="eTRMHeading3"/>
      </w:pPr>
      <w:bookmarkStart w:id="60" w:name="_Toc31189891"/>
      <w:bookmarkStart w:id="61" w:name="_Toc32819849"/>
      <w:r w:rsidRPr="005A5B36">
        <w:t>Base Case Labor Cost ($/unit)</w:t>
      </w:r>
      <w:bookmarkEnd w:id="60"/>
      <w:bookmarkEnd w:id="61"/>
    </w:p>
    <w:p w14:paraId="6400F241" w14:textId="20F941E9" w:rsidR="00F4226F" w:rsidRDefault="00F4226F" w:rsidP="00F4226F">
      <w:pPr>
        <w:rPr>
          <w:rFonts w:cs="Calibri Light"/>
        </w:rPr>
      </w:pPr>
      <w:r w:rsidRPr="00C6243E">
        <w:rPr>
          <w:rFonts w:cs="Calibri Light"/>
        </w:rPr>
        <w:t>Labor cost was found from RS Means Online database (201</w:t>
      </w:r>
      <w:r>
        <w:rPr>
          <w:rFonts w:cs="Calibri Light"/>
        </w:rPr>
        <w:t>9</w:t>
      </w:r>
      <w:r w:rsidRPr="00C6243E">
        <w:rPr>
          <w:rFonts w:cs="Calibri Light"/>
        </w:rPr>
        <w:t>)</w:t>
      </w:r>
      <w:r>
        <w:rPr>
          <w:rStyle w:val="FootnoteReference"/>
          <w:rFonts w:cs="Calibri Light"/>
        </w:rPr>
        <w:footnoteReference w:id="30"/>
      </w:r>
      <w:r w:rsidRPr="00C6243E">
        <w:rPr>
          <w:rFonts w:cs="Calibri Light"/>
        </w:rPr>
        <w:t>.</w:t>
      </w:r>
      <w:r>
        <w:rPr>
          <w:rFonts w:cs="Calibri Light"/>
        </w:rPr>
        <w:t xml:space="preserve"> All equipment costing included a range of labor hours, thus the average labor hours per equipment was selected.</w:t>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1"/>
        <w:gridCol w:w="1638"/>
        <w:gridCol w:w="1040"/>
        <w:gridCol w:w="1080"/>
        <w:gridCol w:w="1866"/>
        <w:gridCol w:w="1018"/>
      </w:tblGrid>
      <w:tr w:rsidR="00F4226F" w:rsidRPr="00AF1AC2" w14:paraId="6ECAE31C" w14:textId="77777777" w:rsidTr="008277A2">
        <w:trPr>
          <w:trHeight w:val="566"/>
        </w:trPr>
        <w:tc>
          <w:tcPr>
            <w:tcW w:w="2431" w:type="dxa"/>
            <w:shd w:val="clear" w:color="auto" w:fill="D9D9D9" w:themeFill="background1" w:themeFillShade="D9"/>
            <w:noWrap/>
            <w:vAlign w:val="center"/>
            <w:hideMark/>
          </w:tcPr>
          <w:p w14:paraId="135A9C9E" w14:textId="77777777" w:rsidR="00F4226F" w:rsidRPr="00AF1AC2" w:rsidRDefault="00F4226F" w:rsidP="00F92DA3">
            <w:pPr>
              <w:rPr>
                <w:rFonts w:eastAsia="Times New Roman" w:cs="Calibri Light"/>
                <w:b/>
                <w:bCs/>
                <w:sz w:val="20"/>
                <w:szCs w:val="20"/>
              </w:rPr>
            </w:pPr>
            <w:r>
              <w:rPr>
                <w:rFonts w:eastAsia="Times New Roman" w:cs="Calibri Light"/>
                <w:b/>
                <w:bCs/>
                <w:sz w:val="20"/>
                <w:szCs w:val="20"/>
              </w:rPr>
              <w:t>Description</w:t>
            </w:r>
            <w:bookmarkStart w:id="62" w:name="_Ref23851148"/>
            <w:r>
              <w:rPr>
                <w:rStyle w:val="FootnoteReference"/>
                <w:rFonts w:eastAsia="Times New Roman" w:cs="Calibri Light"/>
                <w:b/>
                <w:bCs/>
                <w:sz w:val="20"/>
                <w:szCs w:val="20"/>
              </w:rPr>
              <w:footnoteReference w:id="31"/>
            </w:r>
            <w:bookmarkEnd w:id="62"/>
          </w:p>
        </w:tc>
        <w:tc>
          <w:tcPr>
            <w:tcW w:w="1638" w:type="dxa"/>
            <w:shd w:val="clear" w:color="auto" w:fill="D9D9D9" w:themeFill="background1" w:themeFillShade="D9"/>
            <w:vAlign w:val="center"/>
            <w:hideMark/>
          </w:tcPr>
          <w:p w14:paraId="163711E6" w14:textId="77777777" w:rsidR="00F4226F" w:rsidRPr="00AF1AC2" w:rsidRDefault="00F4226F" w:rsidP="00F92DA3">
            <w:pPr>
              <w:jc w:val="center"/>
              <w:rPr>
                <w:rFonts w:eastAsia="Times New Roman" w:cs="Calibri Light"/>
                <w:b/>
                <w:bCs/>
                <w:sz w:val="20"/>
                <w:szCs w:val="20"/>
              </w:rPr>
            </w:pPr>
            <w:r>
              <w:rPr>
                <w:rFonts w:eastAsia="Times New Roman" w:cs="Calibri Light"/>
                <w:b/>
                <w:bCs/>
                <w:sz w:val="20"/>
                <w:szCs w:val="20"/>
              </w:rPr>
              <w:t>Min Labor Hours</w:t>
            </w:r>
          </w:p>
        </w:tc>
        <w:tc>
          <w:tcPr>
            <w:tcW w:w="1040" w:type="dxa"/>
            <w:shd w:val="clear" w:color="auto" w:fill="D9D9D9" w:themeFill="background1" w:themeFillShade="D9"/>
            <w:vAlign w:val="center"/>
          </w:tcPr>
          <w:p w14:paraId="59B65661" w14:textId="77777777" w:rsidR="00F4226F" w:rsidDel="00A942CA" w:rsidRDefault="00F4226F" w:rsidP="00F92DA3">
            <w:pPr>
              <w:jc w:val="center"/>
              <w:rPr>
                <w:rFonts w:eastAsia="Times New Roman" w:cs="Calibri Light"/>
                <w:b/>
                <w:bCs/>
                <w:sz w:val="20"/>
                <w:szCs w:val="20"/>
              </w:rPr>
            </w:pPr>
            <w:r>
              <w:rPr>
                <w:rFonts w:eastAsia="Times New Roman" w:cs="Calibri Light"/>
                <w:b/>
                <w:bCs/>
                <w:sz w:val="20"/>
                <w:szCs w:val="20"/>
              </w:rPr>
              <w:t>Max Labor Hours</w:t>
            </w:r>
          </w:p>
        </w:tc>
        <w:tc>
          <w:tcPr>
            <w:tcW w:w="1080" w:type="dxa"/>
            <w:shd w:val="clear" w:color="auto" w:fill="D9D9D9" w:themeFill="background1" w:themeFillShade="D9"/>
            <w:vAlign w:val="center"/>
          </w:tcPr>
          <w:p w14:paraId="431CBF6C" w14:textId="77777777" w:rsidR="00F4226F" w:rsidRDefault="00F4226F" w:rsidP="00F92DA3">
            <w:pPr>
              <w:jc w:val="center"/>
              <w:rPr>
                <w:rFonts w:eastAsia="Times New Roman" w:cs="Calibri Light"/>
                <w:b/>
                <w:bCs/>
                <w:sz w:val="20"/>
                <w:szCs w:val="20"/>
              </w:rPr>
            </w:pPr>
            <w:r>
              <w:rPr>
                <w:rFonts w:eastAsia="Times New Roman" w:cs="Calibri Light"/>
                <w:b/>
                <w:bCs/>
                <w:sz w:val="20"/>
                <w:szCs w:val="20"/>
              </w:rPr>
              <w:t>Average Labor Hours</w:t>
            </w:r>
          </w:p>
        </w:tc>
        <w:tc>
          <w:tcPr>
            <w:tcW w:w="1866" w:type="dxa"/>
            <w:shd w:val="clear" w:color="auto" w:fill="D9D9D9" w:themeFill="background1" w:themeFillShade="D9"/>
            <w:vAlign w:val="center"/>
          </w:tcPr>
          <w:p w14:paraId="40E87990" w14:textId="77777777" w:rsidR="00F4226F" w:rsidRDefault="00F4226F" w:rsidP="00F92DA3">
            <w:pPr>
              <w:jc w:val="center"/>
              <w:rPr>
                <w:rFonts w:eastAsia="Times New Roman" w:cs="Calibri Light"/>
                <w:b/>
                <w:bCs/>
                <w:sz w:val="20"/>
                <w:szCs w:val="20"/>
              </w:rPr>
            </w:pPr>
            <w:r>
              <w:rPr>
                <w:rFonts w:eastAsia="Times New Roman" w:cs="Calibri Light"/>
                <w:b/>
                <w:bCs/>
                <w:sz w:val="20"/>
                <w:szCs w:val="20"/>
              </w:rPr>
              <w:t>Residential Electrician Hourly Rate with O&amp;P</w:t>
            </w:r>
            <w:r>
              <w:rPr>
                <w:rStyle w:val="FootnoteReference"/>
                <w:rFonts w:eastAsia="Times New Roman" w:cs="Calibri Light"/>
                <w:b/>
                <w:bCs/>
                <w:sz w:val="20"/>
                <w:szCs w:val="20"/>
              </w:rPr>
              <w:footnoteReference w:id="32"/>
            </w:r>
          </w:p>
        </w:tc>
        <w:tc>
          <w:tcPr>
            <w:tcW w:w="1018" w:type="dxa"/>
            <w:shd w:val="clear" w:color="auto" w:fill="D9D9D9" w:themeFill="background1" w:themeFillShade="D9"/>
            <w:vAlign w:val="center"/>
          </w:tcPr>
          <w:p w14:paraId="318C4F4C" w14:textId="77777777" w:rsidR="00F4226F" w:rsidRDefault="00F4226F" w:rsidP="00F92DA3">
            <w:pPr>
              <w:jc w:val="center"/>
              <w:rPr>
                <w:rFonts w:eastAsia="Times New Roman" w:cs="Calibri Light"/>
                <w:b/>
                <w:bCs/>
                <w:sz w:val="20"/>
                <w:szCs w:val="20"/>
              </w:rPr>
            </w:pPr>
            <w:r>
              <w:rPr>
                <w:rFonts w:eastAsia="Times New Roman" w:cs="Calibri Light"/>
                <w:b/>
                <w:bCs/>
                <w:sz w:val="20"/>
                <w:szCs w:val="20"/>
              </w:rPr>
              <w:t>Total Labor Cost</w:t>
            </w:r>
          </w:p>
        </w:tc>
      </w:tr>
      <w:tr w:rsidR="00F4226F" w:rsidRPr="00AF1AC2" w14:paraId="0B03FEE6" w14:textId="77777777" w:rsidTr="008277A2">
        <w:trPr>
          <w:trHeight w:val="480"/>
        </w:trPr>
        <w:tc>
          <w:tcPr>
            <w:tcW w:w="2431" w:type="dxa"/>
            <w:shd w:val="clear" w:color="auto" w:fill="auto"/>
            <w:vAlign w:val="center"/>
          </w:tcPr>
          <w:p w14:paraId="78779477" w14:textId="77777777" w:rsidR="00F4226F" w:rsidRPr="00744A5B" w:rsidRDefault="00F4226F" w:rsidP="00F92DA3">
            <w:pPr>
              <w:rPr>
                <w:rFonts w:eastAsia="Times New Roman" w:cs="Calibri Light"/>
                <w:sz w:val="18"/>
                <w:szCs w:val="18"/>
              </w:rPr>
            </w:pPr>
            <w:r>
              <w:rPr>
                <w:rFonts w:eastAsia="Times New Roman" w:cs="Calibri Light"/>
                <w:sz w:val="18"/>
                <w:szCs w:val="18"/>
              </w:rPr>
              <w:t>Cooking Range, Free Standing</w:t>
            </w:r>
          </w:p>
        </w:tc>
        <w:tc>
          <w:tcPr>
            <w:tcW w:w="1638" w:type="dxa"/>
            <w:shd w:val="clear" w:color="auto" w:fill="auto"/>
            <w:noWrap/>
            <w:vAlign w:val="bottom"/>
          </w:tcPr>
          <w:p w14:paraId="1E879DA2" w14:textId="77777777" w:rsidR="00F4226F" w:rsidRPr="00744A5B" w:rsidRDefault="00F4226F" w:rsidP="00F92DA3">
            <w:pPr>
              <w:jc w:val="center"/>
              <w:rPr>
                <w:rFonts w:eastAsia="Times New Roman" w:cs="Calibri Light"/>
                <w:sz w:val="18"/>
                <w:szCs w:val="18"/>
              </w:rPr>
            </w:pPr>
            <w:r w:rsidRPr="00744A5B">
              <w:rPr>
                <w:rFonts w:cs="Calibri Light"/>
                <w:color w:val="000000"/>
                <w:sz w:val="18"/>
                <w:szCs w:val="18"/>
              </w:rPr>
              <w:t>1.6</w:t>
            </w:r>
          </w:p>
        </w:tc>
        <w:tc>
          <w:tcPr>
            <w:tcW w:w="1040" w:type="dxa"/>
            <w:vAlign w:val="bottom"/>
          </w:tcPr>
          <w:p w14:paraId="53B701D4" w14:textId="77777777" w:rsidR="00F4226F" w:rsidRPr="00744A5B" w:rsidRDefault="00F4226F" w:rsidP="00F92DA3">
            <w:pPr>
              <w:jc w:val="center"/>
              <w:rPr>
                <w:rFonts w:eastAsia="Times New Roman" w:cs="Calibri Light"/>
                <w:sz w:val="18"/>
                <w:szCs w:val="18"/>
              </w:rPr>
            </w:pPr>
            <w:r w:rsidRPr="00744A5B">
              <w:rPr>
                <w:rFonts w:cs="Calibri Light"/>
                <w:color w:val="000000"/>
                <w:sz w:val="18"/>
                <w:szCs w:val="18"/>
              </w:rPr>
              <w:t>4</w:t>
            </w:r>
          </w:p>
        </w:tc>
        <w:tc>
          <w:tcPr>
            <w:tcW w:w="1080" w:type="dxa"/>
            <w:vAlign w:val="bottom"/>
          </w:tcPr>
          <w:p w14:paraId="2ECE01C6" w14:textId="77777777" w:rsidR="00F4226F" w:rsidRPr="00744A5B" w:rsidRDefault="00F4226F" w:rsidP="00F92DA3">
            <w:pPr>
              <w:jc w:val="center"/>
              <w:rPr>
                <w:rFonts w:eastAsia="Times New Roman" w:cs="Calibri Light"/>
                <w:sz w:val="18"/>
                <w:szCs w:val="18"/>
              </w:rPr>
            </w:pPr>
            <w:r w:rsidRPr="00744A5B">
              <w:rPr>
                <w:rFonts w:cs="Calibri Light"/>
                <w:color w:val="000000"/>
                <w:sz w:val="18"/>
                <w:szCs w:val="18"/>
              </w:rPr>
              <w:t>2.8</w:t>
            </w:r>
          </w:p>
        </w:tc>
        <w:tc>
          <w:tcPr>
            <w:tcW w:w="1866" w:type="dxa"/>
            <w:vAlign w:val="center"/>
          </w:tcPr>
          <w:p w14:paraId="3026E804" w14:textId="77777777" w:rsidR="00F4226F" w:rsidRPr="00744A5B" w:rsidRDefault="00F4226F" w:rsidP="00F92DA3">
            <w:pPr>
              <w:jc w:val="center"/>
              <w:rPr>
                <w:rFonts w:eastAsia="Times New Roman" w:cs="Calibri Light"/>
                <w:sz w:val="18"/>
                <w:szCs w:val="18"/>
              </w:rPr>
            </w:pPr>
            <w:r w:rsidRPr="00744A5B">
              <w:rPr>
                <w:rFonts w:eastAsia="Times New Roman" w:cs="Calibri Light"/>
                <w:sz w:val="18"/>
                <w:szCs w:val="18"/>
              </w:rPr>
              <w:t>$ 67.55</w:t>
            </w:r>
          </w:p>
        </w:tc>
        <w:tc>
          <w:tcPr>
            <w:tcW w:w="1018" w:type="dxa"/>
            <w:vAlign w:val="bottom"/>
          </w:tcPr>
          <w:p w14:paraId="5F9FA82F" w14:textId="77777777" w:rsidR="00F4226F" w:rsidRPr="00744A5B" w:rsidRDefault="00F4226F" w:rsidP="00F92DA3">
            <w:pPr>
              <w:jc w:val="center"/>
              <w:rPr>
                <w:rFonts w:eastAsia="Times New Roman" w:cs="Calibri Light"/>
                <w:sz w:val="18"/>
                <w:szCs w:val="20"/>
              </w:rPr>
            </w:pPr>
            <w:r w:rsidRPr="00744A5B">
              <w:rPr>
                <w:rFonts w:cs="Calibri Light"/>
                <w:color w:val="000000"/>
                <w:sz w:val="18"/>
                <w:szCs w:val="22"/>
              </w:rPr>
              <w:t>$189.14</w:t>
            </w:r>
          </w:p>
        </w:tc>
      </w:tr>
      <w:tr w:rsidR="00F4226F" w:rsidRPr="00AF1AC2" w14:paraId="335A39E9" w14:textId="77777777" w:rsidTr="008277A2">
        <w:trPr>
          <w:trHeight w:val="480"/>
        </w:trPr>
        <w:tc>
          <w:tcPr>
            <w:tcW w:w="2431" w:type="dxa"/>
            <w:shd w:val="clear" w:color="auto" w:fill="auto"/>
            <w:vAlign w:val="center"/>
          </w:tcPr>
          <w:p w14:paraId="33567FA4" w14:textId="77777777" w:rsidR="00F4226F" w:rsidRPr="00744A5B" w:rsidRDefault="00F4226F" w:rsidP="00F92DA3">
            <w:pPr>
              <w:rPr>
                <w:rFonts w:eastAsia="Times New Roman" w:cs="Calibri Light"/>
                <w:sz w:val="18"/>
                <w:szCs w:val="18"/>
              </w:rPr>
            </w:pPr>
            <w:r>
              <w:rPr>
                <w:rFonts w:eastAsia="Times New Roman" w:cs="Calibri Light"/>
                <w:sz w:val="18"/>
                <w:szCs w:val="18"/>
              </w:rPr>
              <w:t>Countertop Cooktop</w:t>
            </w:r>
          </w:p>
        </w:tc>
        <w:tc>
          <w:tcPr>
            <w:tcW w:w="1638" w:type="dxa"/>
            <w:shd w:val="clear" w:color="auto" w:fill="auto"/>
            <w:noWrap/>
            <w:vAlign w:val="bottom"/>
          </w:tcPr>
          <w:p w14:paraId="186B985D" w14:textId="77777777" w:rsidR="00F4226F" w:rsidRPr="00744A5B" w:rsidRDefault="00F4226F" w:rsidP="00F92DA3">
            <w:pPr>
              <w:jc w:val="center"/>
              <w:rPr>
                <w:rFonts w:eastAsia="Times New Roman" w:cs="Calibri Light"/>
                <w:sz w:val="18"/>
                <w:szCs w:val="18"/>
              </w:rPr>
            </w:pPr>
            <w:r w:rsidRPr="00744A5B">
              <w:rPr>
                <w:rFonts w:cs="Calibri Light"/>
                <w:color w:val="000000"/>
                <w:sz w:val="18"/>
                <w:szCs w:val="18"/>
              </w:rPr>
              <w:t>1.333</w:t>
            </w:r>
          </w:p>
        </w:tc>
        <w:tc>
          <w:tcPr>
            <w:tcW w:w="1040" w:type="dxa"/>
            <w:vAlign w:val="bottom"/>
          </w:tcPr>
          <w:p w14:paraId="72C0DCD5" w14:textId="77777777" w:rsidR="00F4226F" w:rsidRPr="00744A5B" w:rsidRDefault="00F4226F" w:rsidP="00F92DA3">
            <w:pPr>
              <w:jc w:val="center"/>
              <w:rPr>
                <w:rFonts w:eastAsia="Times New Roman" w:cs="Calibri Light"/>
                <w:sz w:val="18"/>
                <w:szCs w:val="18"/>
              </w:rPr>
            </w:pPr>
            <w:r w:rsidRPr="00744A5B">
              <w:rPr>
                <w:rFonts w:cs="Calibri Light"/>
                <w:color w:val="000000"/>
                <w:sz w:val="18"/>
                <w:szCs w:val="18"/>
              </w:rPr>
              <w:t>2.667</w:t>
            </w:r>
          </w:p>
        </w:tc>
        <w:tc>
          <w:tcPr>
            <w:tcW w:w="1080" w:type="dxa"/>
            <w:vAlign w:val="bottom"/>
          </w:tcPr>
          <w:p w14:paraId="6BE4C84B" w14:textId="77777777" w:rsidR="00F4226F" w:rsidRPr="00744A5B" w:rsidRDefault="00F4226F" w:rsidP="00F92DA3">
            <w:pPr>
              <w:jc w:val="center"/>
              <w:rPr>
                <w:rFonts w:eastAsia="Times New Roman" w:cs="Calibri Light"/>
                <w:sz w:val="18"/>
                <w:szCs w:val="18"/>
              </w:rPr>
            </w:pPr>
            <w:r w:rsidRPr="00744A5B">
              <w:rPr>
                <w:rFonts w:cs="Calibri Light"/>
                <w:color w:val="000000"/>
                <w:sz w:val="18"/>
                <w:szCs w:val="18"/>
              </w:rPr>
              <w:t>2</w:t>
            </w:r>
          </w:p>
        </w:tc>
        <w:tc>
          <w:tcPr>
            <w:tcW w:w="1866" w:type="dxa"/>
            <w:vAlign w:val="center"/>
          </w:tcPr>
          <w:p w14:paraId="42E4DB42" w14:textId="77777777" w:rsidR="00F4226F" w:rsidRPr="00744A5B" w:rsidRDefault="00F4226F" w:rsidP="00F92DA3">
            <w:pPr>
              <w:jc w:val="center"/>
              <w:rPr>
                <w:rFonts w:eastAsia="Times New Roman" w:cs="Calibri Light"/>
                <w:sz w:val="18"/>
                <w:szCs w:val="18"/>
              </w:rPr>
            </w:pPr>
            <w:r w:rsidRPr="00744A5B">
              <w:rPr>
                <w:rFonts w:eastAsia="Times New Roman" w:cs="Calibri Light"/>
                <w:sz w:val="18"/>
                <w:szCs w:val="18"/>
              </w:rPr>
              <w:t>$ 67.55</w:t>
            </w:r>
          </w:p>
        </w:tc>
        <w:tc>
          <w:tcPr>
            <w:tcW w:w="1018" w:type="dxa"/>
            <w:vAlign w:val="bottom"/>
          </w:tcPr>
          <w:p w14:paraId="60BC501C" w14:textId="77777777" w:rsidR="00F4226F" w:rsidRPr="00744A5B" w:rsidRDefault="00F4226F" w:rsidP="00F92DA3">
            <w:pPr>
              <w:jc w:val="center"/>
              <w:rPr>
                <w:rFonts w:eastAsia="Times New Roman" w:cs="Calibri Light"/>
                <w:sz w:val="18"/>
                <w:szCs w:val="20"/>
              </w:rPr>
            </w:pPr>
            <w:r w:rsidRPr="00744A5B">
              <w:rPr>
                <w:rFonts w:cs="Calibri Light"/>
                <w:color w:val="000000"/>
                <w:sz w:val="18"/>
                <w:szCs w:val="22"/>
              </w:rPr>
              <w:t>$135.10</w:t>
            </w:r>
          </w:p>
        </w:tc>
      </w:tr>
    </w:tbl>
    <w:p w14:paraId="48B241E5" w14:textId="77777777" w:rsidR="00F4226F" w:rsidRDefault="00F4226F" w:rsidP="00F4226F"/>
    <w:p w14:paraId="7996C21C" w14:textId="77777777" w:rsidR="00F4226F" w:rsidRPr="00C6243E" w:rsidRDefault="00F4226F" w:rsidP="00142FC9">
      <w:pPr>
        <w:pStyle w:val="eTRMHeading3"/>
      </w:pPr>
      <w:bookmarkStart w:id="63" w:name="_Toc31189892"/>
      <w:bookmarkStart w:id="64" w:name="_Toc32819850"/>
      <w:r w:rsidRPr="00C6243E">
        <w:t>Measure Case Labor Cost ($/unit)</w:t>
      </w:r>
      <w:bookmarkEnd w:id="63"/>
      <w:bookmarkEnd w:id="64"/>
    </w:p>
    <w:p w14:paraId="27A196CC" w14:textId="77777777" w:rsidR="00F4226F" w:rsidRDefault="00F4226F" w:rsidP="00F4226F">
      <w:pPr>
        <w:rPr>
          <w:rFonts w:cs="Calibri Light"/>
        </w:rPr>
      </w:pPr>
      <w:r w:rsidRPr="00C6243E">
        <w:rPr>
          <w:rFonts w:cs="Calibri Light"/>
        </w:rPr>
        <w:t xml:space="preserve">The labor costs for both the measure and base case are assumed to be the same. Labor costs for both cases </w:t>
      </w:r>
      <w:r>
        <w:rPr>
          <w:rFonts w:cs="Calibri Light"/>
        </w:rPr>
        <w:t>are</w:t>
      </w:r>
      <w:r w:rsidRPr="00C6243E">
        <w:rPr>
          <w:rFonts w:cs="Calibri Light"/>
        </w:rPr>
        <w:t xml:space="preserve"> based on RS Means Online database (201</w:t>
      </w:r>
      <w:r>
        <w:rPr>
          <w:rFonts w:cs="Calibri Light"/>
        </w:rPr>
        <w:t>9)</w:t>
      </w:r>
      <w:r w:rsidRPr="00C6243E">
        <w:rPr>
          <w:rFonts w:cs="Calibri Light"/>
        </w:rPr>
        <w:t>.</w:t>
      </w:r>
      <w:r>
        <w:rPr>
          <w:rStyle w:val="FootnoteReference"/>
          <w:rFonts w:cs="Calibri Light"/>
        </w:rPr>
        <w:footnoteReference w:id="33"/>
      </w:r>
      <w:r>
        <w:rPr>
          <w:rFonts w:cs="Calibri Light"/>
        </w:rPr>
        <w:t xml:space="preserve"> </w:t>
      </w:r>
    </w:p>
    <w:bookmarkEnd w:id="58"/>
    <w:bookmarkEnd w:id="59"/>
    <w:p w14:paraId="7CEBE342" w14:textId="77777777" w:rsidR="00DB21F1" w:rsidRPr="004B06E3" w:rsidRDefault="00DB21F1" w:rsidP="004142EF"/>
    <w:p w14:paraId="050D9183" w14:textId="7ABF5C13" w:rsidR="007D230B" w:rsidRPr="004B06E3" w:rsidRDefault="004B06E3" w:rsidP="00142FC9">
      <w:pPr>
        <w:pStyle w:val="eTRMHeading3"/>
      </w:pPr>
      <w:bookmarkStart w:id="65" w:name="_Toc486490863"/>
      <w:bookmarkStart w:id="66" w:name="_Toc486580934"/>
      <w:bookmarkStart w:id="67" w:name="_Toc32819851"/>
      <w:r>
        <w:t>Net-to-Gross</w:t>
      </w:r>
      <w:bookmarkEnd w:id="65"/>
      <w:bookmarkEnd w:id="66"/>
      <w:r w:rsidR="008D4652">
        <w:t xml:space="preserve"> (NTG)</w:t>
      </w:r>
      <w:bookmarkEnd w:id="67"/>
    </w:p>
    <w:p w14:paraId="1E3A2F2A" w14:textId="45074712" w:rsidR="00F4226F" w:rsidRPr="00142FC9" w:rsidRDefault="00F4226F" w:rsidP="00F4226F">
      <w:pPr>
        <w:rPr>
          <w:rFonts w:cs="Calibri Light"/>
        </w:rPr>
      </w:pPr>
      <w:r>
        <w:rPr>
          <w:szCs w:val="22"/>
        </w:rPr>
        <w:t>The net-to-gross (NTG) ratio represents the portion of gross impacts that are determined to be directly attributed to a specific program intervention.</w:t>
      </w:r>
      <w:r w:rsidR="004D55AF" w:rsidRPr="004D55AF">
        <w:rPr>
          <w:szCs w:val="22"/>
        </w:rPr>
        <w:t xml:space="preserve"> The default NTG value is based upon the average of all NTG ratios for all evaluated 2006 – 2008 residential programs, as documented in the 2011 DEER Update Study conducted by </w:t>
      </w:r>
      <w:proofErr w:type="spellStart"/>
      <w:r w:rsidR="004D55AF" w:rsidRPr="004D55AF">
        <w:rPr>
          <w:szCs w:val="22"/>
        </w:rPr>
        <w:t>Itron</w:t>
      </w:r>
      <w:proofErr w:type="spellEnd"/>
      <w:r w:rsidR="004D55AF" w:rsidRPr="004D55AF">
        <w:rPr>
          <w:szCs w:val="22"/>
        </w:rPr>
        <w:t xml:space="preserve">, Inc. This sector average NTG is applicable to all energy efficiency measures that have </w:t>
      </w:r>
      <w:r w:rsidR="004D55AF" w:rsidRPr="004D55AF">
        <w:rPr>
          <w:szCs w:val="22"/>
        </w:rPr>
        <w:lastRenderedPageBreak/>
        <w:t xml:space="preserve">been offered through residential sector programs for </w:t>
      </w:r>
      <w:r w:rsidR="004D55AF">
        <w:rPr>
          <w:szCs w:val="22"/>
        </w:rPr>
        <w:t>less than or equal to two years</w:t>
      </w:r>
      <w:r w:rsidR="004D55AF" w:rsidRPr="004D55AF">
        <w:rPr>
          <w:szCs w:val="22"/>
        </w:rPr>
        <w:t xml:space="preserve"> and for which impact evaluation results are not available.</w:t>
      </w:r>
    </w:p>
    <w:p w14:paraId="393031E1" w14:textId="77777777" w:rsidR="00F4226F" w:rsidRPr="00C6243E" w:rsidRDefault="00F4226F" w:rsidP="00F4226F">
      <w:pPr>
        <w:pStyle w:val="Caption"/>
      </w:pPr>
      <w:r w:rsidRPr="00C6243E">
        <w:t>Net-to-Gross Ratios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145"/>
        <w:gridCol w:w="1890"/>
        <w:gridCol w:w="4500"/>
      </w:tblGrid>
      <w:tr w:rsidR="00F4226F" w:rsidRPr="00C6243E" w14:paraId="78BE568E" w14:textId="77777777" w:rsidTr="00F92DA3">
        <w:trPr>
          <w:cantSplit/>
          <w:trHeight w:val="20"/>
        </w:trPr>
        <w:tc>
          <w:tcPr>
            <w:tcW w:w="3145" w:type="dxa"/>
            <w:shd w:val="clear" w:color="000000" w:fill="F2F2F2" w:themeFill="background1" w:themeFillShade="F2"/>
            <w:vAlign w:val="bottom"/>
          </w:tcPr>
          <w:p w14:paraId="08F6537E" w14:textId="77777777" w:rsidR="00F4226F" w:rsidRPr="00142FC9" w:rsidRDefault="00F4226F" w:rsidP="00F92DA3">
            <w:pPr>
              <w:keepNext/>
              <w:keepLines/>
              <w:spacing w:before="0" w:after="0" w:line="200" w:lineRule="atLeast"/>
              <w:jc w:val="center"/>
              <w:rPr>
                <w:rFonts w:cs="Calibri Light"/>
                <w:b/>
                <w:color w:val="000000"/>
                <w:sz w:val="20"/>
                <w:szCs w:val="20"/>
              </w:rPr>
            </w:pPr>
            <w:r w:rsidRPr="00142FC9">
              <w:rPr>
                <w:rFonts w:cs="Calibri Light"/>
                <w:b/>
                <w:color w:val="000000"/>
                <w:sz w:val="20"/>
                <w:szCs w:val="20"/>
              </w:rPr>
              <w:t>Parameter</w:t>
            </w:r>
          </w:p>
        </w:tc>
        <w:tc>
          <w:tcPr>
            <w:tcW w:w="1890" w:type="dxa"/>
            <w:shd w:val="clear" w:color="000000" w:fill="F2F2F2" w:themeFill="background1" w:themeFillShade="F2"/>
            <w:vAlign w:val="bottom"/>
          </w:tcPr>
          <w:p w14:paraId="6CEDB893" w14:textId="77777777" w:rsidR="00F4226F" w:rsidRPr="00142FC9" w:rsidRDefault="00F4226F" w:rsidP="00F92DA3">
            <w:pPr>
              <w:keepNext/>
              <w:keepLines/>
              <w:spacing w:before="0" w:after="0" w:line="200" w:lineRule="atLeast"/>
              <w:jc w:val="center"/>
              <w:rPr>
                <w:rFonts w:cs="Calibri Light"/>
                <w:b/>
                <w:color w:val="000000"/>
                <w:sz w:val="20"/>
                <w:szCs w:val="20"/>
              </w:rPr>
            </w:pPr>
            <w:r w:rsidRPr="00142FC9">
              <w:rPr>
                <w:rFonts w:cs="Calibri Light"/>
                <w:b/>
                <w:color w:val="000000"/>
                <w:sz w:val="20"/>
                <w:szCs w:val="20"/>
              </w:rPr>
              <w:t>Value</w:t>
            </w:r>
          </w:p>
        </w:tc>
        <w:tc>
          <w:tcPr>
            <w:tcW w:w="4500" w:type="dxa"/>
            <w:shd w:val="clear" w:color="000000" w:fill="F2F2F2" w:themeFill="background1" w:themeFillShade="F2"/>
          </w:tcPr>
          <w:p w14:paraId="76CEDB41" w14:textId="77777777" w:rsidR="00F4226F" w:rsidRPr="00142FC9" w:rsidRDefault="00F4226F" w:rsidP="00F92DA3">
            <w:pPr>
              <w:keepNext/>
              <w:keepLines/>
              <w:spacing w:before="0" w:after="0" w:line="200" w:lineRule="atLeast"/>
              <w:jc w:val="center"/>
              <w:rPr>
                <w:rFonts w:cs="Calibri Light"/>
                <w:b/>
                <w:color w:val="000000"/>
                <w:sz w:val="20"/>
                <w:szCs w:val="20"/>
              </w:rPr>
            </w:pPr>
            <w:r w:rsidRPr="00142FC9">
              <w:rPr>
                <w:rFonts w:cs="Calibri Light"/>
                <w:b/>
                <w:color w:val="000000"/>
                <w:sz w:val="20"/>
                <w:szCs w:val="20"/>
              </w:rPr>
              <w:t>Source</w:t>
            </w:r>
          </w:p>
        </w:tc>
      </w:tr>
      <w:tr w:rsidR="00142FC9" w:rsidRPr="00C6243E" w14:paraId="7ADBAFE6" w14:textId="77777777" w:rsidTr="00F92DA3">
        <w:trPr>
          <w:cantSplit/>
          <w:trHeight w:val="20"/>
        </w:trPr>
        <w:tc>
          <w:tcPr>
            <w:tcW w:w="3145" w:type="dxa"/>
            <w:vAlign w:val="center"/>
          </w:tcPr>
          <w:p w14:paraId="390B6EDC" w14:textId="57C62316" w:rsidR="00142FC9" w:rsidRPr="00C6243E" w:rsidRDefault="00142FC9" w:rsidP="00142FC9">
            <w:pPr>
              <w:keepNext/>
              <w:keepLines/>
              <w:spacing w:before="0" w:after="0" w:line="200" w:lineRule="atLeast"/>
              <w:rPr>
                <w:rFonts w:cs="Calibri Light"/>
                <w:sz w:val="20"/>
                <w:szCs w:val="20"/>
              </w:rPr>
            </w:pPr>
            <w:r w:rsidRPr="00F91A39">
              <w:rPr>
                <w:rFonts w:cs="Calibri Light"/>
                <w:sz w:val="18"/>
                <w:szCs w:val="18"/>
              </w:rPr>
              <w:t>All-Default&lt;=2yrs</w:t>
            </w:r>
            <w:r w:rsidRPr="00F91A39" w:rsidDel="008377DB">
              <w:rPr>
                <w:rFonts w:cs="Calibri Light"/>
                <w:sz w:val="18"/>
                <w:szCs w:val="18"/>
              </w:rPr>
              <w:t xml:space="preserve"> </w:t>
            </w:r>
          </w:p>
        </w:tc>
        <w:tc>
          <w:tcPr>
            <w:tcW w:w="1890" w:type="dxa"/>
            <w:shd w:val="clear" w:color="auto" w:fill="auto"/>
            <w:noWrap/>
            <w:vAlign w:val="center"/>
          </w:tcPr>
          <w:p w14:paraId="06A8CFB5" w14:textId="2854C1FF" w:rsidR="00142FC9" w:rsidRPr="00C6243E" w:rsidRDefault="00142FC9" w:rsidP="00142FC9">
            <w:pPr>
              <w:keepNext/>
              <w:keepLines/>
              <w:spacing w:before="0" w:after="0" w:line="200" w:lineRule="atLeast"/>
              <w:jc w:val="center"/>
              <w:rPr>
                <w:rFonts w:cs="Calibri Light"/>
                <w:sz w:val="20"/>
                <w:szCs w:val="20"/>
              </w:rPr>
            </w:pPr>
            <w:r w:rsidRPr="00F91A39">
              <w:rPr>
                <w:rFonts w:cs="Calibri Light"/>
                <w:sz w:val="18"/>
                <w:szCs w:val="18"/>
              </w:rPr>
              <w:t>0.70</w:t>
            </w:r>
          </w:p>
        </w:tc>
        <w:tc>
          <w:tcPr>
            <w:tcW w:w="4500" w:type="dxa"/>
            <w:vAlign w:val="center"/>
          </w:tcPr>
          <w:p w14:paraId="2E793464" w14:textId="2E1204A8" w:rsidR="00142FC9" w:rsidRPr="00C6243E" w:rsidRDefault="00142FC9" w:rsidP="00142FC9">
            <w:pPr>
              <w:keepNext/>
              <w:keepLines/>
              <w:spacing w:before="0" w:after="0" w:line="200" w:lineRule="atLeast"/>
              <w:rPr>
                <w:rFonts w:cs="Calibri Light"/>
                <w:sz w:val="20"/>
                <w:szCs w:val="20"/>
              </w:rPr>
            </w:pPr>
            <w:proofErr w:type="spellStart"/>
            <w:r w:rsidRPr="00F91A39">
              <w:rPr>
                <w:rFonts w:cs="Calibri Light"/>
                <w:sz w:val="18"/>
                <w:szCs w:val="18"/>
              </w:rPr>
              <w:t>Itron</w:t>
            </w:r>
            <w:proofErr w:type="spellEnd"/>
            <w:r w:rsidRPr="00F91A39">
              <w:rPr>
                <w:rFonts w:cs="Calibri Light"/>
                <w:sz w:val="18"/>
                <w:szCs w:val="18"/>
              </w:rPr>
              <w:t>, Inc. 2011. DEER Database 2011 Update Documentation. Prepared for the California Public Utilities Commission. Page 15-4 Table 15-3.</w:t>
            </w:r>
          </w:p>
        </w:tc>
      </w:tr>
    </w:tbl>
    <w:p w14:paraId="576828A7" w14:textId="77777777" w:rsidR="00F4226F" w:rsidRPr="004B06E3" w:rsidRDefault="00F4226F" w:rsidP="004142EF"/>
    <w:p w14:paraId="323B5B02" w14:textId="4C4B13DC" w:rsidR="007D230B" w:rsidRPr="004B06E3" w:rsidRDefault="00D02C36" w:rsidP="00142FC9">
      <w:pPr>
        <w:pStyle w:val="eTRMHeading3"/>
      </w:pPr>
      <w:bookmarkStart w:id="68" w:name="_Toc486490864"/>
      <w:bookmarkStart w:id="69" w:name="_Toc486580935"/>
      <w:bookmarkStart w:id="70" w:name="_Toc32819852"/>
      <w:r>
        <w:t>Gross Savings Installation Adjustment (</w:t>
      </w:r>
      <w:r w:rsidR="007D230B" w:rsidRPr="004B06E3">
        <w:t>GSIA</w:t>
      </w:r>
      <w:bookmarkEnd w:id="68"/>
      <w:bookmarkEnd w:id="69"/>
      <w:r>
        <w:t>)</w:t>
      </w:r>
      <w:bookmarkEnd w:id="70"/>
    </w:p>
    <w:p w14:paraId="5BFB8984" w14:textId="77777777" w:rsidR="00F4226F" w:rsidRPr="00C6243E" w:rsidRDefault="00F4226F" w:rsidP="00F4226F">
      <w:pPr>
        <w:rPr>
          <w:rFonts w:cs="Calibri Light"/>
        </w:rPr>
      </w:pPr>
      <w:bookmarkStart w:id="71" w:name="_Toc494369270"/>
      <w:bookmarkStart w:id="72" w:name="_Toc503612232"/>
      <w:bookmarkStart w:id="73" w:name="_Toc504385308"/>
      <w:r w:rsidRPr="00C6243E">
        <w:rPr>
          <w:rFonts w:cs="Calibri Light"/>
        </w:rPr>
        <w:t xml:space="preserve">The gross savings installation adjustment (GSIA) rate represents the ratio of the number of verified installations of the measure to the number of claimed installations reported by the utility. This factor varies by end use, sector, technology, application, and delivery method. </w:t>
      </w:r>
    </w:p>
    <w:p w14:paraId="5BD77B79" w14:textId="77777777" w:rsidR="00F4226F" w:rsidRPr="00C6243E" w:rsidRDefault="00F4226F" w:rsidP="00F4226F">
      <w:pPr>
        <w:pStyle w:val="Caption"/>
      </w:pPr>
      <w:r w:rsidRPr="00C6243E">
        <w:t>Gross Savings Installation Adjustment Rates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064"/>
        <w:gridCol w:w="1710"/>
        <w:gridCol w:w="5671"/>
      </w:tblGrid>
      <w:tr w:rsidR="00F4226F" w:rsidRPr="00C6243E" w14:paraId="31D5F925" w14:textId="77777777" w:rsidTr="00F92DA3">
        <w:trPr>
          <w:cantSplit/>
          <w:trHeight w:val="20"/>
        </w:trPr>
        <w:tc>
          <w:tcPr>
            <w:tcW w:w="1093" w:type="pct"/>
            <w:shd w:val="clear" w:color="000000" w:fill="F2F2F2" w:themeFill="background1" w:themeFillShade="F2"/>
            <w:vAlign w:val="bottom"/>
          </w:tcPr>
          <w:p w14:paraId="74A8A7B9" w14:textId="77777777" w:rsidR="00F4226F" w:rsidRPr="00C6243E" w:rsidRDefault="00F4226F" w:rsidP="00F92DA3">
            <w:pPr>
              <w:spacing w:before="0" w:after="0" w:line="200" w:lineRule="atLeast"/>
              <w:jc w:val="center"/>
              <w:rPr>
                <w:rFonts w:cs="Calibri Light"/>
                <w:b/>
                <w:color w:val="000000"/>
                <w:sz w:val="20"/>
                <w:szCs w:val="20"/>
              </w:rPr>
            </w:pPr>
            <w:r w:rsidRPr="00C6243E">
              <w:rPr>
                <w:rFonts w:cs="Calibri Light"/>
                <w:b/>
                <w:color w:val="000000"/>
                <w:sz w:val="20"/>
                <w:szCs w:val="20"/>
              </w:rPr>
              <w:t>Parameter</w:t>
            </w:r>
          </w:p>
        </w:tc>
        <w:tc>
          <w:tcPr>
            <w:tcW w:w="905" w:type="pct"/>
            <w:shd w:val="clear" w:color="000000" w:fill="F2F2F2" w:themeFill="background1" w:themeFillShade="F2"/>
            <w:vAlign w:val="center"/>
          </w:tcPr>
          <w:p w14:paraId="05374B16" w14:textId="77777777" w:rsidR="00F4226F" w:rsidRPr="00C6243E" w:rsidRDefault="00F4226F" w:rsidP="00F92DA3">
            <w:pPr>
              <w:spacing w:before="0" w:after="0" w:line="200" w:lineRule="atLeast"/>
              <w:jc w:val="center"/>
              <w:rPr>
                <w:rFonts w:cs="Calibri Light"/>
                <w:b/>
                <w:color w:val="000000"/>
                <w:sz w:val="20"/>
                <w:szCs w:val="20"/>
              </w:rPr>
            </w:pPr>
            <w:r w:rsidRPr="00C6243E">
              <w:rPr>
                <w:rFonts w:cs="Calibri Light"/>
                <w:b/>
                <w:sz w:val="20"/>
                <w:szCs w:val="20"/>
              </w:rPr>
              <w:t xml:space="preserve">GSIA </w:t>
            </w:r>
          </w:p>
        </w:tc>
        <w:tc>
          <w:tcPr>
            <w:tcW w:w="3002" w:type="pct"/>
            <w:shd w:val="clear" w:color="000000" w:fill="F2F2F2" w:themeFill="background1" w:themeFillShade="F2"/>
          </w:tcPr>
          <w:p w14:paraId="35484D9B" w14:textId="77777777" w:rsidR="00F4226F" w:rsidRPr="00C6243E" w:rsidRDefault="00F4226F" w:rsidP="00F92DA3">
            <w:pPr>
              <w:spacing w:before="0" w:after="0" w:line="200" w:lineRule="atLeast"/>
              <w:jc w:val="center"/>
              <w:rPr>
                <w:rFonts w:cs="Calibri Light"/>
                <w:b/>
                <w:sz w:val="20"/>
                <w:szCs w:val="20"/>
              </w:rPr>
            </w:pPr>
            <w:r w:rsidRPr="00C6243E">
              <w:rPr>
                <w:rFonts w:cs="Calibri Light"/>
                <w:b/>
                <w:sz w:val="20"/>
                <w:szCs w:val="20"/>
              </w:rPr>
              <w:t>Source</w:t>
            </w:r>
          </w:p>
        </w:tc>
      </w:tr>
      <w:tr w:rsidR="00F4226F" w:rsidRPr="00C6243E" w14:paraId="4D6474F1" w14:textId="77777777" w:rsidTr="008277A2">
        <w:trPr>
          <w:cantSplit/>
          <w:trHeight w:val="20"/>
        </w:trPr>
        <w:tc>
          <w:tcPr>
            <w:tcW w:w="1093" w:type="pct"/>
            <w:vAlign w:val="center"/>
          </w:tcPr>
          <w:p w14:paraId="78C3BF01" w14:textId="32C40C23" w:rsidR="00F4226F" w:rsidRPr="00C6243E" w:rsidRDefault="000223B7" w:rsidP="008277A2">
            <w:pPr>
              <w:spacing w:before="0" w:after="0" w:line="200" w:lineRule="atLeast"/>
              <w:jc w:val="center"/>
              <w:rPr>
                <w:rFonts w:cs="Calibri Light"/>
                <w:sz w:val="20"/>
                <w:szCs w:val="20"/>
              </w:rPr>
            </w:pPr>
            <w:r>
              <w:rPr>
                <w:rFonts w:cs="Calibri Light"/>
                <w:sz w:val="20"/>
                <w:szCs w:val="20"/>
              </w:rPr>
              <w:t>Def-</w:t>
            </w:r>
            <w:r w:rsidR="00F4226F" w:rsidRPr="00C6243E">
              <w:rPr>
                <w:rFonts w:cs="Calibri Light"/>
                <w:sz w:val="20"/>
                <w:szCs w:val="20"/>
              </w:rPr>
              <w:t>GSIA</w:t>
            </w:r>
          </w:p>
        </w:tc>
        <w:tc>
          <w:tcPr>
            <w:tcW w:w="905" w:type="pct"/>
            <w:vAlign w:val="center"/>
          </w:tcPr>
          <w:p w14:paraId="08837CE8" w14:textId="77777777" w:rsidR="00F4226F" w:rsidRPr="00C6243E" w:rsidRDefault="00F4226F" w:rsidP="00F92DA3">
            <w:pPr>
              <w:spacing w:before="0" w:after="0" w:line="200" w:lineRule="atLeast"/>
              <w:jc w:val="center"/>
              <w:rPr>
                <w:rFonts w:cs="Calibri Light"/>
                <w:sz w:val="20"/>
                <w:szCs w:val="20"/>
              </w:rPr>
            </w:pPr>
            <w:r w:rsidRPr="00C6243E">
              <w:rPr>
                <w:rFonts w:cs="Calibri Light"/>
                <w:sz w:val="20"/>
                <w:szCs w:val="20"/>
              </w:rPr>
              <w:t>1.0</w:t>
            </w:r>
          </w:p>
        </w:tc>
        <w:tc>
          <w:tcPr>
            <w:tcW w:w="3002" w:type="pct"/>
            <w:vAlign w:val="center"/>
          </w:tcPr>
          <w:p w14:paraId="375B875B" w14:textId="77777777" w:rsidR="00F4226F" w:rsidRPr="00C6243E" w:rsidRDefault="00F4226F" w:rsidP="00F92DA3">
            <w:pPr>
              <w:spacing w:before="0" w:after="0" w:line="200" w:lineRule="atLeast"/>
              <w:rPr>
                <w:rFonts w:cs="Calibri Light"/>
                <w:sz w:val="20"/>
                <w:szCs w:val="20"/>
              </w:rPr>
            </w:pPr>
            <w:r w:rsidRPr="00C6243E">
              <w:rPr>
                <w:rFonts w:eastAsia="Times New Roman" w:cs="Calibri Light"/>
                <w:sz w:val="18"/>
                <w:szCs w:val="18"/>
              </w:rPr>
              <w:t xml:space="preserve">California Public Utilities Commission (CPUC), Energy Division. 2013. </w:t>
            </w:r>
            <w:r w:rsidRPr="00C6243E">
              <w:rPr>
                <w:rFonts w:eastAsia="Times New Roman" w:cs="Calibri Light"/>
                <w:i/>
                <w:sz w:val="18"/>
                <w:szCs w:val="18"/>
              </w:rPr>
              <w:t>Energy Efficiency Policy Manual Version 5</w:t>
            </w:r>
            <w:r w:rsidRPr="00C6243E">
              <w:rPr>
                <w:rFonts w:eastAsia="Times New Roman" w:cs="Calibri Light"/>
                <w:sz w:val="18"/>
                <w:szCs w:val="18"/>
              </w:rPr>
              <w:t>. Page 31.</w:t>
            </w:r>
          </w:p>
        </w:tc>
      </w:tr>
    </w:tbl>
    <w:p w14:paraId="1236D0F9" w14:textId="77777777" w:rsidR="00F4226F" w:rsidRDefault="00F4226F" w:rsidP="008277A2"/>
    <w:p w14:paraId="5293AAB2" w14:textId="0D97C395" w:rsidR="00995B2B" w:rsidRPr="004B06E3" w:rsidRDefault="00995B2B" w:rsidP="00142FC9">
      <w:pPr>
        <w:pStyle w:val="eTRMHeading3"/>
      </w:pPr>
      <w:bookmarkStart w:id="74" w:name="_Toc32819853"/>
      <w:r w:rsidRPr="004B06E3">
        <w:t xml:space="preserve">Non-Energy </w:t>
      </w:r>
      <w:bookmarkEnd w:id="71"/>
      <w:r>
        <w:t>Impacts</w:t>
      </w:r>
      <w:bookmarkEnd w:id="72"/>
      <w:bookmarkEnd w:id="73"/>
      <w:bookmarkEnd w:id="74"/>
    </w:p>
    <w:p w14:paraId="06084091" w14:textId="77777777" w:rsidR="00995B2B" w:rsidRDefault="00995B2B" w:rsidP="00995B2B">
      <w:r>
        <w:t>Non-energy impacts for this measure have not been quantified.</w:t>
      </w:r>
    </w:p>
    <w:p w14:paraId="4711279C" w14:textId="7EAB5641" w:rsidR="00DC7303" w:rsidRDefault="00DC7303">
      <w:pPr>
        <w:spacing w:before="0" w:after="0" w:line="240" w:lineRule="auto"/>
        <w:rPr>
          <w:rFonts w:eastAsiaTheme="majorEastAsia" w:cstheme="majorBidi"/>
          <w:caps/>
          <w:color w:val="CFAB7A"/>
          <w:w w:val="102"/>
          <w:sz w:val="24"/>
          <w:szCs w:val="30"/>
        </w:rPr>
      </w:pPr>
      <w:bookmarkStart w:id="75" w:name="_Toc490461312"/>
    </w:p>
    <w:p w14:paraId="6277C701" w14:textId="1744D7A2" w:rsidR="00D77199" w:rsidRPr="004B06E3" w:rsidRDefault="00D77199" w:rsidP="00142FC9">
      <w:pPr>
        <w:pStyle w:val="eTRMHeading3"/>
      </w:pPr>
      <w:bookmarkStart w:id="76" w:name="_Toc32819854"/>
      <w:r>
        <w:t>DEER Differences Analysis</w:t>
      </w:r>
      <w:bookmarkEnd w:id="75"/>
      <w:bookmarkEnd w:id="76"/>
    </w:p>
    <w:p w14:paraId="7A6452C0" w14:textId="77777777" w:rsidR="00F4226F" w:rsidRPr="00C6243E" w:rsidRDefault="00F4226F" w:rsidP="00F4226F">
      <w:pPr>
        <w:rPr>
          <w:rFonts w:cs="Calibri Light"/>
        </w:rPr>
      </w:pPr>
      <w:r w:rsidRPr="00C6243E">
        <w:rPr>
          <w:rFonts w:cs="Calibri Light"/>
        </w:rPr>
        <w:t>This section provides a summary of DEER-based inputs and methods, and the rationale for inputs and methods that are not DEER-based.</w:t>
      </w:r>
    </w:p>
    <w:p w14:paraId="31DCF37A" w14:textId="0C1B4B32" w:rsidR="00D77199" w:rsidRDefault="00D77199" w:rsidP="00D77199"/>
    <w:p w14:paraId="0E1AEEEB" w14:textId="77777777" w:rsidR="00F4226F" w:rsidRPr="00C6243E" w:rsidRDefault="00F4226F" w:rsidP="00F4226F">
      <w:pPr>
        <w:pStyle w:val="Caption"/>
      </w:pPr>
      <w:r w:rsidRPr="00C6243E">
        <w:lastRenderedPageBreak/>
        <w:t>DEER Difference Summary</w:t>
      </w:r>
    </w:p>
    <w:tbl>
      <w:tblPr>
        <w:tblW w:w="5243"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569"/>
      </w:tblGrid>
      <w:tr w:rsidR="00F4226F" w:rsidRPr="00C6243E" w14:paraId="416B79AB" w14:textId="77777777" w:rsidTr="00F92DA3">
        <w:trPr>
          <w:trHeight w:val="20"/>
        </w:trPr>
        <w:tc>
          <w:tcPr>
            <w:tcW w:w="1650" w:type="pct"/>
            <w:shd w:val="clear" w:color="auto" w:fill="F2F2F2" w:themeFill="background1" w:themeFillShade="F2"/>
          </w:tcPr>
          <w:p w14:paraId="3A4C5648" w14:textId="77777777" w:rsidR="00F4226F" w:rsidRPr="00C6243E" w:rsidRDefault="00F4226F" w:rsidP="00F92DA3">
            <w:pPr>
              <w:keepNext/>
              <w:keepLines/>
              <w:tabs>
                <w:tab w:val="right" w:pos="2957"/>
              </w:tabs>
              <w:spacing w:before="20" w:after="20"/>
              <w:rPr>
                <w:rFonts w:cs="Calibri Light"/>
                <w:b/>
                <w:sz w:val="20"/>
                <w:szCs w:val="20"/>
              </w:rPr>
            </w:pPr>
            <w:r w:rsidRPr="00C6243E">
              <w:rPr>
                <w:rFonts w:cs="Calibri Light"/>
                <w:b/>
                <w:sz w:val="20"/>
                <w:szCs w:val="20"/>
              </w:rPr>
              <w:t>DEER Item</w:t>
            </w:r>
          </w:p>
        </w:tc>
        <w:tc>
          <w:tcPr>
            <w:tcW w:w="3350" w:type="pct"/>
            <w:shd w:val="clear" w:color="auto" w:fill="F2F2F2" w:themeFill="background1" w:themeFillShade="F2"/>
          </w:tcPr>
          <w:p w14:paraId="1D96E8BE" w14:textId="77777777" w:rsidR="00F4226F" w:rsidRPr="00C6243E" w:rsidRDefault="00F4226F" w:rsidP="00F92DA3">
            <w:pPr>
              <w:keepNext/>
              <w:keepLines/>
              <w:spacing w:before="20" w:after="20"/>
              <w:rPr>
                <w:rFonts w:cs="Calibri Light"/>
                <w:b/>
                <w:sz w:val="20"/>
                <w:szCs w:val="20"/>
              </w:rPr>
            </w:pPr>
            <w:r w:rsidRPr="00C6243E">
              <w:rPr>
                <w:rFonts w:cs="Calibri Light"/>
                <w:b/>
                <w:sz w:val="20"/>
                <w:szCs w:val="20"/>
              </w:rPr>
              <w:t>Comment / Used for Workpaper</w:t>
            </w:r>
          </w:p>
        </w:tc>
      </w:tr>
      <w:tr w:rsidR="00F4226F" w:rsidRPr="00C6243E" w14:paraId="795C2016" w14:textId="77777777" w:rsidTr="00F92DA3">
        <w:trPr>
          <w:trHeight w:val="20"/>
        </w:trPr>
        <w:tc>
          <w:tcPr>
            <w:tcW w:w="1650" w:type="pct"/>
          </w:tcPr>
          <w:p w14:paraId="53277B3F"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Modified DEER methodology</w:t>
            </w:r>
          </w:p>
        </w:tc>
        <w:tc>
          <w:tcPr>
            <w:tcW w:w="3350" w:type="pct"/>
          </w:tcPr>
          <w:p w14:paraId="2CB00FD5" w14:textId="77777777" w:rsidR="00F4226F" w:rsidRPr="00C6243E" w:rsidRDefault="00F4226F" w:rsidP="00F92DA3">
            <w:pPr>
              <w:keepNext/>
              <w:keepLines/>
              <w:spacing w:before="20" w:after="20"/>
              <w:rPr>
                <w:rFonts w:cs="Calibri Light"/>
                <w:sz w:val="20"/>
                <w:szCs w:val="20"/>
              </w:rPr>
            </w:pPr>
            <w:r w:rsidRPr="00C6243E">
              <w:rPr>
                <w:rFonts w:cs="Calibri Light"/>
                <w:sz w:val="20"/>
              </w:rPr>
              <w:t>No</w:t>
            </w:r>
          </w:p>
        </w:tc>
      </w:tr>
      <w:tr w:rsidR="00F4226F" w:rsidRPr="00C6243E" w14:paraId="11113368" w14:textId="77777777" w:rsidTr="00F92DA3">
        <w:trPr>
          <w:trHeight w:val="20"/>
        </w:trPr>
        <w:tc>
          <w:tcPr>
            <w:tcW w:w="1650" w:type="pct"/>
          </w:tcPr>
          <w:p w14:paraId="5E47F7A8"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Scaled DEER measure</w:t>
            </w:r>
          </w:p>
        </w:tc>
        <w:tc>
          <w:tcPr>
            <w:tcW w:w="3350" w:type="pct"/>
          </w:tcPr>
          <w:p w14:paraId="09F4D80D" w14:textId="77777777" w:rsidR="00F4226F" w:rsidRPr="00C6243E" w:rsidRDefault="00F4226F" w:rsidP="00F92DA3">
            <w:pPr>
              <w:keepNext/>
              <w:keepLines/>
              <w:spacing w:before="20" w:after="20"/>
              <w:rPr>
                <w:rFonts w:cs="Calibri Light"/>
                <w:sz w:val="20"/>
                <w:szCs w:val="20"/>
              </w:rPr>
            </w:pPr>
            <w:r w:rsidRPr="00C6243E">
              <w:rPr>
                <w:rFonts w:cs="Calibri Light"/>
                <w:sz w:val="20"/>
              </w:rPr>
              <w:t>No</w:t>
            </w:r>
          </w:p>
        </w:tc>
      </w:tr>
      <w:tr w:rsidR="00F4226F" w:rsidRPr="00C6243E" w14:paraId="788053FA" w14:textId="77777777" w:rsidTr="00F92DA3">
        <w:trPr>
          <w:trHeight w:val="20"/>
        </w:trPr>
        <w:tc>
          <w:tcPr>
            <w:tcW w:w="1650" w:type="pct"/>
          </w:tcPr>
          <w:p w14:paraId="5BEDD799"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DEER Base Case</w:t>
            </w:r>
          </w:p>
        </w:tc>
        <w:tc>
          <w:tcPr>
            <w:tcW w:w="3350" w:type="pct"/>
          </w:tcPr>
          <w:p w14:paraId="4E74F8F9"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No</w:t>
            </w:r>
          </w:p>
        </w:tc>
      </w:tr>
      <w:tr w:rsidR="00F4226F" w:rsidRPr="00C6243E" w14:paraId="237D96C1" w14:textId="77777777" w:rsidTr="00F92DA3">
        <w:trPr>
          <w:trHeight w:val="20"/>
        </w:trPr>
        <w:tc>
          <w:tcPr>
            <w:tcW w:w="1650" w:type="pct"/>
          </w:tcPr>
          <w:p w14:paraId="6E2290C2"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DEER Measure Case</w:t>
            </w:r>
          </w:p>
        </w:tc>
        <w:tc>
          <w:tcPr>
            <w:tcW w:w="3350" w:type="pct"/>
          </w:tcPr>
          <w:p w14:paraId="3F1854E4" w14:textId="77777777" w:rsidR="00F4226F" w:rsidRPr="00C6243E" w:rsidRDefault="00F4226F" w:rsidP="00F92DA3">
            <w:pPr>
              <w:keepNext/>
              <w:keepLines/>
              <w:spacing w:before="20" w:after="20"/>
              <w:rPr>
                <w:rFonts w:cs="Calibri Light"/>
                <w:sz w:val="20"/>
                <w:szCs w:val="20"/>
              </w:rPr>
            </w:pPr>
            <w:r w:rsidRPr="00C6243E">
              <w:rPr>
                <w:rFonts w:cs="Calibri Light"/>
                <w:sz w:val="20"/>
              </w:rPr>
              <w:t>No</w:t>
            </w:r>
          </w:p>
        </w:tc>
      </w:tr>
      <w:tr w:rsidR="00F4226F" w:rsidRPr="00C6243E" w14:paraId="2F626510" w14:textId="77777777" w:rsidTr="00F92DA3">
        <w:trPr>
          <w:trHeight w:val="20"/>
        </w:trPr>
        <w:tc>
          <w:tcPr>
            <w:tcW w:w="1650" w:type="pct"/>
          </w:tcPr>
          <w:p w14:paraId="240D417B"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DEER Building Types</w:t>
            </w:r>
          </w:p>
        </w:tc>
        <w:tc>
          <w:tcPr>
            <w:tcW w:w="3350" w:type="pct"/>
          </w:tcPr>
          <w:p w14:paraId="2B95DD95"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Yes</w:t>
            </w:r>
          </w:p>
        </w:tc>
      </w:tr>
      <w:tr w:rsidR="00F4226F" w:rsidRPr="00C6243E" w14:paraId="4A346E22" w14:textId="77777777" w:rsidTr="00F92DA3">
        <w:trPr>
          <w:trHeight w:val="20"/>
        </w:trPr>
        <w:tc>
          <w:tcPr>
            <w:tcW w:w="1650" w:type="pct"/>
          </w:tcPr>
          <w:p w14:paraId="6CCBD8AC"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DEER Operating Hours</w:t>
            </w:r>
          </w:p>
        </w:tc>
        <w:tc>
          <w:tcPr>
            <w:tcW w:w="3350" w:type="pct"/>
          </w:tcPr>
          <w:p w14:paraId="634431B9" w14:textId="77777777" w:rsidR="00F4226F" w:rsidRPr="00C6243E" w:rsidRDefault="00F4226F" w:rsidP="00F92DA3">
            <w:pPr>
              <w:keepNext/>
              <w:keepLines/>
              <w:spacing w:before="20" w:after="20"/>
              <w:rPr>
                <w:rFonts w:cs="Calibri Light"/>
                <w:sz w:val="20"/>
                <w:szCs w:val="20"/>
              </w:rPr>
            </w:pPr>
            <w:r w:rsidRPr="00C6243E">
              <w:rPr>
                <w:rFonts w:cs="Calibri Light"/>
                <w:sz w:val="20"/>
              </w:rPr>
              <w:t>No</w:t>
            </w:r>
          </w:p>
        </w:tc>
      </w:tr>
      <w:tr w:rsidR="00F4226F" w:rsidRPr="00C6243E" w14:paraId="5A2B61F4" w14:textId="77777777" w:rsidTr="00F92DA3">
        <w:trPr>
          <w:trHeight w:val="20"/>
        </w:trPr>
        <w:tc>
          <w:tcPr>
            <w:tcW w:w="1650" w:type="pct"/>
          </w:tcPr>
          <w:p w14:paraId="5871E5B7"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DEER eQUEST Prototypes</w:t>
            </w:r>
          </w:p>
        </w:tc>
        <w:tc>
          <w:tcPr>
            <w:tcW w:w="3350" w:type="pct"/>
          </w:tcPr>
          <w:p w14:paraId="248695BE" w14:textId="77777777" w:rsidR="00F4226F" w:rsidRPr="00C6243E" w:rsidDel="00505CEC" w:rsidRDefault="00F4226F" w:rsidP="00F92DA3">
            <w:pPr>
              <w:keepNext/>
              <w:keepLines/>
              <w:spacing w:before="20" w:after="20"/>
              <w:rPr>
                <w:rFonts w:cs="Calibri Light"/>
                <w:sz w:val="20"/>
                <w:szCs w:val="20"/>
              </w:rPr>
            </w:pPr>
            <w:r w:rsidRPr="00C6243E">
              <w:rPr>
                <w:rFonts w:cs="Calibri Light"/>
                <w:sz w:val="20"/>
                <w:szCs w:val="20"/>
              </w:rPr>
              <w:t>No</w:t>
            </w:r>
          </w:p>
        </w:tc>
      </w:tr>
      <w:tr w:rsidR="00F4226F" w:rsidRPr="00C6243E" w14:paraId="52734674" w14:textId="77777777" w:rsidTr="00F92DA3">
        <w:trPr>
          <w:trHeight w:val="180"/>
        </w:trPr>
        <w:tc>
          <w:tcPr>
            <w:tcW w:w="1650" w:type="pct"/>
          </w:tcPr>
          <w:p w14:paraId="4D59B5DE"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DEER Version</w:t>
            </w:r>
          </w:p>
        </w:tc>
        <w:tc>
          <w:tcPr>
            <w:tcW w:w="3350" w:type="pct"/>
          </w:tcPr>
          <w:p w14:paraId="05A2D287" w14:textId="77777777" w:rsidR="00F4226F" w:rsidRPr="00C6243E" w:rsidRDefault="00F4226F" w:rsidP="00F92DA3">
            <w:pPr>
              <w:keepNext/>
              <w:keepLines/>
              <w:spacing w:before="20" w:after="20"/>
              <w:rPr>
                <w:rFonts w:cs="Calibri Light"/>
                <w:sz w:val="20"/>
                <w:szCs w:val="20"/>
              </w:rPr>
            </w:pPr>
            <w:r>
              <w:rPr>
                <w:rFonts w:cs="Calibri Light"/>
                <w:sz w:val="20"/>
                <w:szCs w:val="20"/>
              </w:rPr>
              <w:t>N/A</w:t>
            </w:r>
          </w:p>
        </w:tc>
      </w:tr>
      <w:tr w:rsidR="00F4226F" w:rsidRPr="00C6243E" w14:paraId="2DA683EA" w14:textId="77777777" w:rsidTr="00F92DA3">
        <w:trPr>
          <w:trHeight w:val="20"/>
        </w:trPr>
        <w:tc>
          <w:tcPr>
            <w:tcW w:w="1650" w:type="pct"/>
          </w:tcPr>
          <w:p w14:paraId="2B62BFEF"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Reason for Deviation from DEER</w:t>
            </w:r>
          </w:p>
        </w:tc>
        <w:tc>
          <w:tcPr>
            <w:tcW w:w="3350" w:type="pct"/>
          </w:tcPr>
          <w:p w14:paraId="066A0DF7" w14:textId="77777777" w:rsidR="00F4226F" w:rsidRPr="00C6243E" w:rsidRDefault="00F4226F" w:rsidP="00F92DA3">
            <w:pPr>
              <w:keepNext/>
              <w:keepLines/>
              <w:spacing w:before="20" w:after="20"/>
              <w:rPr>
                <w:rFonts w:cs="Calibri Light"/>
                <w:sz w:val="20"/>
                <w:szCs w:val="20"/>
              </w:rPr>
            </w:pPr>
            <w:r w:rsidRPr="00C6243E">
              <w:rPr>
                <w:rFonts w:cs="Calibri Light"/>
                <w:sz w:val="20"/>
              </w:rPr>
              <w:t xml:space="preserve">The DEER 2019/2020 database does not include induction stove measures. </w:t>
            </w:r>
          </w:p>
        </w:tc>
      </w:tr>
      <w:tr w:rsidR="00F4226F" w:rsidRPr="00C6243E" w14:paraId="1D2C39F7" w14:textId="77777777" w:rsidTr="00F92DA3">
        <w:trPr>
          <w:trHeight w:val="20"/>
        </w:trPr>
        <w:tc>
          <w:tcPr>
            <w:tcW w:w="1650" w:type="pct"/>
          </w:tcPr>
          <w:p w14:paraId="681F70E9"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DEER Measure IDs Used</w:t>
            </w:r>
          </w:p>
        </w:tc>
        <w:tc>
          <w:tcPr>
            <w:tcW w:w="3350" w:type="pct"/>
          </w:tcPr>
          <w:p w14:paraId="193B90BC" w14:textId="77777777" w:rsidR="00F4226F" w:rsidRPr="00C6243E" w:rsidRDefault="00F4226F" w:rsidP="00F92DA3">
            <w:pPr>
              <w:keepNext/>
              <w:keepLines/>
              <w:spacing w:before="20" w:after="20"/>
              <w:rPr>
                <w:rFonts w:cs="Calibri Light"/>
                <w:sz w:val="20"/>
                <w:szCs w:val="20"/>
              </w:rPr>
            </w:pPr>
            <w:r>
              <w:rPr>
                <w:rFonts w:cs="Calibri Light"/>
                <w:sz w:val="20"/>
                <w:szCs w:val="20"/>
              </w:rPr>
              <w:t>N/A</w:t>
            </w:r>
          </w:p>
        </w:tc>
      </w:tr>
      <w:tr w:rsidR="00F4226F" w:rsidRPr="00C6243E" w14:paraId="5619760B" w14:textId="77777777" w:rsidTr="00F92DA3">
        <w:trPr>
          <w:trHeight w:val="20"/>
        </w:trPr>
        <w:tc>
          <w:tcPr>
            <w:tcW w:w="1650" w:type="pct"/>
          </w:tcPr>
          <w:p w14:paraId="44B87F03"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NTG</w:t>
            </w:r>
          </w:p>
        </w:tc>
        <w:tc>
          <w:tcPr>
            <w:tcW w:w="3350" w:type="pct"/>
          </w:tcPr>
          <w:p w14:paraId="74ED7E76" w14:textId="01E67074" w:rsidR="00F4226F" w:rsidRPr="008277A2" w:rsidRDefault="00F4226F" w:rsidP="00F92DA3">
            <w:pPr>
              <w:keepNext/>
              <w:keepLines/>
              <w:spacing w:before="20" w:after="20"/>
              <w:rPr>
                <w:rFonts w:cs="Calibri Light"/>
                <w:i/>
                <w:szCs w:val="22"/>
                <w:highlight w:val="yellow"/>
              </w:rPr>
            </w:pPr>
            <w:r w:rsidRPr="00ED19D5">
              <w:rPr>
                <w:rFonts w:cs="Calibri Light"/>
                <w:sz w:val="20"/>
                <w:szCs w:val="20"/>
              </w:rPr>
              <w:t xml:space="preserve">Source: DEER. The NTG of </w:t>
            </w:r>
            <w:r w:rsidR="00ED19D5" w:rsidRPr="008277A2">
              <w:rPr>
                <w:rFonts w:cs="Calibri Light"/>
                <w:sz w:val="20"/>
                <w:szCs w:val="20"/>
              </w:rPr>
              <w:t>0.7</w:t>
            </w:r>
            <w:r w:rsidRPr="00ED19D5">
              <w:rPr>
                <w:rFonts w:cs="Calibri Light"/>
                <w:sz w:val="20"/>
                <w:szCs w:val="20"/>
              </w:rPr>
              <w:t xml:space="preserve">0 is associated with NTG ID:  </w:t>
            </w:r>
            <w:r w:rsidR="00ED19D5" w:rsidRPr="008277A2">
              <w:rPr>
                <w:rFonts w:cs="Calibri Light"/>
                <w:sz w:val="20"/>
                <w:szCs w:val="20"/>
              </w:rPr>
              <w:t>All-Default&lt;=2yrs</w:t>
            </w:r>
          </w:p>
        </w:tc>
      </w:tr>
      <w:tr w:rsidR="00F4226F" w:rsidRPr="00C6243E" w14:paraId="68D8A796" w14:textId="77777777" w:rsidTr="00F92DA3">
        <w:trPr>
          <w:trHeight w:val="20"/>
        </w:trPr>
        <w:tc>
          <w:tcPr>
            <w:tcW w:w="1650" w:type="pct"/>
          </w:tcPr>
          <w:p w14:paraId="29D26388"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GSIA</w:t>
            </w:r>
          </w:p>
        </w:tc>
        <w:tc>
          <w:tcPr>
            <w:tcW w:w="3350" w:type="pct"/>
          </w:tcPr>
          <w:p w14:paraId="07412297"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 xml:space="preserve">Source: DEER. The GSIA of 1.0 is associated with GSIA ID: </w:t>
            </w:r>
            <w:r w:rsidRPr="00C6243E">
              <w:rPr>
                <w:rFonts w:cs="Calibri Light"/>
                <w:i/>
                <w:sz w:val="20"/>
                <w:szCs w:val="20"/>
              </w:rPr>
              <w:t>Def-GSIA</w:t>
            </w:r>
          </w:p>
        </w:tc>
      </w:tr>
      <w:tr w:rsidR="00F4226F" w:rsidRPr="00C6243E" w14:paraId="2DD5D903" w14:textId="77777777" w:rsidTr="00F92DA3">
        <w:trPr>
          <w:trHeight w:val="20"/>
        </w:trPr>
        <w:tc>
          <w:tcPr>
            <w:tcW w:w="1650" w:type="pct"/>
          </w:tcPr>
          <w:p w14:paraId="5AA21030"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EUL/RUL</w:t>
            </w:r>
          </w:p>
        </w:tc>
        <w:tc>
          <w:tcPr>
            <w:tcW w:w="3350" w:type="pct"/>
          </w:tcPr>
          <w:p w14:paraId="1653F475"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 xml:space="preserve">Source: DEER. The value of </w:t>
            </w:r>
            <w:r>
              <w:rPr>
                <w:rFonts w:cs="Calibri Light"/>
                <w:sz w:val="20"/>
                <w:szCs w:val="20"/>
              </w:rPr>
              <w:t>16</w:t>
            </w:r>
            <w:r w:rsidRPr="00C6243E">
              <w:rPr>
                <w:rFonts w:cs="Calibri Light"/>
                <w:sz w:val="20"/>
                <w:szCs w:val="20"/>
              </w:rPr>
              <w:t xml:space="preserve"> years</w:t>
            </w:r>
            <w:r>
              <w:rPr>
                <w:rFonts w:cs="Calibri Light"/>
                <w:sz w:val="20"/>
                <w:szCs w:val="20"/>
              </w:rPr>
              <w:t xml:space="preserve"> with EUL ID: </w:t>
            </w:r>
            <w:r w:rsidRPr="00C91286">
              <w:rPr>
                <w:rFonts w:cs="Calibri Light"/>
                <w:sz w:val="20"/>
                <w:szCs w:val="20"/>
              </w:rPr>
              <w:t>Appl-Elec_Cook</w:t>
            </w:r>
            <w:r>
              <w:rPr>
                <w:rFonts w:cs="Calibri Light"/>
                <w:sz w:val="20"/>
                <w:szCs w:val="20"/>
              </w:rPr>
              <w:t>ing</w:t>
            </w:r>
          </w:p>
        </w:tc>
      </w:tr>
    </w:tbl>
    <w:p w14:paraId="0E207451" w14:textId="77777777" w:rsidR="00F4226F" w:rsidRPr="004B06E3" w:rsidRDefault="00F4226F" w:rsidP="00D77199"/>
    <w:p w14:paraId="241F4960" w14:textId="77777777" w:rsidR="008866C9" w:rsidRDefault="008866C9" w:rsidP="00142FC9">
      <w:pPr>
        <w:pStyle w:val="eTRMHeading3"/>
      </w:pPr>
      <w:bookmarkStart w:id="77" w:name="_Toc486490866"/>
      <w:bookmarkStart w:id="78" w:name="_Toc486580937"/>
      <w:bookmarkStart w:id="79" w:name="_Toc515951877"/>
      <w:bookmarkStart w:id="80" w:name="_Toc32819855"/>
      <w:bookmarkStart w:id="81" w:name="_Hlk516047558"/>
      <w:r w:rsidRPr="004B06E3">
        <w:t>Revision History</w:t>
      </w:r>
      <w:bookmarkEnd w:id="77"/>
      <w:bookmarkEnd w:id="78"/>
      <w:bookmarkEnd w:id="79"/>
      <w:bookmarkEnd w:id="80"/>
    </w:p>
    <w:p w14:paraId="539E5B2F" w14:textId="77777777" w:rsidR="00F4226F" w:rsidRPr="00EF7BAC" w:rsidRDefault="00F4226F" w:rsidP="00F4226F">
      <w:pPr>
        <w:pStyle w:val="Caption"/>
      </w:pPr>
      <w:bookmarkStart w:id="82" w:name="_Hlk515959178"/>
      <w:bookmarkEnd w:id="81"/>
      <w:r w:rsidRPr="00EF7BAC">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350"/>
        <w:gridCol w:w="2113"/>
        <w:gridCol w:w="4946"/>
      </w:tblGrid>
      <w:tr w:rsidR="00F4226F" w:rsidRPr="00C6243E" w14:paraId="146342C6" w14:textId="77777777" w:rsidTr="00F92DA3">
        <w:trPr>
          <w:trHeight w:val="20"/>
        </w:trPr>
        <w:tc>
          <w:tcPr>
            <w:tcW w:w="503" w:type="pct"/>
            <w:shd w:val="clear" w:color="auto" w:fill="F2F2F2" w:themeFill="background1" w:themeFillShade="F2"/>
            <w:vAlign w:val="bottom"/>
          </w:tcPr>
          <w:p w14:paraId="7D1CEF1D" w14:textId="77777777" w:rsidR="00F4226F" w:rsidRPr="00C6243E" w:rsidRDefault="00F4226F" w:rsidP="00F92DA3">
            <w:pPr>
              <w:keepNext/>
              <w:keepLines/>
              <w:tabs>
                <w:tab w:val="right" w:pos="2957"/>
              </w:tabs>
              <w:spacing w:before="20" w:after="20"/>
              <w:rPr>
                <w:rFonts w:cs="Calibri Light"/>
                <w:b/>
                <w:sz w:val="20"/>
                <w:szCs w:val="20"/>
              </w:rPr>
            </w:pPr>
            <w:r w:rsidRPr="00C6243E">
              <w:rPr>
                <w:rFonts w:cs="Calibri Light"/>
                <w:b/>
                <w:sz w:val="20"/>
                <w:szCs w:val="20"/>
              </w:rPr>
              <w:t>Revision Number</w:t>
            </w:r>
          </w:p>
        </w:tc>
        <w:tc>
          <w:tcPr>
            <w:tcW w:w="722" w:type="pct"/>
            <w:shd w:val="clear" w:color="auto" w:fill="F2F2F2" w:themeFill="background1" w:themeFillShade="F2"/>
            <w:vAlign w:val="bottom"/>
          </w:tcPr>
          <w:p w14:paraId="5A0E31F5" w14:textId="77777777" w:rsidR="00F4226F" w:rsidRPr="00C6243E" w:rsidRDefault="00F4226F" w:rsidP="00F92DA3">
            <w:pPr>
              <w:keepNext/>
              <w:keepLines/>
              <w:spacing w:before="20" w:after="20"/>
              <w:rPr>
                <w:rFonts w:cs="Calibri Light"/>
                <w:b/>
                <w:sz w:val="20"/>
                <w:szCs w:val="20"/>
              </w:rPr>
            </w:pPr>
            <w:r w:rsidRPr="00C6243E">
              <w:rPr>
                <w:rFonts w:cs="Calibri Light"/>
                <w:b/>
                <w:sz w:val="20"/>
                <w:szCs w:val="20"/>
              </w:rPr>
              <w:t>Date</w:t>
            </w:r>
          </w:p>
        </w:tc>
        <w:tc>
          <w:tcPr>
            <w:tcW w:w="1130" w:type="pct"/>
            <w:shd w:val="clear" w:color="auto" w:fill="F2F2F2" w:themeFill="background1" w:themeFillShade="F2"/>
            <w:vAlign w:val="bottom"/>
          </w:tcPr>
          <w:p w14:paraId="6D9F58BF" w14:textId="77777777" w:rsidR="00F4226F" w:rsidRPr="00C6243E" w:rsidRDefault="00F4226F" w:rsidP="00F92DA3">
            <w:pPr>
              <w:keepNext/>
              <w:keepLines/>
              <w:spacing w:before="20" w:after="20"/>
              <w:rPr>
                <w:rFonts w:cs="Calibri Light"/>
                <w:b/>
                <w:sz w:val="20"/>
                <w:szCs w:val="20"/>
              </w:rPr>
            </w:pPr>
            <w:r w:rsidRPr="00C6243E">
              <w:rPr>
                <w:rFonts w:cs="Calibri Light"/>
                <w:b/>
                <w:sz w:val="20"/>
                <w:szCs w:val="20"/>
              </w:rPr>
              <w:t>Primary Author, Title, Organization</w:t>
            </w:r>
          </w:p>
        </w:tc>
        <w:tc>
          <w:tcPr>
            <w:tcW w:w="2645" w:type="pct"/>
            <w:shd w:val="clear" w:color="auto" w:fill="F2F2F2" w:themeFill="background1" w:themeFillShade="F2"/>
            <w:vAlign w:val="bottom"/>
          </w:tcPr>
          <w:p w14:paraId="151C81F0" w14:textId="77777777" w:rsidR="00F4226F" w:rsidRPr="00C6243E" w:rsidRDefault="00F4226F" w:rsidP="00F92DA3">
            <w:pPr>
              <w:keepNext/>
              <w:keepLines/>
              <w:spacing w:before="20" w:after="20"/>
              <w:rPr>
                <w:rFonts w:cs="Calibri Light"/>
                <w:b/>
                <w:sz w:val="20"/>
                <w:szCs w:val="20"/>
              </w:rPr>
            </w:pPr>
            <w:r w:rsidRPr="00C6243E">
              <w:rPr>
                <w:rFonts w:cs="Calibri Light"/>
                <w:b/>
                <w:sz w:val="20"/>
                <w:szCs w:val="20"/>
              </w:rPr>
              <w:t>Revision Summary and Rationale for Revision</w:t>
            </w:r>
          </w:p>
          <w:p w14:paraId="01B1930E" w14:textId="77777777" w:rsidR="00F4226F" w:rsidRPr="00C6243E" w:rsidRDefault="00F4226F" w:rsidP="00F92DA3">
            <w:pPr>
              <w:keepNext/>
              <w:keepLines/>
              <w:spacing w:before="20" w:after="20"/>
              <w:rPr>
                <w:rFonts w:cs="Calibri Light"/>
                <w:b/>
                <w:sz w:val="20"/>
                <w:szCs w:val="20"/>
              </w:rPr>
            </w:pPr>
            <w:r w:rsidRPr="00C6243E">
              <w:rPr>
                <w:rFonts w:cs="Calibri Light"/>
                <w:b/>
                <w:sz w:val="20"/>
                <w:szCs w:val="20"/>
              </w:rPr>
              <w:t>Effective Date and Approved By</w:t>
            </w:r>
          </w:p>
        </w:tc>
      </w:tr>
      <w:tr w:rsidR="00F4226F" w:rsidRPr="00C6243E" w14:paraId="108BAD94" w14:textId="77777777" w:rsidTr="00F92DA3">
        <w:trPr>
          <w:trHeight w:val="20"/>
        </w:trPr>
        <w:tc>
          <w:tcPr>
            <w:tcW w:w="503" w:type="pct"/>
          </w:tcPr>
          <w:p w14:paraId="3F0572BC" w14:textId="77777777" w:rsidR="00F4226F" w:rsidRPr="00C6243E" w:rsidRDefault="00F4226F" w:rsidP="00F92DA3">
            <w:pPr>
              <w:keepNext/>
              <w:keepLines/>
              <w:spacing w:before="20" w:after="20"/>
              <w:rPr>
                <w:rFonts w:cs="Calibri Light"/>
                <w:sz w:val="20"/>
                <w:szCs w:val="20"/>
              </w:rPr>
            </w:pPr>
            <w:r w:rsidRPr="00C6243E">
              <w:rPr>
                <w:rFonts w:cs="Calibri Light"/>
                <w:sz w:val="20"/>
                <w:szCs w:val="20"/>
              </w:rPr>
              <w:t>01</w:t>
            </w:r>
          </w:p>
        </w:tc>
        <w:tc>
          <w:tcPr>
            <w:tcW w:w="722" w:type="pct"/>
          </w:tcPr>
          <w:p w14:paraId="4F0F67BE" w14:textId="4833963B" w:rsidR="00F4226F" w:rsidRPr="00C6243E" w:rsidRDefault="00F4226F" w:rsidP="00F92DA3">
            <w:pPr>
              <w:keepNext/>
              <w:keepLines/>
              <w:spacing w:before="20" w:after="20"/>
              <w:rPr>
                <w:rFonts w:cs="Calibri Light"/>
                <w:sz w:val="20"/>
                <w:szCs w:val="20"/>
              </w:rPr>
            </w:pPr>
            <w:r>
              <w:rPr>
                <w:rFonts w:cs="Calibri Light"/>
                <w:sz w:val="20"/>
                <w:szCs w:val="20"/>
              </w:rPr>
              <w:t>02/</w:t>
            </w:r>
            <w:r w:rsidR="00173E24">
              <w:rPr>
                <w:rFonts w:cs="Calibri Light"/>
                <w:sz w:val="20"/>
                <w:szCs w:val="20"/>
              </w:rPr>
              <w:t>2</w:t>
            </w:r>
            <w:r w:rsidR="00451F12">
              <w:rPr>
                <w:rFonts w:cs="Calibri Light"/>
                <w:sz w:val="20"/>
                <w:szCs w:val="20"/>
              </w:rPr>
              <w:t>6</w:t>
            </w:r>
            <w:r>
              <w:rPr>
                <w:rFonts w:cs="Calibri Light"/>
                <w:sz w:val="20"/>
                <w:szCs w:val="20"/>
              </w:rPr>
              <w:t>/2020</w:t>
            </w:r>
          </w:p>
        </w:tc>
        <w:tc>
          <w:tcPr>
            <w:tcW w:w="1130" w:type="pct"/>
          </w:tcPr>
          <w:p w14:paraId="1D0BCEE0" w14:textId="77777777" w:rsidR="00F4226F" w:rsidRPr="00C6243E" w:rsidRDefault="00F4226F" w:rsidP="00F92DA3">
            <w:pPr>
              <w:keepNext/>
              <w:keepLines/>
              <w:spacing w:before="20" w:after="20"/>
              <w:rPr>
                <w:rFonts w:cs="Calibri Light"/>
                <w:sz w:val="20"/>
                <w:szCs w:val="20"/>
              </w:rPr>
            </w:pPr>
            <w:r>
              <w:rPr>
                <w:rFonts w:cs="Calibri Light"/>
                <w:sz w:val="20"/>
                <w:szCs w:val="20"/>
              </w:rPr>
              <w:t>Brandon Yamasaki</w:t>
            </w:r>
            <w:r w:rsidRPr="00C6243E">
              <w:rPr>
                <w:rFonts w:cs="Calibri Light"/>
                <w:sz w:val="20"/>
                <w:szCs w:val="20"/>
              </w:rPr>
              <w:t>, TRC</w:t>
            </w:r>
          </w:p>
        </w:tc>
        <w:tc>
          <w:tcPr>
            <w:tcW w:w="2645" w:type="pct"/>
          </w:tcPr>
          <w:p w14:paraId="690C1B99" w14:textId="4416D7E3" w:rsidR="00F4226F" w:rsidRPr="00C6243E" w:rsidRDefault="00F4226F" w:rsidP="00F92DA3">
            <w:pPr>
              <w:keepNext/>
              <w:keepLines/>
              <w:spacing w:before="20" w:after="20"/>
              <w:rPr>
                <w:rFonts w:cs="Calibri Light"/>
                <w:sz w:val="20"/>
                <w:szCs w:val="20"/>
              </w:rPr>
            </w:pPr>
            <w:r>
              <w:rPr>
                <w:rFonts w:cs="Calibri Light"/>
                <w:sz w:val="20"/>
                <w:szCs w:val="20"/>
              </w:rPr>
              <w:t>First draft of workpaper</w:t>
            </w:r>
            <w:r w:rsidR="00451F12">
              <w:rPr>
                <w:rFonts w:cs="Calibri Light"/>
                <w:sz w:val="20"/>
                <w:szCs w:val="20"/>
              </w:rPr>
              <w:t>, using methodology from SWAP013-01</w:t>
            </w:r>
          </w:p>
        </w:tc>
      </w:tr>
      <w:bookmarkEnd w:id="82"/>
    </w:tbl>
    <w:p w14:paraId="1EBEB8ED" w14:textId="77777777" w:rsidR="008866C9" w:rsidRPr="00462BB6" w:rsidRDefault="008866C9" w:rsidP="00197F09"/>
    <w:sectPr w:rsidR="008866C9" w:rsidRPr="00462BB6" w:rsidSect="005F505E">
      <w:headerReference w:type="default" r:id="rId17"/>
      <w:headerReference w:type="first" r:id="rId18"/>
      <w:endnotePr>
        <w:numFmt w:val="decimal"/>
      </w:endnotePr>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304227" w16cex:dateUtc="2020-04-02T17:51:00Z"/>
  <w16cex:commentExtensible w16cex:durableId="223324F4" w16cex:dateUtc="2020-04-04T22:2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0912CE" w14:textId="77777777" w:rsidR="009026F6" w:rsidRDefault="009026F6" w:rsidP="00A2690C">
      <w:r>
        <w:separator/>
      </w:r>
    </w:p>
    <w:p w14:paraId="0F236C57" w14:textId="77777777" w:rsidR="009026F6" w:rsidRDefault="009026F6"/>
  </w:endnote>
  <w:endnote w:type="continuationSeparator" w:id="0">
    <w:p w14:paraId="61C17AC9" w14:textId="77777777" w:rsidR="009026F6" w:rsidRDefault="009026F6" w:rsidP="00A2690C">
      <w:r>
        <w:continuationSeparator/>
      </w:r>
    </w:p>
    <w:p w14:paraId="56904B9B" w14:textId="77777777" w:rsidR="009026F6" w:rsidRDefault="009026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roxima Nova Regular">
    <w:altName w:val="Times New Roman"/>
    <w:charset w:val="00"/>
    <w:family w:val="auto"/>
    <w:pitch w:val="variable"/>
    <w:sig w:usb0="800000AF" w:usb1="5000E0FB" w:usb2="00000000" w:usb3="00000000" w:csb0="0000019B" w:csb1="00000000"/>
  </w:font>
  <w:font w:name="Calibri Light">
    <w:panose1 w:val="020F0302020204030204"/>
    <w:charset w:val="00"/>
    <w:family w:val="swiss"/>
    <w:pitch w:val="variable"/>
    <w:sig w:usb0="E0002AFF" w:usb1="C000247B" w:usb2="00000009" w:usb3="00000000" w:csb0="000001FF" w:csb1="00000000"/>
  </w:font>
  <w:font w:name="MS PMincho">
    <w:charset w:val="80"/>
    <w:family w:val="roman"/>
    <w:pitch w:val="variable"/>
    <w:sig w:usb0="E00002FF" w:usb1="6AC7FDFB" w:usb2="08000012" w:usb3="00000000" w:csb0="0002009F" w:csb1="00000000"/>
  </w:font>
  <w:font w:name="Avenir Next">
    <w:altName w:val="Corbel"/>
    <w:charset w:val="00"/>
    <w:family w:val="swiss"/>
    <w:pitch w:val="variable"/>
    <w:sig w:usb0="00000001" w:usb1="5000204A" w:usb2="00000000" w:usb3="00000000" w:csb0="0000009B"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58D06" w14:textId="77777777" w:rsidR="00AF735B" w:rsidRDefault="00AF735B"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28"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AF735B" w:rsidRPr="00B837C1" w:rsidRDefault="00AF735B"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F114B" w14:textId="77777777" w:rsidR="00AF735B" w:rsidRDefault="00AF735B"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9" name="Picture 29"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45927228" w:rsidR="00AF735B" w:rsidRPr="00B837C1" w:rsidRDefault="00AF735B"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10</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9099" w14:textId="77777777" w:rsidR="00AF735B" w:rsidRDefault="00AF735B"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31" name="Picture 3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2EBF764A" w:rsidR="00AF735B" w:rsidRPr="005F505E" w:rsidRDefault="00AF735B"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7B1EAD" w14:textId="77777777" w:rsidR="009026F6" w:rsidRDefault="009026F6" w:rsidP="00A2690C">
      <w:r>
        <w:separator/>
      </w:r>
    </w:p>
    <w:p w14:paraId="6254C569" w14:textId="77777777" w:rsidR="009026F6" w:rsidRDefault="009026F6"/>
  </w:footnote>
  <w:footnote w:type="continuationSeparator" w:id="0">
    <w:p w14:paraId="7BE292FA" w14:textId="77777777" w:rsidR="009026F6" w:rsidRDefault="009026F6" w:rsidP="00A2690C">
      <w:r>
        <w:continuationSeparator/>
      </w:r>
    </w:p>
    <w:p w14:paraId="3E2D7DF3" w14:textId="77777777" w:rsidR="009026F6" w:rsidRDefault="009026F6"/>
  </w:footnote>
  <w:footnote w:id="1">
    <w:p w14:paraId="2F1BC8B0" w14:textId="77777777" w:rsidR="00AF735B" w:rsidRDefault="00AF735B" w:rsidP="006C1C16">
      <w:pPr>
        <w:pStyle w:val="FootnoteText"/>
      </w:pPr>
      <w:r>
        <w:rPr>
          <w:rStyle w:val="FootnoteReference"/>
        </w:rPr>
        <w:footnoteRef/>
      </w:r>
      <w:r>
        <w:t xml:space="preserve"> </w:t>
      </w:r>
      <w:r w:rsidRPr="00801E66">
        <w:t xml:space="preserve">Bell, Todd, Charles </w:t>
      </w:r>
      <w:proofErr w:type="spellStart"/>
      <w:r w:rsidRPr="00801E66">
        <w:t>Bohlig</w:t>
      </w:r>
      <w:proofErr w:type="spellEnd"/>
      <w:r w:rsidRPr="00801E66">
        <w:t xml:space="preserve">, David Cowen, Victor Kong, Judy Nickel, Greg Sorensen, Richard Young, Fred Wong, and David </w:t>
      </w:r>
      <w:proofErr w:type="spellStart"/>
      <w:r w:rsidRPr="00801E66">
        <w:t>Zabrowski</w:t>
      </w:r>
      <w:proofErr w:type="spellEnd"/>
      <w:r w:rsidRPr="00801E66">
        <w:t>, Commercial Cooking Appliance Technology Assessment. 2002. Fisher Nickel Inc. Food Service Technology Center.</w:t>
      </w:r>
    </w:p>
  </w:footnote>
  <w:footnote w:id="2">
    <w:p w14:paraId="57EED8EF" w14:textId="77777777" w:rsidR="00AF735B" w:rsidRDefault="00AF735B" w:rsidP="006C1C16">
      <w:pPr>
        <w:pStyle w:val="FootnoteText"/>
      </w:pPr>
      <w:r>
        <w:rPr>
          <w:rStyle w:val="FootnoteReference"/>
        </w:rPr>
        <w:footnoteRef/>
      </w:r>
      <w:r>
        <w:t xml:space="preserve"> General Electric (GE). 2019. </w:t>
      </w:r>
      <w:hyperlink r:id="rId1" w:history="1">
        <w:r>
          <w:rPr>
            <w:rStyle w:val="Hyperlink"/>
          </w:rPr>
          <w:t>https://www.geappliances.com/ge/range-stove/range-cleaning-options.htm</w:t>
        </w:r>
      </w:hyperlink>
    </w:p>
  </w:footnote>
  <w:footnote w:id="3">
    <w:p w14:paraId="0105303B" w14:textId="77777777" w:rsidR="00AF735B" w:rsidRPr="00801E66" w:rsidRDefault="00AF735B" w:rsidP="006C1C16">
      <w:pPr>
        <w:pStyle w:val="FootnoteText"/>
      </w:pPr>
      <w:r>
        <w:rPr>
          <w:rStyle w:val="FootnoteReference"/>
        </w:rPr>
        <w:footnoteRef/>
      </w:r>
      <w:r>
        <w:t xml:space="preserve"> Sweeney, Micah, Jeff </w:t>
      </w:r>
      <w:proofErr w:type="spellStart"/>
      <w:r>
        <w:t>Dols</w:t>
      </w:r>
      <w:proofErr w:type="spellEnd"/>
      <w:r>
        <w:t xml:space="preserve">, Brian </w:t>
      </w:r>
      <w:proofErr w:type="spellStart"/>
      <w:r>
        <w:t>Fortenbery</w:t>
      </w:r>
      <w:proofErr w:type="spellEnd"/>
      <w:r>
        <w:t xml:space="preserve">, and Frank Sharp. Induction Cooking Technology Design and Assessment. 2014. </w:t>
      </w:r>
      <w:r w:rsidRPr="00801E66">
        <w:t>ACEEE Summer Study on Energy Efficiency in Buildings.</w:t>
      </w:r>
    </w:p>
  </w:footnote>
  <w:footnote w:id="4">
    <w:p w14:paraId="3F17EE06" w14:textId="77777777" w:rsidR="00AF735B" w:rsidRDefault="00AF735B" w:rsidP="006C1C16">
      <w:pPr>
        <w:pStyle w:val="FootnoteText"/>
      </w:pPr>
      <w:r>
        <w:rPr>
          <w:rStyle w:val="FootnoteReference"/>
        </w:rPr>
        <w:footnoteRef/>
      </w:r>
      <w:r>
        <w:t xml:space="preserve"> Sweeney, Micah, Jeff </w:t>
      </w:r>
      <w:proofErr w:type="spellStart"/>
      <w:r>
        <w:t>Dols</w:t>
      </w:r>
      <w:proofErr w:type="spellEnd"/>
      <w:r>
        <w:t xml:space="preserve">, Brian </w:t>
      </w:r>
      <w:proofErr w:type="spellStart"/>
      <w:r>
        <w:t>Fortenbery</w:t>
      </w:r>
      <w:proofErr w:type="spellEnd"/>
      <w:r>
        <w:t xml:space="preserve">, and Frank Sharp. Induction Cooking Technology Design and Assessment. 2014. </w:t>
      </w:r>
      <w:r w:rsidRPr="00801E66">
        <w:t>ACEEE Summer Study on Energy Efficiency in Buildings.</w:t>
      </w:r>
    </w:p>
  </w:footnote>
  <w:footnote w:id="5">
    <w:p w14:paraId="14132491" w14:textId="77777777" w:rsidR="00AF735B" w:rsidRDefault="00AF735B" w:rsidP="006C1C16">
      <w:pPr>
        <w:pStyle w:val="FootnoteText"/>
      </w:pPr>
      <w:r>
        <w:rPr>
          <w:rStyle w:val="FootnoteReference"/>
        </w:rPr>
        <w:footnoteRef/>
      </w:r>
      <w:r>
        <w:t xml:space="preserve"> Sweeney, Micah, Jeff </w:t>
      </w:r>
      <w:proofErr w:type="spellStart"/>
      <w:r>
        <w:t>Dols</w:t>
      </w:r>
      <w:proofErr w:type="spellEnd"/>
      <w:r>
        <w:t xml:space="preserve">, Brian </w:t>
      </w:r>
      <w:proofErr w:type="spellStart"/>
      <w:r>
        <w:t>Fortenbery</w:t>
      </w:r>
      <w:proofErr w:type="spellEnd"/>
      <w:r>
        <w:t xml:space="preserve">, and Frank Sharp. Induction Cooking Technology Design and Assessment. 2014. </w:t>
      </w:r>
      <w:r w:rsidRPr="00801E66">
        <w:t>ACEEE Summer Study on Energy Efficiency in Buildings.</w:t>
      </w:r>
    </w:p>
  </w:footnote>
  <w:footnote w:id="6">
    <w:p w14:paraId="3D6E7916" w14:textId="77777777" w:rsidR="00AF735B" w:rsidRDefault="00AF735B" w:rsidP="006C1C16">
      <w:pPr>
        <w:pStyle w:val="FootnoteText"/>
      </w:pPr>
      <w:r>
        <w:rPr>
          <w:rStyle w:val="FootnoteReference"/>
        </w:rPr>
        <w:footnoteRef/>
      </w:r>
      <w:r>
        <w:t xml:space="preserve"> Sweeney, Micah, Jeff </w:t>
      </w:r>
      <w:proofErr w:type="spellStart"/>
      <w:r>
        <w:t>Dols</w:t>
      </w:r>
      <w:proofErr w:type="spellEnd"/>
      <w:r>
        <w:t xml:space="preserve">, Brian </w:t>
      </w:r>
      <w:proofErr w:type="spellStart"/>
      <w:r>
        <w:t>Fortenbery</w:t>
      </w:r>
      <w:proofErr w:type="spellEnd"/>
      <w:r>
        <w:t xml:space="preserve">, and Frank Sharp. Induction Cooking Technology Design and Assessment. 2014. </w:t>
      </w:r>
      <w:r w:rsidRPr="00801E66">
        <w:t>ACEEE Summer Study on Energy Efficiency in Buildings.</w:t>
      </w:r>
    </w:p>
  </w:footnote>
  <w:footnote w:id="7">
    <w:p w14:paraId="6A1755D3" w14:textId="77777777" w:rsidR="00AF735B" w:rsidRDefault="00AF735B" w:rsidP="006C1C16">
      <w:pPr>
        <w:pStyle w:val="FootnoteText"/>
      </w:pPr>
      <w:r>
        <w:rPr>
          <w:rStyle w:val="FootnoteReference"/>
        </w:rPr>
        <w:footnoteRef/>
      </w:r>
      <w:r>
        <w:t xml:space="preserve"> Sweeney, Micah, Jeff </w:t>
      </w:r>
      <w:proofErr w:type="spellStart"/>
      <w:r>
        <w:t>Dols</w:t>
      </w:r>
      <w:proofErr w:type="spellEnd"/>
      <w:r>
        <w:t xml:space="preserve">, Brian </w:t>
      </w:r>
      <w:proofErr w:type="spellStart"/>
      <w:r>
        <w:t>Fortenbery</w:t>
      </w:r>
      <w:proofErr w:type="spellEnd"/>
      <w:r>
        <w:t xml:space="preserve">, and Frank Sharp. Induction Cooking Technology Design and Assessment. 2014. </w:t>
      </w:r>
      <w:r w:rsidRPr="00801E66">
        <w:t>ACEEE Summer Study on Energy Efficiency in Buildings.</w:t>
      </w:r>
    </w:p>
  </w:footnote>
  <w:footnote w:id="8">
    <w:p w14:paraId="1C4475E4" w14:textId="77777777" w:rsidR="00AF735B" w:rsidRDefault="00AF735B" w:rsidP="006C1C16">
      <w:pPr>
        <w:pStyle w:val="FootnoteText"/>
      </w:pPr>
      <w:r>
        <w:rPr>
          <w:rStyle w:val="FootnoteReference"/>
        </w:rPr>
        <w:footnoteRef/>
      </w:r>
      <w:r>
        <w:t xml:space="preserve"> </w:t>
      </w:r>
      <w:proofErr w:type="spellStart"/>
      <w:r>
        <w:t>Livchak</w:t>
      </w:r>
      <w:proofErr w:type="spellEnd"/>
      <w:r>
        <w:t xml:space="preserve">, Denis, Russel Hedrick, Richard Young, Mark </w:t>
      </w:r>
      <w:proofErr w:type="spellStart"/>
      <w:r>
        <w:t>Finck</w:t>
      </w:r>
      <w:proofErr w:type="spellEnd"/>
      <w:r>
        <w:t xml:space="preserve">, Todd Bell, and Michael </w:t>
      </w:r>
      <w:proofErr w:type="spellStart"/>
      <w:r>
        <w:t>Karsz</w:t>
      </w:r>
      <w:proofErr w:type="spellEnd"/>
      <w:r>
        <w:t>. Residential Cooktop Performance and Energy Comparison Study. 2019. Frontier Energy Report #501318071-R0.</w:t>
      </w:r>
    </w:p>
  </w:footnote>
  <w:footnote w:id="9">
    <w:p w14:paraId="2C645C01" w14:textId="77777777" w:rsidR="00AF735B" w:rsidRDefault="00AF735B" w:rsidP="00AA577F">
      <w:pPr>
        <w:pStyle w:val="FootnoteText"/>
      </w:pPr>
      <w:r>
        <w:rPr>
          <w:rStyle w:val="FootnoteReference"/>
        </w:rPr>
        <w:footnoteRef/>
      </w:r>
      <w:r>
        <w:t xml:space="preserve"> Rubin, Eric, Daniel Young, </w:t>
      </w:r>
      <w:proofErr w:type="spellStart"/>
      <w:r>
        <w:t>Maxmilian</w:t>
      </w:r>
      <w:proofErr w:type="spellEnd"/>
      <w:r>
        <w:t xml:space="preserve"> </w:t>
      </w:r>
      <w:proofErr w:type="spellStart"/>
      <w:r>
        <w:t>Hietpas</w:t>
      </w:r>
      <w:proofErr w:type="spellEnd"/>
      <w:r>
        <w:t xml:space="preserve">, </w:t>
      </w:r>
      <w:proofErr w:type="spellStart"/>
      <w:r>
        <w:t>Arshak</w:t>
      </w:r>
      <w:proofErr w:type="spellEnd"/>
      <w:r>
        <w:t xml:space="preserve"> </w:t>
      </w:r>
      <w:proofErr w:type="spellStart"/>
      <w:r>
        <w:t>Zakarian</w:t>
      </w:r>
      <w:proofErr w:type="spellEnd"/>
      <w:r>
        <w:t>, and Phi Nguyen. Codes and Standards Enhancement Initiative (CASE): Plug Loads and Lighting Modeling. June 2016. California Utilities Statewide Codes and Standards Team.</w:t>
      </w:r>
    </w:p>
  </w:footnote>
  <w:footnote w:id="10">
    <w:p w14:paraId="212A5A99" w14:textId="77777777" w:rsidR="00AF735B" w:rsidRDefault="00AF735B" w:rsidP="00AA577F">
      <w:pPr>
        <w:pStyle w:val="FootnoteText"/>
      </w:pPr>
      <w:r>
        <w:rPr>
          <w:rStyle w:val="FootnoteReference"/>
        </w:rPr>
        <w:footnoteRef/>
      </w:r>
      <w:r>
        <w:t xml:space="preserve"> Energy Efficiency and Renewable Energy Office (EERE). 2007. ID EERE-2006-STD-0127-012. November 15. </w:t>
      </w:r>
      <w:hyperlink r:id="rId2" w:history="1">
        <w:r w:rsidRPr="0089651F">
          <w:rPr>
            <w:rStyle w:val="Hyperlink"/>
          </w:rPr>
          <w:t>https://www.regulations.gov/document?D=EERE-2006-STD-0127-0122</w:t>
        </w:r>
      </w:hyperlink>
    </w:p>
  </w:footnote>
  <w:footnote w:id="11">
    <w:p w14:paraId="70E256F4" w14:textId="77777777" w:rsidR="00AF735B" w:rsidRDefault="00AF735B" w:rsidP="00AA577F">
      <w:pPr>
        <w:pStyle w:val="FootnoteText"/>
      </w:pPr>
      <w:r>
        <w:rPr>
          <w:rStyle w:val="FootnoteReference"/>
        </w:rPr>
        <w:footnoteRef/>
      </w:r>
      <w:r>
        <w:t xml:space="preserve"> Rubin, Eric, Daniel Young, </w:t>
      </w:r>
      <w:proofErr w:type="spellStart"/>
      <w:r>
        <w:t>Maxmilian</w:t>
      </w:r>
      <w:proofErr w:type="spellEnd"/>
      <w:r>
        <w:t xml:space="preserve"> </w:t>
      </w:r>
      <w:proofErr w:type="spellStart"/>
      <w:r>
        <w:t>Hietpas</w:t>
      </w:r>
      <w:proofErr w:type="spellEnd"/>
      <w:r>
        <w:t xml:space="preserve">, </w:t>
      </w:r>
      <w:proofErr w:type="spellStart"/>
      <w:r>
        <w:t>Arshak</w:t>
      </w:r>
      <w:proofErr w:type="spellEnd"/>
      <w:r>
        <w:t xml:space="preserve"> </w:t>
      </w:r>
      <w:proofErr w:type="spellStart"/>
      <w:r>
        <w:t>Zakarian</w:t>
      </w:r>
      <w:proofErr w:type="spellEnd"/>
      <w:r>
        <w:t>, and Phi Nguyen. Codes and Standards Enhancement Initiative (CASE): Plug Loads and Lighting Modeling. June 2016. California Utilities Statewide Codes and Standards Team.</w:t>
      </w:r>
    </w:p>
  </w:footnote>
  <w:footnote w:id="12">
    <w:p w14:paraId="566BD277" w14:textId="77777777" w:rsidR="00AF735B" w:rsidRDefault="00AF735B" w:rsidP="0004729C">
      <w:pPr>
        <w:pStyle w:val="FootnoteText"/>
      </w:pPr>
      <w:r>
        <w:rPr>
          <w:rStyle w:val="FootnoteReference"/>
        </w:rPr>
        <w:footnoteRef/>
      </w:r>
      <w:r>
        <w:t xml:space="preserve"> Rubin, Eric, Daniel Young, </w:t>
      </w:r>
      <w:proofErr w:type="spellStart"/>
      <w:r>
        <w:t>Maxmilian</w:t>
      </w:r>
      <w:proofErr w:type="spellEnd"/>
      <w:r>
        <w:t xml:space="preserve"> </w:t>
      </w:r>
      <w:proofErr w:type="spellStart"/>
      <w:r>
        <w:t>Hietpas</w:t>
      </w:r>
      <w:proofErr w:type="spellEnd"/>
      <w:r>
        <w:t xml:space="preserve">, </w:t>
      </w:r>
      <w:proofErr w:type="spellStart"/>
      <w:r>
        <w:t>Arshak</w:t>
      </w:r>
      <w:proofErr w:type="spellEnd"/>
      <w:r>
        <w:t xml:space="preserve"> </w:t>
      </w:r>
      <w:proofErr w:type="spellStart"/>
      <w:r>
        <w:t>Zakarian</w:t>
      </w:r>
      <w:proofErr w:type="spellEnd"/>
      <w:r>
        <w:t>, and Phi Nguyen. Codes and Standards Enhancement Initiative (CASE): Plug Loads and Lighting Modeling. June 2016. California Utilities Statewide Codes and Standards Team.</w:t>
      </w:r>
    </w:p>
  </w:footnote>
  <w:footnote w:id="13">
    <w:p w14:paraId="382B8F63" w14:textId="77777777" w:rsidR="00AF735B" w:rsidRDefault="00AF735B" w:rsidP="00AA577F">
      <w:pPr>
        <w:pStyle w:val="FootnoteText"/>
      </w:pPr>
      <w:r>
        <w:rPr>
          <w:rStyle w:val="FootnoteReference"/>
        </w:rPr>
        <w:footnoteRef/>
      </w:r>
      <w:r>
        <w:t xml:space="preserve"> Rubin, Eric, Daniel Young, </w:t>
      </w:r>
      <w:proofErr w:type="spellStart"/>
      <w:r>
        <w:t>Maxmilian</w:t>
      </w:r>
      <w:proofErr w:type="spellEnd"/>
      <w:r>
        <w:t xml:space="preserve"> </w:t>
      </w:r>
      <w:proofErr w:type="spellStart"/>
      <w:r>
        <w:t>Hietpas</w:t>
      </w:r>
      <w:proofErr w:type="spellEnd"/>
      <w:r>
        <w:t xml:space="preserve">, </w:t>
      </w:r>
      <w:proofErr w:type="spellStart"/>
      <w:r>
        <w:t>Arshak</w:t>
      </w:r>
      <w:proofErr w:type="spellEnd"/>
      <w:r>
        <w:t xml:space="preserve"> </w:t>
      </w:r>
      <w:proofErr w:type="spellStart"/>
      <w:r>
        <w:t>Zakarian</w:t>
      </w:r>
      <w:proofErr w:type="spellEnd"/>
      <w:r>
        <w:t>, and Phi Nguyen. Codes and Standards Enhancement Initiative (CASE): Plug Loads and Lighting Modeling. June 2016. California Utilities Statewide Codes and Standards Team.</w:t>
      </w:r>
    </w:p>
  </w:footnote>
  <w:footnote w:id="14">
    <w:p w14:paraId="5821C437" w14:textId="77777777" w:rsidR="00AF735B" w:rsidRDefault="00AF735B" w:rsidP="0004729C">
      <w:pPr>
        <w:pStyle w:val="FootnoteText"/>
      </w:pPr>
      <w:r>
        <w:rPr>
          <w:rStyle w:val="FootnoteReference"/>
        </w:rPr>
        <w:footnoteRef/>
      </w:r>
      <w:r>
        <w:t xml:space="preserve"> </w:t>
      </w:r>
      <w:proofErr w:type="spellStart"/>
      <w:r>
        <w:t>Livchak</w:t>
      </w:r>
      <w:proofErr w:type="spellEnd"/>
      <w:r>
        <w:t xml:space="preserve">, Denis, Russel Hedrick, Richard Young, Mark </w:t>
      </w:r>
      <w:proofErr w:type="spellStart"/>
      <w:r>
        <w:t>Finck</w:t>
      </w:r>
      <w:proofErr w:type="spellEnd"/>
      <w:r>
        <w:t xml:space="preserve">, Todd Bell, and Michael </w:t>
      </w:r>
      <w:proofErr w:type="spellStart"/>
      <w:r>
        <w:t>Karsz</w:t>
      </w:r>
      <w:proofErr w:type="spellEnd"/>
      <w:r>
        <w:t>. Residential Cooktop Performance and Energy Comparison Study. 2019. Frontier Energy Report #501318071-R0.</w:t>
      </w:r>
    </w:p>
  </w:footnote>
  <w:footnote w:id="15">
    <w:p w14:paraId="336E56C0" w14:textId="77777777" w:rsidR="00AF735B" w:rsidRDefault="00AF735B" w:rsidP="00CE74DF">
      <w:pPr>
        <w:pStyle w:val="FootnoteText"/>
      </w:pPr>
      <w:r>
        <w:rPr>
          <w:rStyle w:val="FootnoteReference"/>
        </w:rPr>
        <w:footnoteRef/>
      </w:r>
      <w:r>
        <w:t xml:space="preserve"> Rubin, Eric, Daniel Young, </w:t>
      </w:r>
      <w:proofErr w:type="spellStart"/>
      <w:r>
        <w:t>Maxmilian</w:t>
      </w:r>
      <w:proofErr w:type="spellEnd"/>
      <w:r>
        <w:t xml:space="preserve"> </w:t>
      </w:r>
      <w:proofErr w:type="spellStart"/>
      <w:r>
        <w:t>Hietpas</w:t>
      </w:r>
      <w:proofErr w:type="spellEnd"/>
      <w:r>
        <w:t xml:space="preserve">, </w:t>
      </w:r>
      <w:proofErr w:type="spellStart"/>
      <w:r>
        <w:t>Arshak</w:t>
      </w:r>
      <w:proofErr w:type="spellEnd"/>
      <w:r>
        <w:t xml:space="preserve"> </w:t>
      </w:r>
      <w:proofErr w:type="spellStart"/>
      <w:r>
        <w:t>Zakarian</w:t>
      </w:r>
      <w:proofErr w:type="spellEnd"/>
      <w:r>
        <w:t>, and Phi Nguyen. Codes and Standards Enhancement Initiative (CASE): Plug Loads and Lighting Modeling. June 2016. California Utilities Statewide Codes and Standards Team.</w:t>
      </w:r>
    </w:p>
  </w:footnote>
  <w:footnote w:id="16">
    <w:p w14:paraId="2B02D1E7" w14:textId="77777777" w:rsidR="00AF735B" w:rsidRDefault="00AF735B" w:rsidP="00CE74DF">
      <w:pPr>
        <w:pStyle w:val="FootnoteText"/>
      </w:pPr>
      <w:r>
        <w:rPr>
          <w:rStyle w:val="FootnoteReference"/>
        </w:rPr>
        <w:footnoteRef/>
      </w:r>
      <w:r>
        <w:t xml:space="preserve"> </w:t>
      </w:r>
      <w:proofErr w:type="spellStart"/>
      <w:r>
        <w:t>Livchak</w:t>
      </w:r>
      <w:proofErr w:type="spellEnd"/>
      <w:r>
        <w:t xml:space="preserve">, Denis, Russel Hedrick, Richard Young, Mark </w:t>
      </w:r>
      <w:proofErr w:type="spellStart"/>
      <w:r>
        <w:t>Finck</w:t>
      </w:r>
      <w:proofErr w:type="spellEnd"/>
      <w:r>
        <w:t xml:space="preserve">, Todd Bell, and Michael </w:t>
      </w:r>
      <w:proofErr w:type="spellStart"/>
      <w:r>
        <w:t>Karsz</w:t>
      </w:r>
      <w:proofErr w:type="spellEnd"/>
      <w:r>
        <w:t>. Residential Cooktop Performance and Energy Comparison Study. 2019. Frontier Energy Report #501318071-R0.</w:t>
      </w:r>
    </w:p>
  </w:footnote>
  <w:footnote w:id="17">
    <w:p w14:paraId="263B4FB4" w14:textId="77777777" w:rsidR="00AF735B" w:rsidRDefault="00AF735B" w:rsidP="00CE74DF">
      <w:pPr>
        <w:pStyle w:val="FootnoteText"/>
      </w:pPr>
      <w:r>
        <w:rPr>
          <w:rStyle w:val="FootnoteReference"/>
        </w:rPr>
        <w:footnoteRef/>
      </w:r>
      <w:r>
        <w:t xml:space="preserve"> Sweeney, Micah, Jeff </w:t>
      </w:r>
      <w:proofErr w:type="spellStart"/>
      <w:r>
        <w:t>Dols</w:t>
      </w:r>
      <w:proofErr w:type="spellEnd"/>
      <w:r>
        <w:t xml:space="preserve">, Brian </w:t>
      </w:r>
      <w:proofErr w:type="spellStart"/>
      <w:r>
        <w:t>Fortenbery</w:t>
      </w:r>
      <w:proofErr w:type="spellEnd"/>
      <w:r>
        <w:t>, and Frank Sharp. Induction Cooking Technology Design and Assessment. 2014. ACEEE Summer Study on Energy Efficiency in Buildings.</w:t>
      </w:r>
    </w:p>
  </w:footnote>
  <w:footnote w:id="18">
    <w:p w14:paraId="4C6D7C7D" w14:textId="77777777" w:rsidR="00AF735B" w:rsidRDefault="00AF735B" w:rsidP="00CE74DF">
      <w:pPr>
        <w:pStyle w:val="FootnoteText"/>
      </w:pPr>
      <w:r>
        <w:rPr>
          <w:rStyle w:val="FootnoteReference"/>
        </w:rPr>
        <w:footnoteRef/>
      </w:r>
      <w:r>
        <w:t xml:space="preserve"> Energy Efficiency and Renewable Energy Office (EERE). 2007. ID EERE-2006-STD-0127-002. November 15. </w:t>
      </w:r>
      <w:r w:rsidRPr="0089651F">
        <w:t>https://www.regulations.gov/document?D=EERE-2006-STD-0127-0122</w:t>
      </w:r>
    </w:p>
  </w:footnote>
  <w:footnote w:id="19">
    <w:p w14:paraId="1F4DA7EC" w14:textId="77777777" w:rsidR="00AF735B" w:rsidRDefault="00AF735B" w:rsidP="00CE74DF">
      <w:pPr>
        <w:pStyle w:val="FootnoteText"/>
      </w:pPr>
      <w:r>
        <w:rPr>
          <w:rStyle w:val="FootnoteReference"/>
        </w:rPr>
        <w:footnoteRef/>
      </w:r>
      <w:r>
        <w:t xml:space="preserve"> Sweeney, Micah, Jeff </w:t>
      </w:r>
      <w:proofErr w:type="spellStart"/>
      <w:r>
        <w:t>Dols</w:t>
      </w:r>
      <w:proofErr w:type="spellEnd"/>
      <w:r>
        <w:t xml:space="preserve">, Brian </w:t>
      </w:r>
      <w:proofErr w:type="spellStart"/>
      <w:r>
        <w:t>Fortenbery</w:t>
      </w:r>
      <w:proofErr w:type="spellEnd"/>
      <w:r>
        <w:t>, and Frank Sharp. Induction Cooking Technology Design and Assessment. 2014. ACEEE Summer Study on Energy Efficiency in Buildings.</w:t>
      </w:r>
    </w:p>
  </w:footnote>
  <w:footnote w:id="20">
    <w:p w14:paraId="25F343E6" w14:textId="77777777" w:rsidR="00AF735B" w:rsidRDefault="00AF735B" w:rsidP="00CE74DF">
      <w:pPr>
        <w:pStyle w:val="FootnoteText"/>
      </w:pPr>
      <w:r>
        <w:rPr>
          <w:rStyle w:val="FootnoteReference"/>
        </w:rPr>
        <w:footnoteRef/>
      </w:r>
      <w:r>
        <w:t xml:space="preserve"> Rubin, Eric, Daniel Young, </w:t>
      </w:r>
      <w:proofErr w:type="spellStart"/>
      <w:r>
        <w:t>Maxmilian</w:t>
      </w:r>
      <w:proofErr w:type="spellEnd"/>
      <w:r>
        <w:t xml:space="preserve"> </w:t>
      </w:r>
      <w:proofErr w:type="spellStart"/>
      <w:r>
        <w:t>Hietpas</w:t>
      </w:r>
      <w:proofErr w:type="spellEnd"/>
      <w:r>
        <w:t xml:space="preserve">, </w:t>
      </w:r>
      <w:proofErr w:type="spellStart"/>
      <w:r>
        <w:t>Arshak</w:t>
      </w:r>
      <w:proofErr w:type="spellEnd"/>
      <w:r>
        <w:t xml:space="preserve"> </w:t>
      </w:r>
      <w:proofErr w:type="spellStart"/>
      <w:r>
        <w:t>Zakarian</w:t>
      </w:r>
      <w:proofErr w:type="spellEnd"/>
      <w:r>
        <w:t>, and Phi Nguyen. Codes and Standards Enhancement Initiative (CASE): Plug Loads and Lighting Modeling. June 2016. California Utilities Statewide Codes and Standards Team.</w:t>
      </w:r>
    </w:p>
  </w:footnote>
  <w:footnote w:id="21">
    <w:p w14:paraId="00809F4B" w14:textId="77777777" w:rsidR="00AF735B" w:rsidRDefault="00AF735B" w:rsidP="00CE74DF">
      <w:pPr>
        <w:pStyle w:val="FootnoteText"/>
      </w:pPr>
      <w:r>
        <w:rPr>
          <w:rStyle w:val="FootnoteReference"/>
        </w:rPr>
        <w:footnoteRef/>
      </w:r>
      <w:r>
        <w:t xml:space="preserve"> Rubin, Eric, Daniel Young, </w:t>
      </w:r>
      <w:proofErr w:type="spellStart"/>
      <w:r>
        <w:t>Maxmilian</w:t>
      </w:r>
      <w:proofErr w:type="spellEnd"/>
      <w:r>
        <w:t xml:space="preserve"> </w:t>
      </w:r>
      <w:proofErr w:type="spellStart"/>
      <w:r>
        <w:t>Hietpas</w:t>
      </w:r>
      <w:proofErr w:type="spellEnd"/>
      <w:r>
        <w:t xml:space="preserve">, </w:t>
      </w:r>
      <w:proofErr w:type="spellStart"/>
      <w:r>
        <w:t>Arshak</w:t>
      </w:r>
      <w:proofErr w:type="spellEnd"/>
      <w:r>
        <w:t xml:space="preserve"> </w:t>
      </w:r>
      <w:proofErr w:type="spellStart"/>
      <w:r>
        <w:t>Zakarian</w:t>
      </w:r>
      <w:proofErr w:type="spellEnd"/>
      <w:r>
        <w:t>, and Phi Nguyen. Codes and Standards Enhancement Initiative (CASE): Plug Loads and Lighting Modeling. June 2016. California Utilities Statewide Codes and Standards Team.</w:t>
      </w:r>
    </w:p>
  </w:footnote>
  <w:footnote w:id="22">
    <w:p w14:paraId="616BBC13" w14:textId="77777777" w:rsidR="00AF735B" w:rsidRDefault="00AF735B" w:rsidP="00CE74DF">
      <w:pPr>
        <w:pStyle w:val="FootnoteText"/>
      </w:pPr>
      <w:r>
        <w:rPr>
          <w:rStyle w:val="FootnoteReference"/>
        </w:rPr>
        <w:footnoteRef/>
      </w:r>
      <w:r>
        <w:t xml:space="preserve"> Sweeney, Micah, Jeff </w:t>
      </w:r>
      <w:proofErr w:type="spellStart"/>
      <w:r>
        <w:t>Dols</w:t>
      </w:r>
      <w:proofErr w:type="spellEnd"/>
      <w:r>
        <w:t xml:space="preserve">, Brian </w:t>
      </w:r>
      <w:proofErr w:type="spellStart"/>
      <w:r>
        <w:t>Fortenbery</w:t>
      </w:r>
      <w:proofErr w:type="spellEnd"/>
      <w:r>
        <w:t>, and Frank Sharp. Induction Cooking Technology Design and Assessment. 2014. ACEEE Summer Study on Energy Efficiency in Buildings.</w:t>
      </w:r>
    </w:p>
  </w:footnote>
  <w:footnote w:id="23">
    <w:p w14:paraId="7D1B1375" w14:textId="77777777" w:rsidR="00AF735B" w:rsidRDefault="00AF735B" w:rsidP="00CE74DF">
      <w:pPr>
        <w:pStyle w:val="FootnoteText"/>
      </w:pPr>
      <w:r>
        <w:rPr>
          <w:rStyle w:val="FootnoteReference"/>
        </w:rPr>
        <w:footnoteRef/>
      </w:r>
      <w:r>
        <w:t xml:space="preserve"> Rubin, Eric, Daniel Young, </w:t>
      </w:r>
      <w:proofErr w:type="spellStart"/>
      <w:r>
        <w:t>Maxmilian</w:t>
      </w:r>
      <w:proofErr w:type="spellEnd"/>
      <w:r>
        <w:t xml:space="preserve"> </w:t>
      </w:r>
      <w:proofErr w:type="spellStart"/>
      <w:r>
        <w:t>Hietpas</w:t>
      </w:r>
      <w:proofErr w:type="spellEnd"/>
      <w:r>
        <w:t xml:space="preserve">, </w:t>
      </w:r>
      <w:proofErr w:type="spellStart"/>
      <w:r>
        <w:t>Arshak</w:t>
      </w:r>
      <w:proofErr w:type="spellEnd"/>
      <w:r>
        <w:t xml:space="preserve"> </w:t>
      </w:r>
      <w:proofErr w:type="spellStart"/>
      <w:r>
        <w:t>Zakarian</w:t>
      </w:r>
      <w:proofErr w:type="spellEnd"/>
      <w:r>
        <w:t>, and Phi Nguyen. Codes and Standards Enhancement Initiative (CASE): Plug Loads and Lighting Modeling. June 2016. California Utilities Statewide Codes and Standards Team.</w:t>
      </w:r>
    </w:p>
  </w:footnote>
  <w:footnote w:id="24">
    <w:p w14:paraId="75615913" w14:textId="5EFC47D8" w:rsidR="00AF735B" w:rsidRDefault="00AF735B" w:rsidP="003B1D94">
      <w:pPr>
        <w:pStyle w:val="FootnoteText"/>
      </w:pPr>
      <w:r>
        <w:rPr>
          <w:rStyle w:val="FootnoteReference"/>
        </w:rPr>
        <w:footnoteRef/>
      </w:r>
      <w:r w:rsidR="000C5196" w:rsidRPr="000C5196">
        <w:t>Energy Efficiency and Renewable Energy Office (EERE)</w:t>
      </w:r>
      <w:r w:rsidR="000C5196">
        <w:t xml:space="preserve">.2016. Energy Conservation Program: Energy Conservation Standards for Residential Conventional Cooking Products; Supplemental notice of proposed rulemaking (SNOPR). </w:t>
      </w:r>
      <w:hyperlink r:id="rId3" w:history="1">
        <w:r w:rsidR="000C5196">
          <w:rPr>
            <w:rStyle w:val="Hyperlink"/>
            <w:color w:val="003591"/>
          </w:rPr>
          <w:t>https://www.regulations.gov/document?D=EERE-2014-BT-STD-0005-0054</w:t>
        </w:r>
      </w:hyperlink>
    </w:p>
  </w:footnote>
  <w:footnote w:id="25">
    <w:p w14:paraId="2040FD13" w14:textId="0BB173BF" w:rsidR="000C5196" w:rsidRDefault="000C5196">
      <w:pPr>
        <w:pStyle w:val="FootnoteText"/>
      </w:pPr>
      <w:r>
        <w:rPr>
          <w:rStyle w:val="FootnoteReference"/>
        </w:rPr>
        <w:footnoteRef/>
      </w:r>
      <w:r w:rsidRPr="000C5196">
        <w:t>Energy Efficiency and Renewable Energy Office (EERE)</w:t>
      </w:r>
      <w:r>
        <w:t xml:space="preserve">. 2016. </w:t>
      </w:r>
      <w:r w:rsidRPr="000C5196">
        <w:t>2016 SNOPR Analytical Tools: Life-Cycle Cost and Payback Period Analysis Spreadsheet</w:t>
      </w:r>
      <w:r>
        <w:t xml:space="preserve">. </w:t>
      </w:r>
      <w:hyperlink r:id="rId4" w:history="1">
        <w:r w:rsidRPr="00FD1076">
          <w:rPr>
            <w:rStyle w:val="Hyperlink"/>
          </w:rPr>
          <w:t>https://www.regulations.gov/document?D=EERE-2014-BT-STD-0005-0049</w:t>
        </w:r>
      </w:hyperlink>
      <w:r>
        <w:t xml:space="preserve">. </w:t>
      </w:r>
    </w:p>
  </w:footnote>
  <w:footnote w:id="26">
    <w:p w14:paraId="32A329D6" w14:textId="60E53FC6" w:rsidR="00AF735B" w:rsidRDefault="00AF735B" w:rsidP="003B1D94">
      <w:pPr>
        <w:pStyle w:val="FootnoteText"/>
      </w:pPr>
      <w:r>
        <w:rPr>
          <w:rStyle w:val="FootnoteReference"/>
        </w:rPr>
        <w:footnoteRef/>
      </w:r>
      <w:r>
        <w:t xml:space="preserve"> </w:t>
      </w:r>
      <w:r w:rsidR="000C5196" w:rsidRPr="000C5196">
        <w:t>Energy Efficiency and Renewable Energy Office (EERE)</w:t>
      </w:r>
      <w:r w:rsidR="000C5196">
        <w:t xml:space="preserve">.2016. Energy Conservation Program: Energy Conservation Standards for Residential Conventional Cooking Products; Supplemental notice of proposed rulemaking (SNOPR). </w:t>
      </w:r>
      <w:hyperlink r:id="rId5" w:history="1">
        <w:r w:rsidR="000C5196">
          <w:rPr>
            <w:rStyle w:val="Hyperlink"/>
            <w:color w:val="003591"/>
          </w:rPr>
          <w:t>https://www.regulations.gov/document?D=EERE-2014-BT-STD-0005-0054</w:t>
        </w:r>
      </w:hyperlink>
    </w:p>
  </w:footnote>
  <w:footnote w:id="27">
    <w:p w14:paraId="1B93A28F" w14:textId="5BE8B907" w:rsidR="000C5196" w:rsidRDefault="000C5196">
      <w:pPr>
        <w:pStyle w:val="FootnoteText"/>
      </w:pPr>
      <w:r>
        <w:rPr>
          <w:rStyle w:val="FootnoteReference"/>
        </w:rPr>
        <w:footnoteRef/>
      </w:r>
      <w:r>
        <w:t xml:space="preserve"> </w:t>
      </w:r>
      <w:r w:rsidRPr="000C5196">
        <w:t>Energy Efficiency and Renewable Energy Office (EERE)</w:t>
      </w:r>
      <w:r>
        <w:t xml:space="preserve">. 2016. </w:t>
      </w:r>
      <w:r w:rsidRPr="000C5196">
        <w:t>2016 SNOPR Analytical Tools: Life-Cycle Cost and Payback Period Analysis Spreadsheet</w:t>
      </w:r>
      <w:r>
        <w:t xml:space="preserve">. </w:t>
      </w:r>
      <w:hyperlink r:id="rId6" w:history="1">
        <w:r w:rsidRPr="00FD1076">
          <w:rPr>
            <w:rStyle w:val="Hyperlink"/>
          </w:rPr>
          <w:t>https://www.regulations.gov/document?D=EERE-2014-BT-STD-0005-0049</w:t>
        </w:r>
      </w:hyperlink>
      <w:r>
        <w:t>.</w:t>
      </w:r>
    </w:p>
  </w:footnote>
  <w:footnote w:id="28">
    <w:p w14:paraId="1D1883E5" w14:textId="1532C4B2" w:rsidR="00AF735B" w:rsidRDefault="00AF735B" w:rsidP="003B1D94">
      <w:pPr>
        <w:pStyle w:val="FootnoteText"/>
      </w:pPr>
      <w:r>
        <w:rPr>
          <w:rStyle w:val="FootnoteReference"/>
        </w:rPr>
        <w:footnoteRef/>
      </w:r>
      <w:r>
        <w:t xml:space="preserve"> Southern California Edison (SCE). 2019. </w:t>
      </w:r>
      <w:r w:rsidRPr="002F65BA">
        <w:t>SWAP0</w:t>
      </w:r>
      <w:r>
        <w:t>15</w:t>
      </w:r>
      <w:r w:rsidRPr="002F65BA">
        <w:t>-01 Costs</w:t>
      </w:r>
      <w:r>
        <w:t>.</w:t>
      </w:r>
      <w:r w:rsidRPr="002F65BA">
        <w:t>xlsx</w:t>
      </w:r>
      <w:r>
        <w:t>”.</w:t>
      </w:r>
    </w:p>
  </w:footnote>
  <w:footnote w:id="29">
    <w:p w14:paraId="5D5954C8" w14:textId="3051CB29" w:rsidR="00AF735B" w:rsidRDefault="00AF735B" w:rsidP="003B1D94">
      <w:pPr>
        <w:pStyle w:val="FootnoteText"/>
      </w:pPr>
      <w:r>
        <w:rPr>
          <w:rStyle w:val="FootnoteReference"/>
        </w:rPr>
        <w:footnoteRef/>
      </w:r>
      <w:r>
        <w:t xml:space="preserve"> Southern California Edison (SCE). 2019. </w:t>
      </w:r>
      <w:r w:rsidRPr="002F65BA">
        <w:t>SWAP01</w:t>
      </w:r>
      <w:r>
        <w:t>5</w:t>
      </w:r>
      <w:r w:rsidRPr="002F65BA">
        <w:t>-01 Costs</w:t>
      </w:r>
      <w:r>
        <w:t>.</w:t>
      </w:r>
      <w:r w:rsidRPr="002F65BA">
        <w:t>xlsx</w:t>
      </w:r>
      <w:r>
        <w:t>”.</w:t>
      </w:r>
    </w:p>
  </w:footnote>
  <w:footnote w:id="30">
    <w:p w14:paraId="7D22D5DD" w14:textId="77777777" w:rsidR="00AF735B" w:rsidRDefault="00AF735B" w:rsidP="00F4226F">
      <w:pPr>
        <w:pStyle w:val="FootnoteText"/>
      </w:pPr>
      <w:r>
        <w:rPr>
          <w:rStyle w:val="FootnoteReference"/>
        </w:rPr>
        <w:footnoteRef/>
      </w:r>
      <w:r>
        <w:t xml:space="preserve"> </w:t>
      </w:r>
      <w:r w:rsidRPr="00873146">
        <w:t>201</w:t>
      </w:r>
      <w:r>
        <w:t>9</w:t>
      </w:r>
      <w:r w:rsidRPr="00873146">
        <w:t xml:space="preserve"> RSMeans </w:t>
      </w:r>
      <w:r>
        <w:t>Electrical</w:t>
      </w:r>
      <w:r w:rsidRPr="00873146">
        <w:t xml:space="preserve"> Cost Data</w:t>
      </w:r>
    </w:p>
  </w:footnote>
  <w:footnote w:id="31">
    <w:p w14:paraId="3C73839C" w14:textId="77777777" w:rsidR="00AF735B" w:rsidRDefault="00AF735B" w:rsidP="00F4226F">
      <w:pPr>
        <w:pStyle w:val="FootnoteText"/>
      </w:pPr>
      <w:r>
        <w:rPr>
          <w:rStyle w:val="FootnoteReference"/>
        </w:rPr>
        <w:footnoteRef/>
      </w:r>
      <w:r>
        <w:t xml:space="preserve"> </w:t>
      </w:r>
      <w:r w:rsidRPr="00873146">
        <w:t>201</w:t>
      </w:r>
      <w:r>
        <w:t>9</w:t>
      </w:r>
      <w:r w:rsidRPr="00873146">
        <w:t xml:space="preserve"> RSMeans </w:t>
      </w:r>
      <w:r>
        <w:t>Electrical</w:t>
      </w:r>
      <w:r w:rsidRPr="00873146">
        <w:t xml:space="preserve"> Cost Data</w:t>
      </w:r>
    </w:p>
  </w:footnote>
  <w:footnote w:id="32">
    <w:p w14:paraId="368CC91F" w14:textId="77777777" w:rsidR="00AF735B" w:rsidRDefault="00AF735B" w:rsidP="00F4226F">
      <w:pPr>
        <w:pStyle w:val="FootnoteText"/>
      </w:pPr>
      <w:r>
        <w:rPr>
          <w:rStyle w:val="FootnoteReference"/>
        </w:rPr>
        <w:footnoteRef/>
      </w:r>
      <w:r>
        <w:t xml:space="preserve"> </w:t>
      </w:r>
      <w:r w:rsidRPr="00873146">
        <w:t xml:space="preserve">RSMeans </w:t>
      </w:r>
      <w:r>
        <w:t xml:space="preserve">Residential Labor Rates, </w:t>
      </w:r>
      <w:r w:rsidRPr="00873146">
        <w:t>https://www.rsmeansonline.com/References/LABORRATE/2-Year%202019%20Labor%20Rates/Residential%20Labor%20Rates.PDF</w:t>
      </w:r>
      <w:r>
        <w:t xml:space="preserve"> , </w:t>
      </w:r>
      <w:r w:rsidRPr="00873146">
        <w:t>“</w:t>
      </w:r>
      <w:r>
        <w:t>Residential Labor Rates.</w:t>
      </w:r>
      <w:r w:rsidRPr="00873146">
        <w:t>pdf”</w:t>
      </w:r>
    </w:p>
  </w:footnote>
  <w:footnote w:id="33">
    <w:p w14:paraId="520C6EBF" w14:textId="77777777" w:rsidR="00AF735B" w:rsidRDefault="00AF735B" w:rsidP="00F4226F">
      <w:pPr>
        <w:pStyle w:val="FootnoteText"/>
      </w:pPr>
      <w:r>
        <w:rPr>
          <w:rStyle w:val="FootnoteReference"/>
        </w:rPr>
        <w:footnoteRef/>
      </w:r>
      <w:r>
        <w:t xml:space="preserve"> </w:t>
      </w:r>
      <w:r w:rsidRPr="00873146">
        <w:t>201</w:t>
      </w:r>
      <w:r>
        <w:t>9</w:t>
      </w:r>
      <w:r w:rsidRPr="00873146">
        <w:t xml:space="preserve"> RSMeans </w:t>
      </w:r>
      <w:r>
        <w:t>Electrical</w:t>
      </w:r>
      <w:r w:rsidRPr="00873146">
        <w:t xml:space="preserve"> Cost Data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14C8F" w14:textId="159C53FF" w:rsidR="00AF735B" w:rsidRPr="000220A0" w:rsidRDefault="00AF735B"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F1ACE" w14:textId="3EE2B5E9" w:rsidR="00AF735B" w:rsidRDefault="00AF735B">
    <w:pPr>
      <w:pStyle w:val="Header"/>
    </w:pPr>
    <w:r>
      <w:rPr>
        <w:rFonts w:ascii="Calibri Light" w:hAnsi="Calibri Light"/>
      </w:rPr>
      <w:t xml:space="preserve">MEASURE  END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1.02</w:t>
    </w:r>
    <w:r w:rsidRPr="000220A0">
      <w:rPr>
        <w:rFonts w:ascii="Calibri Light" w:hAnsi="Calibri Light"/>
        <w:b/>
      </w:rPr>
      <w:t xml:space="preserve"> </w:t>
    </w:r>
    <w:r>
      <w:rPr>
        <w:rFonts w:ascii="Calibri Light" w:hAnsi="Calibri Light"/>
        <w:b/>
      </w:rPr>
      <w:t xml:space="preserve"> No-Heat Low-Heat Doors</w:t>
    </w:r>
  </w:p>
  <w:p w14:paraId="0BBA2503" w14:textId="77777777" w:rsidR="00AF735B" w:rsidRDefault="00AF73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AB8AA" w14:textId="77777777" w:rsidR="00AF735B" w:rsidRDefault="00AF735B" w:rsidP="00BD221D">
    <w:pPr>
      <w:jc w:val="center"/>
    </w:pPr>
  </w:p>
  <w:p w14:paraId="342310D5" w14:textId="5BACBCD8" w:rsidR="00AF735B" w:rsidRDefault="00AF735B" w:rsidP="00BD221D">
    <w:pPr>
      <w:jc w:val="center"/>
    </w:pPr>
    <w:r>
      <w:rPr>
        <w:noProof/>
      </w:rPr>
      <w:drawing>
        <wp:inline distT="0" distB="0" distL="0" distR="0" wp14:anchorId="4B2AF0A8" wp14:editId="7258E71E">
          <wp:extent cx="937307" cy="1405961"/>
          <wp:effectExtent l="0" t="0" r="2540" b="0"/>
          <wp:docPr id="30" name="Picture 3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6D616" w14:textId="13D1F36B" w:rsidR="00AF735B" w:rsidRDefault="00AF735B" w:rsidP="001D7A57">
    <w:pPr>
      <w:pStyle w:val="Header"/>
    </w:pPr>
    <w:r>
      <w:rPr>
        <w:rFonts w:ascii="Calibri Light" w:hAnsi="Calibri Light"/>
      </w:rPr>
      <w:t xml:space="preserve">Appliance </w:t>
    </w:r>
    <w:r w:rsidRPr="00181E01">
      <w:rPr>
        <w:rFonts w:ascii="Calibri Light" w:hAnsi="Calibri Light"/>
        <w:color w:val="8DC63F"/>
      </w:rPr>
      <w:sym w:font="Wingdings" w:char="F06E"/>
    </w:r>
    <w:r w:rsidRPr="000220A0">
      <w:rPr>
        <w:rFonts w:ascii="Calibri Light" w:hAnsi="Calibri Light"/>
      </w:rPr>
      <w:t xml:space="preserve">  </w:t>
    </w:r>
    <w:r w:rsidRPr="00173E24">
      <w:rPr>
        <w:rFonts w:ascii="Calibri Light" w:hAnsi="Calibri Light"/>
        <w:b/>
      </w:rPr>
      <w:t>SWAP015-01 INDUCTION COOKING WITH OR WITHOUT ELECTRIC RANGE, RESIDENTIAL</w:t>
    </w:r>
  </w:p>
  <w:p w14:paraId="2AC97B25" w14:textId="77777777" w:rsidR="00AF735B" w:rsidRDefault="00AF735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3757E" w14:textId="68B81AAC" w:rsidR="00AF735B" w:rsidRDefault="00AF73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651BEE"/>
    <w:multiLevelType w:val="hybridMultilevel"/>
    <w:tmpl w:val="532C354E"/>
    <w:lvl w:ilvl="0" w:tplc="04090001">
      <w:start w:val="1"/>
      <w:numFmt w:val="bullet"/>
      <w:lvlText w:val=""/>
      <w:lvlJc w:val="left"/>
      <w:pPr>
        <w:ind w:left="1080" w:hanging="360"/>
      </w:pPr>
      <w:rPr>
        <w:rFonts w:ascii="Symbol" w:hAnsi="Symbol" w:hint="default"/>
        <w:color w:val="808080" w:themeColor="background1" w:themeShade="8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1157F"/>
    <w:multiLevelType w:val="hybridMultilevel"/>
    <w:tmpl w:val="DABAB92C"/>
    <w:lvl w:ilvl="0" w:tplc="0E869440">
      <w:start w:val="1"/>
      <w:numFmt w:val="bullet"/>
      <w:lvlText w:val=""/>
      <w:lvlJc w:val="left"/>
      <w:pPr>
        <w:ind w:left="720" w:hanging="360"/>
      </w:pPr>
      <w:rPr>
        <w:rFonts w:ascii="Symbol" w:hAnsi="Symbol" w:hint="default"/>
        <w:color w:val="808080" w:themeColor="background1"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286A2D"/>
    <w:multiLevelType w:val="hybridMultilevel"/>
    <w:tmpl w:val="467A2244"/>
    <w:lvl w:ilvl="0" w:tplc="D826DEB4">
      <w:start w:val="1"/>
      <w:numFmt w:val="bullet"/>
      <w:lvlText w:val=""/>
      <w:lvlJc w:val="left"/>
      <w:pPr>
        <w:ind w:left="720" w:hanging="360"/>
      </w:pPr>
      <w:rPr>
        <w:rFonts w:ascii="Symbol" w:hAnsi="Symbol" w:hint="default"/>
        <w:color w:val="808080" w:themeColor="background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5E6C82"/>
    <w:multiLevelType w:val="hybridMultilevel"/>
    <w:tmpl w:val="88581E08"/>
    <w:lvl w:ilvl="0" w:tplc="04090001">
      <w:start w:val="1"/>
      <w:numFmt w:val="bullet"/>
      <w:lvlText w:val=""/>
      <w:lvlJc w:val="left"/>
      <w:pPr>
        <w:ind w:left="720" w:hanging="360"/>
      </w:pPr>
      <w:rPr>
        <w:rFonts w:ascii="Symbol" w:hAnsi="Symbol" w:hint="default"/>
      </w:rPr>
    </w:lvl>
    <w:lvl w:ilvl="1" w:tplc="DA047D0E">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C80B63"/>
    <w:multiLevelType w:val="hybridMultilevel"/>
    <w:tmpl w:val="3AD6820C"/>
    <w:lvl w:ilvl="0" w:tplc="7FDA5A98">
      <w:start w:val="1"/>
      <w:numFmt w:val="bullet"/>
      <w:pStyle w:val="eTRMBulletedText"/>
      <w:lvlText w:val=""/>
      <w:lvlJc w:val="left"/>
      <w:pPr>
        <w:ind w:left="720" w:hanging="360"/>
      </w:pPr>
      <w:rPr>
        <w:rFonts w:ascii="Symbol" w:hAnsi="Symbol" w:hint="default"/>
        <w:color w:val="808080" w:themeColor="background1" w:themeShade="80"/>
        <w:sz w:val="20"/>
      </w:rPr>
    </w:lvl>
    <w:lvl w:ilvl="1" w:tplc="797E59F6">
      <w:start w:val="1"/>
      <w:numFmt w:val="bullet"/>
      <w:lvlText w:val="-"/>
      <w:lvlJc w:val="left"/>
      <w:pPr>
        <w:ind w:left="360" w:hanging="360"/>
      </w:pPr>
      <w:rPr>
        <w:rFonts w:ascii="Courier New" w:hAnsi="Courier New" w:hint="default"/>
        <w:color w:val="404040" w:themeColor="accent3" w:themeShade="80"/>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7" w15:restartNumberingAfterBreak="0">
    <w:nsid w:val="131A1003"/>
    <w:multiLevelType w:val="hybridMultilevel"/>
    <w:tmpl w:val="086C9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1E2719"/>
    <w:multiLevelType w:val="hybridMultilevel"/>
    <w:tmpl w:val="2CC4C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413BC6"/>
    <w:multiLevelType w:val="hybridMultilevel"/>
    <w:tmpl w:val="B3A43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5F1099"/>
    <w:multiLevelType w:val="hybridMultilevel"/>
    <w:tmpl w:val="EC425120"/>
    <w:lvl w:ilvl="0" w:tplc="C18ED6E2">
      <w:numFmt w:val="bullet"/>
      <w:lvlText w:val="-"/>
      <w:lvlJc w:val="left"/>
      <w:pPr>
        <w:ind w:left="720" w:hanging="360"/>
      </w:pPr>
      <w:rPr>
        <w:rFonts w:ascii="Calibri" w:eastAsiaTheme="minorHAnsi" w:hAnsi="Calibri" w:cs="Calibri" w:hint="default"/>
        <w:color w:val="808080" w:themeColor="background1" w:themeShade="8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F7565B"/>
    <w:multiLevelType w:val="hybridMultilevel"/>
    <w:tmpl w:val="DE865B4C"/>
    <w:lvl w:ilvl="0" w:tplc="17B60936">
      <w:numFmt w:val="bullet"/>
      <w:lvlText w:val="•"/>
      <w:lvlJc w:val="left"/>
      <w:pPr>
        <w:ind w:left="720" w:hanging="360"/>
      </w:pPr>
      <w:rPr>
        <w:rFonts w:ascii="Calibri Light" w:eastAsiaTheme="minorEastAsia"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A71ED4"/>
    <w:multiLevelType w:val="hybridMultilevel"/>
    <w:tmpl w:val="0ABC0A16"/>
    <w:lvl w:ilvl="0" w:tplc="148208A6">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D26D1F"/>
    <w:multiLevelType w:val="hybridMultilevel"/>
    <w:tmpl w:val="D39240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AF6E4D"/>
    <w:multiLevelType w:val="hybridMultilevel"/>
    <w:tmpl w:val="BBBEEB1C"/>
    <w:lvl w:ilvl="0" w:tplc="04090001">
      <w:start w:val="1"/>
      <w:numFmt w:val="bullet"/>
      <w:lvlText w:val=""/>
      <w:lvlJc w:val="left"/>
      <w:pPr>
        <w:ind w:left="720" w:hanging="360"/>
      </w:pPr>
      <w:rPr>
        <w:rFonts w:ascii="Symbol" w:hAnsi="Symbol" w:hint="default"/>
        <w:color w:val="808080" w:themeColor="background1" w:themeShade="8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96637C"/>
    <w:multiLevelType w:val="hybridMultilevel"/>
    <w:tmpl w:val="77EAC9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DA5C0B"/>
    <w:multiLevelType w:val="hybridMultilevel"/>
    <w:tmpl w:val="CA641716"/>
    <w:lvl w:ilvl="0" w:tplc="0E869440">
      <w:start w:val="1"/>
      <w:numFmt w:val="bullet"/>
      <w:lvlText w:val=""/>
      <w:lvlJc w:val="left"/>
      <w:pPr>
        <w:ind w:left="1800" w:hanging="360"/>
      </w:pPr>
      <w:rPr>
        <w:rFonts w:ascii="Symbol" w:hAnsi="Symbol" w:hint="default"/>
        <w:color w:val="808080" w:themeColor="background1"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BD1DFF"/>
    <w:multiLevelType w:val="hybridMultilevel"/>
    <w:tmpl w:val="CE4CB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CB6C3D"/>
    <w:multiLevelType w:val="hybridMultilevel"/>
    <w:tmpl w:val="54E2B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DA47F7"/>
    <w:multiLevelType w:val="hybridMultilevel"/>
    <w:tmpl w:val="8E280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81370C3"/>
    <w:multiLevelType w:val="hybridMultilevel"/>
    <w:tmpl w:val="81E255DE"/>
    <w:lvl w:ilvl="0" w:tplc="04090001">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5" w15:restartNumberingAfterBreak="0">
    <w:nsid w:val="3E691370"/>
    <w:multiLevelType w:val="hybridMultilevel"/>
    <w:tmpl w:val="C13CD4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1430B3"/>
    <w:multiLevelType w:val="hybridMultilevel"/>
    <w:tmpl w:val="4A065E0E"/>
    <w:lvl w:ilvl="0" w:tplc="C18ED6E2">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44D272F2"/>
    <w:multiLevelType w:val="hybridMultilevel"/>
    <w:tmpl w:val="3CE81A9E"/>
    <w:lvl w:ilvl="0" w:tplc="80ACBCA6">
      <w:start w:val="1"/>
      <w:numFmt w:val="bullet"/>
      <w:lvlText w:val=""/>
      <w:lvlJc w:val="left"/>
      <w:pPr>
        <w:ind w:left="1800" w:hanging="360"/>
      </w:pPr>
      <w:rPr>
        <w:rFonts w:ascii="Symbol" w:hAnsi="Symbol" w:hint="default"/>
        <w:color w:val="808080" w:themeColor="background1" w:themeShade="80"/>
        <w:sz w:val="20"/>
      </w:rPr>
    </w:lvl>
    <w:lvl w:ilvl="1" w:tplc="797E59F6">
      <w:start w:val="1"/>
      <w:numFmt w:val="bullet"/>
      <w:lvlText w:val="-"/>
      <w:lvlJc w:val="left"/>
      <w:pPr>
        <w:ind w:left="2520" w:hanging="360"/>
      </w:pPr>
      <w:rPr>
        <w:rFonts w:ascii="Courier New" w:hAnsi="Courier New" w:hint="default"/>
        <w:color w:val="404040" w:themeColor="accent3" w:themeShade="80"/>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8041816"/>
    <w:multiLevelType w:val="hybridMultilevel"/>
    <w:tmpl w:val="7BC6CD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433AEE"/>
    <w:multiLevelType w:val="hybridMultilevel"/>
    <w:tmpl w:val="834681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DE2E4B"/>
    <w:multiLevelType w:val="hybridMultilevel"/>
    <w:tmpl w:val="5D4E0A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3F7137"/>
    <w:multiLevelType w:val="hybridMultilevel"/>
    <w:tmpl w:val="2DDE2A34"/>
    <w:lvl w:ilvl="0" w:tplc="0E869440">
      <w:start w:val="1"/>
      <w:numFmt w:val="bullet"/>
      <w:lvlText w:val=""/>
      <w:lvlJc w:val="left"/>
      <w:pPr>
        <w:ind w:left="720" w:hanging="360"/>
      </w:pPr>
      <w:rPr>
        <w:rFonts w:ascii="Symbol" w:hAnsi="Symbol" w:hint="default"/>
        <w:color w:val="808080" w:themeColor="background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311C1E"/>
    <w:multiLevelType w:val="hybridMultilevel"/>
    <w:tmpl w:val="E5BAC080"/>
    <w:lvl w:ilvl="0" w:tplc="8D44CCE2">
      <w:start w:val="1"/>
      <w:numFmt w:val="decimal"/>
      <w:lvlText w:val="%1."/>
      <w:lvlJc w:val="left"/>
      <w:pPr>
        <w:ind w:left="720" w:hanging="360"/>
      </w:pPr>
      <w:rPr>
        <w:rFonts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105C9F"/>
    <w:multiLevelType w:val="hybridMultilevel"/>
    <w:tmpl w:val="38CC48D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35"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36" w15:restartNumberingAfterBreak="0">
    <w:nsid w:val="66842BE9"/>
    <w:multiLevelType w:val="hybridMultilevel"/>
    <w:tmpl w:val="A0C646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8C36031"/>
    <w:multiLevelType w:val="hybridMultilevel"/>
    <w:tmpl w:val="093EE9B8"/>
    <w:lvl w:ilvl="0" w:tplc="0409000F">
      <w:start w:val="1"/>
      <w:numFmt w:val="decimal"/>
      <w:lvlText w:val="%1."/>
      <w:lvlJc w:val="left"/>
      <w:pPr>
        <w:ind w:left="720" w:hanging="360"/>
      </w:pPr>
      <w:rPr>
        <w:rFonts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9C6955"/>
    <w:multiLevelType w:val="hybridMultilevel"/>
    <w:tmpl w:val="61D0D8EA"/>
    <w:lvl w:ilvl="0" w:tplc="A91C4A32">
      <w:start w:val="1"/>
      <w:numFmt w:val="bullet"/>
      <w:lvlText w:val=""/>
      <w:lvlJc w:val="left"/>
      <w:pPr>
        <w:ind w:left="720" w:hanging="360"/>
      </w:pPr>
      <w:rPr>
        <w:rFonts w:ascii="Symbol" w:hAnsi="Symbol" w:hint="default"/>
        <w:color w:val="808080" w:themeColor="background1" w:themeShade="8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7B40C9"/>
    <w:multiLevelType w:val="hybridMultilevel"/>
    <w:tmpl w:val="312CF09C"/>
    <w:lvl w:ilvl="0" w:tplc="0409000F">
      <w:start w:val="1"/>
      <w:numFmt w:val="decimal"/>
      <w:lvlText w:val="%1."/>
      <w:lvlJc w:val="left"/>
      <w:pPr>
        <w:ind w:left="720" w:hanging="360"/>
      </w:pPr>
      <w:rPr>
        <w:rFonts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C07B80"/>
    <w:multiLevelType w:val="hybridMultilevel"/>
    <w:tmpl w:val="D7F8C266"/>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42"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5949AB"/>
    <w:multiLevelType w:val="hybridMultilevel"/>
    <w:tmpl w:val="73448714"/>
    <w:lvl w:ilvl="0" w:tplc="04090001">
      <w:start w:val="1"/>
      <w:numFmt w:val="bullet"/>
      <w:lvlText w:val=""/>
      <w:lvlJc w:val="left"/>
      <w:pPr>
        <w:tabs>
          <w:tab w:val="num" w:pos="786"/>
        </w:tabs>
        <w:ind w:left="786" w:hanging="360"/>
      </w:pPr>
      <w:rPr>
        <w:rFonts w:ascii="Symbol" w:hAnsi="Symbol" w:hint="default"/>
      </w:rPr>
    </w:lvl>
    <w:lvl w:ilvl="1" w:tplc="04090003" w:tentative="1">
      <w:start w:val="1"/>
      <w:numFmt w:val="bullet"/>
      <w:lvlText w:val="o"/>
      <w:lvlJc w:val="left"/>
      <w:pPr>
        <w:tabs>
          <w:tab w:val="num" w:pos="1506"/>
        </w:tabs>
        <w:ind w:left="1506" w:hanging="360"/>
      </w:pPr>
      <w:rPr>
        <w:rFonts w:ascii="Courier New" w:hAnsi="Courier New" w:cs="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tentative="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cs="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cs="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44"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45" w15:restartNumberingAfterBreak="0">
    <w:nsid w:val="7E3F15C9"/>
    <w:multiLevelType w:val="hybridMultilevel"/>
    <w:tmpl w:val="3F16AA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903BD3"/>
    <w:multiLevelType w:val="hybridMultilevel"/>
    <w:tmpl w:val="D39240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41"/>
  </w:num>
  <w:num w:numId="3">
    <w:abstractNumId w:val="44"/>
  </w:num>
  <w:num w:numId="4">
    <w:abstractNumId w:val="44"/>
  </w:num>
  <w:num w:numId="5">
    <w:abstractNumId w:val="35"/>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2"/>
  </w:num>
  <w:num w:numId="7">
    <w:abstractNumId w:val="13"/>
  </w:num>
  <w:num w:numId="8">
    <w:abstractNumId w:val="40"/>
  </w:num>
  <w:num w:numId="9">
    <w:abstractNumId w:val="0"/>
  </w:num>
  <w:num w:numId="10">
    <w:abstractNumId w:val="42"/>
  </w:num>
  <w:num w:numId="11">
    <w:abstractNumId w:val="17"/>
  </w:num>
  <w:num w:numId="12">
    <w:abstractNumId w:val="37"/>
  </w:num>
  <w:num w:numId="13">
    <w:abstractNumId w:val="33"/>
  </w:num>
  <w:num w:numId="14">
    <w:abstractNumId w:val="34"/>
  </w:num>
  <w:num w:numId="15">
    <w:abstractNumId w:val="21"/>
  </w:num>
  <w:num w:numId="16">
    <w:abstractNumId w:val="5"/>
  </w:num>
  <w:num w:numId="17">
    <w:abstractNumId w:val="9"/>
  </w:num>
  <w:num w:numId="18">
    <w:abstractNumId w:val="43"/>
  </w:num>
  <w:num w:numId="19">
    <w:abstractNumId w:val="23"/>
  </w:num>
  <w:num w:numId="20">
    <w:abstractNumId w:val="8"/>
  </w:num>
  <w:num w:numId="21">
    <w:abstractNumId w:val="28"/>
  </w:num>
  <w:num w:numId="22">
    <w:abstractNumId w:val="18"/>
  </w:num>
  <w:num w:numId="23">
    <w:abstractNumId w:val="6"/>
  </w:num>
  <w:num w:numId="24">
    <w:abstractNumId w:val="3"/>
  </w:num>
  <w:num w:numId="25">
    <w:abstractNumId w:val="4"/>
  </w:num>
  <w:num w:numId="26">
    <w:abstractNumId w:val="7"/>
  </w:num>
  <w:num w:numId="27">
    <w:abstractNumId w:val="32"/>
  </w:num>
  <w:num w:numId="28">
    <w:abstractNumId w:val="39"/>
  </w:num>
  <w:num w:numId="29">
    <w:abstractNumId w:val="12"/>
  </w:num>
  <w:num w:numId="30">
    <w:abstractNumId w:val="26"/>
  </w:num>
  <w:num w:numId="31">
    <w:abstractNumId w:val="38"/>
  </w:num>
  <w:num w:numId="32">
    <w:abstractNumId w:val="10"/>
  </w:num>
  <w:num w:numId="33">
    <w:abstractNumId w:val="19"/>
  </w:num>
  <w:num w:numId="34">
    <w:abstractNumId w:val="11"/>
  </w:num>
  <w:num w:numId="35">
    <w:abstractNumId w:val="36"/>
  </w:num>
  <w:num w:numId="36">
    <w:abstractNumId w:val="1"/>
  </w:num>
  <w:num w:numId="37">
    <w:abstractNumId w:val="15"/>
  </w:num>
  <w:num w:numId="38">
    <w:abstractNumId w:val="20"/>
  </w:num>
  <w:num w:numId="39">
    <w:abstractNumId w:val="31"/>
  </w:num>
  <w:num w:numId="40">
    <w:abstractNumId w:val="29"/>
  </w:num>
  <w:num w:numId="41">
    <w:abstractNumId w:val="46"/>
  </w:num>
  <w:num w:numId="42">
    <w:abstractNumId w:val="14"/>
  </w:num>
  <w:num w:numId="43">
    <w:abstractNumId w:val="16"/>
  </w:num>
  <w:num w:numId="44">
    <w:abstractNumId w:val="45"/>
  </w:num>
  <w:num w:numId="45">
    <w:abstractNumId w:val="25"/>
  </w:num>
  <w:num w:numId="46">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481D"/>
    <w:rsid w:val="00005B06"/>
    <w:rsid w:val="00006382"/>
    <w:rsid w:val="000063B0"/>
    <w:rsid w:val="00006633"/>
    <w:rsid w:val="0000694A"/>
    <w:rsid w:val="000110D9"/>
    <w:rsid w:val="000111AF"/>
    <w:rsid w:val="000142EF"/>
    <w:rsid w:val="00016928"/>
    <w:rsid w:val="000176AA"/>
    <w:rsid w:val="000220A0"/>
    <w:rsid w:val="000223B7"/>
    <w:rsid w:val="0002389A"/>
    <w:rsid w:val="00024745"/>
    <w:rsid w:val="00026D58"/>
    <w:rsid w:val="000302DF"/>
    <w:rsid w:val="00031184"/>
    <w:rsid w:val="00036715"/>
    <w:rsid w:val="00037A06"/>
    <w:rsid w:val="00044414"/>
    <w:rsid w:val="00044F5E"/>
    <w:rsid w:val="00045B80"/>
    <w:rsid w:val="00046BB0"/>
    <w:rsid w:val="0004729C"/>
    <w:rsid w:val="00051DBB"/>
    <w:rsid w:val="00052C95"/>
    <w:rsid w:val="00055129"/>
    <w:rsid w:val="00061D34"/>
    <w:rsid w:val="00064994"/>
    <w:rsid w:val="000672E5"/>
    <w:rsid w:val="00067470"/>
    <w:rsid w:val="00073CDC"/>
    <w:rsid w:val="00074E3E"/>
    <w:rsid w:val="000754D1"/>
    <w:rsid w:val="000767E9"/>
    <w:rsid w:val="0008108C"/>
    <w:rsid w:val="000841AA"/>
    <w:rsid w:val="00087533"/>
    <w:rsid w:val="00090BBF"/>
    <w:rsid w:val="000910B7"/>
    <w:rsid w:val="00091581"/>
    <w:rsid w:val="000924B5"/>
    <w:rsid w:val="00094517"/>
    <w:rsid w:val="00096485"/>
    <w:rsid w:val="000978C8"/>
    <w:rsid w:val="000A2BB0"/>
    <w:rsid w:val="000A4D3A"/>
    <w:rsid w:val="000A62EF"/>
    <w:rsid w:val="000A66B7"/>
    <w:rsid w:val="000A6E42"/>
    <w:rsid w:val="000A7058"/>
    <w:rsid w:val="000A7C78"/>
    <w:rsid w:val="000B5F64"/>
    <w:rsid w:val="000B6004"/>
    <w:rsid w:val="000C1E8E"/>
    <w:rsid w:val="000C36B4"/>
    <w:rsid w:val="000C5196"/>
    <w:rsid w:val="000C72C1"/>
    <w:rsid w:val="000D26AC"/>
    <w:rsid w:val="000D5508"/>
    <w:rsid w:val="000D6582"/>
    <w:rsid w:val="000F1833"/>
    <w:rsid w:val="000F553C"/>
    <w:rsid w:val="00101BEA"/>
    <w:rsid w:val="00103399"/>
    <w:rsid w:val="00104933"/>
    <w:rsid w:val="001062A9"/>
    <w:rsid w:val="001069BC"/>
    <w:rsid w:val="00111A53"/>
    <w:rsid w:val="00113824"/>
    <w:rsid w:val="0011498C"/>
    <w:rsid w:val="00120592"/>
    <w:rsid w:val="001217DF"/>
    <w:rsid w:val="0012187D"/>
    <w:rsid w:val="00124BFE"/>
    <w:rsid w:val="00126809"/>
    <w:rsid w:val="00131C5A"/>
    <w:rsid w:val="00142D3C"/>
    <w:rsid w:val="00142FC9"/>
    <w:rsid w:val="00143B20"/>
    <w:rsid w:val="00144D78"/>
    <w:rsid w:val="001464C8"/>
    <w:rsid w:val="00151B9F"/>
    <w:rsid w:val="00154391"/>
    <w:rsid w:val="0015469A"/>
    <w:rsid w:val="001564FC"/>
    <w:rsid w:val="001605AE"/>
    <w:rsid w:val="00161DF1"/>
    <w:rsid w:val="001648F6"/>
    <w:rsid w:val="00171BB8"/>
    <w:rsid w:val="00173E24"/>
    <w:rsid w:val="00174584"/>
    <w:rsid w:val="00174707"/>
    <w:rsid w:val="001759B0"/>
    <w:rsid w:val="001761EA"/>
    <w:rsid w:val="00180DAD"/>
    <w:rsid w:val="00181672"/>
    <w:rsid w:val="00181E01"/>
    <w:rsid w:val="001837BA"/>
    <w:rsid w:val="0018427F"/>
    <w:rsid w:val="00185425"/>
    <w:rsid w:val="001870DB"/>
    <w:rsid w:val="0019324D"/>
    <w:rsid w:val="001944A0"/>
    <w:rsid w:val="00194A48"/>
    <w:rsid w:val="001959B3"/>
    <w:rsid w:val="00195B03"/>
    <w:rsid w:val="00196649"/>
    <w:rsid w:val="0019734A"/>
    <w:rsid w:val="00197F09"/>
    <w:rsid w:val="001A4BE1"/>
    <w:rsid w:val="001A654A"/>
    <w:rsid w:val="001A7239"/>
    <w:rsid w:val="001A7A21"/>
    <w:rsid w:val="001B1D23"/>
    <w:rsid w:val="001B2EC5"/>
    <w:rsid w:val="001B3E27"/>
    <w:rsid w:val="001B4393"/>
    <w:rsid w:val="001B690D"/>
    <w:rsid w:val="001C1617"/>
    <w:rsid w:val="001C2ACE"/>
    <w:rsid w:val="001C30F4"/>
    <w:rsid w:val="001C5B02"/>
    <w:rsid w:val="001C6533"/>
    <w:rsid w:val="001C6C9B"/>
    <w:rsid w:val="001C7134"/>
    <w:rsid w:val="001C75BB"/>
    <w:rsid w:val="001D2576"/>
    <w:rsid w:val="001D65A6"/>
    <w:rsid w:val="001D7A57"/>
    <w:rsid w:val="001E19A3"/>
    <w:rsid w:val="001E4C3F"/>
    <w:rsid w:val="001F1256"/>
    <w:rsid w:val="001F735E"/>
    <w:rsid w:val="002005A8"/>
    <w:rsid w:val="00200668"/>
    <w:rsid w:val="002006B6"/>
    <w:rsid w:val="00205BAF"/>
    <w:rsid w:val="00206ABF"/>
    <w:rsid w:val="00207F85"/>
    <w:rsid w:val="0021226A"/>
    <w:rsid w:val="002225E6"/>
    <w:rsid w:val="00225142"/>
    <w:rsid w:val="00227BDD"/>
    <w:rsid w:val="002318A4"/>
    <w:rsid w:val="002335FF"/>
    <w:rsid w:val="00233D87"/>
    <w:rsid w:val="0023666C"/>
    <w:rsid w:val="00236E0A"/>
    <w:rsid w:val="00237964"/>
    <w:rsid w:val="002426DB"/>
    <w:rsid w:val="00242EC8"/>
    <w:rsid w:val="00242ED1"/>
    <w:rsid w:val="002434DE"/>
    <w:rsid w:val="00244094"/>
    <w:rsid w:val="00245AFF"/>
    <w:rsid w:val="0024628D"/>
    <w:rsid w:val="0024690E"/>
    <w:rsid w:val="00251ABC"/>
    <w:rsid w:val="00251BFB"/>
    <w:rsid w:val="002524CF"/>
    <w:rsid w:val="00253703"/>
    <w:rsid w:val="00254B69"/>
    <w:rsid w:val="00256400"/>
    <w:rsid w:val="00274E0C"/>
    <w:rsid w:val="00276F9B"/>
    <w:rsid w:val="00280945"/>
    <w:rsid w:val="00291F73"/>
    <w:rsid w:val="002942B0"/>
    <w:rsid w:val="0029555D"/>
    <w:rsid w:val="0029781E"/>
    <w:rsid w:val="002A2471"/>
    <w:rsid w:val="002A2A94"/>
    <w:rsid w:val="002B107C"/>
    <w:rsid w:val="002B2C97"/>
    <w:rsid w:val="002B39D8"/>
    <w:rsid w:val="002B3BF4"/>
    <w:rsid w:val="002B6DED"/>
    <w:rsid w:val="002B6F2A"/>
    <w:rsid w:val="002C06FC"/>
    <w:rsid w:val="002C1117"/>
    <w:rsid w:val="002C2F28"/>
    <w:rsid w:val="002C4B25"/>
    <w:rsid w:val="002C67DF"/>
    <w:rsid w:val="002D0036"/>
    <w:rsid w:val="002D27C9"/>
    <w:rsid w:val="002D29F8"/>
    <w:rsid w:val="002D40EE"/>
    <w:rsid w:val="002D4993"/>
    <w:rsid w:val="002D50E9"/>
    <w:rsid w:val="002D5CFA"/>
    <w:rsid w:val="002E2DBB"/>
    <w:rsid w:val="002F01D2"/>
    <w:rsid w:val="003003B4"/>
    <w:rsid w:val="003009E0"/>
    <w:rsid w:val="00301B65"/>
    <w:rsid w:val="003029C0"/>
    <w:rsid w:val="00302A82"/>
    <w:rsid w:val="00304B58"/>
    <w:rsid w:val="0030728B"/>
    <w:rsid w:val="003103FB"/>
    <w:rsid w:val="00312102"/>
    <w:rsid w:val="00313E1D"/>
    <w:rsid w:val="00315D04"/>
    <w:rsid w:val="003247FA"/>
    <w:rsid w:val="003256A8"/>
    <w:rsid w:val="003309DA"/>
    <w:rsid w:val="00333809"/>
    <w:rsid w:val="003338AD"/>
    <w:rsid w:val="00336313"/>
    <w:rsid w:val="00337D1D"/>
    <w:rsid w:val="00347067"/>
    <w:rsid w:val="0035011F"/>
    <w:rsid w:val="0035060F"/>
    <w:rsid w:val="00352864"/>
    <w:rsid w:val="003530E0"/>
    <w:rsid w:val="00362F9E"/>
    <w:rsid w:val="00363BE8"/>
    <w:rsid w:val="00365BFE"/>
    <w:rsid w:val="00370735"/>
    <w:rsid w:val="00370953"/>
    <w:rsid w:val="00372F61"/>
    <w:rsid w:val="003755BA"/>
    <w:rsid w:val="00383F74"/>
    <w:rsid w:val="00385069"/>
    <w:rsid w:val="00385C5F"/>
    <w:rsid w:val="00392097"/>
    <w:rsid w:val="00392684"/>
    <w:rsid w:val="00394559"/>
    <w:rsid w:val="003A05A1"/>
    <w:rsid w:val="003A564C"/>
    <w:rsid w:val="003A7A9B"/>
    <w:rsid w:val="003B1D94"/>
    <w:rsid w:val="003B7610"/>
    <w:rsid w:val="003C2CC3"/>
    <w:rsid w:val="003C6FD9"/>
    <w:rsid w:val="003C7721"/>
    <w:rsid w:val="003D1B97"/>
    <w:rsid w:val="003D1FB8"/>
    <w:rsid w:val="003D5892"/>
    <w:rsid w:val="003D7104"/>
    <w:rsid w:val="003D7842"/>
    <w:rsid w:val="003E5605"/>
    <w:rsid w:val="003E6DE8"/>
    <w:rsid w:val="003F269E"/>
    <w:rsid w:val="003F3000"/>
    <w:rsid w:val="003F3944"/>
    <w:rsid w:val="003F4964"/>
    <w:rsid w:val="003F6022"/>
    <w:rsid w:val="003F65F3"/>
    <w:rsid w:val="00401C43"/>
    <w:rsid w:val="00403FC0"/>
    <w:rsid w:val="004046FF"/>
    <w:rsid w:val="0040737E"/>
    <w:rsid w:val="00410790"/>
    <w:rsid w:val="00411EF4"/>
    <w:rsid w:val="004133BB"/>
    <w:rsid w:val="004142EF"/>
    <w:rsid w:val="0041487D"/>
    <w:rsid w:val="00416112"/>
    <w:rsid w:val="00420958"/>
    <w:rsid w:val="00420EF1"/>
    <w:rsid w:val="00421920"/>
    <w:rsid w:val="00422957"/>
    <w:rsid w:val="004249A0"/>
    <w:rsid w:val="00431AB1"/>
    <w:rsid w:val="00432D49"/>
    <w:rsid w:val="00433658"/>
    <w:rsid w:val="004339EA"/>
    <w:rsid w:val="00433E8F"/>
    <w:rsid w:val="00440082"/>
    <w:rsid w:val="0044577B"/>
    <w:rsid w:val="00447D55"/>
    <w:rsid w:val="004517F1"/>
    <w:rsid w:val="00451F12"/>
    <w:rsid w:val="00457056"/>
    <w:rsid w:val="00461AE3"/>
    <w:rsid w:val="004642AF"/>
    <w:rsid w:val="004648A5"/>
    <w:rsid w:val="00464A63"/>
    <w:rsid w:val="00465B42"/>
    <w:rsid w:val="00466DD6"/>
    <w:rsid w:val="00470670"/>
    <w:rsid w:val="004706E6"/>
    <w:rsid w:val="00472286"/>
    <w:rsid w:val="00472D3F"/>
    <w:rsid w:val="00475A47"/>
    <w:rsid w:val="00476BA9"/>
    <w:rsid w:val="004804FD"/>
    <w:rsid w:val="00483EDE"/>
    <w:rsid w:val="00484536"/>
    <w:rsid w:val="00486585"/>
    <w:rsid w:val="004919B8"/>
    <w:rsid w:val="00491FE3"/>
    <w:rsid w:val="004937E5"/>
    <w:rsid w:val="00497289"/>
    <w:rsid w:val="004979D2"/>
    <w:rsid w:val="004A0610"/>
    <w:rsid w:val="004A06AE"/>
    <w:rsid w:val="004A4334"/>
    <w:rsid w:val="004A510D"/>
    <w:rsid w:val="004B06E3"/>
    <w:rsid w:val="004B35DC"/>
    <w:rsid w:val="004B38C8"/>
    <w:rsid w:val="004B5888"/>
    <w:rsid w:val="004C0BBD"/>
    <w:rsid w:val="004C1AEE"/>
    <w:rsid w:val="004C2A36"/>
    <w:rsid w:val="004C3663"/>
    <w:rsid w:val="004C57EC"/>
    <w:rsid w:val="004C69F2"/>
    <w:rsid w:val="004C76CB"/>
    <w:rsid w:val="004D1461"/>
    <w:rsid w:val="004D3A71"/>
    <w:rsid w:val="004D3CE4"/>
    <w:rsid w:val="004D55AF"/>
    <w:rsid w:val="004D7E51"/>
    <w:rsid w:val="004E04EE"/>
    <w:rsid w:val="004E08BB"/>
    <w:rsid w:val="004E1B37"/>
    <w:rsid w:val="004E2704"/>
    <w:rsid w:val="004E4D01"/>
    <w:rsid w:val="004E7138"/>
    <w:rsid w:val="004F0F59"/>
    <w:rsid w:val="004F7BF7"/>
    <w:rsid w:val="005006AC"/>
    <w:rsid w:val="00500964"/>
    <w:rsid w:val="00500C66"/>
    <w:rsid w:val="00501689"/>
    <w:rsid w:val="00505B94"/>
    <w:rsid w:val="005130EC"/>
    <w:rsid w:val="005146E6"/>
    <w:rsid w:val="00520247"/>
    <w:rsid w:val="005242AB"/>
    <w:rsid w:val="00525E6C"/>
    <w:rsid w:val="00525E7F"/>
    <w:rsid w:val="00533C48"/>
    <w:rsid w:val="0053534A"/>
    <w:rsid w:val="00535A42"/>
    <w:rsid w:val="00536830"/>
    <w:rsid w:val="00536A59"/>
    <w:rsid w:val="0053748E"/>
    <w:rsid w:val="005449C6"/>
    <w:rsid w:val="0055207B"/>
    <w:rsid w:val="00555289"/>
    <w:rsid w:val="00566B42"/>
    <w:rsid w:val="0057165C"/>
    <w:rsid w:val="00571E16"/>
    <w:rsid w:val="005722C6"/>
    <w:rsid w:val="00574729"/>
    <w:rsid w:val="00580FF8"/>
    <w:rsid w:val="00582BD7"/>
    <w:rsid w:val="00585C8D"/>
    <w:rsid w:val="0058624A"/>
    <w:rsid w:val="005862CC"/>
    <w:rsid w:val="00586304"/>
    <w:rsid w:val="00586997"/>
    <w:rsid w:val="005911FE"/>
    <w:rsid w:val="0059312F"/>
    <w:rsid w:val="00595758"/>
    <w:rsid w:val="00595B94"/>
    <w:rsid w:val="00595CB0"/>
    <w:rsid w:val="00596081"/>
    <w:rsid w:val="005A3943"/>
    <w:rsid w:val="005A39DE"/>
    <w:rsid w:val="005A51E6"/>
    <w:rsid w:val="005A632E"/>
    <w:rsid w:val="005B0002"/>
    <w:rsid w:val="005B3D9A"/>
    <w:rsid w:val="005B4EFF"/>
    <w:rsid w:val="005B7418"/>
    <w:rsid w:val="005C03A9"/>
    <w:rsid w:val="005C15F5"/>
    <w:rsid w:val="005C2BFC"/>
    <w:rsid w:val="005C324B"/>
    <w:rsid w:val="005C43E2"/>
    <w:rsid w:val="005C454A"/>
    <w:rsid w:val="005C74C9"/>
    <w:rsid w:val="005D08A5"/>
    <w:rsid w:val="005D1B14"/>
    <w:rsid w:val="005D24BB"/>
    <w:rsid w:val="005D257B"/>
    <w:rsid w:val="005D526C"/>
    <w:rsid w:val="005E1D5C"/>
    <w:rsid w:val="005E25DC"/>
    <w:rsid w:val="005E2AB7"/>
    <w:rsid w:val="005E52AE"/>
    <w:rsid w:val="005E5607"/>
    <w:rsid w:val="005E567C"/>
    <w:rsid w:val="005F1955"/>
    <w:rsid w:val="005F3432"/>
    <w:rsid w:val="005F505E"/>
    <w:rsid w:val="00602976"/>
    <w:rsid w:val="0060388D"/>
    <w:rsid w:val="00604231"/>
    <w:rsid w:val="00610C2F"/>
    <w:rsid w:val="00611DB9"/>
    <w:rsid w:val="00613133"/>
    <w:rsid w:val="006219D0"/>
    <w:rsid w:val="00625805"/>
    <w:rsid w:val="00627AC4"/>
    <w:rsid w:val="0063253B"/>
    <w:rsid w:val="0063313F"/>
    <w:rsid w:val="00636336"/>
    <w:rsid w:val="006363C8"/>
    <w:rsid w:val="00637AB8"/>
    <w:rsid w:val="00641996"/>
    <w:rsid w:val="0064370D"/>
    <w:rsid w:val="00643771"/>
    <w:rsid w:val="00643B0D"/>
    <w:rsid w:val="00644946"/>
    <w:rsid w:val="00646AB8"/>
    <w:rsid w:val="00647BD9"/>
    <w:rsid w:val="00654A3E"/>
    <w:rsid w:val="0066040F"/>
    <w:rsid w:val="006624A7"/>
    <w:rsid w:val="0066515F"/>
    <w:rsid w:val="0066606F"/>
    <w:rsid w:val="006668AF"/>
    <w:rsid w:val="00686439"/>
    <w:rsid w:val="006A07CB"/>
    <w:rsid w:val="006A6051"/>
    <w:rsid w:val="006A7DA7"/>
    <w:rsid w:val="006B31D9"/>
    <w:rsid w:val="006B3494"/>
    <w:rsid w:val="006B7230"/>
    <w:rsid w:val="006C0102"/>
    <w:rsid w:val="006C07D4"/>
    <w:rsid w:val="006C1C16"/>
    <w:rsid w:val="006C41AD"/>
    <w:rsid w:val="006C6EBC"/>
    <w:rsid w:val="006D04AD"/>
    <w:rsid w:val="006D04BD"/>
    <w:rsid w:val="006D5662"/>
    <w:rsid w:val="006D7180"/>
    <w:rsid w:val="006E433B"/>
    <w:rsid w:val="006E4A46"/>
    <w:rsid w:val="006E4C2D"/>
    <w:rsid w:val="006E5523"/>
    <w:rsid w:val="006E7899"/>
    <w:rsid w:val="006E7C78"/>
    <w:rsid w:val="006F27F4"/>
    <w:rsid w:val="006F2E23"/>
    <w:rsid w:val="006F4766"/>
    <w:rsid w:val="006F6D9E"/>
    <w:rsid w:val="006F7024"/>
    <w:rsid w:val="007005A1"/>
    <w:rsid w:val="00703766"/>
    <w:rsid w:val="00703A7C"/>
    <w:rsid w:val="0070408B"/>
    <w:rsid w:val="007076DA"/>
    <w:rsid w:val="00707860"/>
    <w:rsid w:val="00712C56"/>
    <w:rsid w:val="007159F3"/>
    <w:rsid w:val="007207BF"/>
    <w:rsid w:val="00720DD3"/>
    <w:rsid w:val="0072137E"/>
    <w:rsid w:val="00725CB0"/>
    <w:rsid w:val="007269BF"/>
    <w:rsid w:val="0073517D"/>
    <w:rsid w:val="00735E7F"/>
    <w:rsid w:val="0073685C"/>
    <w:rsid w:val="00737EA5"/>
    <w:rsid w:val="007400AE"/>
    <w:rsid w:val="00741CAD"/>
    <w:rsid w:val="00741F3E"/>
    <w:rsid w:val="007424B4"/>
    <w:rsid w:val="00742548"/>
    <w:rsid w:val="00743AA8"/>
    <w:rsid w:val="007455A9"/>
    <w:rsid w:val="00750840"/>
    <w:rsid w:val="00757617"/>
    <w:rsid w:val="0075793F"/>
    <w:rsid w:val="00763AD8"/>
    <w:rsid w:val="00765016"/>
    <w:rsid w:val="00767EDE"/>
    <w:rsid w:val="00770E9A"/>
    <w:rsid w:val="0077100C"/>
    <w:rsid w:val="00774947"/>
    <w:rsid w:val="00776C39"/>
    <w:rsid w:val="00776DF1"/>
    <w:rsid w:val="007811E2"/>
    <w:rsid w:val="00781D00"/>
    <w:rsid w:val="00786DC5"/>
    <w:rsid w:val="007900F3"/>
    <w:rsid w:val="00791B69"/>
    <w:rsid w:val="0079498E"/>
    <w:rsid w:val="00796F10"/>
    <w:rsid w:val="007A4E0A"/>
    <w:rsid w:val="007A6AB5"/>
    <w:rsid w:val="007B1110"/>
    <w:rsid w:val="007B2B46"/>
    <w:rsid w:val="007B30F2"/>
    <w:rsid w:val="007B377F"/>
    <w:rsid w:val="007B3EA5"/>
    <w:rsid w:val="007B4274"/>
    <w:rsid w:val="007B5117"/>
    <w:rsid w:val="007B599D"/>
    <w:rsid w:val="007B6A74"/>
    <w:rsid w:val="007C2DC8"/>
    <w:rsid w:val="007D097E"/>
    <w:rsid w:val="007D11D1"/>
    <w:rsid w:val="007D230B"/>
    <w:rsid w:val="007D2D80"/>
    <w:rsid w:val="007D3681"/>
    <w:rsid w:val="007D3824"/>
    <w:rsid w:val="007D49A1"/>
    <w:rsid w:val="007D59DD"/>
    <w:rsid w:val="007E1F66"/>
    <w:rsid w:val="007E2DF3"/>
    <w:rsid w:val="007E3A33"/>
    <w:rsid w:val="007E4C10"/>
    <w:rsid w:val="007E6501"/>
    <w:rsid w:val="007E6C25"/>
    <w:rsid w:val="007F0C82"/>
    <w:rsid w:val="007F32D7"/>
    <w:rsid w:val="00800317"/>
    <w:rsid w:val="00801632"/>
    <w:rsid w:val="0080520B"/>
    <w:rsid w:val="008053E1"/>
    <w:rsid w:val="0080675C"/>
    <w:rsid w:val="00807B3E"/>
    <w:rsid w:val="00810D4A"/>
    <w:rsid w:val="00810DB1"/>
    <w:rsid w:val="00811136"/>
    <w:rsid w:val="008123AC"/>
    <w:rsid w:val="00812637"/>
    <w:rsid w:val="00812F82"/>
    <w:rsid w:val="008146FD"/>
    <w:rsid w:val="008167FF"/>
    <w:rsid w:val="00816AAB"/>
    <w:rsid w:val="008202AB"/>
    <w:rsid w:val="00820402"/>
    <w:rsid w:val="00821A01"/>
    <w:rsid w:val="008243B2"/>
    <w:rsid w:val="00824F08"/>
    <w:rsid w:val="008276D5"/>
    <w:rsid w:val="008277A2"/>
    <w:rsid w:val="00827B1A"/>
    <w:rsid w:val="008310DF"/>
    <w:rsid w:val="00831105"/>
    <w:rsid w:val="008333E2"/>
    <w:rsid w:val="00835487"/>
    <w:rsid w:val="00836103"/>
    <w:rsid w:val="00844429"/>
    <w:rsid w:val="00844A4B"/>
    <w:rsid w:val="00847017"/>
    <w:rsid w:val="00853C18"/>
    <w:rsid w:val="00854676"/>
    <w:rsid w:val="00856F1C"/>
    <w:rsid w:val="00865296"/>
    <w:rsid w:val="00867086"/>
    <w:rsid w:val="00874663"/>
    <w:rsid w:val="00881B95"/>
    <w:rsid w:val="008831CA"/>
    <w:rsid w:val="008866C9"/>
    <w:rsid w:val="00891280"/>
    <w:rsid w:val="0089272A"/>
    <w:rsid w:val="00894890"/>
    <w:rsid w:val="00897247"/>
    <w:rsid w:val="00897BCD"/>
    <w:rsid w:val="008A49C9"/>
    <w:rsid w:val="008B08F0"/>
    <w:rsid w:val="008B262C"/>
    <w:rsid w:val="008B5427"/>
    <w:rsid w:val="008B6FC8"/>
    <w:rsid w:val="008C19E9"/>
    <w:rsid w:val="008C2594"/>
    <w:rsid w:val="008C26E9"/>
    <w:rsid w:val="008C774E"/>
    <w:rsid w:val="008D3EE7"/>
    <w:rsid w:val="008D4652"/>
    <w:rsid w:val="008D6D9D"/>
    <w:rsid w:val="008F1691"/>
    <w:rsid w:val="008F1AFD"/>
    <w:rsid w:val="008F22E2"/>
    <w:rsid w:val="008F254E"/>
    <w:rsid w:val="008F2AB8"/>
    <w:rsid w:val="008F5698"/>
    <w:rsid w:val="008F639E"/>
    <w:rsid w:val="008F745E"/>
    <w:rsid w:val="009012BB"/>
    <w:rsid w:val="00901EF2"/>
    <w:rsid w:val="009026F6"/>
    <w:rsid w:val="00903EB6"/>
    <w:rsid w:val="009068F0"/>
    <w:rsid w:val="009073EA"/>
    <w:rsid w:val="009079D0"/>
    <w:rsid w:val="00913D0A"/>
    <w:rsid w:val="009148A1"/>
    <w:rsid w:val="00915235"/>
    <w:rsid w:val="009216A7"/>
    <w:rsid w:val="00924972"/>
    <w:rsid w:val="00932E1E"/>
    <w:rsid w:val="009330ED"/>
    <w:rsid w:val="00934068"/>
    <w:rsid w:val="00937854"/>
    <w:rsid w:val="009458E5"/>
    <w:rsid w:val="009469E0"/>
    <w:rsid w:val="00951A9D"/>
    <w:rsid w:val="00951B9B"/>
    <w:rsid w:val="00951C4D"/>
    <w:rsid w:val="00952E03"/>
    <w:rsid w:val="0095454A"/>
    <w:rsid w:val="009547E2"/>
    <w:rsid w:val="00956488"/>
    <w:rsid w:val="00956F5F"/>
    <w:rsid w:val="00956FA2"/>
    <w:rsid w:val="009610DC"/>
    <w:rsid w:val="00963957"/>
    <w:rsid w:val="0097147D"/>
    <w:rsid w:val="0097154F"/>
    <w:rsid w:val="00974D90"/>
    <w:rsid w:val="00975B18"/>
    <w:rsid w:val="0097703D"/>
    <w:rsid w:val="00985996"/>
    <w:rsid w:val="00985AAB"/>
    <w:rsid w:val="00986978"/>
    <w:rsid w:val="009927B0"/>
    <w:rsid w:val="00994F74"/>
    <w:rsid w:val="0099507B"/>
    <w:rsid w:val="0099563A"/>
    <w:rsid w:val="00995B2B"/>
    <w:rsid w:val="009973AF"/>
    <w:rsid w:val="009A06D2"/>
    <w:rsid w:val="009A13F4"/>
    <w:rsid w:val="009A44BE"/>
    <w:rsid w:val="009B029F"/>
    <w:rsid w:val="009B27F8"/>
    <w:rsid w:val="009B30E8"/>
    <w:rsid w:val="009B4A8B"/>
    <w:rsid w:val="009B74FB"/>
    <w:rsid w:val="009C0660"/>
    <w:rsid w:val="009C2573"/>
    <w:rsid w:val="009C3929"/>
    <w:rsid w:val="009C4845"/>
    <w:rsid w:val="009C7314"/>
    <w:rsid w:val="009C733E"/>
    <w:rsid w:val="009D5D9F"/>
    <w:rsid w:val="009E0FA2"/>
    <w:rsid w:val="009E2244"/>
    <w:rsid w:val="009E2BBC"/>
    <w:rsid w:val="009F2B52"/>
    <w:rsid w:val="009F57FD"/>
    <w:rsid w:val="009F7F9F"/>
    <w:rsid w:val="00A01E02"/>
    <w:rsid w:val="00A02E26"/>
    <w:rsid w:val="00A05BA0"/>
    <w:rsid w:val="00A10F9C"/>
    <w:rsid w:val="00A159C9"/>
    <w:rsid w:val="00A167FB"/>
    <w:rsid w:val="00A20D6D"/>
    <w:rsid w:val="00A21B70"/>
    <w:rsid w:val="00A21D02"/>
    <w:rsid w:val="00A21DDB"/>
    <w:rsid w:val="00A23CF6"/>
    <w:rsid w:val="00A24C40"/>
    <w:rsid w:val="00A2690C"/>
    <w:rsid w:val="00A2792F"/>
    <w:rsid w:val="00A30970"/>
    <w:rsid w:val="00A30A72"/>
    <w:rsid w:val="00A315E4"/>
    <w:rsid w:val="00A31D96"/>
    <w:rsid w:val="00A31FEE"/>
    <w:rsid w:val="00A33C55"/>
    <w:rsid w:val="00A35BDF"/>
    <w:rsid w:val="00A42875"/>
    <w:rsid w:val="00A44DC1"/>
    <w:rsid w:val="00A45E0E"/>
    <w:rsid w:val="00A47A98"/>
    <w:rsid w:val="00A47EE7"/>
    <w:rsid w:val="00A50B43"/>
    <w:rsid w:val="00A50F89"/>
    <w:rsid w:val="00A51C87"/>
    <w:rsid w:val="00A52324"/>
    <w:rsid w:val="00A53338"/>
    <w:rsid w:val="00A54197"/>
    <w:rsid w:val="00A60E7E"/>
    <w:rsid w:val="00A61821"/>
    <w:rsid w:val="00A6428F"/>
    <w:rsid w:val="00A65877"/>
    <w:rsid w:val="00A66366"/>
    <w:rsid w:val="00A66BAE"/>
    <w:rsid w:val="00A67CA5"/>
    <w:rsid w:val="00A735D9"/>
    <w:rsid w:val="00A75CCD"/>
    <w:rsid w:val="00A80506"/>
    <w:rsid w:val="00A806AE"/>
    <w:rsid w:val="00A8118F"/>
    <w:rsid w:val="00A8239D"/>
    <w:rsid w:val="00A825D4"/>
    <w:rsid w:val="00A833C2"/>
    <w:rsid w:val="00A83458"/>
    <w:rsid w:val="00A8369C"/>
    <w:rsid w:val="00A86C41"/>
    <w:rsid w:val="00A90148"/>
    <w:rsid w:val="00A917F8"/>
    <w:rsid w:val="00A938FD"/>
    <w:rsid w:val="00AA0D8C"/>
    <w:rsid w:val="00AA25BC"/>
    <w:rsid w:val="00AA3077"/>
    <w:rsid w:val="00AA3459"/>
    <w:rsid w:val="00AA46AF"/>
    <w:rsid w:val="00AA577F"/>
    <w:rsid w:val="00AB1596"/>
    <w:rsid w:val="00AB2C76"/>
    <w:rsid w:val="00AB390F"/>
    <w:rsid w:val="00AB4E9E"/>
    <w:rsid w:val="00AB53BE"/>
    <w:rsid w:val="00AB6C99"/>
    <w:rsid w:val="00AC11D5"/>
    <w:rsid w:val="00AC15E5"/>
    <w:rsid w:val="00AC22BB"/>
    <w:rsid w:val="00AC373A"/>
    <w:rsid w:val="00AC4080"/>
    <w:rsid w:val="00AC5A6D"/>
    <w:rsid w:val="00AC5A73"/>
    <w:rsid w:val="00AC5D73"/>
    <w:rsid w:val="00AC73AD"/>
    <w:rsid w:val="00AD705A"/>
    <w:rsid w:val="00AD78F9"/>
    <w:rsid w:val="00AD7E8C"/>
    <w:rsid w:val="00AE008D"/>
    <w:rsid w:val="00AE30E0"/>
    <w:rsid w:val="00AE346F"/>
    <w:rsid w:val="00AE3AD5"/>
    <w:rsid w:val="00AE6D75"/>
    <w:rsid w:val="00AF2329"/>
    <w:rsid w:val="00AF3660"/>
    <w:rsid w:val="00AF687E"/>
    <w:rsid w:val="00AF735B"/>
    <w:rsid w:val="00AF7A20"/>
    <w:rsid w:val="00B01312"/>
    <w:rsid w:val="00B02D98"/>
    <w:rsid w:val="00B04019"/>
    <w:rsid w:val="00B0603F"/>
    <w:rsid w:val="00B15D2F"/>
    <w:rsid w:val="00B16399"/>
    <w:rsid w:val="00B1760F"/>
    <w:rsid w:val="00B17741"/>
    <w:rsid w:val="00B17FF7"/>
    <w:rsid w:val="00B2586D"/>
    <w:rsid w:val="00B25AE4"/>
    <w:rsid w:val="00B26909"/>
    <w:rsid w:val="00B27664"/>
    <w:rsid w:val="00B31169"/>
    <w:rsid w:val="00B31828"/>
    <w:rsid w:val="00B31E0C"/>
    <w:rsid w:val="00B34575"/>
    <w:rsid w:val="00B42BEE"/>
    <w:rsid w:val="00B452B7"/>
    <w:rsid w:val="00B458E3"/>
    <w:rsid w:val="00B4710D"/>
    <w:rsid w:val="00B518FF"/>
    <w:rsid w:val="00B52F5C"/>
    <w:rsid w:val="00B532BA"/>
    <w:rsid w:val="00B54F17"/>
    <w:rsid w:val="00B561EE"/>
    <w:rsid w:val="00B57D47"/>
    <w:rsid w:val="00B6210E"/>
    <w:rsid w:val="00B632E3"/>
    <w:rsid w:val="00B64DC8"/>
    <w:rsid w:val="00B668B8"/>
    <w:rsid w:val="00B70688"/>
    <w:rsid w:val="00B709F4"/>
    <w:rsid w:val="00B77091"/>
    <w:rsid w:val="00B837C1"/>
    <w:rsid w:val="00B83FFE"/>
    <w:rsid w:val="00B841E0"/>
    <w:rsid w:val="00B860BA"/>
    <w:rsid w:val="00B865F5"/>
    <w:rsid w:val="00B870A0"/>
    <w:rsid w:val="00B910FC"/>
    <w:rsid w:val="00B91DFE"/>
    <w:rsid w:val="00B94CA5"/>
    <w:rsid w:val="00B966E9"/>
    <w:rsid w:val="00B96BC7"/>
    <w:rsid w:val="00B97229"/>
    <w:rsid w:val="00BA08A3"/>
    <w:rsid w:val="00BA5AB3"/>
    <w:rsid w:val="00BB1F8B"/>
    <w:rsid w:val="00BB227E"/>
    <w:rsid w:val="00BB4A02"/>
    <w:rsid w:val="00BB77A6"/>
    <w:rsid w:val="00BB7E3D"/>
    <w:rsid w:val="00BC3542"/>
    <w:rsid w:val="00BC3CD1"/>
    <w:rsid w:val="00BC5EC6"/>
    <w:rsid w:val="00BC5F0E"/>
    <w:rsid w:val="00BD1E1D"/>
    <w:rsid w:val="00BD2211"/>
    <w:rsid w:val="00BD221D"/>
    <w:rsid w:val="00BD3E65"/>
    <w:rsid w:val="00BD4B5C"/>
    <w:rsid w:val="00BD5934"/>
    <w:rsid w:val="00BD5FDC"/>
    <w:rsid w:val="00BD7785"/>
    <w:rsid w:val="00BD7CE5"/>
    <w:rsid w:val="00BE3B2E"/>
    <w:rsid w:val="00BE5BC9"/>
    <w:rsid w:val="00BE65CA"/>
    <w:rsid w:val="00BF1CBD"/>
    <w:rsid w:val="00BF52C4"/>
    <w:rsid w:val="00BF7578"/>
    <w:rsid w:val="00C006BE"/>
    <w:rsid w:val="00C05B8E"/>
    <w:rsid w:val="00C062D8"/>
    <w:rsid w:val="00C1063D"/>
    <w:rsid w:val="00C11303"/>
    <w:rsid w:val="00C158F0"/>
    <w:rsid w:val="00C15E0E"/>
    <w:rsid w:val="00C17165"/>
    <w:rsid w:val="00C22B5E"/>
    <w:rsid w:val="00C23F47"/>
    <w:rsid w:val="00C23FB5"/>
    <w:rsid w:val="00C24139"/>
    <w:rsid w:val="00C24A1A"/>
    <w:rsid w:val="00C331BB"/>
    <w:rsid w:val="00C33835"/>
    <w:rsid w:val="00C41652"/>
    <w:rsid w:val="00C41A08"/>
    <w:rsid w:val="00C422B9"/>
    <w:rsid w:val="00C4241E"/>
    <w:rsid w:val="00C44479"/>
    <w:rsid w:val="00C50EFE"/>
    <w:rsid w:val="00C615A3"/>
    <w:rsid w:val="00C635DA"/>
    <w:rsid w:val="00C639E7"/>
    <w:rsid w:val="00C659BE"/>
    <w:rsid w:val="00C7099D"/>
    <w:rsid w:val="00C80300"/>
    <w:rsid w:val="00C82307"/>
    <w:rsid w:val="00C8613B"/>
    <w:rsid w:val="00C92622"/>
    <w:rsid w:val="00C95D04"/>
    <w:rsid w:val="00C96317"/>
    <w:rsid w:val="00C97228"/>
    <w:rsid w:val="00C9780D"/>
    <w:rsid w:val="00CA02DA"/>
    <w:rsid w:val="00CA1A54"/>
    <w:rsid w:val="00CA4535"/>
    <w:rsid w:val="00CB2AF3"/>
    <w:rsid w:val="00CB688F"/>
    <w:rsid w:val="00CB6F0E"/>
    <w:rsid w:val="00CC46B2"/>
    <w:rsid w:val="00CC5718"/>
    <w:rsid w:val="00CD1352"/>
    <w:rsid w:val="00CD1CBE"/>
    <w:rsid w:val="00CD1E3E"/>
    <w:rsid w:val="00CD32E2"/>
    <w:rsid w:val="00CD4B0B"/>
    <w:rsid w:val="00CD6698"/>
    <w:rsid w:val="00CE0317"/>
    <w:rsid w:val="00CE1E5B"/>
    <w:rsid w:val="00CE6D6E"/>
    <w:rsid w:val="00CE74DF"/>
    <w:rsid w:val="00CF1D92"/>
    <w:rsid w:val="00CF2FD3"/>
    <w:rsid w:val="00CF3847"/>
    <w:rsid w:val="00CF5D91"/>
    <w:rsid w:val="00CF71F8"/>
    <w:rsid w:val="00D0025C"/>
    <w:rsid w:val="00D01A76"/>
    <w:rsid w:val="00D02C36"/>
    <w:rsid w:val="00D046A2"/>
    <w:rsid w:val="00D04EDE"/>
    <w:rsid w:val="00D12172"/>
    <w:rsid w:val="00D12B8C"/>
    <w:rsid w:val="00D12F78"/>
    <w:rsid w:val="00D160A9"/>
    <w:rsid w:val="00D200F6"/>
    <w:rsid w:val="00D21646"/>
    <w:rsid w:val="00D228EB"/>
    <w:rsid w:val="00D24467"/>
    <w:rsid w:val="00D30B7F"/>
    <w:rsid w:val="00D32FBA"/>
    <w:rsid w:val="00D36A3A"/>
    <w:rsid w:val="00D454F2"/>
    <w:rsid w:val="00D45B06"/>
    <w:rsid w:val="00D47CE9"/>
    <w:rsid w:val="00D52995"/>
    <w:rsid w:val="00D53211"/>
    <w:rsid w:val="00D577AC"/>
    <w:rsid w:val="00D6225D"/>
    <w:rsid w:val="00D6482B"/>
    <w:rsid w:val="00D6651F"/>
    <w:rsid w:val="00D67698"/>
    <w:rsid w:val="00D72ADE"/>
    <w:rsid w:val="00D74003"/>
    <w:rsid w:val="00D7404C"/>
    <w:rsid w:val="00D75233"/>
    <w:rsid w:val="00D76FE9"/>
    <w:rsid w:val="00D77199"/>
    <w:rsid w:val="00D7728F"/>
    <w:rsid w:val="00D77696"/>
    <w:rsid w:val="00D809AA"/>
    <w:rsid w:val="00D81386"/>
    <w:rsid w:val="00D81CC4"/>
    <w:rsid w:val="00D943AF"/>
    <w:rsid w:val="00D9765E"/>
    <w:rsid w:val="00DA077B"/>
    <w:rsid w:val="00DA108F"/>
    <w:rsid w:val="00DA1D4D"/>
    <w:rsid w:val="00DA4591"/>
    <w:rsid w:val="00DA627C"/>
    <w:rsid w:val="00DA6430"/>
    <w:rsid w:val="00DA6785"/>
    <w:rsid w:val="00DB0939"/>
    <w:rsid w:val="00DB21F1"/>
    <w:rsid w:val="00DB63DB"/>
    <w:rsid w:val="00DB7824"/>
    <w:rsid w:val="00DC308E"/>
    <w:rsid w:val="00DC7303"/>
    <w:rsid w:val="00DC7F73"/>
    <w:rsid w:val="00DD3B9B"/>
    <w:rsid w:val="00DE058D"/>
    <w:rsid w:val="00DE191A"/>
    <w:rsid w:val="00DE3123"/>
    <w:rsid w:val="00DE339F"/>
    <w:rsid w:val="00DE4358"/>
    <w:rsid w:val="00DE6E5B"/>
    <w:rsid w:val="00DF1535"/>
    <w:rsid w:val="00DF49EE"/>
    <w:rsid w:val="00DF53F5"/>
    <w:rsid w:val="00DF61FD"/>
    <w:rsid w:val="00DF6D25"/>
    <w:rsid w:val="00E03C6D"/>
    <w:rsid w:val="00E10AE6"/>
    <w:rsid w:val="00E11EE3"/>
    <w:rsid w:val="00E135F9"/>
    <w:rsid w:val="00E14347"/>
    <w:rsid w:val="00E14349"/>
    <w:rsid w:val="00E20C28"/>
    <w:rsid w:val="00E22A77"/>
    <w:rsid w:val="00E22E84"/>
    <w:rsid w:val="00E24B18"/>
    <w:rsid w:val="00E3016C"/>
    <w:rsid w:val="00E348BC"/>
    <w:rsid w:val="00E4318F"/>
    <w:rsid w:val="00E4392E"/>
    <w:rsid w:val="00E45232"/>
    <w:rsid w:val="00E45790"/>
    <w:rsid w:val="00E4688B"/>
    <w:rsid w:val="00E47D6C"/>
    <w:rsid w:val="00E5249A"/>
    <w:rsid w:val="00E54395"/>
    <w:rsid w:val="00E54741"/>
    <w:rsid w:val="00E568E5"/>
    <w:rsid w:val="00E61A56"/>
    <w:rsid w:val="00E62DD4"/>
    <w:rsid w:val="00E6453F"/>
    <w:rsid w:val="00E659EF"/>
    <w:rsid w:val="00E70CBD"/>
    <w:rsid w:val="00E717E8"/>
    <w:rsid w:val="00E73D81"/>
    <w:rsid w:val="00E754F4"/>
    <w:rsid w:val="00E805BB"/>
    <w:rsid w:val="00E80E6E"/>
    <w:rsid w:val="00E82790"/>
    <w:rsid w:val="00E85E68"/>
    <w:rsid w:val="00E915C6"/>
    <w:rsid w:val="00E95C30"/>
    <w:rsid w:val="00EA0563"/>
    <w:rsid w:val="00EA2D3D"/>
    <w:rsid w:val="00EA5B84"/>
    <w:rsid w:val="00EA6125"/>
    <w:rsid w:val="00EA752D"/>
    <w:rsid w:val="00EB20F9"/>
    <w:rsid w:val="00EB24EB"/>
    <w:rsid w:val="00EC7235"/>
    <w:rsid w:val="00ED06CC"/>
    <w:rsid w:val="00ED19D5"/>
    <w:rsid w:val="00ED2C8E"/>
    <w:rsid w:val="00ED2DE5"/>
    <w:rsid w:val="00ED379E"/>
    <w:rsid w:val="00ED7680"/>
    <w:rsid w:val="00EE0424"/>
    <w:rsid w:val="00EE0D47"/>
    <w:rsid w:val="00EE5358"/>
    <w:rsid w:val="00EF14B8"/>
    <w:rsid w:val="00EF28C3"/>
    <w:rsid w:val="00EF71E9"/>
    <w:rsid w:val="00F006D2"/>
    <w:rsid w:val="00F00BD1"/>
    <w:rsid w:val="00F01DF1"/>
    <w:rsid w:val="00F01FD9"/>
    <w:rsid w:val="00F049E6"/>
    <w:rsid w:val="00F04B07"/>
    <w:rsid w:val="00F05BA8"/>
    <w:rsid w:val="00F10190"/>
    <w:rsid w:val="00F11D86"/>
    <w:rsid w:val="00F12E79"/>
    <w:rsid w:val="00F16165"/>
    <w:rsid w:val="00F16853"/>
    <w:rsid w:val="00F16F13"/>
    <w:rsid w:val="00F23E9A"/>
    <w:rsid w:val="00F242D9"/>
    <w:rsid w:val="00F274AB"/>
    <w:rsid w:val="00F3531C"/>
    <w:rsid w:val="00F3605B"/>
    <w:rsid w:val="00F364AA"/>
    <w:rsid w:val="00F36CF0"/>
    <w:rsid w:val="00F3715D"/>
    <w:rsid w:val="00F42010"/>
    <w:rsid w:val="00F4226F"/>
    <w:rsid w:val="00F42CE0"/>
    <w:rsid w:val="00F44B62"/>
    <w:rsid w:val="00F5072C"/>
    <w:rsid w:val="00F50C72"/>
    <w:rsid w:val="00F51CBF"/>
    <w:rsid w:val="00F5270E"/>
    <w:rsid w:val="00F5411D"/>
    <w:rsid w:val="00F5604A"/>
    <w:rsid w:val="00F563D9"/>
    <w:rsid w:val="00F56D2B"/>
    <w:rsid w:val="00F57D2D"/>
    <w:rsid w:val="00F62A49"/>
    <w:rsid w:val="00F640C1"/>
    <w:rsid w:val="00F64F0D"/>
    <w:rsid w:val="00F7026A"/>
    <w:rsid w:val="00F71826"/>
    <w:rsid w:val="00F718F3"/>
    <w:rsid w:val="00F72B45"/>
    <w:rsid w:val="00F73B00"/>
    <w:rsid w:val="00F8088E"/>
    <w:rsid w:val="00F827F1"/>
    <w:rsid w:val="00F84737"/>
    <w:rsid w:val="00F85387"/>
    <w:rsid w:val="00F87B69"/>
    <w:rsid w:val="00F90C95"/>
    <w:rsid w:val="00F90CDA"/>
    <w:rsid w:val="00F9103E"/>
    <w:rsid w:val="00F92DA3"/>
    <w:rsid w:val="00F95923"/>
    <w:rsid w:val="00F96A39"/>
    <w:rsid w:val="00F97463"/>
    <w:rsid w:val="00FA3BBB"/>
    <w:rsid w:val="00FA4DC6"/>
    <w:rsid w:val="00FA4E34"/>
    <w:rsid w:val="00FA5D99"/>
    <w:rsid w:val="00FB030E"/>
    <w:rsid w:val="00FB103B"/>
    <w:rsid w:val="00FB571F"/>
    <w:rsid w:val="00FB6D8E"/>
    <w:rsid w:val="00FB6F09"/>
    <w:rsid w:val="00FC3AA9"/>
    <w:rsid w:val="00FC42BA"/>
    <w:rsid w:val="00FC6166"/>
    <w:rsid w:val="00FD08C1"/>
    <w:rsid w:val="00FD4390"/>
    <w:rsid w:val="00FD7A7A"/>
    <w:rsid w:val="00FE10C1"/>
    <w:rsid w:val="00FE190E"/>
    <w:rsid w:val="00FE20A9"/>
    <w:rsid w:val="00FE41AD"/>
    <w:rsid w:val="00FE48A9"/>
    <w:rsid w:val="00FE4AF1"/>
    <w:rsid w:val="00FE4DC6"/>
    <w:rsid w:val="00FE5E2B"/>
    <w:rsid w:val="00FE79E3"/>
    <w:rsid w:val="00FF08B7"/>
    <w:rsid w:val="00FF12B8"/>
    <w:rsid w:val="00FF14C2"/>
    <w:rsid w:val="00FF3358"/>
    <w:rsid w:val="00FF521D"/>
    <w:rsid w:val="00FF6171"/>
    <w:rsid w:val="00FF65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0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422957"/>
    <w:pPr>
      <w:keepNext/>
      <w:keepLines/>
      <w:spacing w:before="280" w:after="80"/>
    </w:pPr>
    <w:rPr>
      <w:rFonts w:cs="Calibri Light"/>
      <w:b/>
      <w:color w:val="000000"/>
      <w:sz w:val="20"/>
      <w:szCs w:val="18"/>
      <w14:textFill>
        <w14:solidFill>
          <w14:srgbClr w14:val="000000">
            <w14:lumMod w14:val="50000"/>
          </w14:srgbClr>
        </w14:solidFill>
      </w14:textFill>
    </w:rPr>
  </w:style>
  <w:style w:type="character" w:customStyle="1" w:styleId="CaptionChar">
    <w:name w:val="Caption Char"/>
    <w:aliases w:val="eTRM Caption Char"/>
    <w:link w:val="Caption"/>
    <w:locked/>
    <w:rsid w:val="00422957"/>
    <w:rPr>
      <w:rFonts w:ascii="Calibri Light" w:hAnsi="Calibri Light" w:cs="Calibri Light"/>
      <w:b/>
      <w:color w:val="000000"/>
      <w:sz w:val="20"/>
      <w:szCs w:val="18"/>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iPriority w:val="99"/>
    <w:unhideWhenUsed/>
    <w:qFormat/>
    <w:rsid w:val="005E25DC"/>
    <w:rPr>
      <w:sz w:val="18"/>
    </w:rPr>
  </w:style>
  <w:style w:type="character" w:customStyle="1" w:styleId="FootnoteTextChar">
    <w:name w:val="Footnote Text Char"/>
    <w:aliases w:val="EMI Footnote Text Char"/>
    <w:basedOn w:val="DefaultParagraphFont"/>
    <w:link w:val="FootnoteText"/>
    <w:uiPriority w:val="99"/>
    <w:rsid w:val="005E25DC"/>
    <w:rPr>
      <w:sz w:val="18"/>
    </w:rPr>
  </w:style>
  <w:style w:type="character" w:styleId="FootnoteReference">
    <w:name w:val="footnote reference"/>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Calibri Light"/>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FF14C2"/>
    <w:pPr>
      <w:numPr>
        <w:numId w:val="23"/>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7159F3"/>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7159F3"/>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aliases w:val="Table Contemporary Black Header"/>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70408B"/>
    <w:pPr>
      <w:keepNext/>
      <w:keepLines/>
      <w:spacing w:line="360" w:lineRule="exact"/>
      <w:jc w:val="center"/>
      <w:outlineLvl w:val="1"/>
    </w:pPr>
    <w:rPr>
      <w:rFonts w:eastAsiaTheme="majorEastAsia" w:cstheme="majorBidi"/>
      <w:caps/>
      <w:color w:val="FFFFFF" w:themeColor="background1"/>
      <w:spacing w:val="60"/>
      <w:sz w:val="36"/>
      <w:szCs w:val="26"/>
    </w:rPr>
  </w:style>
  <w:style w:type="character" w:customStyle="1" w:styleId="eTRMHeading2Char">
    <w:name w:val="eTRM Heading 2 Char"/>
    <w:basedOn w:val="DefaultParagraphFont"/>
    <w:link w:val="eTRMHeading2"/>
    <w:rsid w:val="0070408B"/>
    <w:rPr>
      <w:rFonts w:ascii="Calibri Light" w:eastAsiaTheme="majorEastAsia" w:hAnsi="Calibri Light" w:cstheme="majorBidi"/>
      <w:caps/>
      <w:color w:val="FFFFFF" w:themeColor="background1"/>
      <w:spacing w:val="60"/>
      <w:sz w:val="36"/>
      <w:szCs w:val="26"/>
    </w:rPr>
  </w:style>
  <w:style w:type="paragraph" w:customStyle="1" w:styleId="eTRMHeading3">
    <w:name w:val="eTRM Heading 3"/>
    <w:basedOn w:val="Heading3"/>
    <w:link w:val="eTRMHeading3Char"/>
    <w:autoRedefine/>
    <w:qFormat/>
    <w:rsid w:val="00142FC9"/>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142FC9"/>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paragraph" w:customStyle="1" w:styleId="reminders">
    <w:name w:val="reminders"/>
    <w:basedOn w:val="Normal"/>
    <w:rsid w:val="00D12F78"/>
    <w:pPr>
      <w:spacing w:before="100" w:beforeAutospacing="1" w:after="100" w:afterAutospacing="1" w:line="240" w:lineRule="auto"/>
    </w:pPr>
    <w:rPr>
      <w:rFonts w:ascii="Times New Roman" w:hAnsi="Times New Roman" w:cs="Times New Roman"/>
      <w:sz w:val="24"/>
    </w:rPr>
  </w:style>
  <w:style w:type="paragraph" w:customStyle="1" w:styleId="Reminders0">
    <w:name w:val="Reminders"/>
    <w:basedOn w:val="Normal"/>
    <w:link w:val="RemindersChar"/>
    <w:rsid w:val="00536A59"/>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0"/>
    <w:rsid w:val="00536A59"/>
    <w:rPr>
      <w:rFonts w:ascii="Trebuchet MS" w:eastAsia="Times New Roman" w:hAnsi="Trebuchet MS" w:cs="Times New Roman"/>
      <w:i/>
      <w:color w:val="FF0000"/>
      <w:sz w:val="22"/>
    </w:rPr>
  </w:style>
  <w:style w:type="table" w:customStyle="1" w:styleId="TableGrid1">
    <w:name w:val="Table Grid1"/>
    <w:basedOn w:val="TableNormal"/>
    <w:next w:val="TableGrid"/>
    <w:rsid w:val="00536A59"/>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870DB"/>
    <w:rPr>
      <w:sz w:val="18"/>
      <w:szCs w:val="18"/>
    </w:rPr>
  </w:style>
  <w:style w:type="paragraph" w:styleId="CommentText">
    <w:name w:val="annotation text"/>
    <w:basedOn w:val="Normal"/>
    <w:link w:val="CommentTextChar"/>
    <w:uiPriority w:val="99"/>
    <w:unhideWhenUsed/>
    <w:rsid w:val="001870DB"/>
    <w:pPr>
      <w:spacing w:line="240" w:lineRule="auto"/>
    </w:pPr>
    <w:rPr>
      <w:sz w:val="24"/>
    </w:rPr>
  </w:style>
  <w:style w:type="character" w:customStyle="1" w:styleId="CommentTextChar">
    <w:name w:val="Comment Text Char"/>
    <w:basedOn w:val="DefaultParagraphFont"/>
    <w:link w:val="CommentText"/>
    <w:uiPriority w:val="99"/>
    <w:rsid w:val="001870DB"/>
    <w:rPr>
      <w:rFonts w:ascii="Calibri Light" w:hAnsi="Calibri Light"/>
    </w:rPr>
  </w:style>
  <w:style w:type="paragraph" w:styleId="CommentSubject">
    <w:name w:val="annotation subject"/>
    <w:basedOn w:val="CommentText"/>
    <w:next w:val="CommentText"/>
    <w:link w:val="CommentSubjectChar"/>
    <w:uiPriority w:val="99"/>
    <w:semiHidden/>
    <w:unhideWhenUsed/>
    <w:rsid w:val="001870DB"/>
    <w:rPr>
      <w:b/>
      <w:bCs/>
      <w:sz w:val="20"/>
      <w:szCs w:val="20"/>
    </w:rPr>
  </w:style>
  <w:style w:type="character" w:customStyle="1" w:styleId="CommentSubjectChar">
    <w:name w:val="Comment Subject Char"/>
    <w:basedOn w:val="CommentTextChar"/>
    <w:link w:val="CommentSubject"/>
    <w:uiPriority w:val="99"/>
    <w:semiHidden/>
    <w:rsid w:val="001870DB"/>
    <w:rPr>
      <w:rFonts w:ascii="Calibri Light" w:hAnsi="Calibri Light"/>
      <w:b/>
      <w:bCs/>
      <w:sz w:val="20"/>
      <w:szCs w:val="20"/>
    </w:rPr>
  </w:style>
  <w:style w:type="paragraph" w:styleId="BalloonText">
    <w:name w:val="Balloon Text"/>
    <w:basedOn w:val="Normal"/>
    <w:link w:val="BalloonTextChar"/>
    <w:uiPriority w:val="99"/>
    <w:semiHidden/>
    <w:unhideWhenUsed/>
    <w:rsid w:val="001870DB"/>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870DB"/>
    <w:rPr>
      <w:rFonts w:ascii="Times New Roman" w:hAnsi="Times New Roman" w:cs="Times New Roman"/>
      <w:sz w:val="18"/>
      <w:szCs w:val="18"/>
    </w:rPr>
  </w:style>
  <w:style w:type="paragraph" w:customStyle="1" w:styleId="p1">
    <w:name w:val="p1"/>
    <w:basedOn w:val="Normal"/>
    <w:rsid w:val="00844429"/>
    <w:pPr>
      <w:spacing w:before="0" w:after="0" w:line="240" w:lineRule="auto"/>
    </w:pPr>
    <w:rPr>
      <w:rFonts w:ascii="Helvetica" w:hAnsi="Helvetica" w:cs="Times New Roman"/>
      <w:color w:val="936C00"/>
      <w:sz w:val="18"/>
      <w:szCs w:val="18"/>
    </w:rPr>
  </w:style>
  <w:style w:type="table" w:styleId="MediumList1">
    <w:name w:val="Medium List 1"/>
    <w:basedOn w:val="TableNormal"/>
    <w:uiPriority w:val="65"/>
    <w:rsid w:val="00251BFB"/>
    <w:rPr>
      <w:rFonts w:eastAsiaTheme="minorHAnsi"/>
      <w:color w:val="191919" w:themeColor="text1"/>
      <w:sz w:val="22"/>
      <w:szCs w:val="22"/>
    </w:rPr>
    <w:tblPr>
      <w:tblStyleRowBandSize w:val="1"/>
      <w:tblStyleColBandSize w:val="1"/>
      <w:tblBorders>
        <w:top w:val="single" w:sz="8" w:space="0" w:color="191919" w:themeColor="text1"/>
        <w:bottom w:val="single" w:sz="8" w:space="0" w:color="191919" w:themeColor="text1"/>
      </w:tblBorders>
    </w:tblPr>
    <w:tblStylePr w:type="firstRow">
      <w:rPr>
        <w:rFonts w:asciiTheme="majorHAnsi" w:eastAsiaTheme="majorEastAsia" w:hAnsiTheme="majorHAnsi" w:cstheme="majorBidi"/>
      </w:rPr>
      <w:tblPr/>
      <w:tcPr>
        <w:tcBorders>
          <w:top w:val="nil"/>
          <w:bottom w:val="single" w:sz="8" w:space="0" w:color="191919" w:themeColor="text1"/>
        </w:tcBorders>
      </w:tcPr>
    </w:tblStylePr>
    <w:tblStylePr w:type="lastRow">
      <w:rPr>
        <w:b/>
        <w:bCs/>
        <w:color w:val="ECECEF" w:themeColor="text2"/>
      </w:rPr>
      <w:tblPr/>
      <w:tcPr>
        <w:tcBorders>
          <w:top w:val="single" w:sz="8" w:space="0" w:color="191919" w:themeColor="text1"/>
          <w:bottom w:val="single" w:sz="8" w:space="0" w:color="191919" w:themeColor="text1"/>
        </w:tcBorders>
      </w:tcPr>
    </w:tblStylePr>
    <w:tblStylePr w:type="firstCol">
      <w:rPr>
        <w:b/>
        <w:bCs/>
      </w:rPr>
    </w:tblStylePr>
    <w:tblStylePr w:type="lastCol">
      <w:rPr>
        <w:b/>
        <w:bCs/>
      </w:rPr>
      <w:tblPr/>
      <w:tcPr>
        <w:tcBorders>
          <w:top w:val="single" w:sz="8" w:space="0" w:color="191919" w:themeColor="text1"/>
          <w:bottom w:val="single" w:sz="8" w:space="0" w:color="191919" w:themeColor="text1"/>
        </w:tcBorders>
      </w:tcPr>
    </w:tblStylePr>
    <w:tblStylePr w:type="band1Vert">
      <w:tblPr/>
      <w:tcPr>
        <w:shd w:val="clear" w:color="auto" w:fill="C6C6C6" w:themeFill="text1" w:themeFillTint="3F"/>
      </w:tcPr>
    </w:tblStylePr>
    <w:tblStylePr w:type="band1Horz">
      <w:tblPr/>
      <w:tcPr>
        <w:shd w:val="clear" w:color="auto" w:fill="C6C6C6" w:themeFill="text1" w:themeFillTint="3F"/>
      </w:tcPr>
    </w:tblStylePr>
  </w:style>
  <w:style w:type="character" w:styleId="UnresolvedMention">
    <w:name w:val="Unresolved Mention"/>
    <w:basedOn w:val="DefaultParagraphFont"/>
    <w:uiPriority w:val="99"/>
    <w:rsid w:val="00BD4B5C"/>
    <w:rPr>
      <w:color w:val="808080"/>
      <w:shd w:val="clear" w:color="auto" w:fill="E6E6E6"/>
    </w:rPr>
  </w:style>
  <w:style w:type="paragraph" w:customStyle="1" w:styleId="Normal1">
    <w:name w:val="Normal1"/>
    <w:rsid w:val="00CE74DF"/>
    <w:rPr>
      <w:rFonts w:ascii="Calibri" w:eastAsia="Calibri" w:hAnsi="Calibri" w:cs="Calibri"/>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07677">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48772">
      <w:bodyDiv w:val="1"/>
      <w:marLeft w:val="0"/>
      <w:marRight w:val="0"/>
      <w:marTop w:val="0"/>
      <w:marBottom w:val="0"/>
      <w:divBdr>
        <w:top w:val="none" w:sz="0" w:space="0" w:color="auto"/>
        <w:left w:val="none" w:sz="0" w:space="0" w:color="auto"/>
        <w:bottom w:val="none" w:sz="0" w:space="0" w:color="auto"/>
        <w:right w:val="none" w:sz="0" w:space="0" w:color="auto"/>
      </w:divBdr>
    </w:div>
    <w:div w:id="332534727">
      <w:bodyDiv w:val="1"/>
      <w:marLeft w:val="0"/>
      <w:marRight w:val="0"/>
      <w:marTop w:val="0"/>
      <w:marBottom w:val="0"/>
      <w:divBdr>
        <w:top w:val="none" w:sz="0" w:space="0" w:color="auto"/>
        <w:left w:val="none" w:sz="0" w:space="0" w:color="auto"/>
        <w:bottom w:val="none" w:sz="0" w:space="0" w:color="auto"/>
        <w:right w:val="none" w:sz="0" w:space="0" w:color="auto"/>
      </w:divBdr>
    </w:div>
    <w:div w:id="756558895">
      <w:bodyDiv w:val="1"/>
      <w:marLeft w:val="0"/>
      <w:marRight w:val="0"/>
      <w:marTop w:val="0"/>
      <w:marBottom w:val="0"/>
      <w:divBdr>
        <w:top w:val="none" w:sz="0" w:space="0" w:color="auto"/>
        <w:left w:val="none" w:sz="0" w:space="0" w:color="auto"/>
        <w:bottom w:val="none" w:sz="0" w:space="0" w:color="auto"/>
        <w:right w:val="none" w:sz="0" w:space="0" w:color="auto"/>
      </w:divBdr>
    </w:div>
    <w:div w:id="811560166">
      <w:bodyDiv w:val="1"/>
      <w:marLeft w:val="0"/>
      <w:marRight w:val="0"/>
      <w:marTop w:val="0"/>
      <w:marBottom w:val="0"/>
      <w:divBdr>
        <w:top w:val="none" w:sz="0" w:space="0" w:color="auto"/>
        <w:left w:val="none" w:sz="0" w:space="0" w:color="auto"/>
        <w:bottom w:val="none" w:sz="0" w:space="0" w:color="auto"/>
        <w:right w:val="none" w:sz="0" w:space="0" w:color="auto"/>
      </w:divBdr>
    </w:div>
    <w:div w:id="83507311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114622">
      <w:bodyDiv w:val="1"/>
      <w:marLeft w:val="0"/>
      <w:marRight w:val="0"/>
      <w:marTop w:val="0"/>
      <w:marBottom w:val="0"/>
      <w:divBdr>
        <w:top w:val="none" w:sz="0" w:space="0" w:color="auto"/>
        <w:left w:val="none" w:sz="0" w:space="0" w:color="auto"/>
        <w:bottom w:val="none" w:sz="0" w:space="0" w:color="auto"/>
        <w:right w:val="none" w:sz="0" w:space="0" w:color="auto"/>
      </w:divBdr>
      <w:divsChild>
        <w:div w:id="442775454">
          <w:marLeft w:val="0"/>
          <w:marRight w:val="0"/>
          <w:marTop w:val="0"/>
          <w:marBottom w:val="0"/>
          <w:divBdr>
            <w:top w:val="none" w:sz="0" w:space="0" w:color="auto"/>
            <w:left w:val="none" w:sz="0" w:space="0" w:color="auto"/>
            <w:bottom w:val="none" w:sz="0" w:space="0" w:color="auto"/>
            <w:right w:val="none" w:sz="0" w:space="0" w:color="auto"/>
          </w:divBdr>
        </w:div>
        <w:div w:id="1193835314">
          <w:marLeft w:val="0"/>
          <w:marRight w:val="0"/>
          <w:marTop w:val="0"/>
          <w:marBottom w:val="0"/>
          <w:divBdr>
            <w:top w:val="none" w:sz="0" w:space="0" w:color="auto"/>
            <w:left w:val="none" w:sz="0" w:space="0" w:color="auto"/>
            <w:bottom w:val="none" w:sz="0" w:space="0" w:color="auto"/>
            <w:right w:val="none" w:sz="0" w:space="0" w:color="auto"/>
          </w:divBdr>
        </w:div>
      </w:divsChild>
    </w:div>
    <w:div w:id="1564213528">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750810179">
      <w:bodyDiv w:val="1"/>
      <w:marLeft w:val="0"/>
      <w:marRight w:val="0"/>
      <w:marTop w:val="0"/>
      <w:marBottom w:val="0"/>
      <w:divBdr>
        <w:top w:val="none" w:sz="0" w:space="0" w:color="auto"/>
        <w:left w:val="none" w:sz="0" w:space="0" w:color="auto"/>
        <w:bottom w:val="none" w:sz="0" w:space="0" w:color="auto"/>
        <w:right w:val="none" w:sz="0" w:space="0" w:color="auto"/>
      </w:divBdr>
    </w:div>
    <w:div w:id="19354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nam01.safelinks.protection.outlook.com/?url=https%3A%2F%2Fwww.regulations.gov%2Fdocument%3FD%3DEERE-2014-BT-STD-0005-0054&amp;data=02%7C01%7CLCasco%40trccompanies.com%7C8475fd9c144449ca616708d7d73b765b%7C543eaf7b7e0d4076a34d1fc8cc20e5bb%7C0%7C1%7C637214522725522978&amp;sdata=YhoSeinHwvK9qMAa5pGXLYtsd2nmGAWRDet61DhN4U8%3D&amp;reserved=0" TargetMode="External"/><Relationship Id="rId2" Type="http://schemas.openxmlformats.org/officeDocument/2006/relationships/hyperlink" Target="https://www.regulations.gov/document?D=EERE-2006-STD-0127-0122" TargetMode="External"/><Relationship Id="rId1" Type="http://schemas.openxmlformats.org/officeDocument/2006/relationships/hyperlink" Target="https://www.geappliances.com/ge/range-stove/range-cleaning-options.htm" TargetMode="External"/><Relationship Id="rId6" Type="http://schemas.openxmlformats.org/officeDocument/2006/relationships/hyperlink" Target="https://www.regulations.gov/document?D=EERE-2014-BT-STD-0005-0049" TargetMode="External"/><Relationship Id="rId5" Type="http://schemas.openxmlformats.org/officeDocument/2006/relationships/hyperlink" Target="https://nam01.safelinks.protection.outlook.com/?url=https%3A%2F%2Fwww.regulations.gov%2Fdocument%3FD%3DEERE-2014-BT-STD-0005-0054&amp;data=02%7C01%7CLCasco%40trccompanies.com%7C8475fd9c144449ca616708d7d73b765b%7C543eaf7b7e0d4076a34d1fc8cc20e5bb%7C0%7C1%7C637214522725522978&amp;sdata=YhoSeinHwvK9qMAa5pGXLYtsd2nmGAWRDet61DhN4U8%3D&amp;reserved=0" TargetMode="External"/><Relationship Id="rId4" Type="http://schemas.openxmlformats.org/officeDocument/2006/relationships/hyperlink" Target="https://www.regulations.gov/document?D=EERE-2014-BT-STD-0005-004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AC27B3470EAB46A329FD92A11ACBD1" ma:contentTypeVersion="13" ma:contentTypeDescription="Create a new document." ma:contentTypeScope="" ma:versionID="516ccbc37f03e723052be7a8c7c63dd9">
  <xsd:schema xmlns:xsd="http://www.w3.org/2001/XMLSchema" xmlns:xs="http://www.w3.org/2001/XMLSchema" xmlns:p="http://schemas.microsoft.com/office/2006/metadata/properties" xmlns:ns3="0bc2e7ab-a9ef-4507-aecb-8204a3dc15b0" xmlns:ns4="974c324c-599a-433a-b66e-41663df5c93f" targetNamespace="http://schemas.microsoft.com/office/2006/metadata/properties" ma:root="true" ma:fieldsID="4c9ca2bf1c433fa93e8de51b6638498a" ns3:_="" ns4:_="">
    <xsd:import namespace="0bc2e7ab-a9ef-4507-aecb-8204a3dc15b0"/>
    <xsd:import namespace="974c324c-599a-433a-b66e-41663df5c93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c2e7ab-a9ef-4507-aecb-8204a3dc15b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4c324c-599a-433a-b66e-41663df5c93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76481-5A9A-4513-AE47-4DD21408E0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c2e7ab-a9ef-4507-aecb-8204a3dc15b0"/>
    <ds:schemaRef ds:uri="974c324c-599a-433a-b66e-41663df5c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25D9CD-D369-4826-AF49-65BBD6335A9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6E0331-3FD0-46BC-A142-A1CECCF0AA53}">
  <ds:schemaRefs>
    <ds:schemaRef ds:uri="http://schemas.microsoft.com/sharepoint/v3/contenttype/forms"/>
  </ds:schemaRefs>
</ds:datastoreItem>
</file>

<file path=customXml/itemProps4.xml><?xml version="1.0" encoding="utf-8"?>
<ds:datastoreItem xmlns:ds="http://schemas.openxmlformats.org/officeDocument/2006/customXml" ds:itemID="{BFE86EFA-55D4-4602-AACC-F885ABCF2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1</TotalTime>
  <Pages>13</Pages>
  <Words>3076</Words>
  <Characters>17535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20570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Andres Fergadiotti</cp:lastModifiedBy>
  <cp:revision>4</cp:revision>
  <cp:lastPrinted>2018-02-11T02:49:00Z</cp:lastPrinted>
  <dcterms:created xsi:type="dcterms:W3CDTF">2020-04-05T21:16:00Z</dcterms:created>
  <dcterms:modified xsi:type="dcterms:W3CDTF">2020-04-06T16:36:00Z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0x010100B8AC27B3470EAB46A329FD92A11ACBD1</vt:lpwstr>
  </property>
</Properties>
</file>