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2F0A00B7" w:rsidR="00BD221D" w:rsidRPr="000110D9" w:rsidRDefault="00BB3525" w:rsidP="00BD221D">
            <w:pPr>
              <w:pStyle w:val="eTRMHeading1"/>
              <w:jc w:val="center"/>
            </w:pPr>
            <w:r>
              <w:t>Miscellaneous</w:t>
            </w:r>
          </w:p>
          <w:p w14:paraId="00D329C0" w14:textId="77777777" w:rsidR="00BD221D" w:rsidRDefault="00BB3525" w:rsidP="0043320F">
            <w:pPr>
              <w:pStyle w:val="eTRMHeading2"/>
            </w:pPr>
            <w:r>
              <w:t>Water Energy Nexus Measures</w:t>
            </w:r>
          </w:p>
          <w:p w14:paraId="10BE1877" w14:textId="5DA7C404" w:rsidR="0043320F" w:rsidRPr="000110D9" w:rsidRDefault="0043320F" w:rsidP="0043320F">
            <w:pPr>
              <w:pStyle w:val="eTRMHeading2"/>
            </w:pPr>
            <w:r w:rsidRPr="0043320F">
              <w:t>SW</w:t>
            </w:r>
            <w:r w:rsidR="008208F0">
              <w:t>MI001</w:t>
            </w:r>
            <w:r w:rsidRPr="0043320F">
              <w:t>-0</w:t>
            </w:r>
            <w:r w:rsidR="00010A33">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432A9C25" w14:textId="2239C151" w:rsidR="00473F0E"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473F0E">
        <w:rPr>
          <w:noProof/>
        </w:rPr>
        <w:t>Measure Name</w:t>
      </w:r>
      <w:r w:rsidR="00473F0E">
        <w:rPr>
          <w:noProof/>
        </w:rPr>
        <w:tab/>
      </w:r>
      <w:r w:rsidR="00473F0E">
        <w:rPr>
          <w:noProof/>
        </w:rPr>
        <w:fldChar w:fldCharType="begin"/>
      </w:r>
      <w:r w:rsidR="00473F0E">
        <w:rPr>
          <w:noProof/>
        </w:rPr>
        <w:instrText xml:space="preserve"> PAGEREF _Toc42682466 \h </w:instrText>
      </w:r>
      <w:r w:rsidR="00473F0E">
        <w:rPr>
          <w:noProof/>
        </w:rPr>
      </w:r>
      <w:r w:rsidR="00473F0E">
        <w:rPr>
          <w:noProof/>
        </w:rPr>
        <w:fldChar w:fldCharType="separate"/>
      </w:r>
      <w:r w:rsidR="00695DD3">
        <w:rPr>
          <w:noProof/>
        </w:rPr>
        <w:t>2</w:t>
      </w:r>
      <w:r w:rsidR="00473F0E">
        <w:rPr>
          <w:noProof/>
        </w:rPr>
        <w:fldChar w:fldCharType="end"/>
      </w:r>
    </w:p>
    <w:p w14:paraId="54B50B49" w14:textId="25D16AF4" w:rsidR="00473F0E" w:rsidRDefault="00473F0E">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_Toc42682467 \h </w:instrText>
      </w:r>
      <w:r>
        <w:rPr>
          <w:noProof/>
        </w:rPr>
      </w:r>
      <w:r>
        <w:rPr>
          <w:noProof/>
        </w:rPr>
        <w:fldChar w:fldCharType="separate"/>
      </w:r>
      <w:r w:rsidR="00695DD3">
        <w:rPr>
          <w:noProof/>
        </w:rPr>
        <w:t>2</w:t>
      </w:r>
      <w:r>
        <w:rPr>
          <w:noProof/>
        </w:rPr>
        <w:fldChar w:fldCharType="end"/>
      </w:r>
    </w:p>
    <w:p w14:paraId="407ED32D" w14:textId="3094A95D" w:rsidR="00473F0E" w:rsidRDefault="00473F0E">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_Toc42682468 \h </w:instrText>
      </w:r>
      <w:r>
        <w:rPr>
          <w:noProof/>
        </w:rPr>
      </w:r>
      <w:r>
        <w:rPr>
          <w:noProof/>
        </w:rPr>
        <w:fldChar w:fldCharType="separate"/>
      </w:r>
      <w:r w:rsidR="00695DD3">
        <w:rPr>
          <w:noProof/>
        </w:rPr>
        <w:t>2</w:t>
      </w:r>
      <w:r>
        <w:rPr>
          <w:noProof/>
        </w:rPr>
        <w:fldChar w:fldCharType="end"/>
      </w:r>
    </w:p>
    <w:p w14:paraId="5C782F27" w14:textId="669BAB2E" w:rsidR="00473F0E" w:rsidRDefault="00473F0E">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_Toc42682469 \h </w:instrText>
      </w:r>
      <w:r>
        <w:rPr>
          <w:noProof/>
        </w:rPr>
      </w:r>
      <w:r>
        <w:rPr>
          <w:noProof/>
        </w:rPr>
        <w:fldChar w:fldCharType="separate"/>
      </w:r>
      <w:r w:rsidR="00695DD3">
        <w:rPr>
          <w:noProof/>
        </w:rPr>
        <w:t>4</w:t>
      </w:r>
      <w:r>
        <w:rPr>
          <w:noProof/>
        </w:rPr>
        <w:fldChar w:fldCharType="end"/>
      </w:r>
    </w:p>
    <w:p w14:paraId="09B5C1CA" w14:textId="7410E3D6" w:rsidR="00473F0E" w:rsidRDefault="00473F0E">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_Toc42682470 \h </w:instrText>
      </w:r>
      <w:r>
        <w:rPr>
          <w:noProof/>
        </w:rPr>
      </w:r>
      <w:r>
        <w:rPr>
          <w:noProof/>
        </w:rPr>
        <w:fldChar w:fldCharType="separate"/>
      </w:r>
      <w:r w:rsidR="00695DD3">
        <w:rPr>
          <w:noProof/>
        </w:rPr>
        <w:t>5</w:t>
      </w:r>
      <w:r>
        <w:rPr>
          <w:noProof/>
        </w:rPr>
        <w:fldChar w:fldCharType="end"/>
      </w:r>
    </w:p>
    <w:p w14:paraId="1CD814F6" w14:textId="20FAFD25" w:rsidR="00473F0E" w:rsidRDefault="00473F0E">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_Toc42682471 \h </w:instrText>
      </w:r>
      <w:r>
        <w:rPr>
          <w:noProof/>
        </w:rPr>
      </w:r>
      <w:r>
        <w:rPr>
          <w:noProof/>
        </w:rPr>
        <w:fldChar w:fldCharType="separate"/>
      </w:r>
      <w:r w:rsidR="00695DD3">
        <w:rPr>
          <w:noProof/>
        </w:rPr>
        <w:t>5</w:t>
      </w:r>
      <w:r>
        <w:rPr>
          <w:noProof/>
        </w:rPr>
        <w:fldChar w:fldCharType="end"/>
      </w:r>
    </w:p>
    <w:p w14:paraId="28A8EC26" w14:textId="1F1FA308" w:rsidR="00473F0E" w:rsidRDefault="00473F0E">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_Toc42682472 \h </w:instrText>
      </w:r>
      <w:r>
        <w:rPr>
          <w:noProof/>
        </w:rPr>
      </w:r>
      <w:r>
        <w:rPr>
          <w:noProof/>
        </w:rPr>
        <w:fldChar w:fldCharType="separate"/>
      </w:r>
      <w:r w:rsidR="00695DD3">
        <w:rPr>
          <w:noProof/>
        </w:rPr>
        <w:t>5</w:t>
      </w:r>
      <w:r>
        <w:rPr>
          <w:noProof/>
        </w:rPr>
        <w:fldChar w:fldCharType="end"/>
      </w:r>
    </w:p>
    <w:p w14:paraId="73782BEB" w14:textId="690F5809" w:rsidR="00473F0E" w:rsidRDefault="00473F0E">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_Toc42682473 \h </w:instrText>
      </w:r>
      <w:r>
        <w:rPr>
          <w:noProof/>
        </w:rPr>
      </w:r>
      <w:r>
        <w:rPr>
          <w:noProof/>
        </w:rPr>
        <w:fldChar w:fldCharType="separate"/>
      </w:r>
      <w:r w:rsidR="00695DD3">
        <w:rPr>
          <w:noProof/>
        </w:rPr>
        <w:t>5</w:t>
      </w:r>
      <w:r>
        <w:rPr>
          <w:noProof/>
        </w:rPr>
        <w:fldChar w:fldCharType="end"/>
      </w:r>
    </w:p>
    <w:p w14:paraId="6439C676" w14:textId="08A68B1C" w:rsidR="00473F0E" w:rsidRDefault="00473F0E">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_Toc42682474 \h </w:instrText>
      </w:r>
      <w:r>
        <w:rPr>
          <w:noProof/>
        </w:rPr>
      </w:r>
      <w:r>
        <w:rPr>
          <w:noProof/>
        </w:rPr>
        <w:fldChar w:fldCharType="separate"/>
      </w:r>
      <w:r w:rsidR="00695DD3">
        <w:rPr>
          <w:noProof/>
        </w:rPr>
        <w:t>6</w:t>
      </w:r>
      <w:r>
        <w:rPr>
          <w:noProof/>
        </w:rPr>
        <w:fldChar w:fldCharType="end"/>
      </w:r>
    </w:p>
    <w:p w14:paraId="177F92E2" w14:textId="64DFFA8A" w:rsidR="00473F0E" w:rsidRDefault="00473F0E">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_Toc42682475 \h </w:instrText>
      </w:r>
      <w:r>
        <w:rPr>
          <w:noProof/>
        </w:rPr>
      </w:r>
      <w:r>
        <w:rPr>
          <w:noProof/>
        </w:rPr>
        <w:fldChar w:fldCharType="separate"/>
      </w:r>
      <w:r w:rsidR="00695DD3">
        <w:rPr>
          <w:noProof/>
        </w:rPr>
        <w:t>6</w:t>
      </w:r>
      <w:r>
        <w:rPr>
          <w:noProof/>
        </w:rPr>
        <w:fldChar w:fldCharType="end"/>
      </w:r>
    </w:p>
    <w:p w14:paraId="14329ECD" w14:textId="063EF27A" w:rsidR="00473F0E" w:rsidRDefault="00473F0E">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_Toc42682476 \h </w:instrText>
      </w:r>
      <w:r>
        <w:rPr>
          <w:noProof/>
        </w:rPr>
      </w:r>
      <w:r>
        <w:rPr>
          <w:noProof/>
        </w:rPr>
        <w:fldChar w:fldCharType="separate"/>
      </w:r>
      <w:r w:rsidR="00695DD3">
        <w:rPr>
          <w:noProof/>
        </w:rPr>
        <w:t>7</w:t>
      </w:r>
      <w:r>
        <w:rPr>
          <w:noProof/>
        </w:rPr>
        <w:fldChar w:fldCharType="end"/>
      </w:r>
    </w:p>
    <w:p w14:paraId="7502E8E0" w14:textId="7D7C8C80" w:rsidR="00473F0E" w:rsidRDefault="00473F0E">
      <w:pPr>
        <w:pStyle w:val="TOC3"/>
        <w:rPr>
          <w:rFonts w:asciiTheme="minorHAnsi" w:hAnsiTheme="minorHAnsi"/>
          <w:noProof/>
          <w:szCs w:val="22"/>
        </w:rPr>
      </w:pPr>
      <w:r>
        <w:rPr>
          <w:noProof/>
        </w:rPr>
        <w:t>Electric Savings (</w:t>
      </w:r>
      <w:r w:rsidRPr="00E9634F">
        <w:rPr>
          <w:noProof/>
        </w:rPr>
        <w:t>kWh</w:t>
      </w:r>
      <w:r>
        <w:rPr>
          <w:noProof/>
        </w:rPr>
        <w:t>)</w:t>
      </w:r>
      <w:r>
        <w:rPr>
          <w:noProof/>
        </w:rPr>
        <w:tab/>
      </w:r>
      <w:r>
        <w:rPr>
          <w:noProof/>
        </w:rPr>
        <w:fldChar w:fldCharType="begin"/>
      </w:r>
      <w:r>
        <w:rPr>
          <w:noProof/>
        </w:rPr>
        <w:instrText xml:space="preserve"> PAGEREF _Toc42682477 \h </w:instrText>
      </w:r>
      <w:r>
        <w:rPr>
          <w:noProof/>
        </w:rPr>
      </w:r>
      <w:r>
        <w:rPr>
          <w:noProof/>
        </w:rPr>
        <w:fldChar w:fldCharType="separate"/>
      </w:r>
      <w:r w:rsidR="00695DD3">
        <w:rPr>
          <w:noProof/>
        </w:rPr>
        <w:t>7</w:t>
      </w:r>
      <w:r>
        <w:rPr>
          <w:noProof/>
        </w:rPr>
        <w:fldChar w:fldCharType="end"/>
      </w:r>
    </w:p>
    <w:p w14:paraId="0BACC161" w14:textId="2B7925A3" w:rsidR="00473F0E" w:rsidRDefault="00473F0E">
      <w:pPr>
        <w:pStyle w:val="TOC3"/>
        <w:rPr>
          <w:rFonts w:asciiTheme="minorHAnsi" w:hAnsiTheme="minorHAnsi"/>
          <w:noProof/>
          <w:szCs w:val="22"/>
        </w:rPr>
      </w:pPr>
      <w:r>
        <w:rPr>
          <w:noProof/>
        </w:rPr>
        <w:t>Peak Electric Demand Reduction (</w:t>
      </w:r>
      <w:r w:rsidRPr="00E9634F">
        <w:rPr>
          <w:noProof/>
        </w:rPr>
        <w:t>kW</w:t>
      </w:r>
      <w:r>
        <w:rPr>
          <w:noProof/>
        </w:rPr>
        <w:t>)</w:t>
      </w:r>
      <w:r>
        <w:rPr>
          <w:noProof/>
        </w:rPr>
        <w:tab/>
      </w:r>
      <w:r>
        <w:rPr>
          <w:noProof/>
        </w:rPr>
        <w:fldChar w:fldCharType="begin"/>
      </w:r>
      <w:r>
        <w:rPr>
          <w:noProof/>
        </w:rPr>
        <w:instrText xml:space="preserve"> PAGEREF _Toc42682478 \h </w:instrText>
      </w:r>
      <w:r>
        <w:rPr>
          <w:noProof/>
        </w:rPr>
      </w:r>
      <w:r>
        <w:rPr>
          <w:noProof/>
        </w:rPr>
        <w:fldChar w:fldCharType="separate"/>
      </w:r>
      <w:r w:rsidR="00695DD3">
        <w:rPr>
          <w:noProof/>
        </w:rPr>
        <w:t>16</w:t>
      </w:r>
      <w:r>
        <w:rPr>
          <w:noProof/>
        </w:rPr>
        <w:fldChar w:fldCharType="end"/>
      </w:r>
    </w:p>
    <w:p w14:paraId="7D835E35" w14:textId="2D39A6C5" w:rsidR="00473F0E" w:rsidRDefault="00473F0E">
      <w:pPr>
        <w:pStyle w:val="TOC3"/>
        <w:rPr>
          <w:rFonts w:asciiTheme="minorHAnsi" w:hAnsiTheme="minorHAnsi"/>
          <w:noProof/>
          <w:szCs w:val="22"/>
        </w:rPr>
      </w:pPr>
      <w:r>
        <w:rPr>
          <w:noProof/>
        </w:rPr>
        <w:t>Gas Savings (</w:t>
      </w:r>
      <w:r w:rsidRPr="00E9634F">
        <w:rPr>
          <w:noProof/>
        </w:rPr>
        <w:t>Therms</w:t>
      </w:r>
      <w:r>
        <w:rPr>
          <w:noProof/>
        </w:rPr>
        <w:t>)</w:t>
      </w:r>
      <w:r>
        <w:rPr>
          <w:noProof/>
        </w:rPr>
        <w:tab/>
      </w:r>
      <w:r>
        <w:rPr>
          <w:noProof/>
        </w:rPr>
        <w:fldChar w:fldCharType="begin"/>
      </w:r>
      <w:r>
        <w:rPr>
          <w:noProof/>
        </w:rPr>
        <w:instrText xml:space="preserve"> PAGEREF _Toc42682479 \h </w:instrText>
      </w:r>
      <w:r>
        <w:rPr>
          <w:noProof/>
        </w:rPr>
      </w:r>
      <w:r>
        <w:rPr>
          <w:noProof/>
        </w:rPr>
        <w:fldChar w:fldCharType="separate"/>
      </w:r>
      <w:r w:rsidR="00695DD3">
        <w:rPr>
          <w:noProof/>
        </w:rPr>
        <w:t>17</w:t>
      </w:r>
      <w:r>
        <w:rPr>
          <w:noProof/>
        </w:rPr>
        <w:fldChar w:fldCharType="end"/>
      </w:r>
    </w:p>
    <w:p w14:paraId="33C20B65" w14:textId="2B810D97" w:rsidR="00473F0E" w:rsidRDefault="00473F0E">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_Toc42682480 \h </w:instrText>
      </w:r>
      <w:r>
        <w:rPr>
          <w:noProof/>
        </w:rPr>
      </w:r>
      <w:r>
        <w:rPr>
          <w:noProof/>
        </w:rPr>
        <w:fldChar w:fldCharType="separate"/>
      </w:r>
      <w:r w:rsidR="00695DD3">
        <w:rPr>
          <w:noProof/>
        </w:rPr>
        <w:t>17</w:t>
      </w:r>
      <w:r>
        <w:rPr>
          <w:noProof/>
        </w:rPr>
        <w:fldChar w:fldCharType="end"/>
      </w:r>
    </w:p>
    <w:p w14:paraId="363BEA26" w14:textId="5A1387DD" w:rsidR="00473F0E" w:rsidRDefault="00473F0E">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_Toc42682481 \h </w:instrText>
      </w:r>
      <w:r>
        <w:rPr>
          <w:noProof/>
        </w:rPr>
      </w:r>
      <w:r>
        <w:rPr>
          <w:noProof/>
        </w:rPr>
        <w:fldChar w:fldCharType="separate"/>
      </w:r>
      <w:r w:rsidR="00695DD3">
        <w:rPr>
          <w:noProof/>
        </w:rPr>
        <w:t>19</w:t>
      </w:r>
      <w:r>
        <w:rPr>
          <w:noProof/>
        </w:rPr>
        <w:fldChar w:fldCharType="end"/>
      </w:r>
    </w:p>
    <w:p w14:paraId="33928015" w14:textId="2E6EA7F1" w:rsidR="00473F0E" w:rsidRDefault="00473F0E">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_Toc42682482 \h </w:instrText>
      </w:r>
      <w:r>
        <w:rPr>
          <w:noProof/>
        </w:rPr>
      </w:r>
      <w:r>
        <w:rPr>
          <w:noProof/>
        </w:rPr>
        <w:fldChar w:fldCharType="separate"/>
      </w:r>
      <w:r w:rsidR="00695DD3">
        <w:rPr>
          <w:noProof/>
        </w:rPr>
        <w:t>19</w:t>
      </w:r>
      <w:r>
        <w:rPr>
          <w:noProof/>
        </w:rPr>
        <w:fldChar w:fldCharType="end"/>
      </w:r>
    </w:p>
    <w:p w14:paraId="16487C06" w14:textId="7ACDC0C5" w:rsidR="00473F0E" w:rsidRDefault="00473F0E">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_Toc42682483 \h </w:instrText>
      </w:r>
      <w:r>
        <w:rPr>
          <w:noProof/>
        </w:rPr>
      </w:r>
      <w:r>
        <w:rPr>
          <w:noProof/>
        </w:rPr>
        <w:fldChar w:fldCharType="separate"/>
      </w:r>
      <w:r w:rsidR="00695DD3">
        <w:rPr>
          <w:noProof/>
        </w:rPr>
        <w:t>20</w:t>
      </w:r>
      <w:r>
        <w:rPr>
          <w:noProof/>
        </w:rPr>
        <w:fldChar w:fldCharType="end"/>
      </w:r>
    </w:p>
    <w:p w14:paraId="75CAB636" w14:textId="5C7DFEB0" w:rsidR="00473F0E" w:rsidRDefault="00473F0E">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_Toc42682484 \h </w:instrText>
      </w:r>
      <w:r>
        <w:rPr>
          <w:noProof/>
        </w:rPr>
      </w:r>
      <w:r>
        <w:rPr>
          <w:noProof/>
        </w:rPr>
        <w:fldChar w:fldCharType="separate"/>
      </w:r>
      <w:r w:rsidR="00695DD3">
        <w:rPr>
          <w:noProof/>
        </w:rPr>
        <w:t>20</w:t>
      </w:r>
      <w:r>
        <w:rPr>
          <w:noProof/>
        </w:rPr>
        <w:fldChar w:fldCharType="end"/>
      </w:r>
    </w:p>
    <w:p w14:paraId="7CBD331E" w14:textId="7204D36F" w:rsidR="00473F0E" w:rsidRDefault="00473F0E">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_Toc42682485 \h </w:instrText>
      </w:r>
      <w:r>
        <w:rPr>
          <w:noProof/>
        </w:rPr>
      </w:r>
      <w:r>
        <w:rPr>
          <w:noProof/>
        </w:rPr>
        <w:fldChar w:fldCharType="separate"/>
      </w:r>
      <w:r w:rsidR="00695DD3">
        <w:rPr>
          <w:noProof/>
        </w:rPr>
        <w:t>21</w:t>
      </w:r>
      <w:r>
        <w:rPr>
          <w:noProof/>
        </w:rPr>
        <w:fldChar w:fldCharType="end"/>
      </w:r>
    </w:p>
    <w:p w14:paraId="015F0FB2" w14:textId="5C2B811A" w:rsidR="00473F0E" w:rsidRDefault="00473F0E">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_Toc42682486 \h </w:instrText>
      </w:r>
      <w:r>
        <w:rPr>
          <w:noProof/>
        </w:rPr>
      </w:r>
      <w:r>
        <w:rPr>
          <w:noProof/>
        </w:rPr>
        <w:fldChar w:fldCharType="separate"/>
      </w:r>
      <w:r w:rsidR="00695DD3">
        <w:rPr>
          <w:noProof/>
        </w:rPr>
        <w:t>21</w:t>
      </w:r>
      <w:r>
        <w:rPr>
          <w:noProof/>
        </w:rPr>
        <w:fldChar w:fldCharType="end"/>
      </w:r>
    </w:p>
    <w:p w14:paraId="36E9D4A4" w14:textId="2C5BDB1C" w:rsidR="00473F0E" w:rsidRDefault="00473F0E">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_Toc42682487 \h </w:instrText>
      </w:r>
      <w:r>
        <w:rPr>
          <w:noProof/>
        </w:rPr>
      </w:r>
      <w:r>
        <w:rPr>
          <w:noProof/>
        </w:rPr>
        <w:fldChar w:fldCharType="separate"/>
      </w:r>
      <w:r w:rsidR="00695DD3">
        <w:rPr>
          <w:noProof/>
        </w:rPr>
        <w:t>21</w:t>
      </w:r>
      <w:r>
        <w:rPr>
          <w:noProof/>
        </w:rPr>
        <w:fldChar w:fldCharType="end"/>
      </w:r>
    </w:p>
    <w:p w14:paraId="4C194BAF" w14:textId="438F5B2A"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2A0C812C" w14:textId="77777777" w:rsidR="0043320F" w:rsidRPr="007E1F66" w:rsidRDefault="0043320F" w:rsidP="00462BB6">
      <w:pPr>
        <w:pStyle w:val="eTRMHeading3"/>
        <w:spacing w:before="20" w:after="20"/>
      </w:pPr>
      <w:bookmarkStart w:id="0" w:name="_Toc486490839"/>
      <w:bookmarkStart w:id="1" w:name="_Toc486580912"/>
      <w:bookmarkStart w:id="2" w:name="_Toc42682466"/>
      <w:r w:rsidRPr="007E1F66">
        <w:lastRenderedPageBreak/>
        <w:t>Measure Name</w:t>
      </w:r>
      <w:bookmarkEnd w:id="0"/>
      <w:bookmarkEnd w:id="1"/>
      <w:bookmarkEnd w:id="2"/>
    </w:p>
    <w:p w14:paraId="0AAA4997" w14:textId="227F4C29" w:rsidR="0043320F" w:rsidRDefault="00C76E10" w:rsidP="0043320F">
      <w:bookmarkStart w:id="3" w:name="_Toc486490840"/>
      <w:bookmarkStart w:id="4" w:name="_Toc486580913"/>
      <w:r>
        <w:t>Water Energy Nexus Measures</w:t>
      </w:r>
    </w:p>
    <w:p w14:paraId="08997A25" w14:textId="77777777" w:rsidR="00C76E10" w:rsidRDefault="00C76E10" w:rsidP="0043320F"/>
    <w:p w14:paraId="1BDB15CF" w14:textId="6FD2F267" w:rsidR="0043320F" w:rsidRPr="00074E3E" w:rsidRDefault="0043320F" w:rsidP="00462BB6">
      <w:pPr>
        <w:pStyle w:val="eTRMHeading3"/>
        <w:spacing w:before="20" w:after="20"/>
      </w:pPr>
      <w:bookmarkStart w:id="5" w:name="_Toc42682467"/>
      <w:r>
        <w:t>Statewide Measure ID</w:t>
      </w:r>
      <w:bookmarkEnd w:id="3"/>
      <w:bookmarkEnd w:id="4"/>
      <w:bookmarkEnd w:id="5"/>
    </w:p>
    <w:p w14:paraId="7BB80880" w14:textId="13845FDB" w:rsidR="00E14349" w:rsidRDefault="00C76E10" w:rsidP="0043320F">
      <w:r>
        <w:t>SWMI001-0</w:t>
      </w:r>
      <w:r w:rsidR="00010A33">
        <w:t>2</w:t>
      </w:r>
    </w:p>
    <w:p w14:paraId="43354172" w14:textId="77777777" w:rsidR="00C76E10" w:rsidRDefault="00C76E10" w:rsidP="0043320F"/>
    <w:p w14:paraId="0F7CA2E6" w14:textId="77777777" w:rsidR="00E70CBD" w:rsidRPr="00154391" w:rsidRDefault="00E70CBD" w:rsidP="00462BB6">
      <w:pPr>
        <w:pStyle w:val="eTRMHeading3"/>
      </w:pPr>
      <w:bookmarkStart w:id="6" w:name="_Toc486490847"/>
      <w:bookmarkStart w:id="7" w:name="_Toc486580918"/>
      <w:bookmarkStart w:id="8" w:name="_Toc42682468"/>
      <w:r w:rsidRPr="00154391">
        <w:t>Technology Summary</w:t>
      </w:r>
      <w:bookmarkEnd w:id="6"/>
      <w:bookmarkEnd w:id="7"/>
      <w:bookmarkEnd w:id="8"/>
      <w:r w:rsidRPr="00154391">
        <w:t xml:space="preserve"> </w:t>
      </w:r>
    </w:p>
    <w:p w14:paraId="162B9F3F" w14:textId="144F9D95" w:rsidR="00454CB1" w:rsidRDefault="00454CB1" w:rsidP="000143B9">
      <w:r>
        <w:t xml:space="preserve">The purpose of the Water Energy Nexus </w:t>
      </w:r>
      <w:r w:rsidR="00A863AA">
        <w:t xml:space="preserve">(WEN) </w:t>
      </w:r>
      <w:r>
        <w:t xml:space="preserve">Measures is to quantify the embedded energy savings that result from water </w:t>
      </w:r>
      <w:r w:rsidR="000143B9">
        <w:t xml:space="preserve">efficiency measures implemented through the California utility energy efficiency portfolios. </w:t>
      </w:r>
      <w:r w:rsidRPr="000143B9">
        <w:rPr>
          <w:bCs/>
          <w:i/>
        </w:rPr>
        <w:t xml:space="preserve">Embedded </w:t>
      </w:r>
      <w:r w:rsidR="000143B9" w:rsidRPr="000143B9">
        <w:rPr>
          <w:bCs/>
          <w:i/>
        </w:rPr>
        <w:t>e</w:t>
      </w:r>
      <w:r w:rsidRPr="000143B9">
        <w:rPr>
          <w:bCs/>
          <w:i/>
        </w:rPr>
        <w:t>nergy</w:t>
      </w:r>
      <w:r w:rsidRPr="00086AA4">
        <w:rPr>
          <w:b/>
        </w:rPr>
        <w:t xml:space="preserve"> </w:t>
      </w:r>
      <w:r>
        <w:t xml:space="preserve">in water </w:t>
      </w:r>
      <w:r w:rsidR="000143B9">
        <w:t xml:space="preserve">is defined </w:t>
      </w:r>
      <w:r>
        <w:t>as the amount of energy that is used to collect, convey, treat, and distribute a unit of water to end users, and the amount of energy that is used to collect and transport used water for treatment prior to safe discharge of the effluent in accordance with regulatory rules.</w:t>
      </w:r>
      <w:r w:rsidR="000143B9">
        <w:rPr>
          <w:rStyle w:val="FootnoteReference"/>
        </w:rPr>
        <w:footnoteReference w:id="1"/>
      </w:r>
    </w:p>
    <w:p w14:paraId="0C45F049" w14:textId="50A9FC1A" w:rsidR="000143B9" w:rsidRDefault="000143B9" w:rsidP="000143B9">
      <w:r>
        <w:t xml:space="preserve">The embedded energy savings that result from water efficiency measures are not accounted for in the unit energy savings of energy efficiency measures implemented in the California investor-owned utility (IOU) portfolios. The purpose of the WEN Measures is to meet the current California Public Utility Commission (CPUC) requirements to quantify the additional embedded energy savings associated with </w:t>
      </w:r>
      <w:r w:rsidR="000221AC">
        <w:t xml:space="preserve">energy efficiency measures that also achieve </w:t>
      </w:r>
      <w:r>
        <w:t xml:space="preserve">water savings. </w:t>
      </w:r>
    </w:p>
    <w:p w14:paraId="4BBEDB71" w14:textId="0A620CB6" w:rsidR="000143B9" w:rsidRDefault="000143B9" w:rsidP="000143B9">
      <w:pPr>
        <w:pStyle w:val="eTRMHeading4"/>
      </w:pPr>
      <w:r>
        <w:t>Background</w:t>
      </w:r>
    </w:p>
    <w:p w14:paraId="25BA25D1" w14:textId="0F96123F" w:rsidR="008D559D" w:rsidRDefault="008D559D" w:rsidP="00454CB1">
      <w:r>
        <w:t>On January 17, 2014, Governor Brown declared a Drought State of Emergency, commenting that “</w:t>
      </w:r>
      <w:r w:rsidRPr="002635F0">
        <w:t>the magnitude of the severe drought conditions presents threats beyond the control of the services, personnel, equipment and facilities of any single local government</w:t>
      </w:r>
      <w:r>
        <w:t xml:space="preserve">.” In </w:t>
      </w:r>
      <w:r w:rsidR="002B5D8A">
        <w:t xml:space="preserve">May </w:t>
      </w:r>
      <w:r>
        <w:t xml:space="preserve">2016, Governor Brown issued Executive Order B-37-16 directing California to prioritize and take concrete, measurable actions </w:t>
      </w:r>
      <w:r w:rsidR="002B5D8A">
        <w:t xml:space="preserve">through a Water Action Plan </w:t>
      </w:r>
      <w:r>
        <w:t xml:space="preserve">that “Make Conservation a California Way of Life” and “Manage and Prepare for Dry Periods” to improve use of water in </w:t>
      </w:r>
      <w:r w:rsidR="00A863AA">
        <w:t>the</w:t>
      </w:r>
      <w:r>
        <w:t xml:space="preserve"> </w:t>
      </w:r>
      <w:r w:rsidR="00A863AA">
        <w:t>S</w:t>
      </w:r>
      <w:r>
        <w:t xml:space="preserve">tate. The California Energy Commission </w:t>
      </w:r>
      <w:r w:rsidR="00A863AA">
        <w:t xml:space="preserve">(CEC) </w:t>
      </w:r>
      <w:r>
        <w:t xml:space="preserve">and Department of Water Resources have solicited and developed programs </w:t>
      </w:r>
      <w:r w:rsidR="0081092E">
        <w:t>that target</w:t>
      </w:r>
      <w:r>
        <w:t xml:space="preserve"> the water–energy nexus, to conserve water and energy </w:t>
      </w:r>
      <w:r w:rsidR="0081092E">
        <w:t xml:space="preserve">and to </w:t>
      </w:r>
      <w:r>
        <w:t xml:space="preserve">reduce </w:t>
      </w:r>
      <w:r w:rsidR="0081092E">
        <w:t>greenhouse gas (</w:t>
      </w:r>
      <w:r>
        <w:t>GHG</w:t>
      </w:r>
      <w:r w:rsidR="0081092E">
        <w:t>)</w:t>
      </w:r>
      <w:r>
        <w:t xml:space="preserve"> emissions. </w:t>
      </w:r>
    </w:p>
    <w:p w14:paraId="5FDD4B08" w14:textId="637C3CE8" w:rsidR="0081092E" w:rsidRPr="00A3202F" w:rsidRDefault="008D559D" w:rsidP="00CD7A1A">
      <w:r>
        <w:t>Consequently, the CPUC, with its broad</w:t>
      </w:r>
      <w:r>
        <w:rPr>
          <w:rFonts w:ascii="Calibri" w:hAnsi="Calibri" w:cs="Calibri"/>
        </w:rPr>
        <w:t xml:space="preserve"> </w:t>
      </w:r>
      <w:r>
        <w:t>jurisdiction over energy</w:t>
      </w:r>
      <w:r w:rsidR="0081092E">
        <w:t xml:space="preserve"> and</w:t>
      </w:r>
      <w:r>
        <w:t xml:space="preserve"> water</w:t>
      </w:r>
      <w:r w:rsidR="00C76E10">
        <w:t xml:space="preserve">, </w:t>
      </w:r>
      <w:r>
        <w:t xml:space="preserve">sought to investigate the immediate-term, mid-term, and long-term actions to combat the drought and future climate challenges. </w:t>
      </w:r>
      <w:r w:rsidR="00304988">
        <w:t>T</w:t>
      </w:r>
      <w:r>
        <w:t xml:space="preserve">he CPUC expressed an overarching interest in determining the potential benefits of evaluating embedded energy impacts associated with water conservation measures. </w:t>
      </w:r>
      <w:r w:rsidR="00A3202F">
        <w:t xml:space="preserve">The </w:t>
      </w:r>
      <w:r w:rsidR="00A3202F" w:rsidRPr="00A3202F">
        <w:rPr>
          <w:i/>
          <w:iCs/>
        </w:rPr>
        <w:t>Water/Energy Cost-Effectiveness Analysis</w:t>
      </w:r>
      <w:r w:rsidR="00A3202F">
        <w:rPr>
          <w:i/>
          <w:iCs/>
        </w:rPr>
        <w:t xml:space="preserve"> </w:t>
      </w:r>
      <w:r w:rsidR="00A3202F">
        <w:t xml:space="preserve">conducted by Navigant Consulting and CPUC Decision </w:t>
      </w:r>
      <w:r w:rsidR="00A3202F" w:rsidRPr="00847274">
        <w:t>15-09-023</w:t>
      </w:r>
      <w:r w:rsidR="00A3202F">
        <w:t>, both issued in 2015, were keystone efforts to meet CPUC objectives.</w:t>
      </w:r>
    </w:p>
    <w:p w14:paraId="0517442D" w14:textId="7607A590" w:rsidR="0081092E" w:rsidRDefault="0081092E" w:rsidP="0081092E">
      <w:r w:rsidRPr="00A3202F">
        <w:rPr>
          <w:b/>
          <w:bCs/>
          <w:i/>
          <w:iCs/>
        </w:rPr>
        <w:lastRenderedPageBreak/>
        <w:t xml:space="preserve">Water/Energy Cost-Effectiveness Analysis </w:t>
      </w:r>
      <w:r w:rsidR="00DB7A9C" w:rsidRPr="00A3202F">
        <w:rPr>
          <w:b/>
          <w:bCs/>
          <w:i/>
          <w:iCs/>
        </w:rPr>
        <w:t>Report</w:t>
      </w:r>
      <w:r w:rsidR="00DB7A9C">
        <w:rPr>
          <w:b/>
          <w:bCs/>
        </w:rPr>
        <w:t xml:space="preserve"> </w:t>
      </w:r>
      <w:r w:rsidRPr="003247AF">
        <w:rPr>
          <w:b/>
          <w:bCs/>
        </w:rPr>
        <w:t>(Navigant, 2015).</w:t>
      </w:r>
      <w:r w:rsidRPr="00A91DA4">
        <w:rPr>
          <w:rStyle w:val="FootnoteReference"/>
        </w:rPr>
        <w:footnoteReference w:id="2"/>
      </w:r>
      <w:r>
        <w:t xml:space="preserve"> The </w:t>
      </w:r>
      <w:r w:rsidRPr="00A3202F">
        <w:rPr>
          <w:i/>
          <w:iCs/>
        </w:rPr>
        <w:t>Water/Energy Cost-Effectiveness Analysis Report</w:t>
      </w:r>
      <w:r>
        <w:t xml:space="preserve"> </w:t>
      </w:r>
      <w:r w:rsidRPr="00A3202F">
        <w:t xml:space="preserve">summarized the tools and analyses </w:t>
      </w:r>
      <w:r>
        <w:t>for informing CPUC decisions about the use of energy ratepayer funds for joint water‐energy programs. The intended uses of the tools and analysis developed by this study include:</w:t>
      </w:r>
    </w:p>
    <w:p w14:paraId="689F23E0" w14:textId="77777777" w:rsidR="0081092E" w:rsidRDefault="0081092E" w:rsidP="0081092E">
      <w:pPr>
        <w:pStyle w:val="ListParagraph"/>
        <w:numPr>
          <w:ilvl w:val="0"/>
          <w:numId w:val="14"/>
        </w:numPr>
        <w:spacing w:before="0" w:after="0" w:line="240" w:lineRule="auto"/>
      </w:pPr>
      <w:r>
        <w:t>Estimate the IOU and non‐IOU embedded energy savings that result from joint water‐energy programs,</w:t>
      </w:r>
    </w:p>
    <w:p w14:paraId="3C3024B0" w14:textId="77777777" w:rsidR="0081092E" w:rsidRDefault="0081092E" w:rsidP="0081092E">
      <w:pPr>
        <w:pStyle w:val="ListParagraph"/>
        <w:numPr>
          <w:ilvl w:val="0"/>
          <w:numId w:val="14"/>
        </w:numPr>
        <w:spacing w:before="0" w:after="0" w:line="240" w:lineRule="auto"/>
      </w:pPr>
      <w:r>
        <w:t>Assess the benefits that accrue to energy utilities and to water utilities from programs and measures that save both energy and water, and</w:t>
      </w:r>
    </w:p>
    <w:p w14:paraId="1DFC4563" w14:textId="77777777" w:rsidR="0081092E" w:rsidRPr="002B5D8A" w:rsidRDefault="0081092E" w:rsidP="0081092E">
      <w:pPr>
        <w:pStyle w:val="ListParagraph"/>
        <w:numPr>
          <w:ilvl w:val="0"/>
          <w:numId w:val="14"/>
        </w:numPr>
        <w:spacing w:before="0" w:after="0" w:line="240" w:lineRule="auto"/>
      </w:pPr>
      <w:r>
        <w:t>Determine if incentivizing measures and programs that save both energy and water is a cost-</w:t>
      </w:r>
      <w:r w:rsidRPr="002B5D8A">
        <w:t>effective use of IOU energy utility funds.</w:t>
      </w:r>
    </w:p>
    <w:p w14:paraId="65681A89" w14:textId="6E96E4DF" w:rsidR="000143B9" w:rsidRDefault="008D559D" w:rsidP="00CD7A1A">
      <w:r w:rsidRPr="00A3202F">
        <w:rPr>
          <w:b/>
          <w:bCs/>
          <w:i/>
          <w:iCs/>
        </w:rPr>
        <w:t>Decision Regarding Tools for Calculating the Embedded Energy in Water and an Avoided Capacity Cost Associated with Water Savings</w:t>
      </w:r>
      <w:r w:rsidR="00A3202F">
        <w:rPr>
          <w:b/>
          <w:bCs/>
          <w:i/>
          <w:iCs/>
        </w:rPr>
        <w:t xml:space="preserve"> (D.</w:t>
      </w:r>
      <w:r w:rsidR="00A3202F" w:rsidRPr="00A3202F">
        <w:rPr>
          <w:b/>
          <w:bCs/>
          <w:i/>
          <w:iCs/>
        </w:rPr>
        <w:t>15-09-023</w:t>
      </w:r>
      <w:r w:rsidR="00A3202F">
        <w:rPr>
          <w:b/>
          <w:bCs/>
          <w:i/>
          <w:iCs/>
        </w:rPr>
        <w:t>).</w:t>
      </w:r>
      <w:r w:rsidR="00A3202F" w:rsidRPr="00414F64">
        <w:rPr>
          <w:rStyle w:val="FootnoteReference"/>
        </w:rPr>
        <w:footnoteReference w:id="3"/>
      </w:r>
      <w:r w:rsidRPr="00847274">
        <w:t xml:space="preserve"> </w:t>
      </w:r>
      <w:r w:rsidR="00A3202F">
        <w:t xml:space="preserve">Decision </w:t>
      </w:r>
      <w:r w:rsidR="00A3202F" w:rsidRPr="00847274">
        <w:t>15-09-023</w:t>
      </w:r>
      <w:r w:rsidR="00A3202F">
        <w:t>, issued in September 2015</w:t>
      </w:r>
      <w:r w:rsidR="00720901">
        <w:t xml:space="preserve"> and informed by the Navigant Water/Energy report</w:t>
      </w:r>
      <w:r w:rsidR="00A3202F">
        <w:t xml:space="preserve">, </w:t>
      </w:r>
      <w:r w:rsidR="00B126FB">
        <w:t xml:space="preserve">addressed several topics related to embedded energy and </w:t>
      </w:r>
      <w:r w:rsidRPr="00B126FB">
        <w:t>adopt</w:t>
      </w:r>
      <w:r w:rsidR="00B126FB" w:rsidRPr="00B126FB">
        <w:t>ed</w:t>
      </w:r>
      <w:r>
        <w:t xml:space="preserve"> tools to allow the </w:t>
      </w:r>
      <w:r w:rsidR="00A863AA">
        <w:t>CPUC</w:t>
      </w:r>
      <w:r>
        <w:t xml:space="preserve"> to better quantify </w:t>
      </w:r>
      <w:r w:rsidR="002B5D8A">
        <w:t xml:space="preserve">embedded </w:t>
      </w:r>
      <w:r>
        <w:t xml:space="preserve">energy </w:t>
      </w:r>
      <w:r w:rsidR="002B5D8A">
        <w:t>savings</w:t>
      </w:r>
      <w:r>
        <w:t xml:space="preserve"> of water saving measures.</w:t>
      </w:r>
      <w:r w:rsidR="00C76E10">
        <w:rPr>
          <w:rStyle w:val="FootnoteReference"/>
        </w:rPr>
        <w:footnoteReference w:id="4"/>
      </w:r>
      <w:r w:rsidR="00B126FB">
        <w:t xml:space="preserve"> </w:t>
      </w:r>
      <w:r w:rsidR="0081092E">
        <w:t>Among many other things, this Decision adopted the Water</w:t>
      </w:r>
      <w:r w:rsidR="00A32588">
        <w:t>-</w:t>
      </w:r>
      <w:r w:rsidR="0081092E">
        <w:t xml:space="preserve">Energy Calculator designed to calculate the embedded energy in water and the avoided capacity cost associated with water savings. </w:t>
      </w:r>
      <w:r w:rsidR="00720901">
        <w:t>D.15-09-023 also evaluated the energy benefits associated with conservation of cold-water savings measures and off-site hot water savings.</w:t>
      </w:r>
    </w:p>
    <w:p w14:paraId="1FB1B211" w14:textId="38F7C34B" w:rsidR="00A863AA" w:rsidRDefault="00A863AA" w:rsidP="00A863AA">
      <w:pPr>
        <w:pStyle w:val="eTRMHeading4"/>
      </w:pPr>
      <w:r>
        <w:t>Water-Energy Calculator</w:t>
      </w:r>
    </w:p>
    <w:p w14:paraId="33250FE1" w14:textId="76731697" w:rsidR="00720901" w:rsidRDefault="004D0911" w:rsidP="00720901">
      <w:r>
        <w:t>The Water-Energy Calculator assesses water-energy program cost effectiveness for energy efficiency portfolios.</w:t>
      </w:r>
      <w:r>
        <w:rPr>
          <w:rStyle w:val="FootnoteReference"/>
        </w:rPr>
        <w:footnoteReference w:id="5"/>
      </w:r>
      <w:r>
        <w:t xml:space="preserve"> </w:t>
      </w:r>
      <w:r w:rsidR="008D559D">
        <w:t xml:space="preserve">The Water-Energy Calculator, </w:t>
      </w:r>
      <w:r w:rsidR="00B126FB">
        <w:t xml:space="preserve">one of the tools </w:t>
      </w:r>
      <w:r w:rsidR="00C76E10">
        <w:t>addressed</w:t>
      </w:r>
      <w:r w:rsidR="008D559D" w:rsidRPr="00CE352A">
        <w:t xml:space="preserve"> in</w:t>
      </w:r>
      <w:r w:rsidR="008D559D">
        <w:t xml:space="preserve"> D.15-09-023, </w:t>
      </w:r>
      <w:r w:rsidR="00A863AA">
        <w:t>calculates</w:t>
      </w:r>
      <w:r w:rsidR="008D559D">
        <w:t xml:space="preserve"> energy </w:t>
      </w:r>
      <w:r w:rsidR="00A863AA">
        <w:t>savings</w:t>
      </w:r>
      <w:r w:rsidR="008D559D">
        <w:t xml:space="preserve"> associated with moving and treating water, along with related indirect off-site energy impacts</w:t>
      </w:r>
      <w:r w:rsidR="00720901">
        <w:t xml:space="preserve">. </w:t>
      </w:r>
      <w:r w:rsidR="00720901" w:rsidRPr="00C438DD">
        <w:t xml:space="preserve">The intended use of </w:t>
      </w:r>
      <w:r w:rsidR="00720901">
        <w:t xml:space="preserve">this </w:t>
      </w:r>
      <w:r w:rsidR="00720901" w:rsidRPr="00C438DD">
        <w:t>water/energy cost-effectiveness analysis tool is to:</w:t>
      </w:r>
    </w:p>
    <w:p w14:paraId="2FDEEB1A" w14:textId="3CD0EFBF" w:rsidR="00720901" w:rsidRPr="00720901" w:rsidRDefault="00720901" w:rsidP="008967F1">
      <w:pPr>
        <w:pStyle w:val="eTRMBulletedText"/>
      </w:pPr>
      <w:r w:rsidRPr="00720901">
        <w:t>Estimate the IOU and non-IOU embedded energy savings that result from joint water-energy programs</w:t>
      </w:r>
      <w:r>
        <w:t>,</w:t>
      </w:r>
    </w:p>
    <w:p w14:paraId="15EE1F69" w14:textId="740B0E30" w:rsidR="00720901" w:rsidRPr="00720901" w:rsidRDefault="00720901" w:rsidP="008967F1">
      <w:pPr>
        <w:pStyle w:val="eTRMBulletedText"/>
      </w:pPr>
      <w:r w:rsidRPr="00720901">
        <w:t>Assess the benefits that accrue to energy utilities and to water utilities from programs and measures that save both energy and water</w:t>
      </w:r>
      <w:r>
        <w:t>,</w:t>
      </w:r>
      <w:r w:rsidRPr="00720901">
        <w:t xml:space="preserve"> and</w:t>
      </w:r>
    </w:p>
    <w:p w14:paraId="26A58AE2" w14:textId="23D61425" w:rsidR="00063EE5" w:rsidRPr="00720901" w:rsidRDefault="00720901" w:rsidP="008967F1">
      <w:pPr>
        <w:pStyle w:val="eTRMBulletedText"/>
      </w:pPr>
      <w:r w:rsidRPr="00720901">
        <w:t xml:space="preserve">Determine if incentivizing measures and programs that save both energy and water is a cost- effective use of IOU energy </w:t>
      </w:r>
      <w:r>
        <w:t>ratepayer</w:t>
      </w:r>
      <w:r w:rsidRPr="00720901">
        <w:t xml:space="preserve"> funds.</w:t>
      </w:r>
      <w:r w:rsidR="008D559D" w:rsidRPr="00720901">
        <w:t xml:space="preserve"> </w:t>
      </w:r>
    </w:p>
    <w:p w14:paraId="0D7ADE46" w14:textId="4B35AEAD" w:rsidR="00304988" w:rsidRDefault="00304988" w:rsidP="000D50FA">
      <w:r w:rsidRPr="00B245DE">
        <w:t>Prior energy efficiency tools measured only the direct energy savings associated with reduced water use in site-specific energy savings programs directed at customers.</w:t>
      </w:r>
      <w:r>
        <w:t xml:space="preserve"> Consequently, programs or projects </w:t>
      </w:r>
      <w:r w:rsidR="00720901">
        <w:t xml:space="preserve">that </w:t>
      </w:r>
      <w:r w:rsidR="00720901">
        <w:lastRenderedPageBreak/>
        <w:t xml:space="preserve">estimate </w:t>
      </w:r>
      <w:r>
        <w:t xml:space="preserve">the energy required </w:t>
      </w:r>
      <w:r w:rsidR="00720901">
        <w:t>by</w:t>
      </w:r>
      <w:r>
        <w:t xml:space="preserve"> the water system above and beyond the </w:t>
      </w:r>
      <w:r w:rsidR="00720901">
        <w:t xml:space="preserve">site-specific </w:t>
      </w:r>
      <w:r>
        <w:t xml:space="preserve">energy </w:t>
      </w:r>
      <w:r w:rsidR="00720901">
        <w:t>use (such as energy use required for hot water use)</w:t>
      </w:r>
      <w:r>
        <w:t xml:space="preserve"> could not be quantified prior to the </w:t>
      </w:r>
      <w:r w:rsidR="00BD4834">
        <w:t>Water-Energy Calculator</w:t>
      </w:r>
      <w:r>
        <w:t xml:space="preserve">. However, with CPUC approval of the </w:t>
      </w:r>
      <w:r w:rsidR="00BD4834">
        <w:t>Water-Energy Calculator</w:t>
      </w:r>
      <w:r>
        <w:t xml:space="preserve">, </w:t>
      </w:r>
      <w:r w:rsidR="00720901">
        <w:t xml:space="preserve">embedded </w:t>
      </w:r>
      <w:r>
        <w:t xml:space="preserve">energy savings from water conservation projects and programs </w:t>
      </w:r>
      <w:r w:rsidR="00720901">
        <w:t xml:space="preserve">that </w:t>
      </w:r>
      <w:r>
        <w:t>target the water system</w:t>
      </w:r>
      <w:r w:rsidR="00695DD3" w:rsidRPr="00695DD3">
        <w:t xml:space="preserve"> </w:t>
      </w:r>
      <w:r w:rsidR="00695DD3">
        <w:t>can be quantified</w:t>
      </w:r>
      <w:r w:rsidR="00720901">
        <w:t>,</w:t>
      </w:r>
      <w:r>
        <w:t xml:space="preserve"> </w:t>
      </w:r>
      <w:r w:rsidR="00695DD3">
        <w:t xml:space="preserve">and </w:t>
      </w:r>
      <w:r>
        <w:t xml:space="preserve">costs and benefits </w:t>
      </w:r>
      <w:r w:rsidR="00695DD3">
        <w:t xml:space="preserve">can be allocated </w:t>
      </w:r>
      <w:r>
        <w:t xml:space="preserve">among program administrators. </w:t>
      </w:r>
    </w:p>
    <w:p w14:paraId="695FE41F" w14:textId="0B0C1840" w:rsidR="00552EAA" w:rsidRDefault="00552EAA" w:rsidP="00AB6C99"/>
    <w:p w14:paraId="5AF18021" w14:textId="6D23A70D" w:rsidR="007D230B" w:rsidRDefault="007D230B" w:rsidP="00462BB6">
      <w:pPr>
        <w:pStyle w:val="eTRMHeading3"/>
      </w:pPr>
      <w:bookmarkStart w:id="9" w:name="_Toc486490848"/>
      <w:bookmarkStart w:id="10" w:name="_Toc486580919"/>
      <w:bookmarkStart w:id="11" w:name="_Toc42682469"/>
      <w:r w:rsidRPr="004B06E3">
        <w:t>Measure Case Description</w:t>
      </w:r>
      <w:bookmarkEnd w:id="9"/>
      <w:bookmarkEnd w:id="10"/>
      <w:bookmarkEnd w:id="11"/>
    </w:p>
    <w:p w14:paraId="0B4D8678" w14:textId="71F12397" w:rsidR="00063EE5" w:rsidRPr="00AE6955" w:rsidRDefault="0017465E" w:rsidP="00AE6955">
      <w:pPr>
        <w:rPr>
          <w:rFonts w:eastAsia="Times New Roman" w:cs="Calibri Light"/>
        </w:rPr>
      </w:pPr>
      <w:r w:rsidRPr="00AE6955">
        <w:rPr>
          <w:rFonts w:cs="Calibri Light"/>
        </w:rPr>
        <w:t xml:space="preserve">The energy efficiency measures for which embedded energy savings are estimated with the </w:t>
      </w:r>
      <w:r w:rsidR="00BD4834">
        <w:t>Water-Energy Calculator</w:t>
      </w:r>
      <w:r w:rsidRPr="00AE6955">
        <w:rPr>
          <w:rFonts w:cs="Calibri Light"/>
        </w:rPr>
        <w:t xml:space="preserve"> (</w:t>
      </w:r>
      <w:r w:rsidR="00BD4834">
        <w:rPr>
          <w:rFonts w:cs="Calibri Light"/>
        </w:rPr>
        <w:t xml:space="preserve">version </w:t>
      </w:r>
      <w:r w:rsidRPr="00AE6955">
        <w:rPr>
          <w:rFonts w:cs="Calibri Light"/>
        </w:rPr>
        <w:t xml:space="preserve">1.05) are listed below. </w:t>
      </w:r>
      <w:r w:rsidRPr="00AE6955">
        <w:rPr>
          <w:rFonts w:cs="Calibri Light"/>
        </w:rPr>
        <w:fldChar w:fldCharType="begin"/>
      </w:r>
      <w:r w:rsidRPr="00AE6955">
        <w:rPr>
          <w:rFonts w:cs="Calibri Light"/>
        </w:rPr>
        <w:instrText xml:space="preserve"> REF _Ref467323681 \h </w:instrText>
      </w:r>
      <w:r w:rsidR="00AE6955" w:rsidRPr="00AE6955">
        <w:rPr>
          <w:rFonts w:cs="Calibri Light"/>
        </w:rPr>
        <w:instrText xml:space="preserve"> \* MERGEFORMAT </w:instrText>
      </w:r>
      <w:r w:rsidRPr="00AE6955">
        <w:rPr>
          <w:rFonts w:cs="Calibri Light"/>
        </w:rPr>
      </w:r>
      <w:r w:rsidRPr="00AE6955">
        <w:rPr>
          <w:rFonts w:cs="Calibri Light"/>
        </w:rPr>
        <w:fldChar w:fldCharType="separate"/>
      </w:r>
      <w:r w:rsidR="00695DD3" w:rsidRPr="00695DD3">
        <w:rPr>
          <w:rFonts w:cs="Calibri Light"/>
        </w:rPr>
        <w:t xml:space="preserve">Table </w:t>
      </w:r>
      <w:r w:rsidR="00695DD3" w:rsidRPr="00695DD3">
        <w:rPr>
          <w:rFonts w:cs="Calibri Light"/>
          <w:noProof/>
        </w:rPr>
        <w:t>1</w:t>
      </w:r>
      <w:r w:rsidRPr="00AE6955">
        <w:rPr>
          <w:rFonts w:cs="Calibri Light"/>
        </w:rPr>
        <w:fldChar w:fldCharType="end"/>
      </w:r>
      <w:r w:rsidRPr="00AE6955">
        <w:rPr>
          <w:rFonts w:cs="Calibri Light"/>
        </w:rPr>
        <w:t xml:space="preserve"> specifies </w:t>
      </w:r>
      <w:r w:rsidR="001162A6">
        <w:rPr>
          <w:rFonts w:cs="Calibri Light"/>
        </w:rPr>
        <w:t xml:space="preserve">statewide measures eligible for utility energy efficiency portfolios (“IOU WEN Measures”) </w:t>
      </w:r>
      <w:r w:rsidRPr="00AE6955">
        <w:rPr>
          <w:rFonts w:eastAsia="Times New Roman" w:cs="Calibri Light"/>
        </w:rPr>
        <w:t xml:space="preserve">and </w:t>
      </w:r>
      <w:r w:rsidR="00DD578D">
        <w:rPr>
          <w:rFonts w:eastAsia="Times New Roman" w:cs="Calibri Light"/>
        </w:rPr>
        <w:fldChar w:fldCharType="begin"/>
      </w:r>
      <w:r w:rsidR="00DD578D">
        <w:rPr>
          <w:rFonts w:eastAsia="Times New Roman" w:cs="Calibri Light"/>
        </w:rPr>
        <w:instrText xml:space="preserve"> REF _Ref42530375 \h </w:instrText>
      </w:r>
      <w:r w:rsidR="00DD578D">
        <w:rPr>
          <w:rFonts w:eastAsia="Times New Roman" w:cs="Calibri Light"/>
        </w:rPr>
      </w:r>
      <w:r w:rsidR="00DD578D">
        <w:rPr>
          <w:rFonts w:eastAsia="Times New Roman" w:cs="Calibri Light"/>
        </w:rPr>
        <w:fldChar w:fldCharType="separate"/>
      </w:r>
      <w:r w:rsidR="00695DD3">
        <w:t xml:space="preserve">Table </w:t>
      </w:r>
      <w:r w:rsidR="00695DD3">
        <w:rPr>
          <w:noProof/>
        </w:rPr>
        <w:t>2</w:t>
      </w:r>
      <w:r w:rsidR="00DD578D">
        <w:rPr>
          <w:rFonts w:eastAsia="Times New Roman" w:cs="Calibri Light"/>
        </w:rPr>
        <w:fldChar w:fldCharType="end"/>
      </w:r>
      <w:r w:rsidRPr="00AE6955">
        <w:rPr>
          <w:rFonts w:eastAsia="Times New Roman" w:cs="Calibri Light"/>
        </w:rPr>
        <w:t xml:space="preserve"> lists the measures</w:t>
      </w:r>
      <w:r w:rsidR="001162A6" w:rsidRPr="001162A6">
        <w:t xml:space="preserve"> </w:t>
      </w:r>
      <w:r w:rsidR="001162A6">
        <w:t>for which water savings values developed by the Metropolitan Water District (“MWD WEN Measures”)</w:t>
      </w:r>
      <w:r w:rsidRPr="00AE6955">
        <w:rPr>
          <w:rFonts w:eastAsia="Times New Roman" w:cs="Calibri Light"/>
        </w:rPr>
        <w:t xml:space="preserve">. </w:t>
      </w:r>
      <w:r w:rsidR="006E6D91">
        <w:rPr>
          <w:rFonts w:eastAsia="Times New Roman" w:cs="Calibri Light"/>
        </w:rPr>
        <w:t>Note that only the first ten rows are provided in each tabl</w:t>
      </w:r>
      <w:r w:rsidR="00645DC3">
        <w:rPr>
          <w:rFonts w:eastAsia="Times New Roman" w:cs="Calibri Light"/>
        </w:rPr>
        <w:t>e, r</w:t>
      </w:r>
      <w:r w:rsidR="003B727F">
        <w:rPr>
          <w:rFonts w:eastAsia="Times New Roman" w:cs="Calibri Light"/>
        </w:rPr>
        <w:t xml:space="preserve">efer to </w:t>
      </w:r>
      <w:r w:rsidR="009D28A8" w:rsidRPr="009D28A8">
        <w:rPr>
          <w:rFonts w:eastAsia="Times New Roman" w:cs="Calibri Light"/>
        </w:rPr>
        <w:t>“202</w:t>
      </w:r>
      <w:r w:rsidR="003B727F">
        <w:rPr>
          <w:rFonts w:eastAsia="Times New Roman" w:cs="Calibri Light"/>
        </w:rPr>
        <w:t>1</w:t>
      </w:r>
      <w:r w:rsidR="009D28A8" w:rsidRPr="009D28A8">
        <w:rPr>
          <w:rFonts w:eastAsia="Times New Roman" w:cs="Calibri Light"/>
        </w:rPr>
        <w:t xml:space="preserve"> WEN Master Spreadsheet.xlsx”</w:t>
      </w:r>
      <w:r w:rsidR="00992651">
        <w:rPr>
          <w:rFonts w:eastAsia="Times New Roman" w:cs="Calibri Light"/>
        </w:rPr>
        <w:t xml:space="preserve">, </w:t>
      </w:r>
      <w:r w:rsidR="00645DC3">
        <w:rPr>
          <w:rFonts w:eastAsia="Times New Roman" w:cs="Calibri Light"/>
        </w:rPr>
        <w:t>p</w:t>
      </w:r>
      <w:r w:rsidR="009D28A8" w:rsidRPr="009D28A8">
        <w:rPr>
          <w:rFonts w:eastAsia="Times New Roman" w:cs="Calibri Light"/>
        </w:rPr>
        <w:t xml:space="preserve">repared for San Diego Gas &amp; Electric (SDG&amp;E).  </w:t>
      </w:r>
    </w:p>
    <w:p w14:paraId="382C6F81" w14:textId="0E416612" w:rsidR="00063EE5" w:rsidRDefault="00063EE5" w:rsidP="00453E72">
      <w:pPr>
        <w:pStyle w:val="Caption"/>
        <w:rPr>
          <w:rFonts w:cstheme="minorHAnsi"/>
        </w:rPr>
      </w:pPr>
      <w:bookmarkStart w:id="12" w:name="_Ref467323681"/>
      <w:r w:rsidRPr="003247AF">
        <w:t>Table</w:t>
      </w:r>
      <w:r>
        <w:t xml:space="preserve"> </w:t>
      </w:r>
      <w:r>
        <w:fldChar w:fldCharType="begin"/>
      </w:r>
      <w:r>
        <w:instrText xml:space="preserve"> SEQ Table \* ARABIC </w:instrText>
      </w:r>
      <w:r>
        <w:fldChar w:fldCharType="separate"/>
      </w:r>
      <w:r w:rsidR="00695DD3">
        <w:t>1</w:t>
      </w:r>
      <w:r>
        <w:fldChar w:fldCharType="end"/>
      </w:r>
      <w:bookmarkEnd w:id="12"/>
      <w:r>
        <w:t xml:space="preserve">: Statewide IOU WEN </w:t>
      </w:r>
      <w:r w:rsidRPr="00800706">
        <w:rPr>
          <w:rFonts w:cstheme="minorHAnsi"/>
        </w:rPr>
        <w:t>Measures and Codes</w:t>
      </w:r>
    </w:p>
    <w:tbl>
      <w:tblPr>
        <w:tblW w:w="70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720"/>
        <w:gridCol w:w="6336"/>
      </w:tblGrid>
      <w:tr w:rsidR="004D0911" w:rsidRPr="0017465E" w14:paraId="1CB28962" w14:textId="77777777" w:rsidTr="004D0911">
        <w:trPr>
          <w:trHeight w:val="20"/>
          <w:tblHeader/>
        </w:trPr>
        <w:tc>
          <w:tcPr>
            <w:tcW w:w="720" w:type="dxa"/>
            <w:shd w:val="clear" w:color="auto" w:fill="F2F2F2" w:themeFill="background1" w:themeFillShade="F2"/>
            <w:vAlign w:val="center"/>
            <w:hideMark/>
          </w:tcPr>
          <w:p w14:paraId="1EBE043D" w14:textId="600CF3F4" w:rsidR="004D0911" w:rsidRPr="0017465E" w:rsidRDefault="004D0911" w:rsidP="0017465E">
            <w:pPr>
              <w:spacing w:before="0" w:after="0" w:line="240" w:lineRule="auto"/>
              <w:jc w:val="center"/>
              <w:rPr>
                <w:rFonts w:eastAsia="Times New Roman" w:cs="Calibri Light"/>
                <w:b/>
                <w:bCs/>
                <w:color w:val="000000"/>
                <w:sz w:val="20"/>
                <w:szCs w:val="20"/>
              </w:rPr>
            </w:pPr>
            <w:bookmarkStart w:id="13" w:name="_Ref19591794"/>
            <w:r>
              <w:rPr>
                <w:rFonts w:eastAsia="Times New Roman" w:cs="Calibri Light"/>
                <w:b/>
                <w:bCs/>
                <w:color w:val="000000"/>
                <w:sz w:val="20"/>
                <w:szCs w:val="20"/>
              </w:rPr>
              <w:t xml:space="preserve">Line </w:t>
            </w:r>
            <w:r w:rsidRPr="0017465E">
              <w:rPr>
                <w:rFonts w:eastAsia="Times New Roman" w:cs="Calibri Light"/>
                <w:b/>
                <w:bCs/>
                <w:color w:val="000000"/>
                <w:sz w:val="20"/>
                <w:szCs w:val="20"/>
              </w:rPr>
              <w:t>#</w:t>
            </w:r>
          </w:p>
        </w:tc>
        <w:tc>
          <w:tcPr>
            <w:tcW w:w="6336" w:type="dxa"/>
            <w:shd w:val="clear" w:color="auto" w:fill="F2F2F2" w:themeFill="background1" w:themeFillShade="F2"/>
            <w:vAlign w:val="center"/>
            <w:hideMark/>
          </w:tcPr>
          <w:p w14:paraId="7AB56A0E" w14:textId="10DA2ECE" w:rsidR="004D0911" w:rsidRPr="0017465E" w:rsidRDefault="004D0911" w:rsidP="0017465E">
            <w:pPr>
              <w:spacing w:before="0" w:after="0" w:line="240" w:lineRule="auto"/>
              <w:rPr>
                <w:rFonts w:eastAsia="Times New Roman" w:cs="Calibri Light"/>
                <w:b/>
                <w:bCs/>
                <w:color w:val="000000"/>
                <w:sz w:val="20"/>
                <w:szCs w:val="20"/>
              </w:rPr>
            </w:pPr>
            <w:r w:rsidRPr="0017465E">
              <w:rPr>
                <w:rFonts w:eastAsia="Times New Roman" w:cs="Calibri Light"/>
                <w:b/>
                <w:bCs/>
                <w:color w:val="000000"/>
                <w:sz w:val="20"/>
                <w:szCs w:val="20"/>
              </w:rPr>
              <w:t>Measure Name</w:t>
            </w:r>
            <w:r>
              <w:rPr>
                <w:rFonts w:eastAsia="Times New Roman" w:cs="Calibri Light"/>
                <w:b/>
                <w:bCs/>
                <w:color w:val="000000"/>
                <w:sz w:val="20"/>
                <w:szCs w:val="20"/>
              </w:rPr>
              <w:t xml:space="preserve"> &amp; Offering</w:t>
            </w:r>
          </w:p>
        </w:tc>
      </w:tr>
      <w:tr w:rsidR="004D0911" w:rsidRPr="0017465E" w14:paraId="50BB3395" w14:textId="77777777" w:rsidTr="004D0911">
        <w:trPr>
          <w:trHeight w:val="20"/>
        </w:trPr>
        <w:tc>
          <w:tcPr>
            <w:tcW w:w="720" w:type="dxa"/>
            <w:shd w:val="clear" w:color="auto" w:fill="auto"/>
            <w:vAlign w:val="center"/>
            <w:hideMark/>
          </w:tcPr>
          <w:p w14:paraId="084D3678"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1</w:t>
            </w:r>
          </w:p>
        </w:tc>
        <w:tc>
          <w:tcPr>
            <w:tcW w:w="6336" w:type="dxa"/>
            <w:shd w:val="clear" w:color="auto" w:fill="auto"/>
            <w:vAlign w:val="center"/>
            <w:hideMark/>
          </w:tcPr>
          <w:p w14:paraId="152F401C" w14:textId="43E8D881" w:rsidR="004D0911" w:rsidRPr="0017465E" w:rsidRDefault="004D0911" w:rsidP="0017465E">
            <w:pPr>
              <w:spacing w:before="0" w:after="0" w:line="240" w:lineRule="auto"/>
              <w:rPr>
                <w:rFonts w:eastAsia="Times New Roman" w:cs="Calibri Light"/>
                <w:color w:val="000000"/>
                <w:sz w:val="20"/>
                <w:szCs w:val="20"/>
              </w:rPr>
            </w:pPr>
            <w:r>
              <w:rPr>
                <w:rFonts w:eastAsia="Times New Roman" w:cs="Calibri Light"/>
                <w:color w:val="000000"/>
                <w:sz w:val="20"/>
                <w:szCs w:val="20"/>
              </w:rPr>
              <w:t>ENERGY STAR</w:t>
            </w:r>
            <w:r w:rsidRPr="0017465E">
              <w:rPr>
                <w:rFonts w:eastAsia="Times New Roman" w:cs="Calibri Light"/>
                <w:color w:val="000000"/>
                <w:sz w:val="20"/>
                <w:szCs w:val="20"/>
              </w:rPr>
              <w:t xml:space="preserve"> </w:t>
            </w:r>
            <w:r>
              <w:rPr>
                <w:rFonts w:eastAsia="Times New Roman" w:cs="Calibri Light"/>
                <w:color w:val="000000"/>
                <w:sz w:val="20"/>
                <w:szCs w:val="20"/>
              </w:rPr>
              <w:t>M</w:t>
            </w:r>
            <w:r w:rsidRPr="0017465E">
              <w:rPr>
                <w:rFonts w:eastAsia="Times New Roman" w:cs="Calibri Light"/>
                <w:color w:val="000000"/>
                <w:sz w:val="20"/>
                <w:szCs w:val="20"/>
              </w:rPr>
              <w:t xml:space="preserve">ost </w:t>
            </w:r>
            <w:r>
              <w:rPr>
                <w:rFonts w:eastAsia="Times New Roman" w:cs="Calibri Light"/>
                <w:color w:val="000000"/>
                <w:sz w:val="20"/>
                <w:szCs w:val="20"/>
              </w:rPr>
              <w:t>E</w:t>
            </w:r>
            <w:r w:rsidRPr="0017465E">
              <w:rPr>
                <w:rFonts w:eastAsia="Times New Roman" w:cs="Calibri Light"/>
                <w:color w:val="000000"/>
                <w:sz w:val="20"/>
                <w:szCs w:val="20"/>
              </w:rPr>
              <w:t xml:space="preserve">fficient clothes washer, &gt;2.5 cubic ft </w:t>
            </w:r>
            <w:r>
              <w:rPr>
                <w:rFonts w:eastAsia="Times New Roman" w:cs="Calibri Light"/>
                <w:color w:val="000000"/>
                <w:sz w:val="20"/>
                <w:szCs w:val="20"/>
              </w:rPr>
              <w:t>–</w:t>
            </w:r>
            <w:r w:rsidRPr="0017465E">
              <w:rPr>
                <w:rFonts w:eastAsia="Times New Roman" w:cs="Calibri Light"/>
                <w:color w:val="000000"/>
                <w:sz w:val="20"/>
                <w:szCs w:val="20"/>
              </w:rPr>
              <w:t xml:space="preserve"> SFM</w:t>
            </w:r>
            <w:r>
              <w:rPr>
                <w:rFonts w:eastAsia="Times New Roman" w:cs="Calibri Light"/>
                <w:color w:val="000000"/>
                <w:sz w:val="20"/>
                <w:szCs w:val="20"/>
              </w:rPr>
              <w:t>,</w:t>
            </w:r>
            <w:r w:rsidRPr="0017465E">
              <w:rPr>
                <w:rFonts w:eastAsia="Times New Roman" w:cs="Calibri Light"/>
                <w:color w:val="000000"/>
                <w:sz w:val="20"/>
                <w:szCs w:val="20"/>
              </w:rPr>
              <w:t xml:space="preserve"> MFM In-Unit</w:t>
            </w:r>
          </w:p>
        </w:tc>
      </w:tr>
      <w:tr w:rsidR="004D0911" w:rsidRPr="0017465E" w14:paraId="5482ED8E" w14:textId="77777777" w:rsidTr="004D0911">
        <w:trPr>
          <w:trHeight w:val="20"/>
        </w:trPr>
        <w:tc>
          <w:tcPr>
            <w:tcW w:w="720" w:type="dxa"/>
            <w:shd w:val="clear" w:color="auto" w:fill="auto"/>
            <w:vAlign w:val="center"/>
            <w:hideMark/>
          </w:tcPr>
          <w:p w14:paraId="38B6CAEC"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2</w:t>
            </w:r>
          </w:p>
        </w:tc>
        <w:tc>
          <w:tcPr>
            <w:tcW w:w="6336" w:type="dxa"/>
            <w:shd w:val="clear" w:color="auto" w:fill="auto"/>
            <w:vAlign w:val="center"/>
            <w:hideMark/>
          </w:tcPr>
          <w:p w14:paraId="579399DF" w14:textId="7CB2033C" w:rsidR="004D0911" w:rsidRPr="0017465E" w:rsidRDefault="004D0911" w:rsidP="0017465E">
            <w:pPr>
              <w:spacing w:before="0" w:after="0" w:line="240" w:lineRule="auto"/>
              <w:rPr>
                <w:rFonts w:eastAsia="Times New Roman" w:cs="Calibri Light"/>
                <w:color w:val="000000"/>
                <w:sz w:val="20"/>
                <w:szCs w:val="20"/>
              </w:rPr>
            </w:pPr>
            <w:r>
              <w:rPr>
                <w:rFonts w:eastAsia="Times New Roman" w:cs="Calibri Light"/>
                <w:color w:val="000000"/>
                <w:sz w:val="20"/>
                <w:szCs w:val="20"/>
              </w:rPr>
              <w:t>ENERGY STAR</w:t>
            </w:r>
            <w:r w:rsidRPr="0017465E">
              <w:rPr>
                <w:rFonts w:eastAsia="Times New Roman" w:cs="Calibri Light"/>
                <w:color w:val="000000"/>
                <w:sz w:val="20"/>
                <w:szCs w:val="20"/>
              </w:rPr>
              <w:t xml:space="preserve"> </w:t>
            </w:r>
            <w:r>
              <w:rPr>
                <w:rFonts w:eastAsia="Times New Roman" w:cs="Calibri Light"/>
                <w:color w:val="000000"/>
                <w:sz w:val="20"/>
                <w:szCs w:val="20"/>
              </w:rPr>
              <w:t>M</w:t>
            </w:r>
            <w:r w:rsidRPr="0017465E">
              <w:rPr>
                <w:rFonts w:eastAsia="Times New Roman" w:cs="Calibri Light"/>
                <w:color w:val="000000"/>
                <w:sz w:val="20"/>
                <w:szCs w:val="20"/>
              </w:rPr>
              <w:t xml:space="preserve">ost </w:t>
            </w:r>
            <w:r>
              <w:rPr>
                <w:rFonts w:eastAsia="Times New Roman" w:cs="Calibri Light"/>
                <w:color w:val="000000"/>
                <w:sz w:val="20"/>
                <w:szCs w:val="20"/>
              </w:rPr>
              <w:t>E</w:t>
            </w:r>
            <w:r w:rsidRPr="0017465E">
              <w:rPr>
                <w:rFonts w:eastAsia="Times New Roman" w:cs="Calibri Light"/>
                <w:color w:val="000000"/>
                <w:sz w:val="20"/>
                <w:szCs w:val="20"/>
              </w:rPr>
              <w:t>fficient clothes washer, &gt;2.5 cubic ft - MFM Common Area</w:t>
            </w:r>
          </w:p>
        </w:tc>
      </w:tr>
      <w:tr w:rsidR="004D0911" w:rsidRPr="0017465E" w14:paraId="6102322F" w14:textId="77777777" w:rsidTr="004D0911">
        <w:trPr>
          <w:trHeight w:val="20"/>
        </w:trPr>
        <w:tc>
          <w:tcPr>
            <w:tcW w:w="720" w:type="dxa"/>
            <w:shd w:val="clear" w:color="auto" w:fill="auto"/>
            <w:vAlign w:val="center"/>
            <w:hideMark/>
          </w:tcPr>
          <w:p w14:paraId="3DE04FDB"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3</w:t>
            </w:r>
          </w:p>
        </w:tc>
        <w:tc>
          <w:tcPr>
            <w:tcW w:w="6336" w:type="dxa"/>
            <w:shd w:val="clear" w:color="auto" w:fill="auto"/>
            <w:vAlign w:val="center"/>
            <w:hideMark/>
          </w:tcPr>
          <w:p w14:paraId="61645448" w14:textId="4321A7AC" w:rsidR="004D0911" w:rsidRPr="0017465E" w:rsidRDefault="004D0911" w:rsidP="0017465E">
            <w:pPr>
              <w:spacing w:before="0" w:after="0" w:line="240" w:lineRule="auto"/>
              <w:rPr>
                <w:rFonts w:eastAsia="Times New Roman" w:cs="Calibri Light"/>
                <w:color w:val="000000"/>
                <w:sz w:val="20"/>
                <w:szCs w:val="20"/>
              </w:rPr>
            </w:pPr>
            <w:r>
              <w:rPr>
                <w:rFonts w:eastAsia="Times New Roman" w:cs="Calibri Light"/>
                <w:color w:val="000000"/>
                <w:sz w:val="20"/>
                <w:szCs w:val="20"/>
              </w:rPr>
              <w:t>ENERGY STAR</w:t>
            </w:r>
            <w:r w:rsidRPr="0017465E">
              <w:rPr>
                <w:rFonts w:eastAsia="Times New Roman" w:cs="Calibri Light"/>
                <w:color w:val="000000"/>
                <w:sz w:val="20"/>
                <w:szCs w:val="20"/>
              </w:rPr>
              <w:t xml:space="preserve"> </w:t>
            </w:r>
            <w:r>
              <w:rPr>
                <w:rFonts w:eastAsia="Times New Roman" w:cs="Calibri Light"/>
                <w:color w:val="000000"/>
                <w:sz w:val="20"/>
                <w:szCs w:val="20"/>
              </w:rPr>
              <w:t>M</w:t>
            </w:r>
            <w:r w:rsidRPr="0017465E">
              <w:rPr>
                <w:rFonts w:eastAsia="Times New Roman" w:cs="Calibri Light"/>
                <w:color w:val="000000"/>
                <w:sz w:val="20"/>
                <w:szCs w:val="20"/>
              </w:rPr>
              <w:t xml:space="preserve">ost </w:t>
            </w:r>
            <w:r>
              <w:rPr>
                <w:rFonts w:eastAsia="Times New Roman" w:cs="Calibri Light"/>
                <w:color w:val="000000"/>
                <w:sz w:val="20"/>
                <w:szCs w:val="20"/>
              </w:rPr>
              <w:t>E</w:t>
            </w:r>
            <w:r w:rsidRPr="0017465E">
              <w:rPr>
                <w:rFonts w:eastAsia="Times New Roman" w:cs="Calibri Light"/>
                <w:color w:val="000000"/>
                <w:sz w:val="20"/>
                <w:szCs w:val="20"/>
              </w:rPr>
              <w:t xml:space="preserve">fficient clothes washer, &gt;2.5 cubic ft - </w:t>
            </w:r>
            <w:proofErr w:type="gramStart"/>
            <w:r w:rsidRPr="0017465E">
              <w:rPr>
                <w:rFonts w:eastAsia="Times New Roman" w:cs="Calibri Light"/>
                <w:color w:val="000000"/>
                <w:sz w:val="20"/>
                <w:szCs w:val="20"/>
              </w:rPr>
              <w:t>Non Res</w:t>
            </w:r>
            <w:proofErr w:type="gramEnd"/>
          </w:p>
        </w:tc>
      </w:tr>
      <w:tr w:rsidR="004D0911" w:rsidRPr="0017465E" w14:paraId="162ED729" w14:textId="77777777" w:rsidTr="004D0911">
        <w:trPr>
          <w:trHeight w:val="20"/>
        </w:trPr>
        <w:tc>
          <w:tcPr>
            <w:tcW w:w="720" w:type="dxa"/>
            <w:shd w:val="clear" w:color="auto" w:fill="auto"/>
            <w:vAlign w:val="center"/>
            <w:hideMark/>
          </w:tcPr>
          <w:p w14:paraId="2C4C21B9"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4</w:t>
            </w:r>
          </w:p>
        </w:tc>
        <w:tc>
          <w:tcPr>
            <w:tcW w:w="6336" w:type="dxa"/>
            <w:shd w:val="clear" w:color="auto" w:fill="auto"/>
            <w:vAlign w:val="center"/>
            <w:hideMark/>
          </w:tcPr>
          <w:p w14:paraId="7FB67837" w14:textId="7D432ACF"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steam cooker Electric</w:t>
            </w:r>
          </w:p>
        </w:tc>
      </w:tr>
      <w:tr w:rsidR="004D0911" w:rsidRPr="0017465E" w14:paraId="44093527" w14:textId="77777777" w:rsidTr="004D0911">
        <w:trPr>
          <w:trHeight w:val="20"/>
        </w:trPr>
        <w:tc>
          <w:tcPr>
            <w:tcW w:w="720" w:type="dxa"/>
            <w:shd w:val="clear" w:color="auto" w:fill="auto"/>
            <w:vAlign w:val="center"/>
            <w:hideMark/>
          </w:tcPr>
          <w:p w14:paraId="1E00F911"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w:t>
            </w:r>
          </w:p>
        </w:tc>
        <w:tc>
          <w:tcPr>
            <w:tcW w:w="6336" w:type="dxa"/>
            <w:shd w:val="clear" w:color="auto" w:fill="auto"/>
            <w:vAlign w:val="center"/>
            <w:hideMark/>
          </w:tcPr>
          <w:p w14:paraId="265FCB5B" w14:textId="4A3119BF"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steam cooker Natural gas</w:t>
            </w:r>
          </w:p>
        </w:tc>
      </w:tr>
      <w:tr w:rsidR="004D0911" w:rsidRPr="0017465E" w14:paraId="5EE4E4D8" w14:textId="77777777" w:rsidTr="004D0911">
        <w:trPr>
          <w:trHeight w:val="20"/>
        </w:trPr>
        <w:tc>
          <w:tcPr>
            <w:tcW w:w="720" w:type="dxa"/>
            <w:shd w:val="clear" w:color="auto" w:fill="auto"/>
            <w:vAlign w:val="center"/>
            <w:hideMark/>
          </w:tcPr>
          <w:p w14:paraId="304903DE"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6</w:t>
            </w:r>
          </w:p>
        </w:tc>
        <w:tc>
          <w:tcPr>
            <w:tcW w:w="6336" w:type="dxa"/>
            <w:shd w:val="clear" w:color="auto" w:fill="auto"/>
            <w:vAlign w:val="center"/>
            <w:hideMark/>
          </w:tcPr>
          <w:p w14:paraId="7C26284C" w14:textId="480FB963"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Electric (less than 15 pans)</w:t>
            </w:r>
          </w:p>
        </w:tc>
      </w:tr>
      <w:tr w:rsidR="004D0911" w:rsidRPr="0017465E" w14:paraId="4F240796" w14:textId="77777777" w:rsidTr="004D0911">
        <w:trPr>
          <w:trHeight w:val="20"/>
        </w:trPr>
        <w:tc>
          <w:tcPr>
            <w:tcW w:w="720" w:type="dxa"/>
            <w:shd w:val="clear" w:color="auto" w:fill="auto"/>
            <w:vAlign w:val="center"/>
            <w:hideMark/>
          </w:tcPr>
          <w:p w14:paraId="0E2C086A"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7</w:t>
            </w:r>
          </w:p>
        </w:tc>
        <w:tc>
          <w:tcPr>
            <w:tcW w:w="6336" w:type="dxa"/>
            <w:shd w:val="clear" w:color="auto" w:fill="auto"/>
            <w:vAlign w:val="center"/>
            <w:hideMark/>
          </w:tcPr>
          <w:p w14:paraId="4A4B8B18" w14:textId="4A26C1B8"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Electric (15-28 pans)</w:t>
            </w:r>
          </w:p>
        </w:tc>
      </w:tr>
      <w:tr w:rsidR="004D0911" w:rsidRPr="0017465E" w14:paraId="0D19C703" w14:textId="77777777" w:rsidTr="004D0911">
        <w:trPr>
          <w:trHeight w:val="20"/>
        </w:trPr>
        <w:tc>
          <w:tcPr>
            <w:tcW w:w="720" w:type="dxa"/>
            <w:shd w:val="clear" w:color="auto" w:fill="auto"/>
            <w:vAlign w:val="center"/>
            <w:hideMark/>
          </w:tcPr>
          <w:p w14:paraId="3443E69A"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8</w:t>
            </w:r>
          </w:p>
        </w:tc>
        <w:tc>
          <w:tcPr>
            <w:tcW w:w="6336" w:type="dxa"/>
            <w:shd w:val="clear" w:color="auto" w:fill="auto"/>
            <w:vAlign w:val="center"/>
            <w:hideMark/>
          </w:tcPr>
          <w:p w14:paraId="2BF26502" w14:textId="4D4FEA2B"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Electric (more than 28 pans)</w:t>
            </w:r>
          </w:p>
        </w:tc>
      </w:tr>
      <w:tr w:rsidR="004D0911" w:rsidRPr="0017465E" w14:paraId="67B97C9E" w14:textId="77777777" w:rsidTr="004D0911">
        <w:trPr>
          <w:trHeight w:val="20"/>
        </w:trPr>
        <w:tc>
          <w:tcPr>
            <w:tcW w:w="720" w:type="dxa"/>
            <w:shd w:val="clear" w:color="auto" w:fill="auto"/>
            <w:vAlign w:val="center"/>
            <w:hideMark/>
          </w:tcPr>
          <w:p w14:paraId="30F463EE"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9</w:t>
            </w:r>
          </w:p>
        </w:tc>
        <w:tc>
          <w:tcPr>
            <w:tcW w:w="6336" w:type="dxa"/>
            <w:shd w:val="clear" w:color="auto" w:fill="auto"/>
            <w:vAlign w:val="center"/>
            <w:hideMark/>
          </w:tcPr>
          <w:p w14:paraId="2AAA70E3" w14:textId="176A5D8D"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Natural gas (less than 15 pans)</w:t>
            </w:r>
          </w:p>
        </w:tc>
      </w:tr>
      <w:tr w:rsidR="004D0911" w:rsidRPr="0017465E" w14:paraId="3BEA0345" w14:textId="77777777" w:rsidTr="004D0911">
        <w:trPr>
          <w:trHeight w:val="20"/>
        </w:trPr>
        <w:tc>
          <w:tcPr>
            <w:tcW w:w="720" w:type="dxa"/>
            <w:shd w:val="clear" w:color="auto" w:fill="auto"/>
            <w:vAlign w:val="center"/>
            <w:hideMark/>
          </w:tcPr>
          <w:p w14:paraId="51EEB687" w14:textId="77777777" w:rsidR="004D0911" w:rsidRPr="0017465E" w:rsidRDefault="004D0911" w:rsidP="0017465E">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10</w:t>
            </w:r>
          </w:p>
        </w:tc>
        <w:tc>
          <w:tcPr>
            <w:tcW w:w="6336" w:type="dxa"/>
            <w:shd w:val="clear" w:color="auto" w:fill="auto"/>
            <w:vAlign w:val="center"/>
            <w:hideMark/>
          </w:tcPr>
          <w:p w14:paraId="4DDD3FEB" w14:textId="49EA389E" w:rsidR="004D0911" w:rsidRPr="0017465E" w:rsidRDefault="004D0911" w:rsidP="0017465E">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Commercial combination oven/steamer Natural gas (15-28 pans)</w:t>
            </w:r>
          </w:p>
        </w:tc>
      </w:tr>
    </w:tbl>
    <w:p w14:paraId="68B6E29F" w14:textId="5D327F66" w:rsidR="00EB2A06" w:rsidRDefault="00EB2A06" w:rsidP="00453E72">
      <w:pPr>
        <w:pStyle w:val="Caption"/>
        <w:rPr>
          <w:rFonts w:cstheme="minorHAnsi"/>
        </w:rPr>
      </w:pPr>
      <w:bookmarkStart w:id="14" w:name="_Ref42530375"/>
      <w:r>
        <w:t xml:space="preserve">Table </w:t>
      </w:r>
      <w:r>
        <w:fldChar w:fldCharType="begin"/>
      </w:r>
      <w:r>
        <w:instrText xml:space="preserve"> SEQ Table \* ARABIC </w:instrText>
      </w:r>
      <w:r>
        <w:fldChar w:fldCharType="separate"/>
      </w:r>
      <w:r w:rsidR="00695DD3">
        <w:t>2</w:t>
      </w:r>
      <w:r>
        <w:fldChar w:fldCharType="end"/>
      </w:r>
      <w:bookmarkEnd w:id="14"/>
      <w:r>
        <w:t xml:space="preserve">: Statewide MWD WEN </w:t>
      </w:r>
      <w:r w:rsidRPr="00800706">
        <w:rPr>
          <w:rFonts w:cstheme="minorHAnsi"/>
        </w:rPr>
        <w:t>Measures and Codes</w:t>
      </w:r>
      <w:r w:rsidR="001162A6">
        <w:rPr>
          <w:rStyle w:val="FootnoteReference"/>
          <w:rFonts w:cstheme="minorHAnsi"/>
        </w:rPr>
        <w:footnoteReference w:id="6"/>
      </w:r>
    </w:p>
    <w:tbl>
      <w:tblPr>
        <w:tblW w:w="70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20"/>
        <w:gridCol w:w="6336"/>
      </w:tblGrid>
      <w:tr w:rsidR="004D0911" w:rsidRPr="0017465E" w14:paraId="2E43DA6E" w14:textId="77777777" w:rsidTr="004D0911">
        <w:trPr>
          <w:trHeight w:val="20"/>
          <w:tblHeader/>
        </w:trPr>
        <w:tc>
          <w:tcPr>
            <w:tcW w:w="720" w:type="dxa"/>
            <w:shd w:val="clear" w:color="auto" w:fill="F2F2F2" w:themeFill="background1" w:themeFillShade="F2"/>
            <w:vAlign w:val="center"/>
            <w:hideMark/>
          </w:tcPr>
          <w:p w14:paraId="15B031F1" w14:textId="3915FD83" w:rsidR="004D0911" w:rsidRPr="0017465E" w:rsidRDefault="004D0911" w:rsidP="00513C36">
            <w:pPr>
              <w:spacing w:before="0" w:after="0" w:line="240" w:lineRule="auto"/>
              <w:jc w:val="center"/>
              <w:rPr>
                <w:rFonts w:eastAsia="Times New Roman" w:cs="Calibri Light"/>
                <w:b/>
                <w:bCs/>
                <w:color w:val="000000"/>
                <w:sz w:val="20"/>
                <w:szCs w:val="20"/>
              </w:rPr>
            </w:pPr>
            <w:r>
              <w:rPr>
                <w:rFonts w:eastAsia="Times New Roman" w:cs="Calibri Light"/>
                <w:b/>
                <w:bCs/>
                <w:color w:val="000000"/>
                <w:sz w:val="20"/>
                <w:szCs w:val="20"/>
              </w:rPr>
              <w:t xml:space="preserve">Line </w:t>
            </w:r>
            <w:r w:rsidRPr="0017465E">
              <w:rPr>
                <w:rFonts w:eastAsia="Times New Roman" w:cs="Calibri Light"/>
                <w:b/>
                <w:bCs/>
                <w:color w:val="000000"/>
                <w:sz w:val="20"/>
                <w:szCs w:val="20"/>
              </w:rPr>
              <w:t>#</w:t>
            </w:r>
          </w:p>
        </w:tc>
        <w:tc>
          <w:tcPr>
            <w:tcW w:w="6336" w:type="dxa"/>
            <w:shd w:val="clear" w:color="auto" w:fill="F2F2F2" w:themeFill="background1" w:themeFillShade="F2"/>
            <w:vAlign w:val="center"/>
            <w:hideMark/>
          </w:tcPr>
          <w:p w14:paraId="6880BF9D" w14:textId="54A89DC8" w:rsidR="004D0911" w:rsidRPr="0017465E" w:rsidRDefault="004D0911" w:rsidP="00513C36">
            <w:pPr>
              <w:spacing w:before="0" w:after="0" w:line="240" w:lineRule="auto"/>
              <w:rPr>
                <w:rFonts w:eastAsia="Times New Roman" w:cs="Calibri Light"/>
                <w:b/>
                <w:bCs/>
                <w:color w:val="000000"/>
                <w:sz w:val="20"/>
                <w:szCs w:val="20"/>
              </w:rPr>
            </w:pPr>
            <w:r w:rsidRPr="0017465E">
              <w:rPr>
                <w:rFonts w:eastAsia="Times New Roman" w:cs="Calibri Light"/>
                <w:b/>
                <w:bCs/>
                <w:color w:val="000000"/>
                <w:sz w:val="20"/>
                <w:szCs w:val="20"/>
              </w:rPr>
              <w:t>Measure Name</w:t>
            </w:r>
            <w:r>
              <w:rPr>
                <w:rFonts w:eastAsia="Times New Roman" w:cs="Calibri Light"/>
                <w:b/>
                <w:bCs/>
                <w:color w:val="000000"/>
                <w:sz w:val="20"/>
                <w:szCs w:val="20"/>
              </w:rPr>
              <w:t xml:space="preserve"> &amp; Offering</w:t>
            </w:r>
          </w:p>
        </w:tc>
      </w:tr>
      <w:tr w:rsidR="004D0911" w:rsidRPr="0017465E" w14:paraId="023A3B18" w14:textId="77777777" w:rsidTr="004D0911">
        <w:trPr>
          <w:trHeight w:val="20"/>
        </w:trPr>
        <w:tc>
          <w:tcPr>
            <w:tcW w:w="720" w:type="dxa"/>
            <w:shd w:val="clear" w:color="auto" w:fill="auto"/>
            <w:vAlign w:val="center"/>
            <w:hideMark/>
          </w:tcPr>
          <w:p w14:paraId="21780867"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53</w:t>
            </w:r>
          </w:p>
        </w:tc>
        <w:tc>
          <w:tcPr>
            <w:tcW w:w="6336" w:type="dxa"/>
            <w:shd w:val="clear" w:color="auto" w:fill="auto"/>
            <w:vAlign w:val="center"/>
            <w:hideMark/>
          </w:tcPr>
          <w:p w14:paraId="14E72319" w14:textId="6AB0B99E"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Com-High Efficiency Toilet (Melded)</w:t>
            </w:r>
          </w:p>
        </w:tc>
      </w:tr>
      <w:tr w:rsidR="004D0911" w:rsidRPr="0017465E" w14:paraId="4A6629D8" w14:textId="77777777" w:rsidTr="004D0911">
        <w:trPr>
          <w:trHeight w:val="20"/>
        </w:trPr>
        <w:tc>
          <w:tcPr>
            <w:tcW w:w="720" w:type="dxa"/>
            <w:shd w:val="clear" w:color="auto" w:fill="auto"/>
            <w:vAlign w:val="center"/>
            <w:hideMark/>
          </w:tcPr>
          <w:p w14:paraId="0EF9C65D"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54</w:t>
            </w:r>
          </w:p>
        </w:tc>
        <w:tc>
          <w:tcPr>
            <w:tcW w:w="6336" w:type="dxa"/>
            <w:shd w:val="clear" w:color="auto" w:fill="auto"/>
            <w:vAlign w:val="center"/>
            <w:hideMark/>
          </w:tcPr>
          <w:p w14:paraId="1F3B8B92" w14:textId="2D3602B9"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Com-4 Liter Toilet (Melded)</w:t>
            </w:r>
          </w:p>
        </w:tc>
      </w:tr>
      <w:tr w:rsidR="004D0911" w:rsidRPr="0017465E" w14:paraId="260C199B" w14:textId="77777777" w:rsidTr="004D0911">
        <w:trPr>
          <w:trHeight w:val="20"/>
        </w:trPr>
        <w:tc>
          <w:tcPr>
            <w:tcW w:w="720" w:type="dxa"/>
            <w:shd w:val="clear" w:color="auto" w:fill="auto"/>
            <w:vAlign w:val="center"/>
            <w:hideMark/>
          </w:tcPr>
          <w:p w14:paraId="4C601A16"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55</w:t>
            </w:r>
          </w:p>
        </w:tc>
        <w:tc>
          <w:tcPr>
            <w:tcW w:w="6336" w:type="dxa"/>
            <w:shd w:val="clear" w:color="auto" w:fill="auto"/>
            <w:vAlign w:val="center"/>
            <w:hideMark/>
          </w:tcPr>
          <w:p w14:paraId="1DD596EF" w14:textId="590173BE"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Com-Zero/Ultra Low Water Urinal</w:t>
            </w:r>
          </w:p>
        </w:tc>
      </w:tr>
      <w:tr w:rsidR="004D0911" w:rsidRPr="0017465E" w14:paraId="7961DE29" w14:textId="77777777" w:rsidTr="004D0911">
        <w:trPr>
          <w:trHeight w:val="20"/>
        </w:trPr>
        <w:tc>
          <w:tcPr>
            <w:tcW w:w="720" w:type="dxa"/>
            <w:shd w:val="clear" w:color="auto" w:fill="auto"/>
            <w:vAlign w:val="center"/>
            <w:hideMark/>
          </w:tcPr>
          <w:p w14:paraId="393F0D6D"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56</w:t>
            </w:r>
          </w:p>
        </w:tc>
        <w:tc>
          <w:tcPr>
            <w:tcW w:w="6336" w:type="dxa"/>
            <w:shd w:val="clear" w:color="auto" w:fill="auto"/>
            <w:vAlign w:val="center"/>
            <w:hideMark/>
          </w:tcPr>
          <w:p w14:paraId="42F2D854" w14:textId="1B57B64C"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Com-Dry Vacuum Pump (1/2 hp)</w:t>
            </w:r>
          </w:p>
        </w:tc>
      </w:tr>
      <w:tr w:rsidR="004D0911" w:rsidRPr="0017465E" w14:paraId="391A018B" w14:textId="77777777" w:rsidTr="004D0911">
        <w:trPr>
          <w:trHeight w:val="20"/>
        </w:trPr>
        <w:tc>
          <w:tcPr>
            <w:tcW w:w="720" w:type="dxa"/>
            <w:shd w:val="clear" w:color="auto" w:fill="auto"/>
            <w:vAlign w:val="center"/>
            <w:hideMark/>
          </w:tcPr>
          <w:p w14:paraId="3A94CE52"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57</w:t>
            </w:r>
          </w:p>
        </w:tc>
        <w:tc>
          <w:tcPr>
            <w:tcW w:w="6336" w:type="dxa"/>
            <w:shd w:val="clear" w:color="auto" w:fill="auto"/>
            <w:vAlign w:val="center"/>
            <w:hideMark/>
          </w:tcPr>
          <w:p w14:paraId="79BBEA57" w14:textId="594913E2"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Com-Cooling Tower Conductivity Controller</w:t>
            </w:r>
          </w:p>
        </w:tc>
      </w:tr>
      <w:tr w:rsidR="004D0911" w:rsidRPr="0017465E" w14:paraId="553C16A5" w14:textId="77777777" w:rsidTr="004D0911">
        <w:trPr>
          <w:trHeight w:val="20"/>
        </w:trPr>
        <w:tc>
          <w:tcPr>
            <w:tcW w:w="720" w:type="dxa"/>
            <w:shd w:val="clear" w:color="auto" w:fill="auto"/>
            <w:vAlign w:val="center"/>
            <w:hideMark/>
          </w:tcPr>
          <w:p w14:paraId="35BA07BD"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58</w:t>
            </w:r>
          </w:p>
        </w:tc>
        <w:tc>
          <w:tcPr>
            <w:tcW w:w="6336" w:type="dxa"/>
            <w:shd w:val="clear" w:color="auto" w:fill="auto"/>
            <w:vAlign w:val="center"/>
            <w:hideMark/>
          </w:tcPr>
          <w:p w14:paraId="3CC7BA1F" w14:textId="26B43E77"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Com-pH Cooling Tower Controller</w:t>
            </w:r>
          </w:p>
        </w:tc>
      </w:tr>
      <w:tr w:rsidR="004D0911" w:rsidRPr="0017465E" w14:paraId="32331030" w14:textId="77777777" w:rsidTr="004D0911">
        <w:trPr>
          <w:trHeight w:val="20"/>
        </w:trPr>
        <w:tc>
          <w:tcPr>
            <w:tcW w:w="720" w:type="dxa"/>
            <w:shd w:val="clear" w:color="auto" w:fill="auto"/>
            <w:vAlign w:val="center"/>
            <w:hideMark/>
          </w:tcPr>
          <w:p w14:paraId="7D3D9A8B"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59</w:t>
            </w:r>
          </w:p>
        </w:tc>
        <w:tc>
          <w:tcPr>
            <w:tcW w:w="6336" w:type="dxa"/>
            <w:shd w:val="clear" w:color="auto" w:fill="auto"/>
            <w:vAlign w:val="center"/>
            <w:hideMark/>
          </w:tcPr>
          <w:p w14:paraId="3F5EC833" w14:textId="3532C1FF"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Com-Weather Based Irrigation Controller-Stat</w:t>
            </w:r>
          </w:p>
        </w:tc>
      </w:tr>
      <w:tr w:rsidR="004D0911" w:rsidRPr="0017465E" w14:paraId="7E63AF7D" w14:textId="77777777" w:rsidTr="004D0911">
        <w:trPr>
          <w:trHeight w:val="20"/>
        </w:trPr>
        <w:tc>
          <w:tcPr>
            <w:tcW w:w="720" w:type="dxa"/>
            <w:shd w:val="clear" w:color="auto" w:fill="auto"/>
            <w:vAlign w:val="center"/>
            <w:hideMark/>
          </w:tcPr>
          <w:p w14:paraId="6C00DC19"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60</w:t>
            </w:r>
          </w:p>
        </w:tc>
        <w:tc>
          <w:tcPr>
            <w:tcW w:w="6336" w:type="dxa"/>
            <w:shd w:val="clear" w:color="auto" w:fill="auto"/>
            <w:vAlign w:val="center"/>
            <w:hideMark/>
          </w:tcPr>
          <w:p w14:paraId="7808A30A" w14:textId="4A6015A7"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Com-Central Computer Irrigation Controller-Stat</w:t>
            </w:r>
          </w:p>
        </w:tc>
      </w:tr>
      <w:tr w:rsidR="004D0911" w:rsidRPr="0017465E" w14:paraId="1A6B93AC" w14:textId="77777777" w:rsidTr="004D0911">
        <w:trPr>
          <w:trHeight w:val="20"/>
        </w:trPr>
        <w:tc>
          <w:tcPr>
            <w:tcW w:w="720" w:type="dxa"/>
            <w:shd w:val="clear" w:color="auto" w:fill="auto"/>
            <w:vAlign w:val="center"/>
            <w:hideMark/>
          </w:tcPr>
          <w:p w14:paraId="51504E2A"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61</w:t>
            </w:r>
          </w:p>
        </w:tc>
        <w:tc>
          <w:tcPr>
            <w:tcW w:w="6336" w:type="dxa"/>
            <w:shd w:val="clear" w:color="auto" w:fill="auto"/>
            <w:vAlign w:val="center"/>
            <w:hideMark/>
          </w:tcPr>
          <w:p w14:paraId="10D36F90" w14:textId="15D23863"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Com-Rotary Multi-Stream Nozzle </w:t>
            </w:r>
          </w:p>
        </w:tc>
      </w:tr>
      <w:tr w:rsidR="004D0911" w:rsidRPr="0017465E" w14:paraId="3E614E48" w14:textId="77777777" w:rsidTr="004D0911">
        <w:trPr>
          <w:trHeight w:val="20"/>
        </w:trPr>
        <w:tc>
          <w:tcPr>
            <w:tcW w:w="720" w:type="dxa"/>
            <w:shd w:val="clear" w:color="auto" w:fill="auto"/>
            <w:vAlign w:val="center"/>
            <w:hideMark/>
          </w:tcPr>
          <w:p w14:paraId="2C0CF558"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t>62</w:t>
            </w:r>
          </w:p>
        </w:tc>
        <w:tc>
          <w:tcPr>
            <w:tcW w:w="6336" w:type="dxa"/>
            <w:shd w:val="clear" w:color="auto" w:fill="auto"/>
            <w:vAlign w:val="center"/>
            <w:hideMark/>
          </w:tcPr>
          <w:p w14:paraId="082CEBDE" w14:textId="27F73C6E"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Com-Large Rotary Nozzle</w:t>
            </w:r>
          </w:p>
        </w:tc>
      </w:tr>
      <w:tr w:rsidR="004D0911" w:rsidRPr="0017465E" w14:paraId="6457F74C" w14:textId="77777777" w:rsidTr="004D0911">
        <w:trPr>
          <w:trHeight w:val="20"/>
        </w:trPr>
        <w:tc>
          <w:tcPr>
            <w:tcW w:w="720" w:type="dxa"/>
            <w:shd w:val="clear" w:color="auto" w:fill="auto"/>
            <w:vAlign w:val="center"/>
            <w:hideMark/>
          </w:tcPr>
          <w:p w14:paraId="3605078F" w14:textId="77777777" w:rsidR="004D0911" w:rsidRPr="0017465E" w:rsidRDefault="004D0911" w:rsidP="00513C36">
            <w:pPr>
              <w:spacing w:before="0" w:after="0" w:line="240" w:lineRule="auto"/>
              <w:jc w:val="center"/>
              <w:rPr>
                <w:rFonts w:eastAsia="Times New Roman" w:cs="Calibri Light"/>
                <w:color w:val="000000"/>
                <w:sz w:val="20"/>
                <w:szCs w:val="20"/>
              </w:rPr>
            </w:pPr>
            <w:r w:rsidRPr="0017465E">
              <w:rPr>
                <w:rFonts w:eastAsia="Times New Roman" w:cs="Calibri Light"/>
                <w:color w:val="000000"/>
                <w:sz w:val="20"/>
                <w:szCs w:val="20"/>
              </w:rPr>
              <w:lastRenderedPageBreak/>
              <w:t>63</w:t>
            </w:r>
          </w:p>
        </w:tc>
        <w:tc>
          <w:tcPr>
            <w:tcW w:w="6336" w:type="dxa"/>
            <w:shd w:val="clear" w:color="auto" w:fill="auto"/>
            <w:vAlign w:val="center"/>
            <w:hideMark/>
          </w:tcPr>
          <w:p w14:paraId="79FFC5E6" w14:textId="7B5D0CD5" w:rsidR="004D0911" w:rsidRPr="0017465E" w:rsidRDefault="004D0911" w:rsidP="00513C36">
            <w:pPr>
              <w:spacing w:before="0" w:after="0" w:line="240" w:lineRule="auto"/>
              <w:rPr>
                <w:rFonts w:eastAsia="Times New Roman" w:cs="Calibri Light"/>
                <w:color w:val="000000"/>
                <w:sz w:val="20"/>
                <w:szCs w:val="20"/>
              </w:rPr>
            </w:pPr>
            <w:r w:rsidRPr="0017465E">
              <w:rPr>
                <w:rFonts w:eastAsia="Times New Roman" w:cs="Calibri Light"/>
                <w:color w:val="000000"/>
                <w:sz w:val="20"/>
                <w:szCs w:val="20"/>
              </w:rPr>
              <w:t>Com-Turf Removal (/square foot)</w:t>
            </w:r>
          </w:p>
        </w:tc>
      </w:tr>
      <w:bookmarkEnd w:id="13"/>
    </w:tbl>
    <w:p w14:paraId="7340581D" w14:textId="77777777" w:rsidR="002942B0" w:rsidRDefault="002942B0" w:rsidP="002942B0"/>
    <w:p w14:paraId="54FD79D6" w14:textId="3AA817DF" w:rsidR="00E70CBD" w:rsidRDefault="00E70CBD" w:rsidP="00462BB6">
      <w:pPr>
        <w:pStyle w:val="eTRMHeading3"/>
      </w:pPr>
      <w:bookmarkStart w:id="15" w:name="_Toc486490849"/>
      <w:bookmarkStart w:id="16" w:name="_Toc486580920"/>
      <w:bookmarkStart w:id="17" w:name="_Toc42682470"/>
      <w:r w:rsidRPr="004B06E3">
        <w:t>Base Case Description</w:t>
      </w:r>
      <w:bookmarkEnd w:id="15"/>
      <w:bookmarkEnd w:id="16"/>
      <w:bookmarkEnd w:id="17"/>
      <w:r w:rsidRPr="00171BB8">
        <w:t xml:space="preserve"> </w:t>
      </w:r>
    </w:p>
    <w:p w14:paraId="2706B705" w14:textId="5214917B" w:rsidR="0043320F" w:rsidRDefault="00EB2A06" w:rsidP="0043320F">
      <w:r w:rsidRPr="00852BA9">
        <w:t xml:space="preserve">The WEN measures identified in the Measure </w:t>
      </w:r>
      <w:r w:rsidR="00513C36">
        <w:t xml:space="preserve">Case </w:t>
      </w:r>
      <w:r w:rsidRPr="00852BA9">
        <w:t xml:space="preserve">Description are </w:t>
      </w:r>
      <w:r w:rsidR="00AB2646" w:rsidRPr="00852BA9">
        <w:t>defined as “</w:t>
      </w:r>
      <w:r w:rsidRPr="00852BA9">
        <w:t>rider measures</w:t>
      </w:r>
      <w:r w:rsidR="00513C36">
        <w:t>”</w:t>
      </w:r>
      <w:r w:rsidRPr="00852BA9">
        <w:t xml:space="preserve"> </w:t>
      </w:r>
      <w:r w:rsidR="00852BA9" w:rsidRPr="00852BA9">
        <w:t>for which the</w:t>
      </w:r>
      <w:r w:rsidR="00852BA9" w:rsidRPr="007D6B25">
        <w:t xml:space="preserve"> incremental</w:t>
      </w:r>
      <w:r w:rsidR="00852BA9">
        <w:t xml:space="preserve"> embedded energy</w:t>
      </w:r>
      <w:r w:rsidR="00852BA9" w:rsidRPr="007D6B25">
        <w:t xml:space="preserve"> savings</w:t>
      </w:r>
      <w:r w:rsidR="00852BA9">
        <w:t xml:space="preserve"> were estimated. </w:t>
      </w:r>
      <w:r w:rsidR="001162A6">
        <w:t>Therefore,</w:t>
      </w:r>
      <w:r>
        <w:t xml:space="preserve"> the base case </w:t>
      </w:r>
      <w:r w:rsidR="00BA1BBA">
        <w:t xml:space="preserve">is </w:t>
      </w:r>
      <w:r>
        <w:t xml:space="preserve">defined </w:t>
      </w:r>
      <w:r w:rsidR="00BA1BBA">
        <w:t xml:space="preserve">as the base case assumed for each specific measure to estimate the water savings required for the Water-Energy Calculator. </w:t>
      </w:r>
      <w:r w:rsidR="006E3674">
        <w:t xml:space="preserve"> </w:t>
      </w:r>
    </w:p>
    <w:p w14:paraId="33416009" w14:textId="77777777" w:rsidR="00FE16C0" w:rsidRPr="004B06E3" w:rsidRDefault="00FE16C0" w:rsidP="00852BA9">
      <w:pPr>
        <w:tabs>
          <w:tab w:val="left" w:pos="5520"/>
        </w:tabs>
      </w:pPr>
    </w:p>
    <w:p w14:paraId="7D9DA4A6" w14:textId="77777777" w:rsidR="007D230B" w:rsidRPr="00171BB8" w:rsidRDefault="007D230B" w:rsidP="004F705B">
      <w:pPr>
        <w:pStyle w:val="eTRMHeading3"/>
      </w:pPr>
      <w:bookmarkStart w:id="18" w:name="_Toc486490850"/>
      <w:bookmarkStart w:id="19" w:name="_Toc486580921"/>
      <w:bookmarkStart w:id="20" w:name="_Toc42682471"/>
      <w:r w:rsidRPr="004B06E3">
        <w:t>Code Requirements</w:t>
      </w:r>
      <w:bookmarkEnd w:id="18"/>
      <w:bookmarkEnd w:id="19"/>
      <w:bookmarkEnd w:id="20"/>
    </w:p>
    <w:p w14:paraId="379B9D22" w14:textId="5980818A" w:rsidR="00552EAA" w:rsidRPr="00185302" w:rsidRDefault="00852BA9" w:rsidP="00552EAA">
      <w:r w:rsidRPr="00852BA9">
        <w:t>The WEN measures identified in the Measure Description section are defined as “rider measures</w:t>
      </w:r>
      <w:r w:rsidR="00513C36">
        <w:t>”</w:t>
      </w:r>
      <w:r w:rsidRPr="00852BA9">
        <w:t xml:space="preserve"> for which the</w:t>
      </w:r>
      <w:r w:rsidRPr="007D6B25">
        <w:t xml:space="preserve"> incremental</w:t>
      </w:r>
      <w:r>
        <w:t xml:space="preserve"> embedded energy</w:t>
      </w:r>
      <w:r w:rsidRPr="007D6B25">
        <w:t xml:space="preserve"> savings</w:t>
      </w:r>
      <w:r>
        <w:t xml:space="preserve"> were estimated. Therefore, the WEN measures </w:t>
      </w:r>
      <w:r w:rsidR="00AB2646">
        <w:t>are subject</w:t>
      </w:r>
      <w:r w:rsidR="00552EAA">
        <w:t xml:space="preserve"> to the applicable codes and standards identified in the </w:t>
      </w:r>
      <w:r w:rsidR="006E3674">
        <w:t xml:space="preserve">Code Requirements </w:t>
      </w:r>
      <w:r w:rsidR="00BA1BBA">
        <w:t>for each specific</w:t>
      </w:r>
      <w:r w:rsidR="006E3674">
        <w:t xml:space="preserve"> </w:t>
      </w:r>
      <w:r w:rsidR="00BA1BBA">
        <w:t>IOU WEN measure</w:t>
      </w:r>
      <w:r w:rsidR="006E3674">
        <w:t xml:space="preserve"> </w:t>
      </w:r>
      <w:r w:rsidR="00A91DA4">
        <w:t xml:space="preserve">workpaper </w:t>
      </w:r>
      <w:r w:rsidR="00552EAA" w:rsidRPr="00185302">
        <w:t>a</w:t>
      </w:r>
      <w:r w:rsidR="00552EAA">
        <w:t>nd</w:t>
      </w:r>
      <w:r w:rsidR="006E3674">
        <w:t xml:space="preserve"> </w:t>
      </w:r>
      <w:r w:rsidR="00AB2646">
        <w:t xml:space="preserve">MWD </w:t>
      </w:r>
      <w:r w:rsidR="00BA1BBA">
        <w:t>WEN measure</w:t>
      </w:r>
      <w:r w:rsidR="00AB2646">
        <w:t>.</w:t>
      </w:r>
      <w:r w:rsidR="00AB2646">
        <w:rPr>
          <w:rStyle w:val="FootnoteReference"/>
        </w:rPr>
        <w:footnoteReference w:id="7"/>
      </w:r>
      <w:r w:rsidR="00AB2646">
        <w:t xml:space="preserve"> </w:t>
      </w:r>
      <w:r w:rsidR="006E3674">
        <w:t>Additionally</w:t>
      </w:r>
      <w:r w:rsidR="00552EAA">
        <w:t xml:space="preserve">, </w:t>
      </w:r>
      <w:r w:rsidR="0001248B">
        <w:t>the MWD Integrated Water Resources Plan</w:t>
      </w:r>
      <w:r w:rsidR="0001248B" w:rsidRPr="0001248B">
        <w:rPr>
          <w:rStyle w:val="FootnoteReference"/>
        </w:rPr>
        <w:footnoteReference w:id="8"/>
      </w:r>
      <w:r w:rsidR="00552EAA" w:rsidRPr="00932535">
        <w:t xml:space="preserve"> </w:t>
      </w:r>
      <w:r w:rsidR="00AB2646">
        <w:t>and</w:t>
      </w:r>
      <w:r w:rsidR="00552EAA" w:rsidRPr="00932535">
        <w:t xml:space="preserve"> D.15-09-023</w:t>
      </w:r>
      <w:r w:rsidR="0001248B">
        <w:rPr>
          <w:rStyle w:val="FootnoteReference"/>
        </w:rPr>
        <w:footnoteReference w:id="9"/>
      </w:r>
      <w:r w:rsidR="00552EAA" w:rsidRPr="00932535">
        <w:t xml:space="preserve"> address </w:t>
      </w:r>
      <w:r w:rsidR="00AB2646">
        <w:t>California</w:t>
      </w:r>
      <w:r w:rsidR="00552EAA" w:rsidRPr="00932535">
        <w:t xml:space="preserve"> Plumbing Code and certain </w:t>
      </w:r>
      <w:r w:rsidR="006E3674">
        <w:t xml:space="preserve">Building Energy Efficiency Standards (Title </w:t>
      </w:r>
      <w:r w:rsidR="006E3674" w:rsidRPr="00A91DA4">
        <w:t>24)</w:t>
      </w:r>
      <w:r w:rsidR="00552EAA" w:rsidRPr="00A91DA4">
        <w:t xml:space="preserve"> ramifications. </w:t>
      </w:r>
    </w:p>
    <w:p w14:paraId="6A0839BE" w14:textId="77777777" w:rsidR="00FE16C0" w:rsidRDefault="00FE16C0" w:rsidP="0011498C"/>
    <w:p w14:paraId="1EE16D20" w14:textId="77777777" w:rsidR="007D230B" w:rsidRPr="00171BB8" w:rsidRDefault="007D230B" w:rsidP="00462BB6">
      <w:pPr>
        <w:pStyle w:val="eTRMHeading3"/>
      </w:pPr>
      <w:bookmarkStart w:id="21" w:name="_Toc486490851"/>
      <w:bookmarkStart w:id="22" w:name="_Toc486580922"/>
      <w:bookmarkStart w:id="23" w:name="_Toc42682472"/>
      <w:r w:rsidRPr="00A83458">
        <w:t>Normalizing</w:t>
      </w:r>
      <w:r w:rsidRPr="00171BB8">
        <w:t xml:space="preserve"> Unit</w:t>
      </w:r>
      <w:bookmarkEnd w:id="21"/>
      <w:bookmarkEnd w:id="22"/>
      <w:bookmarkEnd w:id="23"/>
    </w:p>
    <w:p w14:paraId="68970D02" w14:textId="15EBA1C8" w:rsidR="00EB2A06" w:rsidRDefault="00852BA9" w:rsidP="00EB2A06">
      <w:r w:rsidRPr="00852BA9">
        <w:t>The WEN measures identified in the Measure Description section are defined as “rider measures</w:t>
      </w:r>
      <w:r w:rsidR="0001248B">
        <w:t>”</w:t>
      </w:r>
      <w:r w:rsidRPr="00852BA9">
        <w:t xml:space="preserve"> for which the</w:t>
      </w:r>
      <w:r w:rsidRPr="007D6B25">
        <w:t xml:space="preserve"> incremental</w:t>
      </w:r>
      <w:r>
        <w:t xml:space="preserve"> embedded energy</w:t>
      </w:r>
      <w:r w:rsidRPr="007D6B25">
        <w:t xml:space="preserve"> savings</w:t>
      </w:r>
      <w:r>
        <w:t xml:space="preserve"> were estimated. T</w:t>
      </w:r>
      <w:r w:rsidR="00EB2A06">
        <w:t>herefore</w:t>
      </w:r>
      <w:r>
        <w:t>,</w:t>
      </w:r>
      <w:r w:rsidR="00EB2A06">
        <w:t xml:space="preserve"> the normalizing unit is </w:t>
      </w:r>
      <w:r w:rsidR="00BA1BBA">
        <w:t xml:space="preserve">the unit </w:t>
      </w:r>
      <w:r w:rsidR="00EB2A06">
        <w:t xml:space="preserve">defined for each </w:t>
      </w:r>
      <w:r w:rsidR="00BA1BBA">
        <w:t>specific IOU WEN measure</w:t>
      </w:r>
      <w:r w:rsidR="00A91DA4">
        <w:t xml:space="preserve"> workpaper</w:t>
      </w:r>
      <w:r w:rsidR="00BA1BBA">
        <w:t xml:space="preserve"> and MWD WEN measure.</w:t>
      </w:r>
      <w:r w:rsidR="00AB2646">
        <w:rPr>
          <w:rStyle w:val="FootnoteReference"/>
        </w:rPr>
        <w:footnoteReference w:id="10"/>
      </w:r>
    </w:p>
    <w:p w14:paraId="0115BB45" w14:textId="77777777" w:rsidR="009C31A4" w:rsidRPr="007D230B" w:rsidRDefault="009C31A4" w:rsidP="00486585"/>
    <w:p w14:paraId="2F4904E6" w14:textId="26DD1567" w:rsidR="007D230B" w:rsidRDefault="007D230B" w:rsidP="00462BB6">
      <w:pPr>
        <w:pStyle w:val="eTRMHeading3"/>
      </w:pPr>
      <w:bookmarkStart w:id="24" w:name="_Toc486490852"/>
      <w:bookmarkStart w:id="25" w:name="_Toc486580923"/>
      <w:bookmarkStart w:id="26" w:name="_Toc42682473"/>
      <w:r w:rsidRPr="004B06E3">
        <w:t>Program Requirements</w:t>
      </w:r>
      <w:bookmarkEnd w:id="24"/>
      <w:bookmarkEnd w:id="25"/>
      <w:bookmarkEnd w:id="26"/>
      <w:r w:rsidRPr="004B06E3">
        <w:t xml:space="preserve"> </w:t>
      </w:r>
    </w:p>
    <w:p w14:paraId="648968E8" w14:textId="77777777" w:rsidR="00304988" w:rsidRDefault="00304988" w:rsidP="00304988">
      <w:pPr>
        <w:pStyle w:val="eTRMHeading5"/>
        <w:keepNext/>
        <w:keepLines/>
      </w:pPr>
      <w:r>
        <w:t>Measure Implementation Eligibility</w:t>
      </w:r>
    </w:p>
    <w:p w14:paraId="0EDA2D3D" w14:textId="1677E264" w:rsidR="00304988" w:rsidRDefault="00852BA9" w:rsidP="00304988">
      <w:r w:rsidRPr="00852BA9">
        <w:t>The WEN measures identified in the Measure Description section are defined as “rider measures</w:t>
      </w:r>
      <w:r w:rsidR="0001248B">
        <w:t>”</w:t>
      </w:r>
      <w:r w:rsidRPr="00852BA9">
        <w:t xml:space="preserve"> for which the</w:t>
      </w:r>
      <w:r w:rsidRPr="007D6B25">
        <w:t xml:space="preserve"> incremental</w:t>
      </w:r>
      <w:r>
        <w:t xml:space="preserve"> embedded energy</w:t>
      </w:r>
      <w:r w:rsidRPr="007D6B25">
        <w:t xml:space="preserve"> savings</w:t>
      </w:r>
      <w:r>
        <w:t xml:space="preserve"> were estimated. The WEN measures </w:t>
      </w:r>
      <w:r w:rsidR="00304988">
        <w:t xml:space="preserve">adhere to the </w:t>
      </w:r>
      <w:r w:rsidR="00304988">
        <w:lastRenderedPageBreak/>
        <w:t>measure application type</w:t>
      </w:r>
      <w:r w:rsidR="00AB2646">
        <w:t>,</w:t>
      </w:r>
      <w:r w:rsidR="00304988">
        <w:t xml:space="preserve"> delivery type</w:t>
      </w:r>
      <w:r w:rsidR="00AB2646">
        <w:t>, and sector combinations</w:t>
      </w:r>
      <w:r w:rsidR="00304988">
        <w:t xml:space="preserve"> </w:t>
      </w:r>
      <w:r w:rsidR="00EA6427">
        <w:t>of each specific IOU WEN measure and MWD WEN measure</w:t>
      </w:r>
      <w:r w:rsidR="00AB2646">
        <w:t>.</w:t>
      </w:r>
      <w:r w:rsidR="00AB2646">
        <w:rPr>
          <w:rStyle w:val="FootnoteReference"/>
        </w:rPr>
        <w:footnoteReference w:id="11"/>
      </w:r>
    </w:p>
    <w:p w14:paraId="36AF9D2E" w14:textId="262AF79C" w:rsidR="000221AC" w:rsidRDefault="000221AC" w:rsidP="000221AC">
      <w:r w:rsidRPr="00932535">
        <w:t xml:space="preserve">A goal of </w:t>
      </w:r>
      <w:r w:rsidR="00A91DA4">
        <w:t>the WEN measure implementation</w:t>
      </w:r>
      <w:r w:rsidRPr="00932535">
        <w:t xml:space="preserve"> should </w:t>
      </w:r>
      <w:r>
        <w:t xml:space="preserve">be to </w:t>
      </w:r>
      <w:r w:rsidRPr="00932535">
        <w:t>minimize customer requirements to file multiple incentive applications with multiple parties. To realize this goal, appropriate delivery mechanisms sh</w:t>
      </w:r>
      <w:r>
        <w:t xml:space="preserve">ould be evaluated and applied. </w:t>
      </w:r>
      <w:r w:rsidRPr="00932535">
        <w:t xml:space="preserve">An assessment of how to integrate the delivery mechanism between incentives offered by water agencies and those offered for energy efficiency needs to be discussed.  </w:t>
      </w:r>
    </w:p>
    <w:p w14:paraId="10EB2A88" w14:textId="77777777" w:rsidR="00EA6427" w:rsidRDefault="00EA6427" w:rsidP="00EA6427"/>
    <w:p w14:paraId="50711562" w14:textId="55BB63A9" w:rsidR="00AA46AF" w:rsidRDefault="00196649" w:rsidP="00154391">
      <w:pPr>
        <w:pStyle w:val="eTRMHeading5"/>
      </w:pPr>
      <w:r>
        <w:t>Eligible Products</w:t>
      </w:r>
    </w:p>
    <w:p w14:paraId="5456B1E9" w14:textId="37A469B1" w:rsidR="00063EE5" w:rsidRDefault="00D70C60" w:rsidP="00AB2646">
      <w:r>
        <w:t xml:space="preserve">Eligible products </w:t>
      </w:r>
      <w:r w:rsidR="00AB2646">
        <w:t>include all measures</w:t>
      </w:r>
      <w:r w:rsidR="00EA6427">
        <w:t xml:space="preserve"> </w:t>
      </w:r>
      <w:r w:rsidR="00AB2646">
        <w:t>specified</w:t>
      </w:r>
      <w:r>
        <w:t xml:space="preserve"> in the Measure Case Description</w:t>
      </w:r>
      <w:r w:rsidR="00FE16C0">
        <w:t xml:space="preserve"> and </w:t>
      </w:r>
      <w:r w:rsidR="009D28A8" w:rsidRPr="009D28A8">
        <w:t>RMS Consulting, LLC. “202</w:t>
      </w:r>
      <w:r w:rsidR="00BE508B">
        <w:t>1</w:t>
      </w:r>
      <w:r w:rsidR="009D28A8" w:rsidRPr="009D28A8">
        <w:t xml:space="preserve"> WEN Master Spreadsheet.xlsx.” Prepared for San Diego Gas &amp; Electric (SDG&amp;E)</w:t>
      </w:r>
      <w:r>
        <w:t>.</w:t>
      </w:r>
    </w:p>
    <w:p w14:paraId="2B4DA1AF" w14:textId="77777777" w:rsidR="00063EE5" w:rsidRDefault="00063EE5"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517B1A07" w14:textId="048EB8CB" w:rsidR="00571D95" w:rsidRDefault="00852BA9" w:rsidP="00571D95">
      <w:r>
        <w:t xml:space="preserve">The eligible building types and vintages of each WEN measure are specified </w:t>
      </w:r>
      <w:r w:rsidR="00A91DA4">
        <w:t>in each IOU WEN measure workpaper</w:t>
      </w:r>
      <w:r>
        <w:t xml:space="preserve"> </w:t>
      </w:r>
      <w:r w:rsidRPr="00185302">
        <w:t>a</w:t>
      </w:r>
      <w:r>
        <w:t>nd/or the MWD water savings list.</w:t>
      </w:r>
      <w:r>
        <w:rPr>
          <w:rStyle w:val="FootnoteReference"/>
        </w:rPr>
        <w:footnoteReference w:id="12"/>
      </w:r>
    </w:p>
    <w:p w14:paraId="3C775275" w14:textId="77777777" w:rsidR="00EA6427" w:rsidRPr="00571D95" w:rsidRDefault="00EA6427" w:rsidP="00571D95"/>
    <w:p w14:paraId="1A3705F3" w14:textId="4BC0985D" w:rsidR="007B6A74" w:rsidRPr="004B06E3" w:rsidRDefault="00196649" w:rsidP="00154391">
      <w:pPr>
        <w:pStyle w:val="eTRMHeading5"/>
      </w:pPr>
      <w:r>
        <w:t>Eligible Climate Zones</w:t>
      </w:r>
    </w:p>
    <w:p w14:paraId="5D2695ED" w14:textId="47976B57" w:rsidR="00852BA9" w:rsidRDefault="00EA6427" w:rsidP="00852BA9">
      <w:r>
        <w:t>See “Hydraulic Region to Climate Zone Mapping” in the Electric Savings section.</w:t>
      </w:r>
    </w:p>
    <w:p w14:paraId="34FF761D" w14:textId="77777777" w:rsidR="006C41AD" w:rsidRPr="004B06E3" w:rsidRDefault="006C41AD" w:rsidP="004B06E3"/>
    <w:p w14:paraId="47630D60" w14:textId="77777777" w:rsidR="007D230B" w:rsidRPr="004B06E3" w:rsidRDefault="007D230B" w:rsidP="00462BB6">
      <w:pPr>
        <w:pStyle w:val="eTRMHeading3"/>
      </w:pPr>
      <w:bookmarkStart w:id="27" w:name="_Toc486490853"/>
      <w:bookmarkStart w:id="28" w:name="_Toc486580924"/>
      <w:bookmarkStart w:id="29" w:name="_Toc42682474"/>
      <w:r w:rsidRPr="004B06E3">
        <w:t>Program Exclusions</w:t>
      </w:r>
      <w:bookmarkEnd w:id="27"/>
      <w:bookmarkEnd w:id="28"/>
      <w:bookmarkEnd w:id="29"/>
      <w:r w:rsidRPr="004B06E3">
        <w:t xml:space="preserve"> </w:t>
      </w:r>
    </w:p>
    <w:p w14:paraId="58015471" w14:textId="7CDD90B9" w:rsidR="00065E54" w:rsidRDefault="0043320F" w:rsidP="00065E54">
      <w:r>
        <w:t>None.</w:t>
      </w:r>
    </w:p>
    <w:p w14:paraId="76A9A64F" w14:textId="77777777" w:rsidR="007B6A74" w:rsidRPr="004B06E3" w:rsidRDefault="007B6A74" w:rsidP="004B06E3"/>
    <w:p w14:paraId="655E299F" w14:textId="77777777" w:rsidR="007D230B" w:rsidRPr="004B06E3" w:rsidRDefault="007D230B" w:rsidP="00462BB6">
      <w:pPr>
        <w:pStyle w:val="eTRMHeading3"/>
      </w:pPr>
      <w:bookmarkStart w:id="30" w:name="_Toc486490854"/>
      <w:bookmarkStart w:id="31" w:name="_Toc486580925"/>
      <w:bookmarkStart w:id="32" w:name="_Toc42682475"/>
      <w:r w:rsidRPr="004B06E3">
        <w:t>Data Collection Requirements</w:t>
      </w:r>
      <w:bookmarkEnd w:id="30"/>
      <w:bookmarkEnd w:id="31"/>
      <w:bookmarkEnd w:id="32"/>
      <w:r w:rsidRPr="004B06E3">
        <w:t xml:space="preserve"> </w:t>
      </w:r>
    </w:p>
    <w:p w14:paraId="1CB0E01A" w14:textId="164429B1" w:rsidR="007D230B" w:rsidRPr="004B06E3" w:rsidRDefault="0001248B" w:rsidP="00DD578D">
      <w:r>
        <w:t>Data collection requirements are to be determined.</w:t>
      </w:r>
    </w:p>
    <w:p w14:paraId="49298D4E" w14:textId="77777777" w:rsidR="00750840" w:rsidRPr="004B06E3" w:rsidRDefault="00750840" w:rsidP="004B06E3"/>
    <w:p w14:paraId="4891FCAB" w14:textId="77777777" w:rsidR="007D230B" w:rsidRPr="004B06E3" w:rsidRDefault="007D230B" w:rsidP="00462BB6">
      <w:pPr>
        <w:pStyle w:val="eTRMHeading3"/>
      </w:pPr>
      <w:bookmarkStart w:id="33" w:name="_Toc486490855"/>
      <w:bookmarkStart w:id="34" w:name="_Toc486580926"/>
      <w:bookmarkStart w:id="35" w:name="_Toc42682476"/>
      <w:r w:rsidRPr="004B06E3">
        <w:t>Use Category</w:t>
      </w:r>
      <w:bookmarkEnd w:id="33"/>
      <w:bookmarkEnd w:id="34"/>
      <w:bookmarkEnd w:id="35"/>
    </w:p>
    <w:p w14:paraId="13382FF9" w14:textId="423C7C78" w:rsidR="004142EF" w:rsidRDefault="003046F9" w:rsidP="004B06E3">
      <w:r>
        <w:t>Miscellaneous</w:t>
      </w:r>
    </w:p>
    <w:p w14:paraId="257FEC13" w14:textId="77777777" w:rsidR="003046F9" w:rsidRPr="004B06E3" w:rsidRDefault="003046F9" w:rsidP="004B06E3"/>
    <w:p w14:paraId="4B62D367" w14:textId="370A839E" w:rsidR="007D230B" w:rsidRPr="004B06E3" w:rsidRDefault="007D230B" w:rsidP="00462BB6">
      <w:pPr>
        <w:pStyle w:val="eTRMHeading3"/>
      </w:pPr>
      <w:bookmarkStart w:id="36" w:name="_Toc486490857"/>
      <w:bookmarkStart w:id="37" w:name="_Toc486580928"/>
      <w:bookmarkStart w:id="38" w:name="_Toc42682477"/>
      <w:r w:rsidRPr="004B06E3">
        <w:lastRenderedPageBreak/>
        <w:t>Electric Savings</w:t>
      </w:r>
      <w:r w:rsidR="00245AFF" w:rsidRPr="004B06E3">
        <w:t xml:space="preserve"> (</w:t>
      </w:r>
      <w:r w:rsidR="00E14349" w:rsidRPr="0043320F">
        <w:rPr>
          <w:caps w:val="0"/>
        </w:rPr>
        <w:t>k</w:t>
      </w:r>
      <w:r w:rsidR="00245AFF" w:rsidRPr="0043320F">
        <w:rPr>
          <w:caps w:val="0"/>
        </w:rPr>
        <w:t>Wh</w:t>
      </w:r>
      <w:r w:rsidR="00245AFF" w:rsidRPr="004B06E3">
        <w:t>)</w:t>
      </w:r>
      <w:bookmarkEnd w:id="36"/>
      <w:bookmarkEnd w:id="37"/>
      <w:bookmarkEnd w:id="38"/>
    </w:p>
    <w:p w14:paraId="17E84DE8" w14:textId="4621F5D6" w:rsidR="00720901" w:rsidRDefault="00720901" w:rsidP="00720901">
      <w:r>
        <w:t xml:space="preserve">Embedded </w:t>
      </w:r>
      <w:r w:rsidR="00CD3317">
        <w:t xml:space="preserve">electric </w:t>
      </w:r>
      <w:r>
        <w:t xml:space="preserve">energy savings of the WEN Measures </w:t>
      </w:r>
      <w:r w:rsidR="0001248B">
        <w:t xml:space="preserve">specified in the Measure Case Description </w:t>
      </w:r>
      <w:r>
        <w:t>were calculated with the Water</w:t>
      </w:r>
      <w:r w:rsidR="00BD4834">
        <w:t>-</w:t>
      </w:r>
      <w:r>
        <w:t>Energy Calculator (version 1.05).</w:t>
      </w:r>
      <w:r w:rsidR="004D4B0B">
        <w:rPr>
          <w:rStyle w:val="FootnoteReference"/>
        </w:rPr>
        <w:footnoteReference w:id="13"/>
      </w:r>
      <w:r>
        <w:t xml:space="preserve"> To calculate the embedded energy savings, the </w:t>
      </w:r>
      <w:r w:rsidR="00A85D46">
        <w:t xml:space="preserve">Water-Energy Calculator </w:t>
      </w:r>
      <w:r>
        <w:t xml:space="preserve">requires water savings values from existing approved statewide deemed energy efficiency measures and/or water savings values developed by MWD. </w:t>
      </w:r>
    </w:p>
    <w:p w14:paraId="3F60B76E" w14:textId="7A5F020C" w:rsidR="00B705AD" w:rsidRDefault="00AC4D41" w:rsidP="0011211C">
      <w:r>
        <w:t xml:space="preserve">The </w:t>
      </w:r>
      <w:r w:rsidR="0001248B">
        <w:t>resultant embedded energy savings</w:t>
      </w:r>
      <w:r>
        <w:t xml:space="preserve"> values represent</w:t>
      </w:r>
      <w:r w:rsidR="00063EE5" w:rsidRPr="00134FCD">
        <w:t xml:space="preserve"> incremental energy savings by hydrological zone.</w:t>
      </w:r>
      <w:r w:rsidR="00886CD6">
        <w:t xml:space="preserve"> </w:t>
      </w:r>
      <w:r w:rsidR="0001248B">
        <w:t>Because the unit</w:t>
      </w:r>
      <w:r w:rsidR="00886CD6">
        <w:t xml:space="preserve"> energy savings </w:t>
      </w:r>
      <w:r w:rsidR="00BD4834">
        <w:t xml:space="preserve">(UES) </w:t>
      </w:r>
      <w:r w:rsidR="00886CD6">
        <w:t xml:space="preserve">of </w:t>
      </w:r>
      <w:r w:rsidR="00EA6427">
        <w:t>the IOU WEN measures</w:t>
      </w:r>
      <w:r w:rsidR="00886CD6">
        <w:t xml:space="preserve"> do </w:t>
      </w:r>
      <w:r w:rsidR="00DD578D">
        <w:t>no</w:t>
      </w:r>
      <w:r w:rsidR="00B705AD">
        <w:t>t</w:t>
      </w:r>
      <w:r w:rsidR="00886CD6">
        <w:t xml:space="preserve"> account for embedded</w:t>
      </w:r>
      <w:r w:rsidR="00063EE5" w:rsidRPr="00134FCD">
        <w:t xml:space="preserve"> </w:t>
      </w:r>
      <w:r w:rsidR="00886CD6">
        <w:t>energy</w:t>
      </w:r>
      <w:r w:rsidR="00B705AD">
        <w:t xml:space="preserve"> in water</w:t>
      </w:r>
      <w:r w:rsidR="00EA6427">
        <w:t xml:space="preserve"> (as defined in the Technology Summary)</w:t>
      </w:r>
      <w:r w:rsidR="00886CD6">
        <w:t xml:space="preserve">, the estimated </w:t>
      </w:r>
      <w:r w:rsidR="00BD4834">
        <w:t>embedded energy savings</w:t>
      </w:r>
      <w:r>
        <w:t xml:space="preserve"> for WEN measures</w:t>
      </w:r>
      <w:r w:rsidR="00063EE5" w:rsidRPr="00134FCD">
        <w:t xml:space="preserve"> </w:t>
      </w:r>
      <w:r w:rsidR="00886CD6">
        <w:t>are</w:t>
      </w:r>
      <w:r w:rsidR="00063EE5" w:rsidRPr="00134FCD">
        <w:t xml:space="preserve"> </w:t>
      </w:r>
      <w:r w:rsidR="00063EE5">
        <w:t xml:space="preserve">additive to </w:t>
      </w:r>
      <w:r w:rsidR="00BD4834">
        <w:t>the</w:t>
      </w:r>
      <w:r w:rsidR="00063EE5">
        <w:t xml:space="preserve"> approved </w:t>
      </w:r>
      <w:r w:rsidR="00BD4834">
        <w:t xml:space="preserve">UES values. </w:t>
      </w:r>
      <w:r w:rsidR="00063EE5" w:rsidRPr="00134FCD">
        <w:t xml:space="preserve">The incremental </w:t>
      </w:r>
      <w:r w:rsidR="00BD4834">
        <w:t xml:space="preserve">embedded energy </w:t>
      </w:r>
      <w:r w:rsidR="00063EE5" w:rsidRPr="00134FCD">
        <w:t xml:space="preserve">savings </w:t>
      </w:r>
      <w:r>
        <w:t xml:space="preserve">were </w:t>
      </w:r>
      <w:r w:rsidR="00BD4834">
        <w:t>calculated</w:t>
      </w:r>
      <w:r>
        <w:t xml:space="preserve"> </w:t>
      </w:r>
      <w:r w:rsidR="00063EE5" w:rsidRPr="00134FCD">
        <w:t xml:space="preserve">for the </w:t>
      </w:r>
      <w:r>
        <w:t xml:space="preserve">measures specified in the Measure Case Description. </w:t>
      </w:r>
      <w:r w:rsidR="00063EE5" w:rsidRPr="00134FCD">
        <w:t xml:space="preserve">Other water saving measures may be incorporated </w:t>
      </w:r>
      <w:r w:rsidR="00A85D46" w:rsidRPr="00134FCD">
        <w:t>later</w:t>
      </w:r>
      <w:r w:rsidR="00063EE5">
        <w:t xml:space="preserve"> as data becomes available. </w:t>
      </w:r>
    </w:p>
    <w:p w14:paraId="51679A74" w14:textId="7D53F747" w:rsidR="007D230B" w:rsidRDefault="00BD4834" w:rsidP="00BD4834">
      <w:pPr>
        <w:pStyle w:val="eTRMHeading4"/>
      </w:pPr>
      <w:r>
        <w:t xml:space="preserve">Overview of the </w:t>
      </w:r>
      <w:r w:rsidR="004D4B0B">
        <w:t>Water-Energy</w:t>
      </w:r>
      <w:r>
        <w:t xml:space="preserve"> Calculator Approach</w:t>
      </w:r>
    </w:p>
    <w:p w14:paraId="4C90DC24" w14:textId="65DD0D0D" w:rsidR="00552EAA" w:rsidRDefault="00BD4834" w:rsidP="00552EAA">
      <w:r>
        <w:t>The</w:t>
      </w:r>
      <w:r w:rsidR="00552EAA">
        <w:t xml:space="preserve"> </w:t>
      </w:r>
      <w:r>
        <w:t xml:space="preserve">Water-Energy Calculator </w:t>
      </w:r>
      <w:r w:rsidR="00552EAA">
        <w:t>(</w:t>
      </w:r>
      <w:r w:rsidR="00552EAA" w:rsidRPr="009D3AA5">
        <w:t>version 1.05</w:t>
      </w:r>
      <w:r w:rsidR="00552EAA">
        <w:t xml:space="preserve">) </w:t>
      </w:r>
      <w:r>
        <w:t>calculates</w:t>
      </w:r>
      <w:r w:rsidR="00552EAA">
        <w:t xml:space="preserve"> all three water‐related benefits in a single tool that can be used for analyzing the benefits of water conservation measures. </w:t>
      </w:r>
      <w:r>
        <w:t>Specifically, this tool</w:t>
      </w:r>
      <w:r w:rsidR="00552EAA">
        <w:t xml:space="preserve"> provides:</w:t>
      </w:r>
    </w:p>
    <w:p w14:paraId="5BFEF617" w14:textId="77777777" w:rsidR="00552EAA" w:rsidRDefault="00552EAA" w:rsidP="00552EAA">
      <w:pPr>
        <w:pStyle w:val="ListParagraph"/>
        <w:numPr>
          <w:ilvl w:val="0"/>
          <w:numId w:val="21"/>
        </w:numPr>
        <w:spacing w:before="0" w:after="0" w:line="240" w:lineRule="auto"/>
      </w:pPr>
      <w:r>
        <w:t>Analysis of the Avoided Embedded IOU Energy in Water is contained within the Water Energy Calculator.</w:t>
      </w:r>
    </w:p>
    <w:p w14:paraId="5F736B09" w14:textId="77777777" w:rsidR="00552EAA" w:rsidRDefault="00552EAA" w:rsidP="00552EAA">
      <w:pPr>
        <w:pStyle w:val="ListParagraph"/>
        <w:numPr>
          <w:ilvl w:val="0"/>
          <w:numId w:val="21"/>
        </w:numPr>
        <w:spacing w:before="0" w:after="0" w:line="240" w:lineRule="auto"/>
      </w:pPr>
      <w:r>
        <w:t xml:space="preserve">The Avoided Capacity Cost of Water is calculated by the Avoided Water Capacity Cost Model (developed by the Navigant team). These values feed into the Water Energy Calculator. </w:t>
      </w:r>
    </w:p>
    <w:p w14:paraId="0BCA9B69" w14:textId="77777777" w:rsidR="00552EAA" w:rsidRDefault="00552EAA" w:rsidP="00552EAA">
      <w:pPr>
        <w:pStyle w:val="ListParagraph"/>
        <w:numPr>
          <w:ilvl w:val="0"/>
          <w:numId w:val="21"/>
        </w:numPr>
        <w:spacing w:before="0" w:after="0" w:line="240" w:lineRule="auto"/>
      </w:pPr>
      <w:r>
        <w:t>Environmental Benefits of Reduced Water Use is obtained from secondary data review of existing environmental benefits models.</w:t>
      </w:r>
    </w:p>
    <w:p w14:paraId="42FCB0B5" w14:textId="77777777" w:rsidR="00FE16C0" w:rsidRDefault="00FE16C0" w:rsidP="00453E72">
      <w:pPr>
        <w:pStyle w:val="Caption"/>
      </w:pPr>
      <w:bookmarkStart w:id="39" w:name="_Ref467338646"/>
      <w:r>
        <w:lastRenderedPageBreak/>
        <w:drawing>
          <wp:inline distT="0" distB="0" distL="0" distR="0" wp14:anchorId="7380FCDA" wp14:editId="2706C5C8">
            <wp:extent cx="4292600" cy="302909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23619" t="24080" r="20779" b="6126"/>
                    <a:stretch/>
                  </pic:blipFill>
                  <pic:spPr bwMode="auto">
                    <a:xfrm>
                      <a:off x="0" y="0"/>
                      <a:ext cx="4299184" cy="3033740"/>
                    </a:xfrm>
                    <a:prstGeom prst="rect">
                      <a:avLst/>
                    </a:prstGeom>
                    <a:ln>
                      <a:noFill/>
                    </a:ln>
                    <a:extLst>
                      <a:ext uri="{53640926-AAD7-44D8-BBD7-CCE9431645EC}">
                        <a14:shadowObscured xmlns:a14="http://schemas.microsoft.com/office/drawing/2010/main"/>
                      </a:ext>
                    </a:extLst>
                  </pic:spPr>
                </pic:pic>
              </a:graphicData>
            </a:graphic>
          </wp:inline>
        </w:drawing>
      </w:r>
    </w:p>
    <w:p w14:paraId="2C16F62E" w14:textId="6A83425C" w:rsidR="00552EAA" w:rsidRDefault="00552EAA" w:rsidP="00453E72">
      <w:pPr>
        <w:pStyle w:val="Caption"/>
      </w:pPr>
      <w:r>
        <w:t xml:space="preserve">Figure </w:t>
      </w:r>
      <w:r>
        <w:fldChar w:fldCharType="begin"/>
      </w:r>
      <w:r>
        <w:instrText xml:space="preserve"> SEQ Figure \* ARABIC </w:instrText>
      </w:r>
      <w:r>
        <w:fldChar w:fldCharType="separate"/>
      </w:r>
      <w:r w:rsidR="00695DD3">
        <w:t>1</w:t>
      </w:r>
      <w:r>
        <w:fldChar w:fldCharType="end"/>
      </w:r>
      <w:bookmarkEnd w:id="39"/>
      <w:r>
        <w:t>: Overview of Tools and Analysis</w:t>
      </w:r>
    </w:p>
    <w:p w14:paraId="6E0F34A4" w14:textId="03B5E8F1" w:rsidR="0011211C" w:rsidRDefault="0011211C" w:rsidP="0011211C"/>
    <w:p w14:paraId="07EF1D27" w14:textId="42290D57" w:rsidR="00552EAA" w:rsidRPr="00853F04" w:rsidRDefault="00552EAA" w:rsidP="00AC4D41">
      <w:pPr>
        <w:keepNext/>
        <w:keepLines/>
      </w:pPr>
      <w:r w:rsidRPr="00853F04">
        <w:t xml:space="preserve">The </w:t>
      </w:r>
      <w:r w:rsidR="004D4B0B">
        <w:t>Water-Energy</w:t>
      </w:r>
      <w:r w:rsidRPr="00853F04">
        <w:t xml:space="preserve"> Calculator estimates IOU and non‐IOU</w:t>
      </w:r>
      <w:r>
        <w:t xml:space="preserve"> embedded energy savings. These </w:t>
      </w:r>
      <w:r w:rsidRPr="00853F04">
        <w:t>embedded energy savings consider the energy intensity of the weighted average mix of water supplies to a given region as well as the energy intensities of the other system components (treatment, distribution, and wastewater systems as appropriate).</w:t>
      </w:r>
    </w:p>
    <w:p w14:paraId="190C5FB5" w14:textId="02FC2FA1" w:rsidR="00552EAA" w:rsidRDefault="00431A2D" w:rsidP="00552EAA">
      <w:pPr>
        <w:rPr>
          <w:noProof/>
        </w:rPr>
      </w:pPr>
      <w:r>
        <w:rPr>
          <w:noProof/>
        </w:rPr>
        <w:t>The</w:t>
      </w:r>
      <w:r w:rsidR="00552EAA">
        <w:rPr>
          <w:noProof/>
        </w:rPr>
        <w:t xml:space="preserve"> </w:t>
      </w:r>
      <w:r w:rsidR="004D4B0B">
        <w:t>Water-Energy</w:t>
      </w:r>
      <w:r w:rsidR="004D4B0B" w:rsidRPr="00853F04">
        <w:t xml:space="preserve"> Calculator </w:t>
      </w:r>
      <w:r>
        <w:rPr>
          <w:noProof/>
        </w:rPr>
        <w:t>requires</w:t>
      </w:r>
      <w:r w:rsidR="00552EAA" w:rsidRPr="00853F04">
        <w:rPr>
          <w:noProof/>
        </w:rPr>
        <w:t xml:space="preserve"> water savings values </w:t>
      </w:r>
      <w:r>
        <w:rPr>
          <w:noProof/>
        </w:rPr>
        <w:t xml:space="preserve">developed for measures implemented in the IOU portfolios (“IOU WEN measures”) </w:t>
      </w:r>
      <w:r w:rsidR="00552EAA" w:rsidRPr="00853F04">
        <w:rPr>
          <w:noProof/>
        </w:rPr>
        <w:t>and water savings values developed by the Metropolitan Water District (MWD)</w:t>
      </w:r>
      <w:r>
        <w:rPr>
          <w:noProof/>
        </w:rPr>
        <w:t>, referred to as “MWD WEN measures</w:t>
      </w:r>
      <w:r w:rsidR="00552EAA" w:rsidRPr="00853F04">
        <w:rPr>
          <w:noProof/>
        </w:rPr>
        <w:t>.</w:t>
      </w:r>
      <w:r>
        <w:rPr>
          <w:noProof/>
        </w:rPr>
        <w:t>”</w:t>
      </w:r>
      <w:r w:rsidR="00552EAA">
        <w:rPr>
          <w:noProof/>
        </w:rPr>
        <w:t xml:space="preserve"> The following sections detail the step-by-step procedure on how the final embedded water energy savings are outputted from the </w:t>
      </w:r>
      <w:r w:rsidR="004D4B0B">
        <w:t>Water-Energy</w:t>
      </w:r>
      <w:r w:rsidR="004D4B0B" w:rsidRPr="00853F04">
        <w:t xml:space="preserve"> Calculator</w:t>
      </w:r>
      <w:r w:rsidR="00552EAA">
        <w:rPr>
          <w:noProof/>
        </w:rPr>
        <w:t>.</w:t>
      </w:r>
    </w:p>
    <w:p w14:paraId="0AC0740E" w14:textId="0F307CAE" w:rsidR="00552EAA" w:rsidRDefault="00552EAA" w:rsidP="00F25633">
      <w:pPr>
        <w:pStyle w:val="eTRMHeading4"/>
      </w:pPr>
      <w:r w:rsidRPr="00EC05E7">
        <w:t xml:space="preserve">Embedded Energy Savings </w:t>
      </w:r>
      <w:r w:rsidR="00431A2D">
        <w:t>of IOU WEN Measures</w:t>
      </w:r>
      <w:r w:rsidRPr="00EC05E7">
        <w:t xml:space="preserve"> </w:t>
      </w:r>
    </w:p>
    <w:p w14:paraId="69E408B9" w14:textId="45AC77B8" w:rsidR="004D0C1B" w:rsidRDefault="00552EAA" w:rsidP="004D0C1B">
      <w:r>
        <w:t xml:space="preserve">A </w:t>
      </w:r>
      <w:r w:rsidR="00E03224">
        <w:t xml:space="preserve">list of </w:t>
      </w:r>
      <w:r>
        <w:t xml:space="preserve">statewide </w:t>
      </w:r>
      <w:r w:rsidR="00E03224">
        <w:t xml:space="preserve">IOU energy efficiency measures for which water savings has been estimated </w:t>
      </w:r>
      <w:r>
        <w:t xml:space="preserve">was </w:t>
      </w:r>
      <w:r w:rsidRPr="00A91DA4">
        <w:t>identified</w:t>
      </w:r>
      <w:r w:rsidR="004D0C1B" w:rsidRPr="00A91DA4">
        <w:t xml:space="preserve"> (see </w:t>
      </w:r>
      <w:r w:rsidR="004D0C1B" w:rsidRPr="00A91DA4">
        <w:fldChar w:fldCharType="begin"/>
      </w:r>
      <w:r w:rsidR="004D0C1B" w:rsidRPr="00A91DA4">
        <w:instrText xml:space="preserve"> REF _Ref467339065 \h  \* MERGEFORMAT </w:instrText>
      </w:r>
      <w:r w:rsidR="004D0C1B" w:rsidRPr="00A91DA4">
        <w:fldChar w:fldCharType="separate"/>
      </w:r>
      <w:r w:rsidR="00695DD3">
        <w:t xml:space="preserve">Figure </w:t>
      </w:r>
      <w:r w:rsidR="00695DD3">
        <w:rPr>
          <w:noProof/>
        </w:rPr>
        <w:t>2</w:t>
      </w:r>
      <w:r w:rsidR="004D0C1B" w:rsidRPr="00A91DA4">
        <w:fldChar w:fldCharType="end"/>
      </w:r>
      <w:r w:rsidR="004D0C1B" w:rsidRPr="00A91DA4">
        <w:t>)</w:t>
      </w:r>
      <w:r w:rsidRPr="00A91DA4">
        <w:t xml:space="preserve">. </w:t>
      </w:r>
      <w:r w:rsidR="004D0C1B" w:rsidRPr="00A91DA4">
        <w:t>Each WEN measure was then input into the Water-Energy Calculator.</w:t>
      </w:r>
      <w:r w:rsidR="004D0C1B">
        <w:t xml:space="preserve"> Parameters that are required for the input sheet include: </w:t>
      </w:r>
    </w:p>
    <w:p w14:paraId="6C2F85E9" w14:textId="77777777" w:rsidR="004D0C1B" w:rsidRDefault="004D0C1B" w:rsidP="004D0C1B">
      <w:pPr>
        <w:pStyle w:val="eTRMBulletedText"/>
      </w:pPr>
      <w:r>
        <w:t xml:space="preserve">Annual Water Savings (gallons) </w:t>
      </w:r>
    </w:p>
    <w:p w14:paraId="76311A47" w14:textId="77777777" w:rsidR="004D0C1B" w:rsidRDefault="004D0C1B" w:rsidP="004D0C1B">
      <w:pPr>
        <w:pStyle w:val="eTRMBulletedText"/>
      </w:pPr>
      <w:r>
        <w:t xml:space="preserve">Installation Year </w:t>
      </w:r>
    </w:p>
    <w:p w14:paraId="54C9FF84" w14:textId="77777777" w:rsidR="004D0C1B" w:rsidRDefault="004D0C1B" w:rsidP="004D0C1B">
      <w:pPr>
        <w:pStyle w:val="eTRMBulletedText"/>
      </w:pPr>
      <w:r>
        <w:t>Savings Profile (</w:t>
      </w:r>
      <w:proofErr w:type="gramStart"/>
      <w:r>
        <w:t>i.e.</w:t>
      </w:r>
      <w:proofErr w:type="gramEnd"/>
      <w:r>
        <w:t xml:space="preserve"> Constant, Cooling Tower or Irrigation)</w:t>
      </w:r>
    </w:p>
    <w:p w14:paraId="645C502E" w14:textId="77777777" w:rsidR="004D0C1B" w:rsidRDefault="004D0C1B" w:rsidP="004D0C1B">
      <w:pPr>
        <w:pStyle w:val="eTRMBulletedText"/>
      </w:pPr>
      <w:r>
        <w:t>Hydrologic Region (ten in total)</w:t>
      </w:r>
    </w:p>
    <w:p w14:paraId="447CDDC3" w14:textId="77777777" w:rsidR="004D0C1B" w:rsidRDefault="004D0C1B" w:rsidP="004D0C1B">
      <w:pPr>
        <w:pStyle w:val="eTRMBulletedText"/>
      </w:pPr>
      <w:r>
        <w:t>Sector (</w:t>
      </w:r>
      <w:proofErr w:type="gramStart"/>
      <w:r>
        <w:t>i.e.</w:t>
      </w:r>
      <w:proofErr w:type="gramEnd"/>
      <w:r>
        <w:t xml:space="preserve"> Urban or Agricultural)</w:t>
      </w:r>
    </w:p>
    <w:p w14:paraId="05544EA5" w14:textId="36F516D0" w:rsidR="004D0C1B" w:rsidRDefault="004D0C1B" w:rsidP="004D0C1B">
      <w:pPr>
        <w:pStyle w:val="eTRMBulletedText"/>
      </w:pPr>
      <w:r>
        <w:t>Water Use (</w:t>
      </w:r>
      <w:proofErr w:type="gramStart"/>
      <w:r>
        <w:t>i.e.</w:t>
      </w:r>
      <w:proofErr w:type="gramEnd"/>
      <w:r>
        <w:t xml:space="preserve"> Indoor or Outdoor)</w:t>
      </w:r>
    </w:p>
    <w:p w14:paraId="7378EF05" w14:textId="77777777" w:rsidR="00A91DA4" w:rsidRDefault="00A91DA4" w:rsidP="00A91DA4">
      <w:pPr>
        <w:pStyle w:val="eTRMBulletedText"/>
        <w:numPr>
          <w:ilvl w:val="0"/>
          <w:numId w:val="0"/>
        </w:numPr>
        <w:ind w:left="720" w:hanging="360"/>
      </w:pPr>
    </w:p>
    <w:p w14:paraId="4692B374" w14:textId="77777777" w:rsidR="00552EAA" w:rsidRDefault="00552EAA" w:rsidP="00C177B5">
      <w:r w:rsidRPr="008C5307">
        <w:rPr>
          <w:noProof/>
        </w:rPr>
        <w:lastRenderedPageBreak/>
        <w:drawing>
          <wp:inline distT="0" distB="0" distL="0" distR="0" wp14:anchorId="2D9B5614" wp14:editId="7EDF37C4">
            <wp:extent cx="6211891" cy="2298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44086" cy="2310614"/>
                    </a:xfrm>
                    <a:prstGeom prst="rect">
                      <a:avLst/>
                    </a:prstGeom>
                    <a:noFill/>
                    <a:ln>
                      <a:noFill/>
                    </a:ln>
                  </pic:spPr>
                </pic:pic>
              </a:graphicData>
            </a:graphic>
          </wp:inline>
        </w:drawing>
      </w:r>
    </w:p>
    <w:p w14:paraId="36D52264" w14:textId="63BCD4F5" w:rsidR="00552EAA" w:rsidRDefault="00552EAA" w:rsidP="00453E72">
      <w:pPr>
        <w:pStyle w:val="Caption"/>
      </w:pPr>
      <w:bookmarkStart w:id="40" w:name="_Ref467339065"/>
      <w:r>
        <w:t xml:space="preserve">Figure </w:t>
      </w:r>
      <w:r>
        <w:fldChar w:fldCharType="begin"/>
      </w:r>
      <w:r>
        <w:instrText xml:space="preserve"> SEQ Figure \* ARABIC </w:instrText>
      </w:r>
      <w:r>
        <w:fldChar w:fldCharType="separate"/>
      </w:r>
      <w:r w:rsidR="00695DD3">
        <w:t>2</w:t>
      </w:r>
      <w:r>
        <w:fldChar w:fldCharType="end"/>
      </w:r>
      <w:bookmarkEnd w:id="40"/>
      <w:r>
        <w:t xml:space="preserve">: Sample List of </w:t>
      </w:r>
      <w:r w:rsidRPr="00A91DA4">
        <w:t xml:space="preserve">IOU </w:t>
      </w:r>
      <w:r>
        <w:t>WEN Measures</w:t>
      </w:r>
    </w:p>
    <w:p w14:paraId="2995217C" w14:textId="77777777" w:rsidR="00552EAA" w:rsidRDefault="00552EAA" w:rsidP="00552EAA"/>
    <w:p w14:paraId="5C7C847B" w14:textId="77777777" w:rsidR="00552EAA" w:rsidRDefault="00552EAA" w:rsidP="0068277B">
      <w:pPr>
        <w:keepNext/>
        <w:keepLines/>
      </w:pPr>
      <w:r>
        <w:rPr>
          <w:noProof/>
        </w:rPr>
        <w:drawing>
          <wp:inline distT="0" distB="0" distL="0" distR="0" wp14:anchorId="720FD1E2" wp14:editId="1DBAFE1C">
            <wp:extent cx="6131270" cy="3340100"/>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194490" cy="3374540"/>
                    </a:xfrm>
                    <a:prstGeom prst="rect">
                      <a:avLst/>
                    </a:prstGeom>
                  </pic:spPr>
                </pic:pic>
              </a:graphicData>
            </a:graphic>
          </wp:inline>
        </w:drawing>
      </w:r>
    </w:p>
    <w:p w14:paraId="24904DE2" w14:textId="17DED6C5" w:rsidR="00552EAA" w:rsidRDefault="00552EAA" w:rsidP="0068277B">
      <w:pPr>
        <w:pStyle w:val="Caption"/>
      </w:pPr>
      <w:bookmarkStart w:id="41" w:name="_Ref467341694"/>
      <w:r>
        <w:t xml:space="preserve">Figure </w:t>
      </w:r>
      <w:r>
        <w:fldChar w:fldCharType="begin"/>
      </w:r>
      <w:r>
        <w:instrText xml:space="preserve"> SEQ Figure \* ARABIC </w:instrText>
      </w:r>
      <w:r>
        <w:fldChar w:fldCharType="separate"/>
      </w:r>
      <w:r w:rsidR="00695DD3">
        <w:t>3</w:t>
      </w:r>
      <w:r>
        <w:fldChar w:fldCharType="end"/>
      </w:r>
      <w:bookmarkEnd w:id="41"/>
      <w:r>
        <w:t xml:space="preserve">: </w:t>
      </w:r>
      <w:r w:rsidR="004D4B0B">
        <w:t>Water-Energy</w:t>
      </w:r>
      <w:r w:rsidR="004D4B0B" w:rsidRPr="00853F04">
        <w:t xml:space="preserve"> Calculator </w:t>
      </w:r>
      <w:r>
        <w:t>Input Tab</w:t>
      </w:r>
    </w:p>
    <w:p w14:paraId="05DF4FE3" w14:textId="77777777" w:rsidR="0011211C" w:rsidRPr="0011211C" w:rsidRDefault="0011211C" w:rsidP="0011211C"/>
    <w:p w14:paraId="4F08A540" w14:textId="445A6C9A" w:rsidR="00552EAA" w:rsidRPr="00EC05E7" w:rsidRDefault="00552EAA" w:rsidP="00F25633">
      <w:pPr>
        <w:pStyle w:val="eTRMHeading4"/>
      </w:pPr>
      <w:r w:rsidRPr="00EC05E7">
        <w:lastRenderedPageBreak/>
        <w:t xml:space="preserve">Embedded Energy Savings </w:t>
      </w:r>
      <w:r w:rsidR="00431A2D">
        <w:t>of</w:t>
      </w:r>
      <w:r w:rsidRPr="00EC05E7">
        <w:t xml:space="preserve"> </w:t>
      </w:r>
      <w:r>
        <w:t xml:space="preserve">MWD </w:t>
      </w:r>
      <w:r w:rsidR="00431A2D">
        <w:t>WEN Measures</w:t>
      </w:r>
      <w:r w:rsidRPr="00EC05E7">
        <w:t xml:space="preserve"> </w:t>
      </w:r>
    </w:p>
    <w:p w14:paraId="19B87366" w14:textId="3964FF41" w:rsidR="00552EAA" w:rsidRPr="00E3608D" w:rsidRDefault="00552EAA" w:rsidP="0011211C">
      <w:r>
        <w:t xml:space="preserve">A similar process </w:t>
      </w:r>
      <w:r w:rsidR="00E03224">
        <w:t>was</w:t>
      </w:r>
      <w:r>
        <w:t xml:space="preserve"> </w:t>
      </w:r>
      <w:r w:rsidR="00C177B5">
        <w:t>followed</w:t>
      </w:r>
      <w:r>
        <w:t xml:space="preserve"> for MWD WEN measures. </w:t>
      </w:r>
      <w:r w:rsidRPr="00E3608D">
        <w:t xml:space="preserve">For MWD WEN measures, </w:t>
      </w:r>
      <w:r w:rsidR="0068277B">
        <w:t xml:space="preserve">the </w:t>
      </w:r>
      <w:r w:rsidR="008D5ACE">
        <w:t>MWD</w:t>
      </w:r>
      <w:r w:rsidR="0068277B">
        <w:t xml:space="preserve"> </w:t>
      </w:r>
      <w:r w:rsidRPr="008D5ACE">
        <w:rPr>
          <w:i/>
          <w:iCs/>
        </w:rPr>
        <w:t xml:space="preserve">Integrated Water Resources Plan </w:t>
      </w:r>
      <w:r w:rsidR="008D5ACE" w:rsidRPr="008D5ACE">
        <w:rPr>
          <w:i/>
          <w:iCs/>
        </w:rPr>
        <w:t xml:space="preserve">2015 </w:t>
      </w:r>
      <w:r w:rsidRPr="008D5ACE">
        <w:rPr>
          <w:i/>
          <w:iCs/>
        </w:rPr>
        <w:t xml:space="preserve">Update </w:t>
      </w:r>
      <w:r w:rsidRPr="00E3608D">
        <w:t>describe</w:t>
      </w:r>
      <w:r w:rsidR="0068277B">
        <w:t>s</w:t>
      </w:r>
      <w:r w:rsidRPr="00E3608D">
        <w:t xml:space="preserve"> the how the active </w:t>
      </w:r>
      <w:r>
        <w:t xml:space="preserve">water </w:t>
      </w:r>
      <w:r w:rsidRPr="00E3608D">
        <w:t xml:space="preserve">savings estimates </w:t>
      </w:r>
      <w:r w:rsidR="00431A2D">
        <w:t>were</w:t>
      </w:r>
      <w:r w:rsidRPr="00E3608D">
        <w:t xml:space="preserve"> calculated.</w:t>
      </w:r>
      <w:r w:rsidR="00DD578D">
        <w:rPr>
          <w:rStyle w:val="FootnoteReference"/>
        </w:rPr>
        <w:footnoteReference w:id="14"/>
      </w:r>
      <w:r w:rsidRPr="00E3608D">
        <w:t xml:space="preserve"> </w:t>
      </w:r>
    </w:p>
    <w:p w14:paraId="4BB718AD" w14:textId="0C9943C1" w:rsidR="00552EAA" w:rsidRDefault="00552EAA" w:rsidP="00C177B5">
      <w:pPr>
        <w:ind w:left="720" w:right="720"/>
      </w:pPr>
      <w:r w:rsidRPr="00E3608D">
        <w:t xml:space="preserve">Device savings are limited by decay rates, or a corresponding device life, but not </w:t>
      </w:r>
      <w:proofErr w:type="gramStart"/>
      <w:r w:rsidRPr="00E3608D">
        <w:t>both at</w:t>
      </w:r>
      <w:proofErr w:type="gramEnd"/>
      <w:r w:rsidRPr="00E3608D">
        <w:t xml:space="preserve"> the same time. For example, a residential high-efficiency toilet (HET) saves about 38 gallons per day over a lifetime of 20 years with no assumed decay rate. For a complete list of current and past device and program savings factors, see Appendices A and B. Annual savings are expressed in acre-feet (AF). </w:t>
      </w:r>
    </w:p>
    <w:p w14:paraId="6EC8F816" w14:textId="07151306" w:rsidR="00C177B5" w:rsidRPr="00C177B5" w:rsidRDefault="00E6780F" w:rsidP="00C177B5">
      <w:pPr>
        <w:ind w:left="2160" w:right="720"/>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×365</m:t>
              </m:r>
            </m:num>
            <m:den>
              <m:r>
                <w:rPr>
                  <w:rFonts w:ascii="Cambria Math" w:hAnsi="Cambria Math"/>
                </w:rPr>
                <m:t>325,851 gal per AF</m:t>
              </m:r>
            </m:den>
          </m:f>
        </m:oMath>
      </m:oMathPara>
    </w:p>
    <w:p w14:paraId="51FA5B87" w14:textId="77777777" w:rsidR="00552EAA" w:rsidRPr="00E3608D" w:rsidRDefault="00552EAA" w:rsidP="00C177B5"/>
    <w:p w14:paraId="0C963831" w14:textId="77777777" w:rsidR="00552EAA" w:rsidRDefault="00552EAA" w:rsidP="00C177B5">
      <w:pPr>
        <w:ind w:left="1440"/>
      </w:pPr>
      <w:r>
        <w:rPr>
          <w:rFonts w:ascii="Times New Roman" w:hAnsi="Times New Roman" w:cs="Times New Roman"/>
          <w:i/>
          <w:iCs/>
        </w:rPr>
        <w:t>S</w:t>
      </w:r>
      <w:r>
        <w:rPr>
          <w:rFonts w:ascii="Times New Roman" w:hAnsi="Times New Roman" w:cs="Times New Roman"/>
          <w:i/>
          <w:iCs/>
          <w:sz w:val="14"/>
          <w:szCs w:val="14"/>
        </w:rPr>
        <w:t xml:space="preserve">i </w:t>
      </w:r>
      <w:r>
        <w:t xml:space="preserve">is the annual savings in acre-feet (AF) for device </w:t>
      </w:r>
      <w:r>
        <w:rPr>
          <w:rFonts w:ascii="Times New Roman" w:hAnsi="Times New Roman" w:cs="Times New Roman"/>
          <w:i/>
          <w:iCs/>
        </w:rPr>
        <w:t>i</w:t>
      </w:r>
      <w:r>
        <w:t xml:space="preserve">. </w:t>
      </w:r>
    </w:p>
    <w:p w14:paraId="79F663B9" w14:textId="358F156E" w:rsidR="00552EAA" w:rsidRDefault="00552EAA" w:rsidP="00C177B5">
      <w:pPr>
        <w:ind w:left="1440"/>
      </w:pPr>
      <w:r>
        <w:rPr>
          <w:rFonts w:ascii="Times New Roman" w:hAnsi="Times New Roman" w:cs="Times New Roman"/>
          <w:i/>
          <w:iCs/>
        </w:rPr>
        <w:t>d</w:t>
      </w:r>
      <w:r>
        <w:rPr>
          <w:rFonts w:ascii="Times New Roman" w:hAnsi="Times New Roman" w:cs="Times New Roman"/>
          <w:i/>
          <w:iCs/>
          <w:sz w:val="14"/>
          <w:szCs w:val="14"/>
        </w:rPr>
        <w:t xml:space="preserve">i </w:t>
      </w:r>
      <w:r>
        <w:t>is the number of device</w:t>
      </w:r>
      <w:r w:rsidR="00A91DA4">
        <w:t>s</w:t>
      </w:r>
      <w:r>
        <w:t xml:space="preserve"> </w:t>
      </w:r>
      <w:r>
        <w:rPr>
          <w:rFonts w:ascii="Times New Roman" w:hAnsi="Times New Roman" w:cs="Times New Roman"/>
          <w:i/>
          <w:iCs/>
        </w:rPr>
        <w:t xml:space="preserve">i </w:t>
      </w:r>
      <w:r>
        <w:t xml:space="preserve">installed under an active conservation program. </w:t>
      </w:r>
    </w:p>
    <w:p w14:paraId="7C5CABAF" w14:textId="77777777" w:rsidR="00552EAA" w:rsidRDefault="00552EAA" w:rsidP="00C177B5">
      <w:pPr>
        <w:ind w:left="1440"/>
      </w:pPr>
      <w:r>
        <w:rPr>
          <w:rFonts w:ascii="Times New Roman" w:hAnsi="Times New Roman" w:cs="Times New Roman"/>
          <w:i/>
          <w:iCs/>
        </w:rPr>
        <w:t>a</w:t>
      </w:r>
      <w:r>
        <w:rPr>
          <w:rFonts w:ascii="Times New Roman" w:hAnsi="Times New Roman" w:cs="Times New Roman"/>
          <w:i/>
          <w:iCs/>
          <w:sz w:val="14"/>
          <w:szCs w:val="14"/>
        </w:rPr>
        <w:t xml:space="preserve">i </w:t>
      </w:r>
      <w:r>
        <w:t xml:space="preserve">is the gallons per day savings from a baseline. Baselines are specific to each device and represent the typical amount of water usage for a conventional device prior to more efficient alternatives being made available, either through plumbing code enforcement or market innovations. For example, a HET with a 1.28 gallons-per-flush (GPF) has a savings factor of 38 gallons per day compared to the 3.5 GPF toilets available before the 1992 plumbing codes. </w:t>
      </w:r>
    </w:p>
    <w:p w14:paraId="0A3365F8" w14:textId="77777777" w:rsidR="00552EAA" w:rsidRDefault="00552EAA" w:rsidP="00C177B5">
      <w:pPr>
        <w:ind w:left="1440"/>
      </w:pPr>
      <w:r>
        <w:t xml:space="preserve">365 is the number of days assumed in one year for the purpose of simplifying the calculation. </w:t>
      </w:r>
    </w:p>
    <w:p w14:paraId="70DB8547" w14:textId="77777777" w:rsidR="00552EAA" w:rsidRDefault="00552EAA" w:rsidP="00C177B5">
      <w:pPr>
        <w:ind w:left="1440"/>
      </w:pPr>
      <w:r>
        <w:t xml:space="preserve">325,851 is the number of gallons in one acre-foot of water. </w:t>
      </w:r>
    </w:p>
    <w:p w14:paraId="3094D8C0" w14:textId="58F62EF0" w:rsidR="00552EAA" w:rsidRDefault="00552EAA" w:rsidP="00C177B5">
      <w:pPr>
        <w:ind w:left="1440"/>
        <w:rPr>
          <w:szCs w:val="22"/>
        </w:rPr>
      </w:pPr>
      <w:r>
        <w:rPr>
          <w:szCs w:val="22"/>
        </w:rPr>
        <w:t>Lifetime savings is the sum of annual savings over the life expectancy of the device</w:t>
      </w:r>
      <w:r w:rsidR="00C177B5">
        <w:rPr>
          <w:szCs w:val="22"/>
        </w:rPr>
        <w:t>:</w:t>
      </w:r>
      <w:r>
        <w:rPr>
          <w:szCs w:val="22"/>
        </w:rPr>
        <w:t xml:space="preserve"> </w:t>
      </w:r>
    </w:p>
    <w:p w14:paraId="594BFD37" w14:textId="6999DFDA" w:rsidR="00552EAA" w:rsidRPr="00C177B5" w:rsidRDefault="00E6780F" w:rsidP="00C177B5">
      <w:pPr>
        <w:pStyle w:val="Default"/>
        <w:ind w:left="2160"/>
        <w:rPr>
          <w:sz w:val="22"/>
          <w:szCs w:val="22"/>
        </w:rPr>
      </w:pPr>
      <m:oMathPara>
        <m:oMathParaPr>
          <m:jc m:val="left"/>
        </m:oMathParaPr>
        <m:oMath>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i</m:t>
              </m:r>
            </m:sub>
          </m:sSub>
          <m:r>
            <w:rPr>
              <w:rFonts w:ascii="Cambria Math" w:hAnsi="Cambria Math"/>
              <w:sz w:val="22"/>
              <w:szCs w:val="22"/>
            </w:rPr>
            <m:t>=</m:t>
          </m:r>
          <m:nary>
            <m:naryPr>
              <m:chr m:val="∑"/>
              <m:limLoc m:val="undOvr"/>
              <m:ctrlPr>
                <w:rPr>
                  <w:rFonts w:ascii="Cambria Math" w:hAnsi="Cambria Math"/>
                  <w:i/>
                  <w:sz w:val="22"/>
                  <w:szCs w:val="22"/>
                </w:rPr>
              </m:ctrlPr>
            </m:naryPr>
            <m:sub>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r>
                <w:rPr>
                  <w:rFonts w:ascii="Cambria Math" w:hAnsi="Cambria Math"/>
                  <w:sz w:val="22"/>
                  <w:szCs w:val="22"/>
                </w:rPr>
                <m:t>=1</m:t>
              </m: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i</m:t>
                  </m:r>
                </m:sub>
              </m:sSub>
            </m:e>
          </m:nary>
        </m:oMath>
      </m:oMathPara>
    </w:p>
    <w:p w14:paraId="0BD4F3EC" w14:textId="77777777" w:rsidR="00552EAA" w:rsidRDefault="00552EAA" w:rsidP="00C177B5"/>
    <w:p w14:paraId="6E293016" w14:textId="77777777" w:rsidR="00552EAA" w:rsidRPr="002572D2" w:rsidRDefault="00552EAA" w:rsidP="00C177B5">
      <w:pPr>
        <w:ind w:left="2160"/>
      </w:pPr>
      <w:r w:rsidRPr="00DD578D">
        <w:rPr>
          <w:rFonts w:ascii="Times New Roman" w:hAnsi="Times New Roman" w:cs="Times New Roman"/>
          <w:i/>
          <w:iCs/>
        </w:rPr>
        <w:t>L</w:t>
      </w:r>
      <w:r w:rsidRPr="00DD578D">
        <w:rPr>
          <w:rFonts w:ascii="Times New Roman" w:hAnsi="Times New Roman" w:cs="Times New Roman"/>
          <w:i/>
          <w:iCs/>
          <w:sz w:val="14"/>
          <w:szCs w:val="14"/>
        </w:rPr>
        <w:t xml:space="preserve">i </w:t>
      </w:r>
      <w:r>
        <w:t xml:space="preserve">is the lifetime savings of device </w:t>
      </w:r>
      <w:r>
        <w:rPr>
          <w:rFonts w:ascii="Times New Roman" w:hAnsi="Times New Roman" w:cs="Times New Roman"/>
        </w:rPr>
        <w:t>i</w:t>
      </w:r>
      <w:r>
        <w:t xml:space="preserve">. </w:t>
      </w:r>
    </w:p>
    <w:p w14:paraId="3D26B0BB" w14:textId="77777777" w:rsidR="00552EAA" w:rsidRDefault="00552EAA" w:rsidP="00C177B5">
      <w:pPr>
        <w:ind w:left="2160"/>
      </w:pPr>
      <w:r w:rsidRPr="00DD578D">
        <w:rPr>
          <w:rFonts w:ascii="Times New Roman" w:hAnsi="Times New Roman" w:cs="Times New Roman"/>
          <w:i/>
          <w:iCs/>
        </w:rPr>
        <w:t>n</w:t>
      </w:r>
      <w:r>
        <w:rPr>
          <w:rFonts w:ascii="Times New Roman" w:hAnsi="Times New Roman" w:cs="Times New Roman"/>
        </w:rPr>
        <w:t xml:space="preserve"> </w:t>
      </w:r>
      <w:r>
        <w:t xml:space="preserve">is the number of years a device is expected to produce savings before it fails. This varies depending on the type of device. </w:t>
      </w:r>
    </w:p>
    <w:p w14:paraId="1056CFC7" w14:textId="77777777" w:rsidR="00552EAA" w:rsidRDefault="00552EAA" w:rsidP="00C177B5">
      <w:pPr>
        <w:ind w:left="2160"/>
      </w:pPr>
      <w:r w:rsidRPr="00DD578D">
        <w:rPr>
          <w:rFonts w:ascii="Times New Roman" w:hAnsi="Times New Roman" w:cs="Times New Roman"/>
          <w:i/>
          <w:iCs/>
        </w:rPr>
        <w:t>t</w:t>
      </w:r>
      <w:r>
        <w:rPr>
          <w:rFonts w:ascii="Times New Roman" w:hAnsi="Times New Roman" w:cs="Times New Roman"/>
        </w:rPr>
        <w:t xml:space="preserve"> </w:t>
      </w:r>
      <w:r>
        <w:t xml:space="preserve">is the year when device </w:t>
      </w:r>
      <w:r>
        <w:rPr>
          <w:rFonts w:ascii="Times New Roman" w:hAnsi="Times New Roman" w:cs="Times New Roman"/>
        </w:rPr>
        <w:t xml:space="preserve">i </w:t>
      </w:r>
      <w:r>
        <w:t xml:space="preserve">is producing savings. </w:t>
      </w:r>
    </w:p>
    <w:p w14:paraId="6D6DB099" w14:textId="77777777" w:rsidR="00552EAA" w:rsidRDefault="00552EAA" w:rsidP="00C177B5">
      <w:pPr>
        <w:ind w:left="2160"/>
      </w:pPr>
      <w:r w:rsidRPr="00DD578D">
        <w:rPr>
          <w:rFonts w:ascii="Times New Roman" w:hAnsi="Times New Roman" w:cs="Times New Roman"/>
          <w:i/>
          <w:iCs/>
        </w:rPr>
        <w:t>S</w:t>
      </w:r>
      <w:r w:rsidRPr="00DD578D">
        <w:rPr>
          <w:rFonts w:ascii="Times New Roman" w:hAnsi="Times New Roman" w:cs="Times New Roman"/>
          <w:i/>
          <w:iCs/>
          <w:sz w:val="14"/>
          <w:szCs w:val="14"/>
        </w:rPr>
        <w:t>i</w:t>
      </w:r>
      <w:r>
        <w:rPr>
          <w:rFonts w:ascii="Times New Roman" w:hAnsi="Times New Roman" w:cs="Times New Roman"/>
          <w:sz w:val="14"/>
          <w:szCs w:val="14"/>
        </w:rPr>
        <w:t xml:space="preserve"> </w:t>
      </w:r>
      <w:r>
        <w:t xml:space="preserve">is the annual savings in acre-feet (AF) for device </w:t>
      </w:r>
      <w:r>
        <w:rPr>
          <w:rFonts w:ascii="Times New Roman" w:hAnsi="Times New Roman" w:cs="Times New Roman"/>
        </w:rPr>
        <w:t>i</w:t>
      </w:r>
      <w:r>
        <w:t xml:space="preserve">. </w:t>
      </w:r>
    </w:p>
    <w:p w14:paraId="0263FA8C" w14:textId="77777777" w:rsidR="00552EAA" w:rsidRDefault="00552EAA" w:rsidP="00552EAA"/>
    <w:p w14:paraId="508F7937" w14:textId="5379DBEB" w:rsidR="00552EAA" w:rsidRPr="00A91DA4" w:rsidRDefault="00552EAA" w:rsidP="00552EAA">
      <w:proofErr w:type="gramStart"/>
      <w:r w:rsidRPr="00A91DA4">
        <w:lastRenderedPageBreak/>
        <w:t>Similar to</w:t>
      </w:r>
      <w:proofErr w:type="gramEnd"/>
      <w:r w:rsidRPr="00A91DA4">
        <w:t xml:space="preserve"> the IOU WEN measure</w:t>
      </w:r>
      <w:r w:rsidR="00431A2D" w:rsidRPr="00A91DA4">
        <w:t>s</w:t>
      </w:r>
      <w:r w:rsidRPr="00A91DA4">
        <w:t xml:space="preserve">, the water savings values from the MWD list </w:t>
      </w:r>
      <w:r w:rsidR="00C177B5" w:rsidRPr="00A91DA4">
        <w:t>were</w:t>
      </w:r>
      <w:r w:rsidRPr="00A91DA4">
        <w:t xml:space="preserve"> input into </w:t>
      </w:r>
      <w:r w:rsidR="00C177B5" w:rsidRPr="00A91DA4">
        <w:t>the</w:t>
      </w:r>
      <w:r w:rsidRPr="00A91DA4">
        <w:t xml:space="preserve"> </w:t>
      </w:r>
      <w:r w:rsidR="00A85D46" w:rsidRPr="00A91DA4">
        <w:t>Water-Energy</w:t>
      </w:r>
      <w:r w:rsidRPr="00A91DA4">
        <w:t xml:space="preserve"> Calculator</w:t>
      </w:r>
      <w:r w:rsidR="00431A2D" w:rsidRPr="00A91DA4">
        <w:t>,</w:t>
      </w:r>
      <w:r w:rsidRPr="00A91DA4">
        <w:t xml:space="preserve"> as shown in </w:t>
      </w:r>
      <w:r w:rsidRPr="00A91DA4">
        <w:fldChar w:fldCharType="begin"/>
      </w:r>
      <w:r w:rsidRPr="00A91DA4">
        <w:instrText xml:space="preserve"> REF _Ref467341694 \h  \* MERGEFORMAT </w:instrText>
      </w:r>
      <w:r w:rsidRPr="00A91DA4">
        <w:fldChar w:fldCharType="separate"/>
      </w:r>
      <w:r w:rsidR="00695DD3">
        <w:t xml:space="preserve">Figure </w:t>
      </w:r>
      <w:r w:rsidR="00695DD3">
        <w:rPr>
          <w:noProof/>
        </w:rPr>
        <w:t>3</w:t>
      </w:r>
      <w:r w:rsidRPr="00A91DA4">
        <w:fldChar w:fldCharType="end"/>
      </w:r>
      <w:r w:rsidRPr="00A91DA4">
        <w:t xml:space="preserve">. After the applicable input fields </w:t>
      </w:r>
      <w:r w:rsidR="00C177B5" w:rsidRPr="00A91DA4">
        <w:t>were</w:t>
      </w:r>
      <w:r w:rsidRPr="00A91DA4">
        <w:t xml:space="preserve"> entered, the </w:t>
      </w:r>
      <w:r w:rsidR="004D4B0B" w:rsidRPr="00A91DA4">
        <w:t xml:space="preserve">Water-Energy Calculator </w:t>
      </w:r>
      <w:r w:rsidRPr="00A91DA4">
        <w:t>output the applicable fields</w:t>
      </w:r>
      <w:r w:rsidR="00431A2D" w:rsidRPr="00A91DA4">
        <w:t>,</w:t>
      </w:r>
      <w:r w:rsidRPr="00A91DA4">
        <w:t xml:space="preserve"> as illustrated</w:t>
      </w:r>
      <w:r w:rsidR="00431A2D" w:rsidRPr="00A91DA4">
        <w:t>,</w:t>
      </w:r>
      <w:r w:rsidRPr="00A91DA4">
        <w:t xml:space="preserve"> in </w:t>
      </w:r>
      <w:r w:rsidRPr="00A91DA4">
        <w:fldChar w:fldCharType="begin"/>
      </w:r>
      <w:r w:rsidRPr="00A91DA4">
        <w:instrText xml:space="preserve"> REF _Ref467342035 \h  \* MERGEFORMAT </w:instrText>
      </w:r>
      <w:r w:rsidRPr="00A91DA4">
        <w:fldChar w:fldCharType="separate"/>
      </w:r>
      <w:r w:rsidR="00695DD3">
        <w:t xml:space="preserve">Figure </w:t>
      </w:r>
      <w:r w:rsidR="00695DD3">
        <w:rPr>
          <w:noProof/>
        </w:rPr>
        <w:t>4</w:t>
      </w:r>
      <w:r w:rsidRPr="00A91DA4">
        <w:fldChar w:fldCharType="end"/>
      </w:r>
      <w:r w:rsidRPr="00A91DA4">
        <w:t xml:space="preserve"> including:</w:t>
      </w:r>
    </w:p>
    <w:p w14:paraId="0A4899CA" w14:textId="77777777" w:rsidR="00552EAA" w:rsidRDefault="00552EAA" w:rsidP="008967F1">
      <w:pPr>
        <w:pStyle w:val="eTRMBulletedText"/>
      </w:pPr>
      <w:r>
        <w:t>Average Annual Embedded IOU Electric Energy (kWh)</w:t>
      </w:r>
    </w:p>
    <w:p w14:paraId="1E40A251" w14:textId="77777777" w:rsidR="00552EAA" w:rsidRDefault="00552EAA" w:rsidP="008967F1">
      <w:pPr>
        <w:pStyle w:val="eTRMBulletedText"/>
      </w:pPr>
      <w:r>
        <w:t>Average Annual Embedded Non-IOU Electric Energy (kWh)</w:t>
      </w:r>
    </w:p>
    <w:p w14:paraId="309FBF4A" w14:textId="77777777" w:rsidR="00552EAA" w:rsidRDefault="00552EAA" w:rsidP="008967F1">
      <w:pPr>
        <w:pStyle w:val="eTRMBulletedText"/>
      </w:pPr>
      <w:r>
        <w:t>Average Annual Embedded Gas Energy (therms)</w:t>
      </w:r>
    </w:p>
    <w:p w14:paraId="7B7A46C2" w14:textId="77777777" w:rsidR="00552EAA" w:rsidRDefault="00552EAA" w:rsidP="008967F1">
      <w:pPr>
        <w:pStyle w:val="eTRMBulletedText"/>
      </w:pPr>
      <w:r>
        <w:t>Avoided IOU Electric Energy Costs (in 2014 dollars)</w:t>
      </w:r>
    </w:p>
    <w:p w14:paraId="1CF96841" w14:textId="77777777" w:rsidR="00552EAA" w:rsidRDefault="00552EAA" w:rsidP="008967F1">
      <w:pPr>
        <w:pStyle w:val="eTRMBulletedText"/>
      </w:pPr>
      <w:r>
        <w:t>Avoided Gas Energy Cost (in 2014 dollars)</w:t>
      </w:r>
    </w:p>
    <w:p w14:paraId="27214F1F" w14:textId="77777777" w:rsidR="00552EAA" w:rsidRDefault="00552EAA" w:rsidP="00552EAA">
      <w:pPr>
        <w:pStyle w:val="ListParagraph"/>
      </w:pPr>
    </w:p>
    <w:p w14:paraId="43E51301" w14:textId="77777777" w:rsidR="00552EAA" w:rsidRDefault="00552EAA" w:rsidP="00552EAA">
      <w:pPr>
        <w:jc w:val="center"/>
      </w:pPr>
      <w:r>
        <w:rPr>
          <w:noProof/>
        </w:rPr>
        <w:drawing>
          <wp:inline distT="0" distB="0" distL="0" distR="0" wp14:anchorId="701CDAB2" wp14:editId="15C2307E">
            <wp:extent cx="5492750" cy="391182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555411" cy="3956448"/>
                    </a:xfrm>
                    <a:prstGeom prst="rect">
                      <a:avLst/>
                    </a:prstGeom>
                  </pic:spPr>
                </pic:pic>
              </a:graphicData>
            </a:graphic>
          </wp:inline>
        </w:drawing>
      </w:r>
    </w:p>
    <w:p w14:paraId="4616F6CA" w14:textId="02EDD084" w:rsidR="00552EAA" w:rsidRDefault="00552EAA" w:rsidP="00453E72">
      <w:pPr>
        <w:pStyle w:val="Caption"/>
      </w:pPr>
      <w:bookmarkStart w:id="42" w:name="_Ref467342035"/>
      <w:r>
        <w:t xml:space="preserve">Figure </w:t>
      </w:r>
      <w:r>
        <w:fldChar w:fldCharType="begin"/>
      </w:r>
      <w:r>
        <w:instrText xml:space="preserve"> SEQ Figure \* ARABIC </w:instrText>
      </w:r>
      <w:r>
        <w:fldChar w:fldCharType="separate"/>
      </w:r>
      <w:r w:rsidR="00695DD3">
        <w:t>4</w:t>
      </w:r>
      <w:r>
        <w:fldChar w:fldCharType="end"/>
      </w:r>
      <w:bookmarkEnd w:id="42"/>
      <w:r>
        <w:t xml:space="preserve">: </w:t>
      </w:r>
      <w:r w:rsidR="004D4B0B">
        <w:t>Water-Energy</w:t>
      </w:r>
      <w:r w:rsidR="004D4B0B" w:rsidRPr="00853F04">
        <w:t xml:space="preserve"> Calculator </w:t>
      </w:r>
      <w:r>
        <w:t>Output Tab</w:t>
      </w:r>
    </w:p>
    <w:p w14:paraId="7A066CA9" w14:textId="18556A07" w:rsidR="00552EAA" w:rsidRDefault="00552EAA" w:rsidP="00552EAA"/>
    <w:p w14:paraId="638381F5" w14:textId="38DBD2F7" w:rsidR="00552EAA" w:rsidRPr="00EC05E7" w:rsidRDefault="00552EAA" w:rsidP="00F25633">
      <w:pPr>
        <w:pStyle w:val="eTRMHeading4"/>
      </w:pPr>
      <w:r w:rsidRPr="00D478B2">
        <w:t xml:space="preserve">Hydrologic Region to Climate Zone </w:t>
      </w:r>
      <w:r w:rsidR="004D0C1B">
        <w:t>Mapping</w:t>
      </w:r>
    </w:p>
    <w:p w14:paraId="471D89DE" w14:textId="2041C36D" w:rsidR="00552EAA" w:rsidRDefault="00552EAA" w:rsidP="00431A2D">
      <w:r>
        <w:t xml:space="preserve">Through collaboration with IOUs, the CPUC </w:t>
      </w:r>
      <w:r w:rsidR="00431A2D">
        <w:t>Energy Division</w:t>
      </w:r>
      <w:r>
        <w:t xml:space="preserve"> and </w:t>
      </w:r>
      <w:r w:rsidR="00431A2D">
        <w:t xml:space="preserve">the </w:t>
      </w:r>
      <w:r>
        <w:t>CPUC Reporting Team</w:t>
      </w:r>
      <w:r w:rsidRPr="00D118C6">
        <w:t>, agreement was reached on how to take existing customer data (zip code) and determine hydrologic region</w:t>
      </w:r>
      <w:r>
        <w:t>,</w:t>
      </w:r>
      <w:r w:rsidRPr="00D118C6">
        <w:t xml:space="preserve"> which is an input into the </w:t>
      </w:r>
      <w:r w:rsidR="004D4B0B">
        <w:t>Water-Energy</w:t>
      </w:r>
      <w:r w:rsidR="004D4B0B" w:rsidRPr="00853F04">
        <w:t xml:space="preserve"> Calculator</w:t>
      </w:r>
      <w:r w:rsidRPr="00D118C6">
        <w:t>.</w:t>
      </w:r>
      <w:r w:rsidR="004D0C1B">
        <w:rPr>
          <w:rStyle w:val="FootnoteReference"/>
        </w:rPr>
        <w:footnoteReference w:id="15"/>
      </w:r>
      <w:r w:rsidRPr="00D118C6">
        <w:t xml:space="preserve"> Particularly, in cases where a zip code has multiple </w:t>
      </w:r>
      <w:r w:rsidRPr="006F7F87">
        <w:t>hydrologic regions, it became difficult to assign that specific application to a hydrologic region. Figures 6</w:t>
      </w:r>
      <w:r>
        <w:t xml:space="preserve"> </w:t>
      </w:r>
      <w:r w:rsidRPr="006F7F87">
        <w:lastRenderedPageBreak/>
        <w:t xml:space="preserve">and 7 illustrate </w:t>
      </w:r>
      <w:r w:rsidR="00431A2D" w:rsidRPr="006F7F87">
        <w:t xml:space="preserve">the assignment of </w:t>
      </w:r>
      <w:r w:rsidRPr="006F7F87">
        <w:t>a hydrological zone to a zip code that directly maps to a CEC climate</w:t>
      </w:r>
      <w:r>
        <w:t xml:space="preserve"> zone.</w:t>
      </w:r>
    </w:p>
    <w:p w14:paraId="1900A902" w14:textId="77777777" w:rsidR="006F7F87" w:rsidRDefault="00A91DA4" w:rsidP="00A91DA4">
      <w:pPr>
        <w:pStyle w:val="FigureCaption"/>
      </w:pPr>
      <w:r>
        <w:drawing>
          <wp:inline distT="0" distB="0" distL="0" distR="0" wp14:anchorId="554E6141" wp14:editId="6F74E139">
            <wp:extent cx="3769928" cy="200660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795655" cy="2020294"/>
                    </a:xfrm>
                    <a:prstGeom prst="rect">
                      <a:avLst/>
                    </a:prstGeom>
                  </pic:spPr>
                </pic:pic>
              </a:graphicData>
            </a:graphic>
          </wp:inline>
        </w:drawing>
      </w:r>
    </w:p>
    <w:p w14:paraId="167B04FC" w14:textId="67DF821D" w:rsidR="00552EAA" w:rsidRDefault="00552EAA" w:rsidP="00A91DA4">
      <w:pPr>
        <w:pStyle w:val="FigureCaption"/>
      </w:pPr>
      <w:r>
        <w:t xml:space="preserve">Figure </w:t>
      </w:r>
      <w:r>
        <w:fldChar w:fldCharType="begin"/>
      </w:r>
      <w:r>
        <w:instrText xml:space="preserve"> SEQ Figure \* ARABIC </w:instrText>
      </w:r>
      <w:r>
        <w:fldChar w:fldCharType="separate"/>
      </w:r>
      <w:r w:rsidR="00695DD3">
        <w:t>5</w:t>
      </w:r>
      <w:r>
        <w:fldChar w:fldCharType="end"/>
      </w:r>
      <w:r>
        <w:t>: Moss Landing Zip Code Map Bordering San Francisco Bay and Central Coast Hydrological Zones</w:t>
      </w:r>
    </w:p>
    <w:p w14:paraId="087AFC1C" w14:textId="3BEBD16D" w:rsidR="00552EAA" w:rsidRDefault="00552EAA" w:rsidP="00552EAA">
      <w:pPr>
        <w:ind w:left="720"/>
        <w:jc w:val="both"/>
      </w:pPr>
    </w:p>
    <w:p w14:paraId="23E36207" w14:textId="298F9308" w:rsidR="005C222F" w:rsidRDefault="00552EAA" w:rsidP="005C59B3">
      <w:r>
        <w:t xml:space="preserve">The WEN Working Group collaboratively </w:t>
      </w:r>
      <w:r w:rsidRPr="00D118C6">
        <w:t>determined that the hydrologic</w:t>
      </w:r>
      <w:r>
        <w:t>al</w:t>
      </w:r>
      <w:r w:rsidRPr="00D118C6">
        <w:t xml:space="preserve"> region assigned to that zip code would be the one with the largest area within the zip code. </w:t>
      </w:r>
      <w:r>
        <w:t xml:space="preserve">For example, Moss Landing is located on the coast within Monterey County, California. The primary zip code used by Moss Landing is 95039. The California Energy Commission (CEC) Climate Zone places </w:t>
      </w:r>
      <w:r w:rsidR="004D4B0B">
        <w:t xml:space="preserve">the </w:t>
      </w:r>
      <w:r>
        <w:t xml:space="preserve">Moss Landing zip code (95039) in Climate </w:t>
      </w:r>
      <w:r w:rsidRPr="0089763B">
        <w:t xml:space="preserve">Zone 3 as shown on the very left of Figure 7. Secondly, the </w:t>
      </w:r>
      <w:r w:rsidR="00431A2D" w:rsidRPr="0089763B">
        <w:t>ten</w:t>
      </w:r>
      <w:r w:rsidRPr="0089763B">
        <w:t xml:space="preserve"> hydrological regions are depicted in the</w:t>
      </w:r>
      <w:r w:rsidRPr="00A566AE">
        <w:t xml:space="preserve"> </w:t>
      </w:r>
      <w:r>
        <w:t>middle</w:t>
      </w:r>
      <w:r w:rsidRPr="00A566AE">
        <w:t xml:space="preserve"> of Figure 7</w:t>
      </w:r>
      <w:r w:rsidR="00431A2D">
        <w:t>, showing that</w:t>
      </w:r>
      <w:r w:rsidRPr="00A566AE">
        <w:t xml:space="preserve"> </w:t>
      </w:r>
      <w:r>
        <w:t xml:space="preserve">portions of </w:t>
      </w:r>
      <w:r w:rsidR="004D4B0B">
        <w:t xml:space="preserve">the </w:t>
      </w:r>
      <w:r>
        <w:t xml:space="preserve">Moss Landing zip code map to the San Francisco Bay hydrological zone </w:t>
      </w:r>
      <w:r w:rsidR="00431A2D">
        <w:t>but</w:t>
      </w:r>
      <w:r>
        <w:t xml:space="preserve"> </w:t>
      </w:r>
      <w:proofErr w:type="gramStart"/>
      <w:r>
        <w:t>the majority of</w:t>
      </w:r>
      <w:proofErr w:type="gramEnd"/>
      <w:r>
        <w:t xml:space="preserve"> the zip code maps to the Central Coast hydrological zone. Lastly, the 16 CEC Climate Zones are shown on the right of Figure 7 where Moss Landing would be mapped to Climate Zone 3. </w:t>
      </w:r>
    </w:p>
    <w:p w14:paraId="781C0A18" w14:textId="6FBAD4EC" w:rsidR="005C222F" w:rsidRDefault="0089763B" w:rsidP="005C59B3">
      <w:r>
        <w:rPr>
          <w:noProof/>
        </w:rPr>
        <w:drawing>
          <wp:anchor distT="0" distB="0" distL="114300" distR="114300" simplePos="0" relativeHeight="251663360" behindDoc="1" locked="0" layoutInCell="1" allowOverlap="1" wp14:anchorId="3D5953BA" wp14:editId="5CA3FF1F">
            <wp:simplePos x="0" y="0"/>
            <wp:positionH relativeFrom="column">
              <wp:posOffset>1320801</wp:posOffset>
            </wp:positionH>
            <wp:positionV relativeFrom="paragraph">
              <wp:posOffset>40005</wp:posOffset>
            </wp:positionV>
            <wp:extent cx="2788504" cy="2844800"/>
            <wp:effectExtent l="0" t="0" r="0" b="0"/>
            <wp:wrapNone/>
            <wp:docPr id="5" name="Picture 5" descr="http://www.ppic.org/content/maps/intro_c2_d1_hydrocounti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pic.org/content/maps/intro_c2_d1_hydrocounties5.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02558" cy="2859138"/>
                    </a:xfrm>
                    <a:prstGeom prst="rect">
                      <a:avLst/>
                    </a:prstGeom>
                    <a:noFill/>
                    <a:ln>
                      <a:noFill/>
                    </a:ln>
                  </pic:spPr>
                </pic:pic>
              </a:graphicData>
            </a:graphic>
            <wp14:sizeRelH relativeFrom="page">
              <wp14:pctWidth>0</wp14:pctWidth>
            </wp14:sizeRelH>
            <wp14:sizeRelV relativeFrom="page">
              <wp14:pctHeight>0</wp14:pctHeight>
            </wp14:sizeRelV>
          </wp:anchor>
        </w:drawing>
      </w:r>
      <w:r w:rsidR="005C222F">
        <w:rPr>
          <w:noProof/>
        </w:rPr>
        <w:drawing>
          <wp:anchor distT="0" distB="0" distL="114300" distR="114300" simplePos="0" relativeHeight="251659264" behindDoc="1" locked="0" layoutInCell="1" allowOverlap="1" wp14:anchorId="05C44238" wp14:editId="58CD489C">
            <wp:simplePos x="0" y="0"/>
            <wp:positionH relativeFrom="column">
              <wp:posOffset>4277360</wp:posOffset>
            </wp:positionH>
            <wp:positionV relativeFrom="paragraph">
              <wp:posOffset>90805</wp:posOffset>
            </wp:positionV>
            <wp:extent cx="2276475" cy="2597150"/>
            <wp:effectExtent l="0" t="0" r="9525" b="0"/>
            <wp:wrapNone/>
            <wp:docPr id="11" name="Picture 11" descr="http://www.calpoly.edu/~sede/state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lpoly.edu/~sede/state_map.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76475" cy="2597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048AC" w14:textId="5D9B000A" w:rsidR="00552EAA" w:rsidRDefault="00552EAA" w:rsidP="00552EAA">
      <w:pPr>
        <w:ind w:left="720"/>
        <w:jc w:val="both"/>
      </w:pPr>
    </w:p>
    <w:p w14:paraId="2930D211" w14:textId="200D9230" w:rsidR="00552EAA" w:rsidRDefault="005C222F" w:rsidP="00552EAA">
      <w:pPr>
        <w:ind w:left="720"/>
      </w:pPr>
      <w:r>
        <w:rPr>
          <w:noProof/>
        </w:rPr>
        <w:drawing>
          <wp:anchor distT="0" distB="0" distL="114300" distR="114300" simplePos="0" relativeHeight="251660288" behindDoc="1" locked="0" layoutInCell="1" allowOverlap="1" wp14:anchorId="51E43514" wp14:editId="272418D3">
            <wp:simplePos x="0" y="0"/>
            <wp:positionH relativeFrom="column">
              <wp:posOffset>-12700</wp:posOffset>
            </wp:positionH>
            <wp:positionV relativeFrom="paragraph">
              <wp:posOffset>27940</wp:posOffset>
            </wp:positionV>
            <wp:extent cx="1435100" cy="191008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extLst>
                        <a:ext uri="{28A0092B-C50C-407E-A947-70E740481C1C}">
                          <a14:useLocalDpi xmlns:a14="http://schemas.microsoft.com/office/drawing/2010/main" val="0"/>
                        </a:ext>
                      </a:extLst>
                    </a:blip>
                    <a:srcRect r="35273"/>
                    <a:stretch/>
                  </pic:blipFill>
                  <pic:spPr bwMode="auto">
                    <a:xfrm>
                      <a:off x="0" y="0"/>
                      <a:ext cx="1435100" cy="1910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F79903" w14:textId="77777777" w:rsidR="00552EAA" w:rsidRDefault="00552EAA" w:rsidP="00552EAA">
      <w:pPr>
        <w:ind w:left="720"/>
      </w:pPr>
    </w:p>
    <w:p w14:paraId="45B5E2D4" w14:textId="77777777" w:rsidR="00552EAA" w:rsidRDefault="00552EAA" w:rsidP="00552EAA">
      <w:pPr>
        <w:ind w:left="720"/>
      </w:pPr>
    </w:p>
    <w:p w14:paraId="6DCBB794" w14:textId="65E79511" w:rsidR="00552EAA" w:rsidRDefault="005C222F" w:rsidP="00552EAA">
      <w:pPr>
        <w:ind w:left="720"/>
        <w:jc w:val="both"/>
      </w:pPr>
      <w:r>
        <w:rPr>
          <w:noProof/>
        </w:rPr>
        <mc:AlternateContent>
          <mc:Choice Requires="wps">
            <w:drawing>
              <wp:anchor distT="0" distB="0" distL="114300" distR="114300" simplePos="0" relativeHeight="251662336" behindDoc="0" locked="0" layoutInCell="1" allowOverlap="1" wp14:anchorId="1EAA54B6" wp14:editId="5C6AD7D5">
                <wp:simplePos x="0" y="0"/>
                <wp:positionH relativeFrom="column">
                  <wp:posOffset>1422400</wp:posOffset>
                </wp:positionH>
                <wp:positionV relativeFrom="paragraph">
                  <wp:posOffset>196850</wp:posOffset>
                </wp:positionV>
                <wp:extent cx="628650" cy="158750"/>
                <wp:effectExtent l="0" t="0" r="76200" b="88900"/>
                <wp:wrapNone/>
                <wp:docPr id="14" name="Straight Arrow Connector 14"/>
                <wp:cNvGraphicFramePr/>
                <a:graphic xmlns:a="http://schemas.openxmlformats.org/drawingml/2006/main">
                  <a:graphicData uri="http://schemas.microsoft.com/office/word/2010/wordprocessingShape">
                    <wps:wsp>
                      <wps:cNvCnPr/>
                      <wps:spPr>
                        <a:xfrm>
                          <a:off x="0" y="0"/>
                          <a:ext cx="628650" cy="15875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51FEACD" id="_x0000_t32" coordsize="21600,21600" o:spt="32" o:oned="t" path="m,l21600,21600e" filled="f">
                <v:path arrowok="t" fillok="f" o:connecttype="none"/>
                <o:lock v:ext="edit" shapetype="t"/>
              </v:shapetype>
              <v:shape id="Straight Arrow Connector 14" o:spid="_x0000_s1026" type="#_x0000_t32" style="position:absolute;margin-left:112pt;margin-top:15.5pt;width:49.5pt;height: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" strokecolor="red" strokeweight="1.5pt">
                <v:stroke endarrow="open"/>
              </v:shape>
            </w:pict>
          </mc:Fallback>
        </mc:AlternateContent>
      </w:r>
      <w:r>
        <w:rPr>
          <w:noProof/>
        </w:rPr>
        <mc:AlternateContent>
          <mc:Choice Requires="wps">
            <w:drawing>
              <wp:anchor distT="0" distB="0" distL="114300" distR="114300" simplePos="0" relativeHeight="251661312" behindDoc="0" locked="0" layoutInCell="1" allowOverlap="1" wp14:anchorId="108479C6" wp14:editId="285E8874">
                <wp:simplePos x="0" y="0"/>
                <wp:positionH relativeFrom="column">
                  <wp:posOffset>-12700</wp:posOffset>
                </wp:positionH>
                <wp:positionV relativeFrom="paragraph">
                  <wp:posOffset>94615</wp:posOffset>
                </wp:positionV>
                <wp:extent cx="1435100" cy="184150"/>
                <wp:effectExtent l="0" t="0" r="12700" b="25400"/>
                <wp:wrapNone/>
                <wp:docPr id="13" name="Rectangle 13"/>
                <wp:cNvGraphicFramePr/>
                <a:graphic xmlns:a="http://schemas.openxmlformats.org/drawingml/2006/main">
                  <a:graphicData uri="http://schemas.microsoft.com/office/word/2010/wordprocessingShape">
                    <wps:wsp>
                      <wps:cNvSpPr/>
                      <wps:spPr>
                        <a:xfrm>
                          <a:off x="0" y="0"/>
                          <a:ext cx="1435100" cy="184150"/>
                        </a:xfrm>
                        <a:prstGeom prst="rect">
                          <a:avLst/>
                        </a:prstGeom>
                        <a:solidFill>
                          <a:srgbClr val="FF0000">
                            <a:alpha val="0"/>
                          </a:srgbClr>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324E9" id="Rectangle 13" o:spid="_x0000_s1026" style="position:absolute;margin-left:-1pt;margin-top:7.45pt;width:113pt;height: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" fillcolor="red" strokecolor="red" strokeweight="1.5pt">
                <v:fill opacity="0"/>
              </v:rect>
            </w:pict>
          </mc:Fallback>
        </mc:AlternateContent>
      </w:r>
    </w:p>
    <w:p w14:paraId="3B4E9D6E" w14:textId="004EA00C" w:rsidR="00552EAA" w:rsidRDefault="005C222F" w:rsidP="00552EAA">
      <w:pPr>
        <w:ind w:left="720"/>
        <w:jc w:val="both"/>
      </w:pPr>
      <w:r>
        <w:rPr>
          <w:noProof/>
        </w:rPr>
        <mc:AlternateContent>
          <mc:Choice Requires="wps">
            <w:drawing>
              <wp:anchor distT="0" distB="0" distL="114300" distR="114300" simplePos="0" relativeHeight="251664384" behindDoc="0" locked="0" layoutInCell="1" allowOverlap="1" wp14:anchorId="6BB1B019" wp14:editId="4DA591EC">
                <wp:simplePos x="0" y="0"/>
                <wp:positionH relativeFrom="column">
                  <wp:posOffset>2228850</wp:posOffset>
                </wp:positionH>
                <wp:positionV relativeFrom="paragraph">
                  <wp:posOffset>31750</wp:posOffset>
                </wp:positionV>
                <wp:extent cx="2552700" cy="177800"/>
                <wp:effectExtent l="0" t="76200" r="0" b="31750"/>
                <wp:wrapNone/>
                <wp:docPr id="7" name="Straight Arrow Connector 7"/>
                <wp:cNvGraphicFramePr/>
                <a:graphic xmlns:a="http://schemas.openxmlformats.org/drawingml/2006/main">
                  <a:graphicData uri="http://schemas.microsoft.com/office/word/2010/wordprocessingShape">
                    <wps:wsp>
                      <wps:cNvCnPr/>
                      <wps:spPr>
                        <a:xfrm flipV="1">
                          <a:off x="0" y="0"/>
                          <a:ext cx="2552700" cy="1778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B75331" id="Straight Arrow Connector 7" o:spid="_x0000_s1026" type="#_x0000_t32" style="position:absolute;margin-left:175.5pt;margin-top:2.5pt;width:201pt;height:14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" strokecolor="red" strokeweight="1.5pt">
                <v:stroke endarrow="open"/>
              </v:shape>
            </w:pict>
          </mc:Fallback>
        </mc:AlternateContent>
      </w:r>
    </w:p>
    <w:p w14:paraId="51FA57C2" w14:textId="55DDC52B" w:rsidR="00552EAA" w:rsidRDefault="00552EAA" w:rsidP="00552EAA">
      <w:pPr>
        <w:ind w:left="720"/>
        <w:jc w:val="both"/>
      </w:pPr>
    </w:p>
    <w:p w14:paraId="0C057C4E" w14:textId="573B6FC4" w:rsidR="00552EAA" w:rsidRDefault="00552EAA" w:rsidP="00552EAA">
      <w:pPr>
        <w:ind w:left="720"/>
        <w:jc w:val="both"/>
      </w:pPr>
    </w:p>
    <w:p w14:paraId="2E76F6A6" w14:textId="6BE4815F" w:rsidR="005C222F" w:rsidRDefault="005C222F" w:rsidP="00453E72">
      <w:pPr>
        <w:pStyle w:val="Caption"/>
      </w:pPr>
    </w:p>
    <w:p w14:paraId="38440E07" w14:textId="25DAE767" w:rsidR="005C222F" w:rsidRDefault="005C222F" w:rsidP="005C222F"/>
    <w:p w14:paraId="052F4BC0" w14:textId="4882600A" w:rsidR="00552EAA" w:rsidRDefault="00552EAA" w:rsidP="00453E72">
      <w:pPr>
        <w:pStyle w:val="Caption"/>
      </w:pPr>
      <w:r>
        <w:t xml:space="preserve">Figure </w:t>
      </w:r>
      <w:r>
        <w:fldChar w:fldCharType="begin"/>
      </w:r>
      <w:r>
        <w:instrText xml:space="preserve"> SEQ Figure \* ARABIC </w:instrText>
      </w:r>
      <w:r>
        <w:fldChar w:fldCharType="separate"/>
      </w:r>
      <w:r w:rsidR="00695DD3">
        <w:t>6</w:t>
      </w:r>
      <w:r>
        <w:fldChar w:fldCharType="end"/>
      </w:r>
      <w:r>
        <w:t>: CEC Zip Code to Hydrological Zone to Climate Zone Mapping</w:t>
      </w:r>
    </w:p>
    <w:p w14:paraId="0279B874" w14:textId="77777777" w:rsidR="00552EAA" w:rsidRDefault="00552EAA" w:rsidP="00552EAA">
      <w:pPr>
        <w:jc w:val="both"/>
      </w:pPr>
    </w:p>
    <w:p w14:paraId="12A5FA5B" w14:textId="7EF5061D" w:rsidR="00552EAA" w:rsidRDefault="00552EAA" w:rsidP="004D4B0B">
      <w:r>
        <w:lastRenderedPageBreak/>
        <w:t>Despite being near the coast and having both San Francisco Bay (SF) and Central Coast (CC) hydrological zones as possible options for zip code 95039, CC has the largest hydrologic region assigned to zip code 95039. Therefore, based on the WEN Working Group agreed</w:t>
      </w:r>
      <w:r w:rsidR="004D0C1B">
        <w:t>-</w:t>
      </w:r>
      <w:r>
        <w:t xml:space="preserve">upon approach, CC would be used as the hydrological zone mapped to CEC Climate Zone 3 because CC is the largest hydrological zone within the 95039-zip code. </w:t>
      </w:r>
    </w:p>
    <w:p w14:paraId="142E2C59" w14:textId="063961E0" w:rsidR="00552EAA" w:rsidRDefault="00552EAA" w:rsidP="004D4B0B">
      <w:r>
        <w:rPr>
          <w:b/>
        </w:rPr>
        <w:fldChar w:fldCharType="begin"/>
      </w:r>
      <w:r>
        <w:rPr>
          <w:b/>
        </w:rPr>
        <w:instrText xml:space="preserve"> REF _Ref477778884 \h </w:instrText>
      </w:r>
      <w:r w:rsidR="004D4B0B">
        <w:rPr>
          <w:b/>
        </w:rPr>
        <w:instrText xml:space="preserve"> \* MERGEFORMAT </w:instrText>
      </w:r>
      <w:r>
        <w:rPr>
          <w:b/>
        </w:rPr>
      </w:r>
      <w:r>
        <w:rPr>
          <w:b/>
        </w:rPr>
        <w:fldChar w:fldCharType="separate"/>
      </w:r>
      <w:r w:rsidR="00695DD3" w:rsidRPr="00C91A3D">
        <w:t xml:space="preserve">Table </w:t>
      </w:r>
      <w:r w:rsidR="00695DD3">
        <w:rPr>
          <w:noProof/>
        </w:rPr>
        <w:t>3</w:t>
      </w:r>
      <w:r>
        <w:rPr>
          <w:b/>
        </w:rPr>
        <w:fldChar w:fldCharType="end"/>
      </w:r>
      <w:r>
        <w:rPr>
          <w:b/>
        </w:rPr>
        <w:t xml:space="preserve"> </w:t>
      </w:r>
      <w:r w:rsidR="004D4B0B">
        <w:t>provides</w:t>
      </w:r>
      <w:r>
        <w:t xml:space="preserve"> an example</w:t>
      </w:r>
      <w:r w:rsidRPr="00D118C6">
        <w:t xml:space="preserve"> of the zip </w:t>
      </w:r>
      <w:r w:rsidR="005C222F">
        <w:t xml:space="preserve">code </w:t>
      </w:r>
      <w:r w:rsidRPr="00D118C6">
        <w:t xml:space="preserve">to hydrologic region look-up table that </w:t>
      </w:r>
      <w:r w:rsidR="005C222F">
        <w:t>was</w:t>
      </w:r>
      <w:r w:rsidRPr="00D118C6">
        <w:t xml:space="preserve"> be used to understand the geographic variations in the number of measure installations by hydrologic region, water savings by hydrologic region, embedded energy savings by hydrologic region, etc. </w:t>
      </w:r>
    </w:p>
    <w:p w14:paraId="1465DFDB" w14:textId="1574C286" w:rsidR="00552EAA" w:rsidRPr="00C91A3D" w:rsidRDefault="00552EAA" w:rsidP="00A91DA4">
      <w:pPr>
        <w:pStyle w:val="Caption"/>
      </w:pPr>
      <w:bookmarkStart w:id="43" w:name="_Ref477778884"/>
      <w:r w:rsidRPr="00C91A3D">
        <w:t xml:space="preserve">Table </w:t>
      </w:r>
      <w:r w:rsidRPr="00C91A3D">
        <w:fldChar w:fldCharType="begin"/>
      </w:r>
      <w:r w:rsidRPr="00C91A3D">
        <w:instrText xml:space="preserve"> SEQ Table \* ARABIC </w:instrText>
      </w:r>
      <w:r w:rsidRPr="00C91A3D">
        <w:fldChar w:fldCharType="separate"/>
      </w:r>
      <w:r w:rsidR="00695DD3">
        <w:t>3</w:t>
      </w:r>
      <w:r w:rsidRPr="00C91A3D">
        <w:fldChar w:fldCharType="end"/>
      </w:r>
      <w:bookmarkEnd w:id="43"/>
      <w:r>
        <w:t>:</w:t>
      </w:r>
      <w:r w:rsidRPr="00C91A3D">
        <w:t xml:space="preserve"> </w:t>
      </w:r>
      <w:r w:rsidR="004D0C1B">
        <w:t>Zip Code, Hydrolic Region, and Climate Zone Mapping Example</w:t>
      </w:r>
      <w:r w:rsidR="004D0C1B">
        <w:rPr>
          <w:rStyle w:val="FootnoteReference"/>
        </w:rPr>
        <w:footnoteReference w:id="16"/>
      </w:r>
    </w:p>
    <w:tbl>
      <w:tblPr>
        <w:tblStyle w:val="TableGrid"/>
        <w:tblW w:w="93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93"/>
        <w:gridCol w:w="3024"/>
        <w:gridCol w:w="3744"/>
        <w:gridCol w:w="1440"/>
      </w:tblGrid>
      <w:tr w:rsidR="00552EAA" w:rsidRPr="0011211C" w14:paraId="3C45530A" w14:textId="77777777" w:rsidTr="00D92948">
        <w:tc>
          <w:tcPr>
            <w:tcW w:w="1093" w:type="dxa"/>
            <w:shd w:val="clear" w:color="auto" w:fill="F2F2F2" w:themeFill="background1" w:themeFillShade="F2"/>
            <w:vAlign w:val="bottom"/>
          </w:tcPr>
          <w:p w14:paraId="234994A0" w14:textId="77777777" w:rsidR="00552EAA" w:rsidRPr="0011211C" w:rsidRDefault="00552EAA" w:rsidP="00A91DA4">
            <w:pPr>
              <w:keepNext/>
              <w:keepLines/>
              <w:spacing w:before="0" w:after="0"/>
              <w:jc w:val="center"/>
              <w:rPr>
                <w:b/>
                <w:sz w:val="20"/>
                <w:szCs w:val="22"/>
              </w:rPr>
            </w:pPr>
            <w:r w:rsidRPr="0011211C">
              <w:rPr>
                <w:b/>
                <w:sz w:val="20"/>
                <w:szCs w:val="22"/>
              </w:rPr>
              <w:t>Zip-Code</w:t>
            </w:r>
          </w:p>
        </w:tc>
        <w:tc>
          <w:tcPr>
            <w:tcW w:w="3024" w:type="dxa"/>
            <w:shd w:val="clear" w:color="auto" w:fill="F2F2F2" w:themeFill="background1" w:themeFillShade="F2"/>
            <w:vAlign w:val="bottom"/>
          </w:tcPr>
          <w:p w14:paraId="58D77D37" w14:textId="77777777" w:rsidR="00552EAA" w:rsidRPr="0011211C" w:rsidRDefault="00552EAA" w:rsidP="00A91DA4">
            <w:pPr>
              <w:keepNext/>
              <w:keepLines/>
              <w:spacing w:before="0" w:after="0"/>
              <w:jc w:val="center"/>
              <w:rPr>
                <w:b/>
                <w:sz w:val="20"/>
                <w:szCs w:val="22"/>
              </w:rPr>
            </w:pPr>
            <w:r w:rsidRPr="0011211C">
              <w:rPr>
                <w:b/>
                <w:sz w:val="20"/>
                <w:szCs w:val="22"/>
              </w:rPr>
              <w:t>Possible Hydrologic Regions</w:t>
            </w:r>
          </w:p>
        </w:tc>
        <w:tc>
          <w:tcPr>
            <w:tcW w:w="3744" w:type="dxa"/>
            <w:shd w:val="clear" w:color="auto" w:fill="F2F2F2" w:themeFill="background1" w:themeFillShade="F2"/>
            <w:vAlign w:val="bottom"/>
          </w:tcPr>
          <w:p w14:paraId="5DEB7E92" w14:textId="7C99202D" w:rsidR="00552EAA" w:rsidRPr="0011211C" w:rsidRDefault="00552EAA" w:rsidP="00A91DA4">
            <w:pPr>
              <w:keepNext/>
              <w:keepLines/>
              <w:spacing w:before="0" w:after="0"/>
              <w:jc w:val="center"/>
              <w:rPr>
                <w:b/>
                <w:sz w:val="20"/>
                <w:szCs w:val="22"/>
              </w:rPr>
            </w:pPr>
            <w:r w:rsidRPr="0011211C">
              <w:rPr>
                <w:b/>
                <w:sz w:val="20"/>
                <w:szCs w:val="22"/>
              </w:rPr>
              <w:t xml:space="preserve">Largest Hydrological Region </w:t>
            </w:r>
            <w:r w:rsidR="005C222F">
              <w:rPr>
                <w:b/>
                <w:sz w:val="20"/>
                <w:szCs w:val="22"/>
              </w:rPr>
              <w:br/>
            </w:r>
            <w:r w:rsidRPr="0011211C">
              <w:rPr>
                <w:b/>
                <w:sz w:val="20"/>
                <w:szCs w:val="22"/>
              </w:rPr>
              <w:t>Assigned to Zip Code</w:t>
            </w:r>
          </w:p>
        </w:tc>
        <w:tc>
          <w:tcPr>
            <w:tcW w:w="1440" w:type="dxa"/>
            <w:shd w:val="clear" w:color="auto" w:fill="F2F2F2" w:themeFill="background1" w:themeFillShade="F2"/>
            <w:vAlign w:val="bottom"/>
          </w:tcPr>
          <w:p w14:paraId="2E638DD8" w14:textId="77777777" w:rsidR="00552EAA" w:rsidRPr="0011211C" w:rsidRDefault="00552EAA" w:rsidP="00A91DA4">
            <w:pPr>
              <w:keepNext/>
              <w:keepLines/>
              <w:spacing w:before="0" w:after="0"/>
              <w:jc w:val="center"/>
              <w:rPr>
                <w:b/>
                <w:sz w:val="20"/>
                <w:szCs w:val="22"/>
              </w:rPr>
            </w:pPr>
            <w:r w:rsidRPr="0011211C">
              <w:rPr>
                <w:b/>
                <w:sz w:val="20"/>
                <w:szCs w:val="22"/>
              </w:rPr>
              <w:t>Climate-Zone</w:t>
            </w:r>
          </w:p>
        </w:tc>
      </w:tr>
      <w:tr w:rsidR="00552EAA" w:rsidRPr="0011211C" w14:paraId="7A2C48F0" w14:textId="77777777" w:rsidTr="00D92948">
        <w:tc>
          <w:tcPr>
            <w:tcW w:w="1093" w:type="dxa"/>
          </w:tcPr>
          <w:p w14:paraId="4A8F699E" w14:textId="77777777" w:rsidR="00552EAA" w:rsidRPr="0011211C" w:rsidRDefault="00552EAA" w:rsidP="00A91DA4">
            <w:pPr>
              <w:keepNext/>
              <w:keepLines/>
              <w:spacing w:before="0" w:after="0"/>
              <w:jc w:val="center"/>
              <w:rPr>
                <w:sz w:val="20"/>
                <w:szCs w:val="22"/>
              </w:rPr>
            </w:pPr>
            <w:r w:rsidRPr="0011211C">
              <w:rPr>
                <w:sz w:val="20"/>
                <w:szCs w:val="22"/>
              </w:rPr>
              <w:t>95039</w:t>
            </w:r>
          </w:p>
        </w:tc>
        <w:tc>
          <w:tcPr>
            <w:tcW w:w="3024" w:type="dxa"/>
          </w:tcPr>
          <w:p w14:paraId="7AD3BB12" w14:textId="77777777" w:rsidR="00552EAA" w:rsidRPr="0011211C" w:rsidRDefault="00552EAA" w:rsidP="00A91DA4">
            <w:pPr>
              <w:keepNext/>
              <w:keepLines/>
              <w:spacing w:before="0" w:after="0"/>
              <w:jc w:val="center"/>
              <w:rPr>
                <w:sz w:val="20"/>
                <w:szCs w:val="22"/>
              </w:rPr>
            </w:pPr>
            <w:r w:rsidRPr="0011211C">
              <w:rPr>
                <w:sz w:val="20"/>
                <w:szCs w:val="22"/>
              </w:rPr>
              <w:t>SF, CC</w:t>
            </w:r>
          </w:p>
        </w:tc>
        <w:tc>
          <w:tcPr>
            <w:tcW w:w="3744" w:type="dxa"/>
          </w:tcPr>
          <w:p w14:paraId="27BC983A" w14:textId="77777777" w:rsidR="00552EAA" w:rsidRPr="0011211C" w:rsidRDefault="00552EAA" w:rsidP="00A91DA4">
            <w:pPr>
              <w:keepNext/>
              <w:keepLines/>
              <w:spacing w:before="0" w:after="0"/>
              <w:jc w:val="center"/>
              <w:rPr>
                <w:sz w:val="20"/>
                <w:szCs w:val="22"/>
              </w:rPr>
            </w:pPr>
            <w:r w:rsidRPr="0011211C">
              <w:rPr>
                <w:sz w:val="20"/>
                <w:szCs w:val="22"/>
              </w:rPr>
              <w:t>CC</w:t>
            </w:r>
          </w:p>
        </w:tc>
        <w:tc>
          <w:tcPr>
            <w:tcW w:w="1440" w:type="dxa"/>
          </w:tcPr>
          <w:p w14:paraId="0928B820" w14:textId="77777777" w:rsidR="00552EAA" w:rsidRPr="0011211C" w:rsidRDefault="00552EAA" w:rsidP="00A91DA4">
            <w:pPr>
              <w:keepNext/>
              <w:keepLines/>
              <w:spacing w:before="0" w:after="0"/>
              <w:jc w:val="center"/>
              <w:rPr>
                <w:sz w:val="20"/>
                <w:szCs w:val="22"/>
              </w:rPr>
            </w:pPr>
            <w:r w:rsidRPr="0011211C">
              <w:rPr>
                <w:sz w:val="20"/>
                <w:szCs w:val="22"/>
              </w:rPr>
              <w:t>CZ 3</w:t>
            </w:r>
          </w:p>
        </w:tc>
      </w:tr>
    </w:tbl>
    <w:p w14:paraId="0FF70A90" w14:textId="5B189C5C" w:rsidR="00552EAA" w:rsidRDefault="00552EAA" w:rsidP="00552EAA">
      <w:pPr>
        <w:jc w:val="both"/>
      </w:pPr>
    </w:p>
    <w:p w14:paraId="7E29A6DC" w14:textId="033D466D" w:rsidR="006A7B34" w:rsidRPr="008E17D4" w:rsidRDefault="006A7B34" w:rsidP="006A7B34">
      <w:pPr>
        <w:pStyle w:val="eTRMHeading4"/>
      </w:pPr>
      <w:bookmarkStart w:id="44" w:name="_Hlk42680960"/>
      <w:r>
        <w:t>Load Shapes</w:t>
      </w:r>
    </w:p>
    <w:p w14:paraId="066ADA41" w14:textId="77777777" w:rsidR="006A7B34" w:rsidRDefault="006A7B34" w:rsidP="006A7B34">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Pr="00261E53">
        <w:rPr>
          <w:rFonts w:cstheme="minorHAnsi"/>
          <w:szCs w:val="22"/>
        </w:rPr>
        <w:t>Load shape is peculiar for Water-Energy programs</w:t>
      </w:r>
      <w:r>
        <w:rPr>
          <w:rFonts w:cstheme="minorHAnsi"/>
          <w:szCs w:val="22"/>
        </w:rPr>
        <w:t xml:space="preserve"> as it is difficult</w:t>
      </w:r>
      <w:r w:rsidRPr="00261E53">
        <w:rPr>
          <w:rFonts w:cstheme="minorHAnsi"/>
          <w:szCs w:val="22"/>
        </w:rPr>
        <w:t xml:space="preserve"> hard to determine what time energy is being used for the delivery and treatment of water</w:t>
      </w:r>
      <w:r>
        <w:rPr>
          <w:rFonts w:cstheme="minorHAnsi"/>
          <w:szCs w:val="22"/>
        </w:rPr>
        <w:t xml:space="preserve"> and wastewater. </w:t>
      </w:r>
      <w:r w:rsidRPr="00261E53">
        <w:rPr>
          <w:rFonts w:cstheme="minorHAnsi"/>
          <w:szCs w:val="22"/>
        </w:rPr>
        <w:t xml:space="preserve">At the instant water is used on-site, energy is used many hours ahead and after that to treat and pump and collect.  </w:t>
      </w:r>
    </w:p>
    <w:p w14:paraId="5B024D72" w14:textId="31FB01A0" w:rsidR="006A7B34" w:rsidRDefault="006A7B34" w:rsidP="006A7B34">
      <w:pPr>
        <w:rPr>
          <w:rFonts w:cstheme="minorHAnsi"/>
          <w:szCs w:val="22"/>
        </w:rPr>
      </w:pPr>
      <w:r>
        <w:rPr>
          <w:rFonts w:cstheme="minorHAnsi"/>
          <w:szCs w:val="22"/>
        </w:rPr>
        <w:t xml:space="preserve">At the February 14, </w:t>
      </w:r>
      <w:proofErr w:type="gramStart"/>
      <w:r>
        <w:rPr>
          <w:rFonts w:cstheme="minorHAnsi"/>
          <w:szCs w:val="22"/>
        </w:rPr>
        <w:t>2017</w:t>
      </w:r>
      <w:proofErr w:type="gramEnd"/>
      <w:r>
        <w:rPr>
          <w:rFonts w:cstheme="minorHAnsi"/>
          <w:szCs w:val="22"/>
        </w:rPr>
        <w:t xml:space="preserve"> WEN Working Group meeting, </w:t>
      </w:r>
      <w:r w:rsidR="0061292D">
        <w:rPr>
          <w:rFonts w:cstheme="minorHAnsi"/>
          <w:szCs w:val="22"/>
        </w:rPr>
        <w:t xml:space="preserve">the </w:t>
      </w:r>
      <w:r w:rsidRPr="00F23A41">
        <w:rPr>
          <w:rFonts w:cstheme="minorHAnsi"/>
          <w:szCs w:val="22"/>
        </w:rPr>
        <w:t xml:space="preserve">CPUC EAR team </w:t>
      </w:r>
      <w:r>
        <w:rPr>
          <w:rFonts w:cstheme="minorHAnsi"/>
          <w:szCs w:val="22"/>
        </w:rPr>
        <w:t>suggested using a Refrigeration energy load shape</w:t>
      </w:r>
      <w:r w:rsidR="0061292D">
        <w:rPr>
          <w:rFonts w:cstheme="minorHAnsi"/>
          <w:szCs w:val="22"/>
        </w:rPr>
        <w:t xml:space="preserve">, which </w:t>
      </w:r>
      <w:r>
        <w:rPr>
          <w:rFonts w:cstheme="minorHAnsi"/>
          <w:szCs w:val="22"/>
        </w:rPr>
        <w:t xml:space="preserve">is constant and generally flat throughout the year and similar to how WEN cold water measures are typically used. However, at the March 14, </w:t>
      </w:r>
      <w:proofErr w:type="gramStart"/>
      <w:r>
        <w:rPr>
          <w:rFonts w:cstheme="minorHAnsi"/>
          <w:szCs w:val="22"/>
        </w:rPr>
        <w:t>2017</w:t>
      </w:r>
      <w:proofErr w:type="gramEnd"/>
      <w:r>
        <w:rPr>
          <w:rFonts w:cstheme="minorHAnsi"/>
          <w:szCs w:val="22"/>
        </w:rPr>
        <w:t xml:space="preserve"> WEN Working Group meeting, CPUC ED staff indicated that they would coordinate with the CPUC ED Reporting Team on creating a flat load shape for the IOU </w:t>
      </w:r>
      <w:r w:rsidR="0061292D">
        <w:rPr>
          <w:rFonts w:cstheme="minorHAnsi"/>
          <w:szCs w:val="22"/>
        </w:rPr>
        <w:t>r</w:t>
      </w:r>
      <w:r>
        <w:rPr>
          <w:rFonts w:cstheme="minorHAnsi"/>
          <w:szCs w:val="22"/>
        </w:rPr>
        <w:t xml:space="preserve">eporting teams to use for MWD WEN measures. </w:t>
      </w:r>
    </w:p>
    <w:p w14:paraId="052B4858" w14:textId="3DC25E2B" w:rsidR="006A7B34" w:rsidRDefault="006A7B34" w:rsidP="006A7B34">
      <w:pPr>
        <w:rPr>
          <w:rFonts w:cstheme="minorHAnsi"/>
          <w:szCs w:val="22"/>
        </w:rPr>
      </w:pPr>
      <w:r w:rsidRPr="006A7B34">
        <w:rPr>
          <w:rFonts w:cstheme="minorHAnsi"/>
          <w:szCs w:val="22"/>
        </w:rPr>
        <w:t>For illustrative purposes, the relevant load shapes for the first ten IOU WEN measures</w:t>
      </w:r>
      <w:r>
        <w:rPr>
          <w:rFonts w:cstheme="minorHAnsi"/>
          <w:szCs w:val="22"/>
        </w:rPr>
        <w:t xml:space="preserve"> and MWD WEN measures</w:t>
      </w:r>
      <w:r w:rsidRPr="006A7B34">
        <w:rPr>
          <w:rFonts w:cstheme="minorHAnsi"/>
          <w:szCs w:val="22"/>
        </w:rPr>
        <w:t xml:space="preserve"> are shown in the </w:t>
      </w:r>
      <w:r w:rsidR="00695DD3">
        <w:rPr>
          <w:rFonts w:cstheme="minorHAnsi"/>
          <w:szCs w:val="22"/>
        </w:rPr>
        <w:fldChar w:fldCharType="begin"/>
      </w:r>
      <w:r w:rsidR="00695DD3">
        <w:rPr>
          <w:rFonts w:cstheme="minorHAnsi"/>
          <w:szCs w:val="22"/>
        </w:rPr>
        <w:instrText xml:space="preserve"> REF _Ref42685137 \h </w:instrText>
      </w:r>
      <w:r w:rsidR="00695DD3">
        <w:rPr>
          <w:rFonts w:cstheme="minorHAnsi"/>
          <w:szCs w:val="22"/>
        </w:rPr>
      </w:r>
      <w:r w:rsidR="00695DD3">
        <w:rPr>
          <w:rFonts w:cstheme="minorHAnsi"/>
          <w:szCs w:val="22"/>
        </w:rPr>
        <w:fldChar w:fldCharType="separate"/>
      </w:r>
      <w:r w:rsidR="00695DD3">
        <w:t xml:space="preserve">Table </w:t>
      </w:r>
      <w:r w:rsidR="00695DD3">
        <w:rPr>
          <w:noProof/>
        </w:rPr>
        <w:t>4</w:t>
      </w:r>
      <w:r w:rsidR="00695DD3">
        <w:rPr>
          <w:rFonts w:cstheme="minorHAnsi"/>
          <w:szCs w:val="22"/>
        </w:rPr>
        <w:fldChar w:fldCharType="end"/>
      </w:r>
      <w:r w:rsidRPr="006A7B34">
        <w:rPr>
          <w:rFonts w:cstheme="minorHAnsi"/>
          <w:szCs w:val="22"/>
        </w:rPr>
        <w:t xml:space="preserve"> </w:t>
      </w:r>
      <w:r>
        <w:rPr>
          <w:rFonts w:cstheme="minorHAnsi"/>
          <w:szCs w:val="22"/>
        </w:rPr>
        <w:t>and</w:t>
      </w:r>
      <w:r w:rsidRPr="006A7B34">
        <w:rPr>
          <w:rFonts w:cstheme="minorHAnsi"/>
          <w:szCs w:val="22"/>
        </w:rPr>
        <w:t xml:space="preserve"> </w:t>
      </w:r>
      <w:r w:rsidR="00695DD3">
        <w:rPr>
          <w:rFonts w:cstheme="minorHAnsi"/>
          <w:szCs w:val="22"/>
        </w:rPr>
        <w:fldChar w:fldCharType="begin"/>
      </w:r>
      <w:r w:rsidR="00695DD3">
        <w:rPr>
          <w:rFonts w:cstheme="minorHAnsi"/>
          <w:szCs w:val="22"/>
        </w:rPr>
        <w:instrText xml:space="preserve"> REF _Ref42685148 \h </w:instrText>
      </w:r>
      <w:r w:rsidR="00695DD3">
        <w:rPr>
          <w:rFonts w:cstheme="minorHAnsi"/>
          <w:szCs w:val="22"/>
        </w:rPr>
      </w:r>
      <w:r w:rsidR="00695DD3">
        <w:rPr>
          <w:rFonts w:cstheme="minorHAnsi"/>
          <w:szCs w:val="22"/>
        </w:rPr>
        <w:fldChar w:fldCharType="separate"/>
      </w:r>
      <w:r w:rsidR="00695DD3">
        <w:t xml:space="preserve">Table </w:t>
      </w:r>
      <w:r w:rsidR="00695DD3">
        <w:rPr>
          <w:noProof/>
        </w:rPr>
        <w:t>5</w:t>
      </w:r>
      <w:r w:rsidR="00695DD3">
        <w:rPr>
          <w:rFonts w:cstheme="minorHAnsi"/>
          <w:szCs w:val="22"/>
        </w:rPr>
        <w:fldChar w:fldCharType="end"/>
      </w:r>
      <w:r>
        <w:rPr>
          <w:rFonts w:cstheme="minorHAnsi"/>
          <w:szCs w:val="22"/>
        </w:rPr>
        <w:t>, respectively</w:t>
      </w:r>
      <w:r w:rsidRPr="006A7B34">
        <w:rPr>
          <w:rFonts w:cstheme="minorHAnsi"/>
          <w:szCs w:val="22"/>
        </w:rPr>
        <w:t xml:space="preserve">. </w:t>
      </w:r>
    </w:p>
    <w:p w14:paraId="06525D79" w14:textId="15F2BA09" w:rsidR="006A7B34" w:rsidRPr="00500C4E" w:rsidRDefault="006A7B34" w:rsidP="006A7B34">
      <w:pPr>
        <w:pStyle w:val="Caption"/>
      </w:pPr>
      <w:bookmarkStart w:id="45" w:name="_Ref42685137"/>
      <w:r>
        <w:t xml:space="preserve">Table </w:t>
      </w:r>
      <w:r>
        <w:fldChar w:fldCharType="begin"/>
      </w:r>
      <w:r>
        <w:instrText xml:space="preserve"> SEQ Table \* ARABIC </w:instrText>
      </w:r>
      <w:r>
        <w:fldChar w:fldCharType="separate"/>
      </w:r>
      <w:r w:rsidR="00695DD3">
        <w:t>4</w:t>
      </w:r>
      <w:r>
        <w:fldChar w:fldCharType="end"/>
      </w:r>
      <w:bookmarkEnd w:id="45"/>
      <w:r>
        <w:t xml:space="preserve">. Applicable </w:t>
      </w:r>
      <w:r w:rsidRPr="00500C4E">
        <w:t>Building Types and Load Shapes</w:t>
      </w:r>
      <w:r>
        <w:t xml:space="preserve"> – IOU WEN Measures</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693"/>
        <w:gridCol w:w="3742"/>
        <w:gridCol w:w="864"/>
        <w:gridCol w:w="2736"/>
        <w:gridCol w:w="1315"/>
      </w:tblGrid>
      <w:tr w:rsidR="006A7B34" w:rsidRPr="00500C4E" w14:paraId="4668830A" w14:textId="77777777" w:rsidTr="006A7B34">
        <w:trPr>
          <w:tblHeader/>
        </w:trPr>
        <w:tc>
          <w:tcPr>
            <w:tcW w:w="371" w:type="pct"/>
            <w:shd w:val="clear" w:color="auto" w:fill="F2F2F2" w:themeFill="background1" w:themeFillShade="F2"/>
            <w:vAlign w:val="center"/>
          </w:tcPr>
          <w:p w14:paraId="20D891FF" w14:textId="494EE733" w:rsidR="006A7B34" w:rsidRPr="006A7B34" w:rsidRDefault="006A7B34" w:rsidP="006A7B34">
            <w:pPr>
              <w:spacing w:before="0" w:after="0"/>
              <w:jc w:val="center"/>
              <w:rPr>
                <w:rFonts w:cs="Calibri Light"/>
                <w:b/>
                <w:sz w:val="20"/>
              </w:rPr>
            </w:pPr>
            <w:r w:rsidRPr="006A7B34">
              <w:rPr>
                <w:rFonts w:cs="Calibri Light"/>
                <w:b/>
                <w:sz w:val="20"/>
              </w:rPr>
              <w:t>Line #</w:t>
            </w:r>
          </w:p>
        </w:tc>
        <w:tc>
          <w:tcPr>
            <w:tcW w:w="2001" w:type="pct"/>
            <w:shd w:val="clear" w:color="auto" w:fill="F2F2F2" w:themeFill="background1" w:themeFillShade="F2"/>
            <w:vAlign w:val="center"/>
          </w:tcPr>
          <w:p w14:paraId="2F65AF77" w14:textId="77777777" w:rsidR="006A7B34" w:rsidRPr="006A7B34" w:rsidRDefault="006A7B34" w:rsidP="006A7B34">
            <w:pPr>
              <w:spacing w:before="0" w:after="0"/>
              <w:jc w:val="center"/>
              <w:rPr>
                <w:rFonts w:cs="Calibri Light"/>
                <w:b/>
                <w:sz w:val="20"/>
              </w:rPr>
            </w:pPr>
            <w:r w:rsidRPr="006A7B34">
              <w:rPr>
                <w:rFonts w:cs="Calibri Light"/>
                <w:b/>
                <w:sz w:val="20"/>
              </w:rPr>
              <w:t xml:space="preserve">Measure Description </w:t>
            </w:r>
          </w:p>
        </w:tc>
        <w:tc>
          <w:tcPr>
            <w:tcW w:w="462" w:type="pct"/>
            <w:shd w:val="clear" w:color="auto" w:fill="F2F2F2" w:themeFill="background1" w:themeFillShade="F2"/>
            <w:vAlign w:val="center"/>
          </w:tcPr>
          <w:p w14:paraId="6B093B2C" w14:textId="77777777" w:rsidR="006A7B34" w:rsidRPr="006A7B34" w:rsidRDefault="006A7B34" w:rsidP="006A7B34">
            <w:pPr>
              <w:spacing w:before="0" w:after="0"/>
              <w:jc w:val="center"/>
              <w:rPr>
                <w:rFonts w:cs="Calibri Light"/>
                <w:b/>
                <w:sz w:val="20"/>
                <w:highlight w:val="yellow"/>
              </w:rPr>
            </w:pPr>
            <w:r w:rsidRPr="006A7B34">
              <w:rPr>
                <w:rFonts w:cs="Calibri Light"/>
                <w:b/>
                <w:sz w:val="20"/>
              </w:rPr>
              <w:t>Building Type</w:t>
            </w:r>
          </w:p>
        </w:tc>
        <w:tc>
          <w:tcPr>
            <w:tcW w:w="1463" w:type="pct"/>
            <w:shd w:val="clear" w:color="auto" w:fill="F2F2F2" w:themeFill="background1" w:themeFillShade="F2"/>
            <w:vAlign w:val="center"/>
          </w:tcPr>
          <w:p w14:paraId="5C300A1C" w14:textId="77777777" w:rsidR="006A7B34" w:rsidRPr="006A7B34" w:rsidRDefault="006A7B34" w:rsidP="0061292D">
            <w:pPr>
              <w:spacing w:before="0" w:after="0"/>
              <w:jc w:val="center"/>
              <w:rPr>
                <w:rFonts w:cs="Calibri Light"/>
                <w:b/>
                <w:sz w:val="20"/>
              </w:rPr>
            </w:pPr>
            <w:r w:rsidRPr="006A7B34">
              <w:rPr>
                <w:rFonts w:cs="Calibri Light"/>
                <w:b/>
                <w:sz w:val="20"/>
              </w:rPr>
              <w:t>Load Shape</w:t>
            </w:r>
          </w:p>
        </w:tc>
        <w:tc>
          <w:tcPr>
            <w:tcW w:w="703" w:type="pct"/>
            <w:shd w:val="clear" w:color="auto" w:fill="F2F2F2" w:themeFill="background1" w:themeFillShade="F2"/>
            <w:vAlign w:val="center"/>
          </w:tcPr>
          <w:p w14:paraId="3A00A937" w14:textId="77777777" w:rsidR="006A7B34" w:rsidRPr="006A7B34" w:rsidRDefault="006A7B34" w:rsidP="006A7B34">
            <w:pPr>
              <w:spacing w:before="0" w:after="0"/>
              <w:jc w:val="center"/>
              <w:rPr>
                <w:rFonts w:cs="Calibri Light"/>
                <w:b/>
                <w:sz w:val="20"/>
                <w:highlight w:val="yellow"/>
              </w:rPr>
            </w:pPr>
            <w:r w:rsidRPr="006A7B34">
              <w:rPr>
                <w:rFonts w:cs="Calibri Light"/>
                <w:b/>
                <w:sz w:val="20"/>
              </w:rPr>
              <w:t>E3 Alternate Building Type</w:t>
            </w:r>
          </w:p>
        </w:tc>
      </w:tr>
      <w:tr w:rsidR="006A7B34" w:rsidRPr="00500C4E" w14:paraId="0A4625A7" w14:textId="77777777" w:rsidTr="006A7B34">
        <w:tc>
          <w:tcPr>
            <w:tcW w:w="371" w:type="pct"/>
            <w:vAlign w:val="center"/>
          </w:tcPr>
          <w:p w14:paraId="3277EB3A" w14:textId="77777777" w:rsidR="006A7B34" w:rsidRPr="006A7B34" w:rsidRDefault="006A7B34" w:rsidP="006A7B34">
            <w:pPr>
              <w:spacing w:before="0" w:after="0"/>
              <w:jc w:val="center"/>
              <w:rPr>
                <w:rFonts w:cs="Calibri Light"/>
                <w:sz w:val="20"/>
              </w:rPr>
            </w:pPr>
            <w:r w:rsidRPr="006A7B34">
              <w:rPr>
                <w:rFonts w:cs="Calibri Light"/>
                <w:sz w:val="20"/>
              </w:rPr>
              <w:t>1</w:t>
            </w:r>
          </w:p>
        </w:tc>
        <w:tc>
          <w:tcPr>
            <w:tcW w:w="2001" w:type="pct"/>
            <w:vAlign w:val="center"/>
          </w:tcPr>
          <w:p w14:paraId="3D87ECAF" w14:textId="77777777" w:rsidR="006A7B34" w:rsidRPr="006A7B34" w:rsidRDefault="006A7B34" w:rsidP="006A7B34">
            <w:pPr>
              <w:spacing w:before="0" w:after="0"/>
              <w:rPr>
                <w:rFonts w:cs="Calibri Light"/>
                <w:sz w:val="20"/>
              </w:rPr>
            </w:pPr>
            <w:r w:rsidRPr="006A7B34">
              <w:rPr>
                <w:rFonts w:cs="Calibri Light"/>
                <w:sz w:val="20"/>
              </w:rPr>
              <w:t>Energy Star most efficient clothes washer, &gt;2.5 cubic ft - SFM. MFM In-Unit</w:t>
            </w:r>
          </w:p>
        </w:tc>
        <w:tc>
          <w:tcPr>
            <w:tcW w:w="462" w:type="pct"/>
            <w:vAlign w:val="center"/>
          </w:tcPr>
          <w:p w14:paraId="228FBC89" w14:textId="77777777" w:rsidR="006A7B34" w:rsidRPr="006A7B34" w:rsidRDefault="006A7B34" w:rsidP="006A7B34">
            <w:pPr>
              <w:spacing w:before="0" w:after="0"/>
              <w:jc w:val="center"/>
              <w:rPr>
                <w:rFonts w:cs="Calibri Light"/>
                <w:sz w:val="20"/>
              </w:rPr>
            </w:pPr>
            <w:r w:rsidRPr="006A7B34">
              <w:rPr>
                <w:rFonts w:cs="Calibri Light"/>
                <w:sz w:val="20"/>
              </w:rPr>
              <w:t>SFM</w:t>
            </w:r>
          </w:p>
        </w:tc>
        <w:tc>
          <w:tcPr>
            <w:tcW w:w="1463" w:type="pct"/>
            <w:vAlign w:val="center"/>
          </w:tcPr>
          <w:p w14:paraId="7F4087C4" w14:textId="77777777" w:rsidR="006A7B34" w:rsidRPr="006A7B34" w:rsidRDefault="006A7B34" w:rsidP="0061292D">
            <w:pPr>
              <w:spacing w:before="0" w:after="0"/>
              <w:rPr>
                <w:rFonts w:cs="Calibri Light"/>
                <w:sz w:val="20"/>
              </w:rPr>
            </w:pPr>
            <w:r w:rsidRPr="006A7B34">
              <w:rPr>
                <w:rFonts w:cs="Calibri Light"/>
                <w:sz w:val="20"/>
              </w:rPr>
              <w:t xml:space="preserve">IOU:RES: DEER: </w:t>
            </w:r>
            <w:proofErr w:type="spellStart"/>
            <w:r w:rsidRPr="006A7B34">
              <w:rPr>
                <w:rFonts w:cs="Calibri Light"/>
                <w:sz w:val="20"/>
              </w:rPr>
              <w:t>Res_ClothesDishWasher</w:t>
            </w:r>
            <w:proofErr w:type="spellEnd"/>
          </w:p>
        </w:tc>
        <w:tc>
          <w:tcPr>
            <w:tcW w:w="703" w:type="pct"/>
            <w:vAlign w:val="center"/>
          </w:tcPr>
          <w:p w14:paraId="69A56CA7" w14:textId="77777777" w:rsidR="006A7B34" w:rsidRPr="006A7B34" w:rsidRDefault="006A7B34" w:rsidP="006A7B34">
            <w:pPr>
              <w:spacing w:before="0" w:after="0"/>
              <w:jc w:val="center"/>
              <w:rPr>
                <w:rFonts w:cs="Calibri Light"/>
                <w:sz w:val="20"/>
              </w:rPr>
            </w:pPr>
            <w:r w:rsidRPr="006A7B34">
              <w:rPr>
                <w:rFonts w:cs="Calibri Light"/>
                <w:sz w:val="20"/>
              </w:rPr>
              <w:t>RES</w:t>
            </w:r>
          </w:p>
        </w:tc>
      </w:tr>
      <w:tr w:rsidR="006A7B34" w:rsidRPr="00500C4E" w14:paraId="3345E3A8" w14:textId="77777777" w:rsidTr="006A7B34">
        <w:tc>
          <w:tcPr>
            <w:tcW w:w="371" w:type="pct"/>
            <w:vAlign w:val="center"/>
          </w:tcPr>
          <w:p w14:paraId="401F291F" w14:textId="77777777" w:rsidR="006A7B34" w:rsidRPr="006A7B34" w:rsidRDefault="006A7B34" w:rsidP="006A7B34">
            <w:pPr>
              <w:spacing w:before="0" w:after="0"/>
              <w:jc w:val="center"/>
              <w:rPr>
                <w:rFonts w:cs="Calibri Light"/>
                <w:sz w:val="20"/>
              </w:rPr>
            </w:pPr>
            <w:r w:rsidRPr="006A7B34">
              <w:rPr>
                <w:rFonts w:cs="Calibri Light"/>
                <w:sz w:val="20"/>
              </w:rPr>
              <w:t>2</w:t>
            </w:r>
          </w:p>
        </w:tc>
        <w:tc>
          <w:tcPr>
            <w:tcW w:w="2001" w:type="pct"/>
            <w:vAlign w:val="center"/>
          </w:tcPr>
          <w:p w14:paraId="06795F9C" w14:textId="77777777" w:rsidR="006A7B34" w:rsidRPr="006A7B34" w:rsidRDefault="006A7B34" w:rsidP="006A7B34">
            <w:pPr>
              <w:spacing w:before="0" w:after="0"/>
              <w:rPr>
                <w:rFonts w:cs="Calibri Light"/>
                <w:sz w:val="20"/>
              </w:rPr>
            </w:pPr>
            <w:r w:rsidRPr="006A7B34">
              <w:rPr>
                <w:rFonts w:cs="Calibri Light"/>
                <w:sz w:val="20"/>
              </w:rPr>
              <w:t>Energy Star most efficient clothes washer, &gt;2.5 cubic ft - MFM Common Area</w:t>
            </w:r>
          </w:p>
        </w:tc>
        <w:tc>
          <w:tcPr>
            <w:tcW w:w="462" w:type="pct"/>
            <w:vAlign w:val="center"/>
          </w:tcPr>
          <w:p w14:paraId="795592E0" w14:textId="77777777" w:rsidR="006A7B34" w:rsidRPr="006A7B34" w:rsidRDefault="006A7B34" w:rsidP="006A7B34">
            <w:pPr>
              <w:spacing w:before="0" w:after="0"/>
              <w:jc w:val="center"/>
              <w:rPr>
                <w:rFonts w:cs="Calibri Light"/>
                <w:sz w:val="20"/>
              </w:rPr>
            </w:pPr>
            <w:r w:rsidRPr="006A7B34">
              <w:rPr>
                <w:rFonts w:cs="Calibri Light"/>
                <w:sz w:val="20"/>
              </w:rPr>
              <w:t>MFM</w:t>
            </w:r>
          </w:p>
        </w:tc>
        <w:tc>
          <w:tcPr>
            <w:tcW w:w="1463" w:type="pct"/>
            <w:vAlign w:val="center"/>
          </w:tcPr>
          <w:p w14:paraId="62F085D9" w14:textId="77777777" w:rsidR="006A7B34" w:rsidRPr="006A7B34" w:rsidRDefault="006A7B34" w:rsidP="0061292D">
            <w:pPr>
              <w:spacing w:before="0" w:after="0"/>
              <w:rPr>
                <w:rFonts w:cs="Calibri Light"/>
                <w:sz w:val="20"/>
              </w:rPr>
            </w:pPr>
            <w:r w:rsidRPr="006A7B34">
              <w:rPr>
                <w:rFonts w:cs="Calibri Light"/>
                <w:sz w:val="20"/>
              </w:rPr>
              <w:t xml:space="preserve">IOU:RES: DEER: </w:t>
            </w:r>
            <w:proofErr w:type="spellStart"/>
            <w:r w:rsidRPr="006A7B34">
              <w:rPr>
                <w:rFonts w:cs="Calibri Light"/>
                <w:sz w:val="20"/>
              </w:rPr>
              <w:t>Res_ClothesDishWasher</w:t>
            </w:r>
            <w:proofErr w:type="spellEnd"/>
          </w:p>
        </w:tc>
        <w:tc>
          <w:tcPr>
            <w:tcW w:w="703" w:type="pct"/>
            <w:vAlign w:val="center"/>
          </w:tcPr>
          <w:p w14:paraId="404BB404" w14:textId="77777777" w:rsidR="006A7B34" w:rsidRPr="006A7B34" w:rsidRDefault="006A7B34" w:rsidP="006A7B34">
            <w:pPr>
              <w:spacing w:before="0" w:after="0"/>
              <w:jc w:val="center"/>
              <w:rPr>
                <w:rFonts w:cs="Calibri Light"/>
                <w:sz w:val="20"/>
              </w:rPr>
            </w:pPr>
            <w:r w:rsidRPr="006A7B34">
              <w:rPr>
                <w:rFonts w:cs="Calibri Light"/>
                <w:sz w:val="20"/>
              </w:rPr>
              <w:t>RES</w:t>
            </w:r>
          </w:p>
        </w:tc>
      </w:tr>
      <w:tr w:rsidR="006A7B34" w:rsidRPr="00500C4E" w14:paraId="5EE8D821" w14:textId="77777777" w:rsidTr="006A7B34">
        <w:tc>
          <w:tcPr>
            <w:tcW w:w="371" w:type="pct"/>
            <w:vAlign w:val="center"/>
          </w:tcPr>
          <w:p w14:paraId="1B3B7495" w14:textId="77777777" w:rsidR="006A7B34" w:rsidRPr="006A7B34" w:rsidRDefault="006A7B34" w:rsidP="006A7B34">
            <w:pPr>
              <w:spacing w:before="0" w:after="0"/>
              <w:jc w:val="center"/>
              <w:rPr>
                <w:rFonts w:cs="Calibri Light"/>
                <w:sz w:val="20"/>
              </w:rPr>
            </w:pPr>
            <w:r w:rsidRPr="006A7B34">
              <w:rPr>
                <w:rFonts w:cs="Calibri Light"/>
                <w:sz w:val="20"/>
              </w:rPr>
              <w:t>3</w:t>
            </w:r>
          </w:p>
        </w:tc>
        <w:tc>
          <w:tcPr>
            <w:tcW w:w="2001" w:type="pct"/>
            <w:vAlign w:val="center"/>
          </w:tcPr>
          <w:p w14:paraId="52F435B8" w14:textId="77777777" w:rsidR="006A7B34" w:rsidRPr="006A7B34" w:rsidRDefault="006A7B34" w:rsidP="006A7B34">
            <w:pPr>
              <w:spacing w:before="0" w:after="0"/>
              <w:rPr>
                <w:rFonts w:cs="Calibri Light"/>
                <w:sz w:val="20"/>
              </w:rPr>
            </w:pPr>
            <w:r w:rsidRPr="006A7B34">
              <w:rPr>
                <w:rFonts w:cs="Calibri Light"/>
                <w:sz w:val="20"/>
              </w:rPr>
              <w:t xml:space="preserve">Energy Star most efficient clothes washer, &gt;2.5 cubic ft - </w:t>
            </w:r>
            <w:proofErr w:type="gramStart"/>
            <w:r w:rsidRPr="006A7B34">
              <w:rPr>
                <w:rFonts w:cs="Calibri Light"/>
                <w:sz w:val="20"/>
              </w:rPr>
              <w:t>Non-Res</w:t>
            </w:r>
            <w:proofErr w:type="gramEnd"/>
          </w:p>
        </w:tc>
        <w:tc>
          <w:tcPr>
            <w:tcW w:w="462" w:type="pct"/>
            <w:vAlign w:val="center"/>
          </w:tcPr>
          <w:p w14:paraId="7DBDB985"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72830FCF" w14:textId="77777777" w:rsidR="006A7B34" w:rsidRPr="006A7B34" w:rsidRDefault="006A7B34" w:rsidP="0061292D">
            <w:pPr>
              <w:spacing w:before="0" w:after="0"/>
              <w:rPr>
                <w:rFonts w:cs="Calibri Light"/>
                <w:sz w:val="20"/>
              </w:rPr>
            </w:pPr>
            <w:r w:rsidRPr="006A7B34">
              <w:rPr>
                <w:rFonts w:cs="Calibri Light"/>
                <w:sz w:val="20"/>
              </w:rPr>
              <w:t xml:space="preserve">IOU:RES: DEER: </w:t>
            </w:r>
            <w:proofErr w:type="spellStart"/>
            <w:r w:rsidRPr="006A7B34">
              <w:rPr>
                <w:rFonts w:cs="Calibri Light"/>
                <w:sz w:val="20"/>
              </w:rPr>
              <w:t>Res_ClothesDishWasher</w:t>
            </w:r>
            <w:proofErr w:type="spellEnd"/>
          </w:p>
        </w:tc>
        <w:tc>
          <w:tcPr>
            <w:tcW w:w="703" w:type="pct"/>
            <w:vAlign w:val="center"/>
          </w:tcPr>
          <w:p w14:paraId="29027901"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005DFE8C" w14:textId="77777777" w:rsidTr="006A7B34">
        <w:tc>
          <w:tcPr>
            <w:tcW w:w="371" w:type="pct"/>
            <w:vAlign w:val="center"/>
          </w:tcPr>
          <w:p w14:paraId="25B84FBE" w14:textId="77777777" w:rsidR="006A7B34" w:rsidRPr="006A7B34" w:rsidRDefault="006A7B34" w:rsidP="006A7B34">
            <w:pPr>
              <w:spacing w:before="0" w:after="0"/>
              <w:jc w:val="center"/>
              <w:rPr>
                <w:rFonts w:cs="Calibri Light"/>
                <w:color w:val="000000"/>
                <w:sz w:val="20"/>
              </w:rPr>
            </w:pPr>
            <w:r w:rsidRPr="006A7B34">
              <w:rPr>
                <w:rFonts w:cs="Calibri Light"/>
                <w:sz w:val="20"/>
              </w:rPr>
              <w:t>4</w:t>
            </w:r>
          </w:p>
        </w:tc>
        <w:tc>
          <w:tcPr>
            <w:tcW w:w="2001" w:type="pct"/>
            <w:vAlign w:val="center"/>
          </w:tcPr>
          <w:p w14:paraId="2AD7F920" w14:textId="77777777" w:rsidR="006A7B34" w:rsidRPr="006A7B34" w:rsidRDefault="006A7B34" w:rsidP="006A7B34">
            <w:pPr>
              <w:spacing w:before="0" w:after="0"/>
              <w:rPr>
                <w:rFonts w:cs="Calibri Light"/>
                <w:sz w:val="20"/>
              </w:rPr>
            </w:pPr>
            <w:r w:rsidRPr="006A7B34">
              <w:rPr>
                <w:rFonts w:cs="Calibri Light"/>
                <w:sz w:val="20"/>
              </w:rPr>
              <w:t>Commercial steam cooker Electric</w:t>
            </w:r>
          </w:p>
        </w:tc>
        <w:tc>
          <w:tcPr>
            <w:tcW w:w="462" w:type="pct"/>
            <w:vAlign w:val="center"/>
          </w:tcPr>
          <w:p w14:paraId="3A7D16F1"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6BE5FEFA" w14:textId="77777777" w:rsidR="006A7B34" w:rsidRPr="006A7B34" w:rsidRDefault="006A7B34" w:rsidP="0061292D">
            <w:pPr>
              <w:spacing w:before="0" w:after="0"/>
              <w:rPr>
                <w:rFonts w:cs="Calibri Light"/>
                <w:sz w:val="20"/>
              </w:rPr>
            </w:pPr>
            <w:r w:rsidRPr="006A7B34">
              <w:rPr>
                <w:rFonts w:cs="Calibri Light"/>
                <w:sz w:val="20"/>
              </w:rPr>
              <w:t>IOU:RSD-Restaurant–</w:t>
            </w:r>
            <w:proofErr w:type="spellStart"/>
            <w:r w:rsidRPr="006A7B34">
              <w:rPr>
                <w:rFonts w:cs="Calibri Light"/>
                <w:sz w:val="20"/>
              </w:rPr>
              <w:t>SitDown</w:t>
            </w:r>
            <w:proofErr w:type="spellEnd"/>
            <w:r w:rsidRPr="006A7B34">
              <w:rPr>
                <w:rFonts w:cs="Calibri Light"/>
                <w:sz w:val="20"/>
              </w:rPr>
              <w:t>-PROC_OTH</w:t>
            </w:r>
          </w:p>
        </w:tc>
        <w:tc>
          <w:tcPr>
            <w:tcW w:w="703" w:type="pct"/>
            <w:vAlign w:val="center"/>
          </w:tcPr>
          <w:p w14:paraId="7173BE72"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22B94896" w14:textId="77777777" w:rsidTr="006A7B34">
        <w:tc>
          <w:tcPr>
            <w:tcW w:w="371" w:type="pct"/>
            <w:vAlign w:val="center"/>
          </w:tcPr>
          <w:p w14:paraId="30FB0053" w14:textId="77777777" w:rsidR="006A7B34" w:rsidRPr="006A7B34" w:rsidRDefault="006A7B34" w:rsidP="006A7B34">
            <w:pPr>
              <w:spacing w:before="0" w:after="0"/>
              <w:jc w:val="center"/>
              <w:rPr>
                <w:rFonts w:cs="Calibri Light"/>
                <w:color w:val="000000"/>
                <w:sz w:val="20"/>
              </w:rPr>
            </w:pPr>
            <w:r w:rsidRPr="006A7B34">
              <w:rPr>
                <w:rFonts w:cs="Calibri Light"/>
                <w:sz w:val="20"/>
              </w:rPr>
              <w:t>5</w:t>
            </w:r>
          </w:p>
        </w:tc>
        <w:tc>
          <w:tcPr>
            <w:tcW w:w="2001" w:type="pct"/>
            <w:vAlign w:val="center"/>
          </w:tcPr>
          <w:p w14:paraId="2848443A" w14:textId="77777777" w:rsidR="006A7B34" w:rsidRPr="006A7B34" w:rsidRDefault="006A7B34" w:rsidP="006A7B34">
            <w:pPr>
              <w:spacing w:before="0" w:after="0"/>
              <w:rPr>
                <w:rFonts w:cs="Calibri Light"/>
                <w:sz w:val="20"/>
              </w:rPr>
            </w:pPr>
            <w:r w:rsidRPr="006A7B34">
              <w:rPr>
                <w:rFonts w:cs="Calibri Light"/>
                <w:sz w:val="20"/>
              </w:rPr>
              <w:t>Commercial steam cooker Natural gas</w:t>
            </w:r>
          </w:p>
        </w:tc>
        <w:tc>
          <w:tcPr>
            <w:tcW w:w="462" w:type="pct"/>
            <w:vAlign w:val="center"/>
          </w:tcPr>
          <w:p w14:paraId="776E1F49"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56B338E4" w14:textId="77777777" w:rsidR="006A7B34" w:rsidRPr="006A7B34" w:rsidRDefault="006A7B34" w:rsidP="0061292D">
            <w:pPr>
              <w:spacing w:before="0" w:after="0"/>
              <w:rPr>
                <w:rFonts w:cs="Calibri Light"/>
                <w:sz w:val="20"/>
              </w:rPr>
            </w:pPr>
            <w:r w:rsidRPr="006A7B34">
              <w:rPr>
                <w:rFonts w:cs="Calibri Light"/>
                <w:sz w:val="20"/>
              </w:rPr>
              <w:t>IOU:RSD-Restaurant–</w:t>
            </w:r>
            <w:proofErr w:type="spellStart"/>
            <w:r w:rsidRPr="006A7B34">
              <w:rPr>
                <w:rFonts w:cs="Calibri Light"/>
                <w:sz w:val="20"/>
              </w:rPr>
              <w:t>SitDown</w:t>
            </w:r>
            <w:proofErr w:type="spellEnd"/>
            <w:r w:rsidRPr="006A7B34">
              <w:rPr>
                <w:rFonts w:cs="Calibri Light"/>
                <w:sz w:val="20"/>
              </w:rPr>
              <w:t>-PROC_OTH</w:t>
            </w:r>
          </w:p>
        </w:tc>
        <w:tc>
          <w:tcPr>
            <w:tcW w:w="703" w:type="pct"/>
            <w:vAlign w:val="center"/>
          </w:tcPr>
          <w:p w14:paraId="349A68F5"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0A03BDB7" w14:textId="77777777" w:rsidTr="006A7B34">
        <w:tc>
          <w:tcPr>
            <w:tcW w:w="371" w:type="pct"/>
            <w:vAlign w:val="center"/>
          </w:tcPr>
          <w:p w14:paraId="39226434" w14:textId="77777777" w:rsidR="006A7B34" w:rsidRPr="006A7B34" w:rsidRDefault="006A7B34" w:rsidP="006A7B34">
            <w:pPr>
              <w:spacing w:before="0" w:after="0"/>
              <w:jc w:val="center"/>
              <w:rPr>
                <w:rFonts w:cs="Calibri Light"/>
                <w:color w:val="000000"/>
                <w:sz w:val="20"/>
              </w:rPr>
            </w:pPr>
            <w:r w:rsidRPr="006A7B34">
              <w:rPr>
                <w:rFonts w:cs="Calibri Light"/>
                <w:sz w:val="20"/>
              </w:rPr>
              <w:lastRenderedPageBreak/>
              <w:t>6</w:t>
            </w:r>
          </w:p>
        </w:tc>
        <w:tc>
          <w:tcPr>
            <w:tcW w:w="2001" w:type="pct"/>
            <w:vAlign w:val="center"/>
          </w:tcPr>
          <w:p w14:paraId="776B0431" w14:textId="77777777" w:rsidR="006A7B34" w:rsidRPr="006A7B34" w:rsidRDefault="006A7B34" w:rsidP="006A7B34">
            <w:pPr>
              <w:spacing w:before="0" w:after="0"/>
              <w:rPr>
                <w:rFonts w:cs="Calibri Light"/>
                <w:sz w:val="20"/>
              </w:rPr>
            </w:pPr>
            <w:r w:rsidRPr="006A7B34">
              <w:rPr>
                <w:rFonts w:cs="Calibri Light"/>
                <w:sz w:val="20"/>
              </w:rPr>
              <w:t>Commercial combination oven/steamer Electric (less than 15 pans)</w:t>
            </w:r>
          </w:p>
        </w:tc>
        <w:tc>
          <w:tcPr>
            <w:tcW w:w="462" w:type="pct"/>
            <w:vAlign w:val="center"/>
          </w:tcPr>
          <w:p w14:paraId="5F8CBBD1"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350E300C" w14:textId="77777777" w:rsidR="006A7B34" w:rsidRPr="006A7B34" w:rsidRDefault="006A7B34" w:rsidP="0061292D">
            <w:pPr>
              <w:spacing w:before="0" w:after="0"/>
              <w:rPr>
                <w:rFonts w:cs="Calibri Light"/>
                <w:sz w:val="20"/>
              </w:rPr>
            </w:pPr>
            <w:r w:rsidRPr="006A7B34">
              <w:rPr>
                <w:rFonts w:cs="Calibri Light"/>
                <w:sz w:val="20"/>
              </w:rPr>
              <w:t>IOU:RSD-Restaurant–</w:t>
            </w:r>
            <w:proofErr w:type="spellStart"/>
            <w:r w:rsidRPr="006A7B34">
              <w:rPr>
                <w:rFonts w:cs="Calibri Light"/>
                <w:sz w:val="20"/>
              </w:rPr>
              <w:t>SitDown</w:t>
            </w:r>
            <w:proofErr w:type="spellEnd"/>
            <w:r w:rsidRPr="006A7B34">
              <w:rPr>
                <w:rFonts w:cs="Calibri Light"/>
                <w:sz w:val="20"/>
              </w:rPr>
              <w:t>-PROC_OTH</w:t>
            </w:r>
          </w:p>
        </w:tc>
        <w:tc>
          <w:tcPr>
            <w:tcW w:w="703" w:type="pct"/>
            <w:vAlign w:val="center"/>
          </w:tcPr>
          <w:p w14:paraId="7C55FE25"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0C182B42" w14:textId="77777777" w:rsidTr="006A7B34">
        <w:tc>
          <w:tcPr>
            <w:tcW w:w="371" w:type="pct"/>
            <w:vAlign w:val="center"/>
          </w:tcPr>
          <w:p w14:paraId="4C91DB17" w14:textId="77777777" w:rsidR="006A7B34" w:rsidRPr="006A7B34" w:rsidRDefault="006A7B34" w:rsidP="006A7B34">
            <w:pPr>
              <w:spacing w:before="0" w:after="0"/>
              <w:jc w:val="center"/>
              <w:rPr>
                <w:rFonts w:cs="Calibri Light"/>
                <w:color w:val="000000"/>
                <w:sz w:val="20"/>
              </w:rPr>
            </w:pPr>
            <w:r w:rsidRPr="006A7B34">
              <w:rPr>
                <w:rFonts w:cs="Calibri Light"/>
                <w:sz w:val="20"/>
              </w:rPr>
              <w:t>7</w:t>
            </w:r>
          </w:p>
        </w:tc>
        <w:tc>
          <w:tcPr>
            <w:tcW w:w="2001" w:type="pct"/>
            <w:vAlign w:val="center"/>
          </w:tcPr>
          <w:p w14:paraId="128ED162" w14:textId="77777777" w:rsidR="006A7B34" w:rsidRPr="006A7B34" w:rsidRDefault="006A7B34" w:rsidP="006A7B34">
            <w:pPr>
              <w:spacing w:before="0" w:after="0"/>
              <w:rPr>
                <w:rFonts w:cs="Calibri Light"/>
                <w:color w:val="000000"/>
                <w:sz w:val="20"/>
              </w:rPr>
            </w:pPr>
            <w:r w:rsidRPr="006A7B34">
              <w:rPr>
                <w:rFonts w:cs="Calibri Light"/>
                <w:color w:val="000000"/>
                <w:sz w:val="20"/>
              </w:rPr>
              <w:t>Commercial combination oven/steamer Electric (15-28 pans)</w:t>
            </w:r>
          </w:p>
        </w:tc>
        <w:tc>
          <w:tcPr>
            <w:tcW w:w="462" w:type="pct"/>
            <w:vAlign w:val="center"/>
          </w:tcPr>
          <w:p w14:paraId="0C034FC8"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76186174" w14:textId="77777777" w:rsidR="006A7B34" w:rsidRPr="006A7B34" w:rsidRDefault="006A7B34" w:rsidP="0061292D">
            <w:pPr>
              <w:spacing w:before="0" w:after="0"/>
              <w:rPr>
                <w:rFonts w:cs="Calibri Light"/>
                <w:sz w:val="20"/>
              </w:rPr>
            </w:pPr>
            <w:r w:rsidRPr="006A7B34">
              <w:rPr>
                <w:rFonts w:cs="Calibri Light"/>
                <w:sz w:val="20"/>
              </w:rPr>
              <w:t>IOU:RSD-Restaurant–</w:t>
            </w:r>
            <w:proofErr w:type="spellStart"/>
            <w:r w:rsidRPr="006A7B34">
              <w:rPr>
                <w:rFonts w:cs="Calibri Light"/>
                <w:sz w:val="20"/>
              </w:rPr>
              <w:t>SitDown</w:t>
            </w:r>
            <w:proofErr w:type="spellEnd"/>
            <w:r w:rsidRPr="006A7B34">
              <w:rPr>
                <w:rFonts w:cs="Calibri Light"/>
                <w:sz w:val="20"/>
              </w:rPr>
              <w:t>-PROC_OTH</w:t>
            </w:r>
          </w:p>
        </w:tc>
        <w:tc>
          <w:tcPr>
            <w:tcW w:w="703" w:type="pct"/>
            <w:vAlign w:val="center"/>
          </w:tcPr>
          <w:p w14:paraId="205F8904"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62C9DCB1" w14:textId="77777777" w:rsidTr="006A7B34">
        <w:tc>
          <w:tcPr>
            <w:tcW w:w="371" w:type="pct"/>
            <w:vAlign w:val="center"/>
          </w:tcPr>
          <w:p w14:paraId="16403D6C" w14:textId="77777777" w:rsidR="006A7B34" w:rsidRPr="006A7B34" w:rsidRDefault="006A7B34" w:rsidP="006A7B34">
            <w:pPr>
              <w:spacing w:before="0" w:after="0"/>
              <w:jc w:val="center"/>
              <w:rPr>
                <w:rFonts w:cs="Calibri Light"/>
                <w:color w:val="000000"/>
                <w:sz w:val="20"/>
              </w:rPr>
            </w:pPr>
            <w:r w:rsidRPr="006A7B34">
              <w:rPr>
                <w:rFonts w:cs="Calibri Light"/>
                <w:sz w:val="20"/>
              </w:rPr>
              <w:t>8</w:t>
            </w:r>
          </w:p>
        </w:tc>
        <w:tc>
          <w:tcPr>
            <w:tcW w:w="2001" w:type="pct"/>
            <w:vAlign w:val="center"/>
          </w:tcPr>
          <w:p w14:paraId="398125C9" w14:textId="77777777" w:rsidR="006A7B34" w:rsidRPr="006A7B34" w:rsidRDefault="006A7B34" w:rsidP="006A7B34">
            <w:pPr>
              <w:spacing w:before="0" w:after="0"/>
              <w:rPr>
                <w:rFonts w:cs="Calibri Light"/>
                <w:color w:val="000000"/>
                <w:sz w:val="20"/>
              </w:rPr>
            </w:pPr>
            <w:r w:rsidRPr="006A7B34">
              <w:rPr>
                <w:rFonts w:cs="Calibri Light"/>
                <w:color w:val="000000"/>
                <w:sz w:val="20"/>
              </w:rPr>
              <w:t>Commercial combination oven/steamer Electric (more than 28 pans)</w:t>
            </w:r>
          </w:p>
        </w:tc>
        <w:tc>
          <w:tcPr>
            <w:tcW w:w="462" w:type="pct"/>
            <w:vAlign w:val="center"/>
          </w:tcPr>
          <w:p w14:paraId="2A9369C9"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744E0EB8" w14:textId="77777777" w:rsidR="006A7B34" w:rsidRPr="006A7B34" w:rsidRDefault="006A7B34" w:rsidP="0061292D">
            <w:pPr>
              <w:spacing w:before="0" w:after="0"/>
              <w:rPr>
                <w:rFonts w:cs="Calibri Light"/>
                <w:sz w:val="20"/>
              </w:rPr>
            </w:pPr>
            <w:r w:rsidRPr="006A7B34">
              <w:rPr>
                <w:rFonts w:cs="Calibri Light"/>
                <w:sz w:val="20"/>
              </w:rPr>
              <w:t>IOU:RSD-Restaurant–</w:t>
            </w:r>
            <w:proofErr w:type="spellStart"/>
            <w:r w:rsidRPr="006A7B34">
              <w:rPr>
                <w:rFonts w:cs="Calibri Light"/>
                <w:sz w:val="20"/>
              </w:rPr>
              <w:t>SitDown</w:t>
            </w:r>
            <w:proofErr w:type="spellEnd"/>
            <w:r w:rsidRPr="006A7B34">
              <w:rPr>
                <w:rFonts w:cs="Calibri Light"/>
                <w:sz w:val="20"/>
              </w:rPr>
              <w:t>-PROC_OTH</w:t>
            </w:r>
          </w:p>
        </w:tc>
        <w:tc>
          <w:tcPr>
            <w:tcW w:w="703" w:type="pct"/>
            <w:vAlign w:val="center"/>
          </w:tcPr>
          <w:p w14:paraId="7197ACB7"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178ABBF0" w14:textId="77777777" w:rsidTr="006A7B34">
        <w:tc>
          <w:tcPr>
            <w:tcW w:w="371" w:type="pct"/>
            <w:vAlign w:val="center"/>
          </w:tcPr>
          <w:p w14:paraId="75246803" w14:textId="77777777" w:rsidR="006A7B34" w:rsidRPr="006A7B34" w:rsidRDefault="006A7B34" w:rsidP="006A7B34">
            <w:pPr>
              <w:spacing w:before="0" w:after="0"/>
              <w:jc w:val="center"/>
              <w:rPr>
                <w:rFonts w:cs="Calibri Light"/>
                <w:color w:val="000000"/>
                <w:sz w:val="20"/>
              </w:rPr>
            </w:pPr>
            <w:r w:rsidRPr="006A7B34">
              <w:rPr>
                <w:rFonts w:cs="Calibri Light"/>
                <w:sz w:val="20"/>
              </w:rPr>
              <w:t>9</w:t>
            </w:r>
          </w:p>
        </w:tc>
        <w:tc>
          <w:tcPr>
            <w:tcW w:w="2001" w:type="pct"/>
            <w:vAlign w:val="center"/>
          </w:tcPr>
          <w:p w14:paraId="10B722A5" w14:textId="77777777" w:rsidR="006A7B34" w:rsidRPr="006A7B34" w:rsidRDefault="006A7B34" w:rsidP="006A7B34">
            <w:pPr>
              <w:spacing w:before="0" w:after="0"/>
              <w:rPr>
                <w:rFonts w:cs="Calibri Light"/>
                <w:color w:val="000000"/>
                <w:sz w:val="20"/>
              </w:rPr>
            </w:pPr>
            <w:r w:rsidRPr="006A7B34">
              <w:rPr>
                <w:rFonts w:cs="Calibri Light"/>
                <w:color w:val="000000"/>
                <w:sz w:val="20"/>
              </w:rPr>
              <w:t>Commercial combination oven/steamer Natural gas (less than 15 pans)</w:t>
            </w:r>
          </w:p>
        </w:tc>
        <w:tc>
          <w:tcPr>
            <w:tcW w:w="462" w:type="pct"/>
            <w:vAlign w:val="center"/>
          </w:tcPr>
          <w:p w14:paraId="5CB8C89D"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37F52379" w14:textId="77777777" w:rsidR="006A7B34" w:rsidRPr="006A7B34" w:rsidRDefault="006A7B34" w:rsidP="0061292D">
            <w:pPr>
              <w:spacing w:before="0" w:after="0"/>
              <w:rPr>
                <w:rFonts w:cs="Calibri Light"/>
                <w:sz w:val="20"/>
              </w:rPr>
            </w:pPr>
            <w:r w:rsidRPr="006A7B34">
              <w:rPr>
                <w:rFonts w:cs="Calibri Light"/>
                <w:sz w:val="20"/>
              </w:rPr>
              <w:t>IOU:RSD-Restaurant–</w:t>
            </w:r>
            <w:proofErr w:type="spellStart"/>
            <w:r w:rsidRPr="006A7B34">
              <w:rPr>
                <w:rFonts w:cs="Calibri Light"/>
                <w:sz w:val="20"/>
              </w:rPr>
              <w:t>SitDown</w:t>
            </w:r>
            <w:proofErr w:type="spellEnd"/>
            <w:r w:rsidRPr="006A7B34">
              <w:rPr>
                <w:rFonts w:cs="Calibri Light"/>
                <w:sz w:val="20"/>
              </w:rPr>
              <w:t>-PROC_OTH</w:t>
            </w:r>
          </w:p>
        </w:tc>
        <w:tc>
          <w:tcPr>
            <w:tcW w:w="703" w:type="pct"/>
            <w:vAlign w:val="center"/>
          </w:tcPr>
          <w:p w14:paraId="525EBD23" w14:textId="77777777" w:rsidR="006A7B34" w:rsidRPr="006A7B34" w:rsidRDefault="006A7B34" w:rsidP="006A7B34">
            <w:pPr>
              <w:spacing w:before="0" w:after="0"/>
              <w:jc w:val="center"/>
              <w:rPr>
                <w:rFonts w:cs="Calibri Light"/>
                <w:sz w:val="20"/>
              </w:rPr>
            </w:pPr>
            <w:r w:rsidRPr="006A7B34">
              <w:rPr>
                <w:rFonts w:cs="Calibri Light"/>
                <w:sz w:val="20"/>
              </w:rPr>
              <w:t>NON_RES</w:t>
            </w:r>
          </w:p>
        </w:tc>
      </w:tr>
      <w:tr w:rsidR="006A7B34" w:rsidRPr="00500C4E" w14:paraId="5D550387" w14:textId="77777777" w:rsidTr="006A7B34">
        <w:tc>
          <w:tcPr>
            <w:tcW w:w="371" w:type="pct"/>
            <w:vAlign w:val="center"/>
          </w:tcPr>
          <w:p w14:paraId="40589FF5" w14:textId="77777777" w:rsidR="006A7B34" w:rsidRPr="006A7B34" w:rsidRDefault="006A7B34" w:rsidP="006A7B34">
            <w:pPr>
              <w:spacing w:before="0" w:after="0"/>
              <w:jc w:val="center"/>
              <w:rPr>
                <w:rFonts w:cs="Calibri Light"/>
                <w:color w:val="000000"/>
                <w:sz w:val="20"/>
              </w:rPr>
            </w:pPr>
            <w:r w:rsidRPr="006A7B34">
              <w:rPr>
                <w:rFonts w:cs="Calibri Light"/>
                <w:sz w:val="20"/>
              </w:rPr>
              <w:t>10</w:t>
            </w:r>
          </w:p>
        </w:tc>
        <w:tc>
          <w:tcPr>
            <w:tcW w:w="2001" w:type="pct"/>
            <w:vAlign w:val="center"/>
          </w:tcPr>
          <w:p w14:paraId="22FD5592" w14:textId="77777777" w:rsidR="006A7B34" w:rsidRPr="006A7B34" w:rsidRDefault="006A7B34" w:rsidP="006A7B34">
            <w:pPr>
              <w:spacing w:before="0" w:after="0"/>
              <w:rPr>
                <w:rFonts w:cs="Calibri Light"/>
                <w:color w:val="000000"/>
                <w:sz w:val="20"/>
              </w:rPr>
            </w:pPr>
            <w:r w:rsidRPr="006A7B34">
              <w:rPr>
                <w:rFonts w:cs="Calibri Light"/>
                <w:color w:val="000000"/>
                <w:sz w:val="20"/>
              </w:rPr>
              <w:t>Commercial combination oven/steamer Natural gas (15-28 pans)</w:t>
            </w:r>
          </w:p>
        </w:tc>
        <w:tc>
          <w:tcPr>
            <w:tcW w:w="462" w:type="pct"/>
            <w:vAlign w:val="center"/>
          </w:tcPr>
          <w:p w14:paraId="6BC8742A" w14:textId="77777777" w:rsidR="006A7B34" w:rsidRPr="006A7B34" w:rsidRDefault="006A7B34" w:rsidP="006A7B34">
            <w:pPr>
              <w:spacing w:before="0" w:after="0"/>
              <w:jc w:val="center"/>
              <w:rPr>
                <w:rFonts w:cs="Calibri Light"/>
                <w:sz w:val="20"/>
              </w:rPr>
            </w:pPr>
            <w:r w:rsidRPr="006A7B34">
              <w:rPr>
                <w:rFonts w:cs="Calibri Light"/>
                <w:sz w:val="20"/>
              </w:rPr>
              <w:t>Com</w:t>
            </w:r>
          </w:p>
        </w:tc>
        <w:tc>
          <w:tcPr>
            <w:tcW w:w="1463" w:type="pct"/>
            <w:vAlign w:val="center"/>
          </w:tcPr>
          <w:p w14:paraId="041D5CF5" w14:textId="77777777" w:rsidR="006A7B34" w:rsidRPr="006A7B34" w:rsidRDefault="006A7B34" w:rsidP="0061292D">
            <w:pPr>
              <w:spacing w:before="0" w:after="0"/>
              <w:rPr>
                <w:rFonts w:cs="Calibri Light"/>
                <w:sz w:val="20"/>
              </w:rPr>
            </w:pPr>
            <w:r w:rsidRPr="006A7B34">
              <w:rPr>
                <w:rFonts w:cs="Calibri Light"/>
                <w:sz w:val="20"/>
              </w:rPr>
              <w:t>IOU:RSD-Restaurant–</w:t>
            </w:r>
            <w:proofErr w:type="spellStart"/>
            <w:r w:rsidRPr="006A7B34">
              <w:rPr>
                <w:rFonts w:cs="Calibri Light"/>
                <w:sz w:val="20"/>
              </w:rPr>
              <w:t>SitDown</w:t>
            </w:r>
            <w:proofErr w:type="spellEnd"/>
            <w:r w:rsidRPr="006A7B34">
              <w:rPr>
                <w:rFonts w:cs="Calibri Light"/>
                <w:sz w:val="20"/>
              </w:rPr>
              <w:t>-PROC_OTH</w:t>
            </w:r>
          </w:p>
        </w:tc>
        <w:tc>
          <w:tcPr>
            <w:tcW w:w="703" w:type="pct"/>
            <w:vAlign w:val="center"/>
          </w:tcPr>
          <w:p w14:paraId="7583D37B" w14:textId="77777777" w:rsidR="006A7B34" w:rsidRPr="006A7B34" w:rsidRDefault="006A7B34" w:rsidP="006A7B34">
            <w:pPr>
              <w:spacing w:before="0" w:after="0"/>
              <w:jc w:val="center"/>
              <w:rPr>
                <w:rFonts w:cs="Calibri Light"/>
                <w:sz w:val="20"/>
              </w:rPr>
            </w:pPr>
            <w:r w:rsidRPr="006A7B34">
              <w:rPr>
                <w:rFonts w:cs="Calibri Light"/>
                <w:sz w:val="20"/>
              </w:rPr>
              <w:t>NON_RES</w:t>
            </w:r>
          </w:p>
        </w:tc>
      </w:tr>
    </w:tbl>
    <w:p w14:paraId="048D1324" w14:textId="7A79E09C" w:rsidR="006A7B34" w:rsidRPr="00500C4E" w:rsidRDefault="006A7B34" w:rsidP="006A7B34">
      <w:pPr>
        <w:pStyle w:val="Caption"/>
      </w:pPr>
      <w:bookmarkStart w:id="46" w:name="_Ref42685148"/>
      <w:r>
        <w:t xml:space="preserve">Table </w:t>
      </w:r>
      <w:r>
        <w:fldChar w:fldCharType="begin"/>
      </w:r>
      <w:r>
        <w:instrText xml:space="preserve"> SEQ Table \* ARABIC </w:instrText>
      </w:r>
      <w:r>
        <w:fldChar w:fldCharType="separate"/>
      </w:r>
      <w:r w:rsidR="00695DD3">
        <w:t>5</w:t>
      </w:r>
      <w:r>
        <w:fldChar w:fldCharType="end"/>
      </w:r>
      <w:bookmarkEnd w:id="46"/>
      <w:r>
        <w:t xml:space="preserve"> Applicable </w:t>
      </w:r>
      <w:r w:rsidRPr="00500C4E">
        <w:t>Building Types and Load Shapes</w:t>
      </w:r>
      <w:r>
        <w:t xml:space="preserve"> – MWD WEN Measures</w:t>
      </w:r>
    </w:p>
    <w:tbl>
      <w:tblPr>
        <w:tblStyle w:val="TableGrid1"/>
        <w:tblW w:w="497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689"/>
        <w:gridCol w:w="3716"/>
        <w:gridCol w:w="863"/>
        <w:gridCol w:w="2736"/>
        <w:gridCol w:w="1296"/>
      </w:tblGrid>
      <w:tr w:rsidR="0061292D" w:rsidRPr="00500C4E" w14:paraId="5DF19247" w14:textId="77777777" w:rsidTr="0061292D">
        <w:trPr>
          <w:tblHeader/>
        </w:trPr>
        <w:tc>
          <w:tcPr>
            <w:tcW w:w="370" w:type="pct"/>
            <w:shd w:val="clear" w:color="auto" w:fill="F2F2F2" w:themeFill="background1" w:themeFillShade="F2"/>
            <w:vAlign w:val="center"/>
          </w:tcPr>
          <w:p w14:paraId="07E192D2" w14:textId="35E78D10" w:rsidR="006A7B34" w:rsidRPr="0061292D" w:rsidRDefault="0061292D" w:rsidP="0061292D">
            <w:pPr>
              <w:spacing w:before="0" w:after="0"/>
              <w:jc w:val="center"/>
              <w:rPr>
                <w:rFonts w:cs="Calibri Light"/>
                <w:b/>
                <w:sz w:val="20"/>
              </w:rPr>
            </w:pPr>
            <w:r w:rsidRPr="0061292D">
              <w:rPr>
                <w:rFonts w:cs="Calibri Light"/>
                <w:b/>
                <w:sz w:val="20"/>
              </w:rPr>
              <w:t>Line</w:t>
            </w:r>
            <w:r w:rsidR="006A7B34" w:rsidRPr="0061292D">
              <w:rPr>
                <w:rFonts w:cs="Calibri Light"/>
                <w:b/>
                <w:sz w:val="20"/>
              </w:rPr>
              <w:t xml:space="preserve"> #</w:t>
            </w:r>
          </w:p>
        </w:tc>
        <w:tc>
          <w:tcPr>
            <w:tcW w:w="1998" w:type="pct"/>
            <w:shd w:val="clear" w:color="auto" w:fill="F2F2F2" w:themeFill="background1" w:themeFillShade="F2"/>
            <w:vAlign w:val="center"/>
          </w:tcPr>
          <w:p w14:paraId="73CA3B62" w14:textId="77777777" w:rsidR="006A7B34" w:rsidRPr="0061292D" w:rsidRDefault="006A7B34" w:rsidP="0061292D">
            <w:pPr>
              <w:spacing w:before="0" w:after="0"/>
              <w:jc w:val="center"/>
              <w:rPr>
                <w:rFonts w:cs="Calibri Light"/>
                <w:b/>
                <w:sz w:val="20"/>
              </w:rPr>
            </w:pPr>
            <w:r w:rsidRPr="0061292D">
              <w:rPr>
                <w:rFonts w:cs="Calibri Light"/>
                <w:b/>
                <w:sz w:val="20"/>
              </w:rPr>
              <w:t xml:space="preserve">Measure Description </w:t>
            </w:r>
          </w:p>
        </w:tc>
        <w:tc>
          <w:tcPr>
            <w:tcW w:w="464" w:type="pct"/>
            <w:shd w:val="clear" w:color="auto" w:fill="F2F2F2" w:themeFill="background1" w:themeFillShade="F2"/>
            <w:vAlign w:val="center"/>
          </w:tcPr>
          <w:p w14:paraId="3055082D" w14:textId="77777777" w:rsidR="006A7B34" w:rsidRPr="0061292D" w:rsidRDefault="006A7B34" w:rsidP="0061292D">
            <w:pPr>
              <w:spacing w:before="0" w:after="0"/>
              <w:jc w:val="center"/>
              <w:rPr>
                <w:rFonts w:cs="Calibri Light"/>
                <w:b/>
                <w:sz w:val="20"/>
                <w:highlight w:val="yellow"/>
              </w:rPr>
            </w:pPr>
            <w:r w:rsidRPr="0061292D">
              <w:rPr>
                <w:rFonts w:cs="Calibri Light"/>
                <w:b/>
                <w:sz w:val="20"/>
              </w:rPr>
              <w:t>Building Type</w:t>
            </w:r>
          </w:p>
        </w:tc>
        <w:tc>
          <w:tcPr>
            <w:tcW w:w="1471" w:type="pct"/>
            <w:shd w:val="clear" w:color="auto" w:fill="F2F2F2" w:themeFill="background1" w:themeFillShade="F2"/>
            <w:vAlign w:val="center"/>
          </w:tcPr>
          <w:p w14:paraId="49277DA4" w14:textId="77777777" w:rsidR="006A7B34" w:rsidRPr="0061292D" w:rsidRDefault="006A7B34" w:rsidP="0061292D">
            <w:pPr>
              <w:spacing w:before="0" w:after="0"/>
              <w:jc w:val="center"/>
              <w:rPr>
                <w:rFonts w:cs="Calibri Light"/>
                <w:b/>
                <w:sz w:val="20"/>
              </w:rPr>
            </w:pPr>
            <w:r w:rsidRPr="0061292D">
              <w:rPr>
                <w:rFonts w:cs="Calibri Light"/>
                <w:b/>
                <w:sz w:val="20"/>
              </w:rPr>
              <w:t>Load Shape</w:t>
            </w:r>
          </w:p>
        </w:tc>
        <w:tc>
          <w:tcPr>
            <w:tcW w:w="697" w:type="pct"/>
            <w:shd w:val="clear" w:color="auto" w:fill="F2F2F2" w:themeFill="background1" w:themeFillShade="F2"/>
            <w:vAlign w:val="center"/>
          </w:tcPr>
          <w:p w14:paraId="0B0BC783" w14:textId="77777777" w:rsidR="006A7B34" w:rsidRPr="0061292D" w:rsidRDefault="006A7B34" w:rsidP="0061292D">
            <w:pPr>
              <w:spacing w:before="0" w:after="0"/>
              <w:jc w:val="center"/>
              <w:rPr>
                <w:rFonts w:cs="Calibri Light"/>
                <w:b/>
                <w:sz w:val="20"/>
                <w:highlight w:val="yellow"/>
              </w:rPr>
            </w:pPr>
            <w:r w:rsidRPr="0061292D">
              <w:rPr>
                <w:rFonts w:cs="Calibri Light"/>
                <w:b/>
                <w:sz w:val="20"/>
              </w:rPr>
              <w:t>E3 Alternate Building Type</w:t>
            </w:r>
          </w:p>
        </w:tc>
      </w:tr>
      <w:tr w:rsidR="0061292D" w:rsidRPr="00500C4E" w14:paraId="68645D7C" w14:textId="77777777" w:rsidTr="0061292D">
        <w:tc>
          <w:tcPr>
            <w:tcW w:w="370" w:type="pct"/>
            <w:vAlign w:val="center"/>
          </w:tcPr>
          <w:p w14:paraId="178595A5" w14:textId="77777777" w:rsidR="006A7B34" w:rsidRPr="0061292D" w:rsidRDefault="006A7B34" w:rsidP="0061292D">
            <w:pPr>
              <w:spacing w:before="0" w:after="0"/>
              <w:jc w:val="center"/>
              <w:rPr>
                <w:rFonts w:cs="Calibri Light"/>
                <w:color w:val="000000"/>
                <w:sz w:val="20"/>
              </w:rPr>
            </w:pPr>
            <w:r w:rsidRPr="0061292D">
              <w:rPr>
                <w:rFonts w:cs="Calibri Light"/>
                <w:sz w:val="20"/>
              </w:rPr>
              <w:t>53</w:t>
            </w:r>
          </w:p>
        </w:tc>
        <w:tc>
          <w:tcPr>
            <w:tcW w:w="1998" w:type="pct"/>
            <w:vAlign w:val="bottom"/>
          </w:tcPr>
          <w:p w14:paraId="7ACAAB56" w14:textId="77777777" w:rsidR="006A7B34" w:rsidRPr="0061292D" w:rsidRDefault="006A7B34" w:rsidP="0061292D">
            <w:pPr>
              <w:spacing w:before="0" w:after="0"/>
              <w:rPr>
                <w:rFonts w:cs="Calibri Light"/>
                <w:color w:val="000000"/>
                <w:sz w:val="20"/>
              </w:rPr>
            </w:pPr>
            <w:r w:rsidRPr="0061292D">
              <w:rPr>
                <w:rFonts w:cs="Calibri Light"/>
                <w:color w:val="000000"/>
                <w:sz w:val="20"/>
              </w:rPr>
              <w:t>Com-High Efficiency Toilet (Melded)</w:t>
            </w:r>
          </w:p>
        </w:tc>
        <w:tc>
          <w:tcPr>
            <w:tcW w:w="464" w:type="pct"/>
            <w:vAlign w:val="center"/>
          </w:tcPr>
          <w:p w14:paraId="4C1BFE9F"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690407AE"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5AA789F5"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2A2D8A0A" w14:textId="77777777" w:rsidTr="0061292D">
        <w:trPr>
          <w:trHeight w:val="287"/>
        </w:trPr>
        <w:tc>
          <w:tcPr>
            <w:tcW w:w="370" w:type="pct"/>
            <w:vAlign w:val="center"/>
          </w:tcPr>
          <w:p w14:paraId="6D6343F2" w14:textId="77777777" w:rsidR="006A7B34" w:rsidRPr="0061292D" w:rsidRDefault="006A7B34" w:rsidP="0061292D">
            <w:pPr>
              <w:spacing w:before="0" w:after="0"/>
              <w:jc w:val="center"/>
              <w:rPr>
                <w:rFonts w:cs="Calibri Light"/>
                <w:color w:val="000000"/>
                <w:sz w:val="20"/>
              </w:rPr>
            </w:pPr>
            <w:r w:rsidRPr="0061292D">
              <w:rPr>
                <w:rFonts w:cs="Calibri Light"/>
                <w:sz w:val="20"/>
              </w:rPr>
              <w:t>54</w:t>
            </w:r>
          </w:p>
        </w:tc>
        <w:tc>
          <w:tcPr>
            <w:tcW w:w="1998" w:type="pct"/>
            <w:vAlign w:val="bottom"/>
          </w:tcPr>
          <w:p w14:paraId="14329C51" w14:textId="77777777" w:rsidR="006A7B34" w:rsidRPr="0061292D" w:rsidRDefault="006A7B34" w:rsidP="0061292D">
            <w:pPr>
              <w:spacing w:before="0" w:after="0"/>
              <w:rPr>
                <w:rFonts w:cs="Calibri Light"/>
                <w:color w:val="000000"/>
                <w:sz w:val="20"/>
              </w:rPr>
            </w:pPr>
            <w:r w:rsidRPr="0061292D">
              <w:rPr>
                <w:rFonts w:cs="Calibri Light"/>
                <w:color w:val="000000"/>
                <w:sz w:val="20"/>
              </w:rPr>
              <w:t>Com-4 Liter Toilet (Melded)</w:t>
            </w:r>
          </w:p>
        </w:tc>
        <w:tc>
          <w:tcPr>
            <w:tcW w:w="464" w:type="pct"/>
            <w:vAlign w:val="center"/>
          </w:tcPr>
          <w:p w14:paraId="74A39D93"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43E0FB8D"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291F2079"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67A31A8F" w14:textId="77777777" w:rsidTr="0061292D">
        <w:tc>
          <w:tcPr>
            <w:tcW w:w="370" w:type="pct"/>
            <w:vAlign w:val="center"/>
          </w:tcPr>
          <w:p w14:paraId="3015716F" w14:textId="77777777" w:rsidR="006A7B34" w:rsidRPr="0061292D" w:rsidRDefault="006A7B34" w:rsidP="0061292D">
            <w:pPr>
              <w:spacing w:before="0" w:after="0"/>
              <w:jc w:val="center"/>
              <w:rPr>
                <w:rFonts w:cs="Calibri Light"/>
                <w:color w:val="000000"/>
                <w:sz w:val="20"/>
              </w:rPr>
            </w:pPr>
            <w:r w:rsidRPr="0061292D">
              <w:rPr>
                <w:rFonts w:cs="Calibri Light"/>
                <w:sz w:val="20"/>
              </w:rPr>
              <w:t>55</w:t>
            </w:r>
          </w:p>
        </w:tc>
        <w:tc>
          <w:tcPr>
            <w:tcW w:w="1998" w:type="pct"/>
            <w:vAlign w:val="bottom"/>
          </w:tcPr>
          <w:p w14:paraId="41AD73F5" w14:textId="77777777" w:rsidR="006A7B34" w:rsidRPr="0061292D" w:rsidRDefault="006A7B34" w:rsidP="0061292D">
            <w:pPr>
              <w:spacing w:before="0" w:after="0"/>
              <w:rPr>
                <w:rFonts w:cs="Calibri Light"/>
                <w:color w:val="000000"/>
                <w:sz w:val="20"/>
              </w:rPr>
            </w:pPr>
            <w:r w:rsidRPr="0061292D">
              <w:rPr>
                <w:rFonts w:cs="Calibri Light"/>
                <w:color w:val="000000"/>
                <w:sz w:val="20"/>
              </w:rPr>
              <w:t>Com-Zero/Ultra Low Water Urinal</w:t>
            </w:r>
          </w:p>
        </w:tc>
        <w:tc>
          <w:tcPr>
            <w:tcW w:w="464" w:type="pct"/>
            <w:vAlign w:val="center"/>
          </w:tcPr>
          <w:p w14:paraId="36466688"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45D831CB"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11FB100A"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2DC8A6CF" w14:textId="77777777" w:rsidTr="0061292D">
        <w:tc>
          <w:tcPr>
            <w:tcW w:w="370" w:type="pct"/>
            <w:vAlign w:val="center"/>
          </w:tcPr>
          <w:p w14:paraId="773ED25D" w14:textId="77777777" w:rsidR="006A7B34" w:rsidRPr="0061292D" w:rsidRDefault="006A7B34" w:rsidP="0061292D">
            <w:pPr>
              <w:spacing w:before="0" w:after="0"/>
              <w:jc w:val="center"/>
              <w:rPr>
                <w:rFonts w:cs="Calibri Light"/>
                <w:color w:val="000000"/>
                <w:sz w:val="20"/>
              </w:rPr>
            </w:pPr>
            <w:r w:rsidRPr="0061292D">
              <w:rPr>
                <w:rFonts w:cs="Calibri Light"/>
                <w:sz w:val="20"/>
              </w:rPr>
              <w:t>56</w:t>
            </w:r>
          </w:p>
        </w:tc>
        <w:tc>
          <w:tcPr>
            <w:tcW w:w="1998" w:type="pct"/>
            <w:vAlign w:val="bottom"/>
          </w:tcPr>
          <w:p w14:paraId="401921A3" w14:textId="77777777" w:rsidR="006A7B34" w:rsidRPr="0061292D" w:rsidRDefault="006A7B34" w:rsidP="0061292D">
            <w:pPr>
              <w:spacing w:before="0" w:after="0"/>
              <w:rPr>
                <w:rFonts w:cs="Calibri Light"/>
                <w:color w:val="000000"/>
                <w:sz w:val="20"/>
              </w:rPr>
            </w:pPr>
            <w:r w:rsidRPr="0061292D">
              <w:rPr>
                <w:rFonts w:cs="Calibri Light"/>
                <w:color w:val="000000"/>
                <w:sz w:val="20"/>
              </w:rPr>
              <w:t>Com-Dry Vacuum Pump (/1/2 hp)</w:t>
            </w:r>
          </w:p>
        </w:tc>
        <w:tc>
          <w:tcPr>
            <w:tcW w:w="464" w:type="pct"/>
            <w:vAlign w:val="center"/>
          </w:tcPr>
          <w:p w14:paraId="1F2C3AC4"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7ED72ECA"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202B076D"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60DB94B7" w14:textId="77777777" w:rsidTr="0061292D">
        <w:tc>
          <w:tcPr>
            <w:tcW w:w="370" w:type="pct"/>
            <w:vAlign w:val="center"/>
          </w:tcPr>
          <w:p w14:paraId="05B40E3F" w14:textId="77777777" w:rsidR="006A7B34" w:rsidRPr="0061292D" w:rsidRDefault="006A7B34" w:rsidP="0061292D">
            <w:pPr>
              <w:spacing w:before="0" w:after="0"/>
              <w:jc w:val="center"/>
              <w:rPr>
                <w:rFonts w:cs="Calibri Light"/>
                <w:color w:val="000000"/>
                <w:sz w:val="20"/>
              </w:rPr>
            </w:pPr>
            <w:r w:rsidRPr="0061292D">
              <w:rPr>
                <w:rFonts w:cs="Calibri Light"/>
                <w:sz w:val="20"/>
              </w:rPr>
              <w:t>57</w:t>
            </w:r>
          </w:p>
        </w:tc>
        <w:tc>
          <w:tcPr>
            <w:tcW w:w="1998" w:type="pct"/>
            <w:vAlign w:val="bottom"/>
          </w:tcPr>
          <w:p w14:paraId="67933F75" w14:textId="77777777" w:rsidR="006A7B34" w:rsidRPr="0061292D" w:rsidRDefault="006A7B34" w:rsidP="0061292D">
            <w:pPr>
              <w:spacing w:before="0" w:after="0"/>
              <w:rPr>
                <w:rFonts w:cs="Calibri Light"/>
                <w:color w:val="000000"/>
                <w:sz w:val="20"/>
              </w:rPr>
            </w:pPr>
            <w:r w:rsidRPr="0061292D">
              <w:rPr>
                <w:rFonts w:cs="Calibri Light"/>
                <w:color w:val="000000"/>
                <w:sz w:val="20"/>
              </w:rPr>
              <w:t>Com-Cooling Tower Conductivity Controller</w:t>
            </w:r>
          </w:p>
        </w:tc>
        <w:tc>
          <w:tcPr>
            <w:tcW w:w="464" w:type="pct"/>
            <w:vAlign w:val="center"/>
          </w:tcPr>
          <w:p w14:paraId="16F64AAA"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019B2976"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38925535"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69662315" w14:textId="77777777" w:rsidTr="0061292D">
        <w:tc>
          <w:tcPr>
            <w:tcW w:w="370" w:type="pct"/>
            <w:vAlign w:val="center"/>
          </w:tcPr>
          <w:p w14:paraId="62E51A34" w14:textId="77777777" w:rsidR="006A7B34" w:rsidRPr="0061292D" w:rsidRDefault="006A7B34" w:rsidP="0061292D">
            <w:pPr>
              <w:spacing w:before="0" w:after="0"/>
              <w:jc w:val="center"/>
              <w:rPr>
                <w:rFonts w:cs="Calibri Light"/>
                <w:color w:val="000000"/>
                <w:sz w:val="20"/>
              </w:rPr>
            </w:pPr>
            <w:r w:rsidRPr="0061292D">
              <w:rPr>
                <w:rFonts w:cs="Calibri Light"/>
                <w:sz w:val="20"/>
              </w:rPr>
              <w:t>58</w:t>
            </w:r>
          </w:p>
        </w:tc>
        <w:tc>
          <w:tcPr>
            <w:tcW w:w="1998" w:type="pct"/>
            <w:vAlign w:val="bottom"/>
          </w:tcPr>
          <w:p w14:paraId="0A2B220C" w14:textId="77777777" w:rsidR="006A7B34" w:rsidRPr="0061292D" w:rsidRDefault="006A7B34" w:rsidP="0061292D">
            <w:pPr>
              <w:spacing w:before="0" w:after="0"/>
              <w:rPr>
                <w:rFonts w:cs="Calibri Light"/>
                <w:color w:val="000000"/>
                <w:sz w:val="20"/>
              </w:rPr>
            </w:pPr>
            <w:r w:rsidRPr="0061292D">
              <w:rPr>
                <w:rFonts w:cs="Calibri Light"/>
                <w:color w:val="000000"/>
                <w:sz w:val="20"/>
              </w:rPr>
              <w:t>Com-pH Cooling Tower Controller</w:t>
            </w:r>
          </w:p>
        </w:tc>
        <w:tc>
          <w:tcPr>
            <w:tcW w:w="464" w:type="pct"/>
            <w:vAlign w:val="center"/>
          </w:tcPr>
          <w:p w14:paraId="33C5E214"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497EEA30"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24EB13DF"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3A349E77" w14:textId="77777777" w:rsidTr="0061292D">
        <w:tc>
          <w:tcPr>
            <w:tcW w:w="370" w:type="pct"/>
            <w:vAlign w:val="center"/>
          </w:tcPr>
          <w:p w14:paraId="0E5CCB00" w14:textId="77777777" w:rsidR="006A7B34" w:rsidRPr="0061292D" w:rsidRDefault="006A7B34" w:rsidP="0061292D">
            <w:pPr>
              <w:spacing w:before="0" w:after="0"/>
              <w:jc w:val="center"/>
              <w:rPr>
                <w:rFonts w:cs="Calibri Light"/>
                <w:color w:val="000000"/>
                <w:sz w:val="20"/>
              </w:rPr>
            </w:pPr>
            <w:r w:rsidRPr="0061292D">
              <w:rPr>
                <w:rFonts w:cs="Calibri Light"/>
                <w:sz w:val="20"/>
              </w:rPr>
              <w:t>59</w:t>
            </w:r>
          </w:p>
        </w:tc>
        <w:tc>
          <w:tcPr>
            <w:tcW w:w="1998" w:type="pct"/>
            <w:vAlign w:val="bottom"/>
          </w:tcPr>
          <w:p w14:paraId="18E487D5" w14:textId="77777777" w:rsidR="006A7B34" w:rsidRPr="0061292D" w:rsidRDefault="006A7B34" w:rsidP="0061292D">
            <w:pPr>
              <w:spacing w:before="0" w:after="0"/>
              <w:rPr>
                <w:rFonts w:cs="Calibri Light"/>
                <w:color w:val="000000"/>
                <w:sz w:val="20"/>
              </w:rPr>
            </w:pPr>
            <w:r w:rsidRPr="0061292D">
              <w:rPr>
                <w:rFonts w:cs="Calibri Light"/>
                <w:color w:val="000000"/>
                <w:sz w:val="20"/>
              </w:rPr>
              <w:t>Com-Weather Based Irrigation Controller-Stat</w:t>
            </w:r>
          </w:p>
        </w:tc>
        <w:tc>
          <w:tcPr>
            <w:tcW w:w="464" w:type="pct"/>
            <w:vAlign w:val="center"/>
          </w:tcPr>
          <w:p w14:paraId="123BBF23"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19206381"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0A9611C6"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2BE08D85" w14:textId="77777777" w:rsidTr="0061292D">
        <w:tc>
          <w:tcPr>
            <w:tcW w:w="370" w:type="pct"/>
            <w:vAlign w:val="center"/>
          </w:tcPr>
          <w:p w14:paraId="0FB0044A" w14:textId="77777777" w:rsidR="006A7B34" w:rsidRPr="0061292D" w:rsidRDefault="006A7B34" w:rsidP="0061292D">
            <w:pPr>
              <w:spacing w:before="0" w:after="0"/>
              <w:jc w:val="center"/>
              <w:rPr>
                <w:rFonts w:cs="Calibri Light"/>
                <w:color w:val="000000"/>
                <w:sz w:val="20"/>
              </w:rPr>
            </w:pPr>
            <w:r w:rsidRPr="0061292D">
              <w:rPr>
                <w:rFonts w:cs="Calibri Light"/>
                <w:sz w:val="20"/>
              </w:rPr>
              <w:t>60</w:t>
            </w:r>
          </w:p>
        </w:tc>
        <w:tc>
          <w:tcPr>
            <w:tcW w:w="1998" w:type="pct"/>
            <w:vAlign w:val="bottom"/>
          </w:tcPr>
          <w:p w14:paraId="6EA1422D" w14:textId="77777777" w:rsidR="006A7B34" w:rsidRPr="0061292D" w:rsidRDefault="006A7B34" w:rsidP="0061292D">
            <w:pPr>
              <w:spacing w:before="0" w:after="0"/>
              <w:rPr>
                <w:rFonts w:cs="Calibri Light"/>
                <w:color w:val="000000"/>
                <w:sz w:val="20"/>
              </w:rPr>
            </w:pPr>
            <w:r w:rsidRPr="0061292D">
              <w:rPr>
                <w:rFonts w:cs="Calibri Light"/>
                <w:color w:val="000000"/>
                <w:sz w:val="20"/>
              </w:rPr>
              <w:t>Com-Central Computer Irrigation Controller-Stat</w:t>
            </w:r>
          </w:p>
        </w:tc>
        <w:tc>
          <w:tcPr>
            <w:tcW w:w="464" w:type="pct"/>
            <w:vAlign w:val="center"/>
          </w:tcPr>
          <w:p w14:paraId="3B74BA80"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0823879C"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56162D9C"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7D2ED3AE" w14:textId="77777777" w:rsidTr="0061292D">
        <w:tc>
          <w:tcPr>
            <w:tcW w:w="370" w:type="pct"/>
            <w:vAlign w:val="center"/>
          </w:tcPr>
          <w:p w14:paraId="60A1E49B" w14:textId="77777777" w:rsidR="006A7B34" w:rsidRPr="0061292D" w:rsidRDefault="006A7B34" w:rsidP="0061292D">
            <w:pPr>
              <w:spacing w:before="0" w:after="0"/>
              <w:jc w:val="center"/>
              <w:rPr>
                <w:rFonts w:cs="Calibri Light"/>
                <w:color w:val="000000"/>
                <w:sz w:val="20"/>
              </w:rPr>
            </w:pPr>
            <w:r w:rsidRPr="0061292D">
              <w:rPr>
                <w:rFonts w:cs="Calibri Light"/>
                <w:sz w:val="20"/>
              </w:rPr>
              <w:t>61</w:t>
            </w:r>
          </w:p>
        </w:tc>
        <w:tc>
          <w:tcPr>
            <w:tcW w:w="1998" w:type="pct"/>
            <w:vAlign w:val="bottom"/>
          </w:tcPr>
          <w:p w14:paraId="3DCBFE7A" w14:textId="77777777" w:rsidR="006A7B34" w:rsidRPr="0061292D" w:rsidRDefault="006A7B34" w:rsidP="0061292D">
            <w:pPr>
              <w:spacing w:before="0" w:after="0"/>
              <w:rPr>
                <w:rFonts w:cs="Calibri Light"/>
                <w:color w:val="000000"/>
                <w:sz w:val="20"/>
              </w:rPr>
            </w:pPr>
            <w:r w:rsidRPr="0061292D">
              <w:rPr>
                <w:rFonts w:cs="Calibri Light"/>
                <w:color w:val="000000"/>
                <w:sz w:val="20"/>
              </w:rPr>
              <w:t>Com-Rotary Multi-Stream Nozzle</w:t>
            </w:r>
          </w:p>
        </w:tc>
        <w:tc>
          <w:tcPr>
            <w:tcW w:w="464" w:type="pct"/>
            <w:vAlign w:val="center"/>
          </w:tcPr>
          <w:p w14:paraId="55EE64F0" w14:textId="77777777" w:rsidR="006A7B34" w:rsidRPr="0061292D" w:rsidRDefault="006A7B34" w:rsidP="0061292D">
            <w:pPr>
              <w:spacing w:before="0" w:after="0"/>
              <w:jc w:val="center"/>
              <w:rPr>
                <w:rFonts w:cs="Calibri Light"/>
                <w:sz w:val="20"/>
              </w:rPr>
            </w:pPr>
            <w:r w:rsidRPr="0061292D">
              <w:rPr>
                <w:rFonts w:cs="Calibri Light"/>
                <w:sz w:val="20"/>
              </w:rPr>
              <w:t>Com</w:t>
            </w:r>
          </w:p>
        </w:tc>
        <w:tc>
          <w:tcPr>
            <w:tcW w:w="1471" w:type="pct"/>
            <w:vAlign w:val="center"/>
          </w:tcPr>
          <w:p w14:paraId="35A32421"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4EADD0C4" w14:textId="77777777" w:rsidR="006A7B34" w:rsidRPr="0061292D" w:rsidRDefault="006A7B34" w:rsidP="0061292D">
            <w:pPr>
              <w:spacing w:before="0" w:after="0"/>
              <w:jc w:val="center"/>
              <w:rPr>
                <w:rFonts w:cs="Calibri Light"/>
                <w:sz w:val="20"/>
              </w:rPr>
            </w:pPr>
            <w:r w:rsidRPr="0061292D">
              <w:rPr>
                <w:rFonts w:cs="Calibri Light"/>
                <w:sz w:val="20"/>
              </w:rPr>
              <w:t>NON_RES</w:t>
            </w:r>
          </w:p>
        </w:tc>
      </w:tr>
      <w:tr w:rsidR="0061292D" w:rsidRPr="00500C4E" w14:paraId="64F73041" w14:textId="77777777" w:rsidTr="0061292D">
        <w:tc>
          <w:tcPr>
            <w:tcW w:w="370" w:type="pct"/>
            <w:vAlign w:val="center"/>
          </w:tcPr>
          <w:p w14:paraId="087BAA4F" w14:textId="77777777" w:rsidR="006A7B34" w:rsidRPr="0061292D" w:rsidRDefault="006A7B34" w:rsidP="0061292D">
            <w:pPr>
              <w:spacing w:before="0" w:after="0"/>
              <w:jc w:val="center"/>
              <w:rPr>
                <w:rFonts w:cs="Calibri Light"/>
                <w:color w:val="000000"/>
                <w:sz w:val="20"/>
              </w:rPr>
            </w:pPr>
            <w:r w:rsidRPr="0061292D">
              <w:rPr>
                <w:rFonts w:cs="Calibri Light"/>
                <w:sz w:val="20"/>
              </w:rPr>
              <w:t>62</w:t>
            </w:r>
          </w:p>
        </w:tc>
        <w:tc>
          <w:tcPr>
            <w:tcW w:w="1998" w:type="pct"/>
            <w:vAlign w:val="bottom"/>
          </w:tcPr>
          <w:p w14:paraId="0B4141FD" w14:textId="77777777" w:rsidR="006A7B34" w:rsidRPr="0061292D" w:rsidRDefault="006A7B34" w:rsidP="0061292D">
            <w:pPr>
              <w:spacing w:before="0" w:after="0"/>
              <w:rPr>
                <w:rFonts w:cs="Calibri Light"/>
                <w:color w:val="000000"/>
                <w:sz w:val="20"/>
              </w:rPr>
            </w:pPr>
            <w:r w:rsidRPr="0061292D">
              <w:rPr>
                <w:rFonts w:cs="Calibri Light"/>
                <w:color w:val="000000"/>
                <w:sz w:val="20"/>
              </w:rPr>
              <w:t>Com-Large Rotary Nozzle</w:t>
            </w:r>
          </w:p>
        </w:tc>
        <w:tc>
          <w:tcPr>
            <w:tcW w:w="464" w:type="pct"/>
            <w:vAlign w:val="center"/>
          </w:tcPr>
          <w:p w14:paraId="618D3D9B" w14:textId="57816EC3" w:rsidR="006A7B34" w:rsidRPr="0061292D" w:rsidRDefault="00E315E3" w:rsidP="0061292D">
            <w:pPr>
              <w:spacing w:before="0" w:after="0"/>
              <w:jc w:val="center"/>
              <w:rPr>
                <w:rFonts w:cs="Calibri Light"/>
                <w:sz w:val="20"/>
              </w:rPr>
            </w:pPr>
            <w:r w:rsidRPr="0061292D">
              <w:rPr>
                <w:rFonts w:cs="Calibri Light"/>
                <w:sz w:val="20"/>
              </w:rPr>
              <w:t>Com</w:t>
            </w:r>
          </w:p>
        </w:tc>
        <w:tc>
          <w:tcPr>
            <w:tcW w:w="1471" w:type="pct"/>
            <w:vAlign w:val="center"/>
          </w:tcPr>
          <w:p w14:paraId="02815414" w14:textId="77777777" w:rsidR="006A7B34" w:rsidRPr="0061292D" w:rsidRDefault="006A7B34" w:rsidP="00E315E3">
            <w:pPr>
              <w:spacing w:before="0" w:after="0"/>
              <w:rPr>
                <w:rFonts w:cs="Calibri Light"/>
                <w:sz w:val="20"/>
              </w:rPr>
            </w:pPr>
            <w:r w:rsidRPr="0061292D">
              <w:rPr>
                <w:rFonts w:cs="Calibri Light"/>
                <w:sz w:val="20"/>
              </w:rPr>
              <w:t>TBD: Flat Load Shape</w:t>
            </w:r>
          </w:p>
        </w:tc>
        <w:tc>
          <w:tcPr>
            <w:tcW w:w="697" w:type="pct"/>
            <w:vAlign w:val="center"/>
          </w:tcPr>
          <w:p w14:paraId="368344E7" w14:textId="77777777" w:rsidR="006A7B34" w:rsidRPr="0061292D" w:rsidRDefault="006A7B34" w:rsidP="0061292D">
            <w:pPr>
              <w:spacing w:before="0" w:after="0"/>
              <w:jc w:val="center"/>
              <w:rPr>
                <w:rFonts w:cs="Calibri Light"/>
                <w:sz w:val="20"/>
              </w:rPr>
            </w:pPr>
            <w:r w:rsidRPr="0061292D">
              <w:rPr>
                <w:rFonts w:cs="Calibri Light"/>
                <w:sz w:val="20"/>
              </w:rPr>
              <w:t>NON_RES</w:t>
            </w:r>
          </w:p>
        </w:tc>
      </w:tr>
    </w:tbl>
    <w:p w14:paraId="5A3353FB" w14:textId="77777777" w:rsidR="006A7B34" w:rsidRDefault="006A7B34" w:rsidP="00552EAA">
      <w:pPr>
        <w:jc w:val="both"/>
      </w:pPr>
    </w:p>
    <w:bookmarkEnd w:id="44"/>
    <w:p w14:paraId="135CF508" w14:textId="77777777" w:rsidR="00552EAA" w:rsidRPr="008E17D4" w:rsidRDefault="00552EAA" w:rsidP="00F25633">
      <w:pPr>
        <w:pStyle w:val="eTRMHeading4"/>
      </w:pPr>
      <w:r w:rsidRPr="008E17D4">
        <w:t>Reporting for WEN WP Measures</w:t>
      </w:r>
    </w:p>
    <w:p w14:paraId="7030E8A7" w14:textId="2B3655C9" w:rsidR="00552EAA" w:rsidRDefault="00552EAA" w:rsidP="00552EAA">
      <w:r>
        <w:t xml:space="preserve">Although the </w:t>
      </w:r>
      <w:r w:rsidR="004D4B0B">
        <w:t>Water-Energy</w:t>
      </w:r>
      <w:r w:rsidR="004D4B0B" w:rsidRPr="00853F04">
        <w:t xml:space="preserve"> Calculator </w:t>
      </w:r>
      <w:r>
        <w:t xml:space="preserve">originally was developed for use in energy efficiency portfolio and project development, the tool solely calculates embedded water energy savings and currently does not integrate into the </w:t>
      </w:r>
      <w:r w:rsidR="00EE2A2F">
        <w:t>E3 Energy Efficiency Cost Effectiveness C</w:t>
      </w:r>
      <w:r w:rsidRPr="008D5ACE">
        <w:t>alculator</w:t>
      </w:r>
      <w:r>
        <w:t xml:space="preserve"> to quantify cost-effectiveness. </w:t>
      </w:r>
      <w:r w:rsidR="005C59B3">
        <w:t xml:space="preserve">The </w:t>
      </w:r>
      <w:r w:rsidRPr="009508EC">
        <w:t>Decision on Updating the Water Energy Nexus (R.13-12-011)</w:t>
      </w:r>
      <w:r w:rsidR="00527DAA">
        <w:rPr>
          <w:rStyle w:val="FootnoteReference"/>
        </w:rPr>
        <w:footnoteReference w:id="17"/>
      </w:r>
      <w:r>
        <w:t xml:space="preserve"> finding of fact indicated the following:</w:t>
      </w:r>
    </w:p>
    <w:p w14:paraId="65D89B09" w14:textId="336A636F" w:rsidR="00552EAA" w:rsidRDefault="00552EAA" w:rsidP="008967F1">
      <w:pPr>
        <w:pStyle w:val="eTRMBulletedText"/>
      </w:pPr>
      <w:r>
        <w:t xml:space="preserve">A calculation, exogenous to the current version of the </w:t>
      </w:r>
      <w:r w:rsidR="005C59B3">
        <w:t>Water-Energy</w:t>
      </w:r>
      <w:r w:rsidR="005C59B3" w:rsidRPr="00853F04">
        <w:t xml:space="preserve"> Calculator </w:t>
      </w:r>
      <w:r>
        <w:t xml:space="preserve">must be performed to access the E3 Cost Effectiveness Calculator for mainstream </w:t>
      </w:r>
      <w:r w:rsidR="00EE2A2F">
        <w:t>energy efficiency</w:t>
      </w:r>
      <w:r>
        <w:t xml:space="preserve"> program development.</w:t>
      </w:r>
    </w:p>
    <w:p w14:paraId="41C083D5" w14:textId="137562C2" w:rsidR="00552EAA" w:rsidRDefault="00552EAA" w:rsidP="008967F1">
      <w:pPr>
        <w:pStyle w:val="eTRMBulletedText"/>
      </w:pPr>
      <w:r>
        <w:t xml:space="preserve">A calculation, exogenous to the current version of the </w:t>
      </w:r>
      <w:r w:rsidR="005C59B3">
        <w:t>Water-Energy</w:t>
      </w:r>
      <w:r w:rsidR="005C59B3" w:rsidRPr="00853F04">
        <w:t xml:space="preserve"> Calculator </w:t>
      </w:r>
      <w:r>
        <w:t>must be performed to determine GHG emissions saved from WEN energy efficiency programs</w:t>
      </w:r>
      <w:r w:rsidR="00EE2A2F">
        <w:t>.</w:t>
      </w:r>
    </w:p>
    <w:p w14:paraId="118E5ADF" w14:textId="596B66C7" w:rsidR="00552EAA" w:rsidRDefault="00552EAA" w:rsidP="008967F1">
      <w:pPr>
        <w:pStyle w:val="eTRMBulletedText"/>
      </w:pPr>
      <w:r>
        <w:lastRenderedPageBreak/>
        <w:t xml:space="preserve">The </w:t>
      </w:r>
      <w:r w:rsidR="00EE2A2F">
        <w:t>California IOUs</w:t>
      </w:r>
      <w:r>
        <w:t xml:space="preserve"> must use all </w:t>
      </w:r>
      <w:r w:rsidR="005C59B3">
        <w:t>three</w:t>
      </w:r>
      <w:r>
        <w:t xml:space="preserve"> calculators to determine the GHG emissions reductions of WEN </w:t>
      </w:r>
      <w:r w:rsidR="005C59B3">
        <w:t>measures</w:t>
      </w:r>
      <w:r>
        <w:t>.</w:t>
      </w:r>
    </w:p>
    <w:p w14:paraId="5D84DACF" w14:textId="11878E18" w:rsidR="00552EAA" w:rsidRDefault="00552EAA" w:rsidP="0089763B">
      <w:pPr>
        <w:keepNext/>
        <w:keepLines/>
      </w:pPr>
      <w:r>
        <w:t>Additionally, as indicated in the</w:t>
      </w:r>
      <w:r w:rsidR="00F65398">
        <w:t xml:space="preserve"> 2015 Navigant</w:t>
      </w:r>
      <w:r>
        <w:t xml:space="preserve"> </w:t>
      </w:r>
      <w:r w:rsidR="005C59B3" w:rsidRPr="00A3202F">
        <w:rPr>
          <w:i/>
          <w:iCs/>
        </w:rPr>
        <w:t>Water/Energy Cost-Effectiveness Analysis Report</w:t>
      </w:r>
      <w:r w:rsidR="00F65398" w:rsidRPr="00F65398">
        <w:t>:</w:t>
      </w:r>
      <w:r w:rsidR="005C59B3">
        <w:t xml:space="preserve"> </w:t>
      </w:r>
    </w:p>
    <w:p w14:paraId="2858FBC7" w14:textId="5B85045F" w:rsidR="00552EAA" w:rsidRDefault="00552EAA" w:rsidP="0089763B">
      <w:pPr>
        <w:keepNext/>
        <w:keepLines/>
        <w:ind w:left="720"/>
      </w:pPr>
      <w:r>
        <w:t>“</w:t>
      </w:r>
      <w:proofErr w:type="gramStart"/>
      <w:r>
        <w:t>to</w:t>
      </w:r>
      <w:proofErr w:type="gramEnd"/>
      <w:r>
        <w:t xml:space="preserve"> the extent possible, measure‐specific data (e.g., energy impacts, net‐to‐gross ratios, costs and useful lives) used in the calculation of the TRC and PAC tests should be taken from the most up‐to‐date version of the Database for Energy Efficiency Resources (DEER). As water‐energy considerations enter the CPUC cost‐effectiveness framework, DEER will need to be updated to store new water‐related information.” </w:t>
      </w:r>
      <w:r w:rsidR="00F65398">
        <w:t>(p.</w:t>
      </w:r>
      <w:r w:rsidR="00A91DA4">
        <w:t xml:space="preserve"> 59</w:t>
      </w:r>
      <w:r w:rsidR="00F65398">
        <w:t>)</w:t>
      </w:r>
    </w:p>
    <w:p w14:paraId="6F4A06EE" w14:textId="34F93B92" w:rsidR="00552EAA" w:rsidRDefault="00552EAA" w:rsidP="00552EAA">
      <w:r>
        <w:t xml:space="preserve">In November 2016, Energy Efficiency Data Management and Reporting Team </w:t>
      </w:r>
      <w:r w:rsidR="005C59B3">
        <w:t xml:space="preserve">of the CPUC Energy Division </w:t>
      </w:r>
      <w:r>
        <w:t xml:space="preserve">was </w:t>
      </w:r>
      <w:r w:rsidR="005C59B3">
        <w:t>tasked</w:t>
      </w:r>
      <w:r>
        <w:t xml:space="preserve"> to work with </w:t>
      </w:r>
      <w:r w:rsidR="005C59B3">
        <w:t>w</w:t>
      </w:r>
      <w:r>
        <w:t>ater-</w:t>
      </w:r>
      <w:r w:rsidR="005C59B3">
        <w:t>e</w:t>
      </w:r>
      <w:r>
        <w:t>nergy stakeholders, including IOU</w:t>
      </w:r>
      <w:r w:rsidR="00F65398">
        <w:t xml:space="preserve"> energy efficiency</w:t>
      </w:r>
      <w:r>
        <w:t xml:space="preserve"> program managers, to propose a method for reporting savings claims for embedded energy savings derived from WEN measures. The overarching goals were to:</w:t>
      </w:r>
    </w:p>
    <w:p w14:paraId="3754BB3B" w14:textId="69514474" w:rsidR="00552EAA" w:rsidRDefault="00552EAA" w:rsidP="00552EAA">
      <w:pPr>
        <w:pStyle w:val="ListParagraph"/>
        <w:numPr>
          <w:ilvl w:val="0"/>
          <w:numId w:val="25"/>
        </w:numPr>
        <w:spacing w:before="0" w:after="0" w:line="240" w:lineRule="auto"/>
      </w:pPr>
      <w:r>
        <w:t xml:space="preserve">Minimize changes to the current </w:t>
      </w:r>
      <w:r w:rsidR="005C59B3">
        <w:t>IOU energy efficiency</w:t>
      </w:r>
      <w:r>
        <w:t xml:space="preserve"> program tracking claims reporting structure</w:t>
      </w:r>
      <w:r w:rsidR="00D92948">
        <w:t>,</w:t>
      </w:r>
    </w:p>
    <w:p w14:paraId="489F8539" w14:textId="2FE1F221" w:rsidR="00552EAA" w:rsidRDefault="00552EAA" w:rsidP="00552EAA">
      <w:pPr>
        <w:pStyle w:val="ListParagraph"/>
        <w:numPr>
          <w:ilvl w:val="0"/>
          <w:numId w:val="25"/>
        </w:numPr>
        <w:spacing w:before="0" w:after="240" w:line="240" w:lineRule="auto"/>
      </w:pPr>
      <w:r>
        <w:t>Minimize unnecessary fields which result in excessive 'blank' values for non-water measures</w:t>
      </w:r>
      <w:r w:rsidR="00D92948">
        <w:t>,</w:t>
      </w:r>
      <w:r>
        <w:t xml:space="preserve"> and</w:t>
      </w:r>
    </w:p>
    <w:p w14:paraId="2AC6BDCA" w14:textId="77777777" w:rsidR="00552EAA" w:rsidRDefault="00552EAA" w:rsidP="00552EAA">
      <w:pPr>
        <w:pStyle w:val="ListParagraph"/>
        <w:numPr>
          <w:ilvl w:val="0"/>
          <w:numId w:val="25"/>
        </w:numPr>
        <w:spacing w:before="0" w:after="240" w:line="240" w:lineRule="auto"/>
      </w:pPr>
      <w:r>
        <w:t>Allow very clear alignment of the resource measure (</w:t>
      </w:r>
      <w:proofErr w:type="gramStart"/>
      <w:r>
        <w:t>i.e.</w:t>
      </w:r>
      <w:proofErr w:type="gramEnd"/>
      <w:r>
        <w:t xml:space="preserve"> low-flow showerhead) and the water-energy measure.</w:t>
      </w:r>
    </w:p>
    <w:p w14:paraId="256BBF4F" w14:textId="5FCA6895" w:rsidR="00552EAA" w:rsidRDefault="00552EAA" w:rsidP="00552EAA">
      <w:pPr>
        <w:spacing w:after="240"/>
      </w:pPr>
      <w:r>
        <w:t>After a discussion with the WEN Working Group, it was determined that an appropriate reporting approach would be to create a secondary measure for the embedded savings associated with the water measure</w:t>
      </w:r>
      <w:r w:rsidR="00F65398">
        <w:t>s</w:t>
      </w:r>
      <w:r>
        <w:t xml:space="preserve">. </w:t>
      </w:r>
      <w:r w:rsidR="00F65398">
        <w:t>T</w:t>
      </w:r>
      <w:r>
        <w:t xml:space="preserve">he </w:t>
      </w:r>
      <w:r w:rsidR="00F65398">
        <w:t xml:space="preserve">purpose of </w:t>
      </w:r>
      <w:r>
        <w:t xml:space="preserve">water measure </w:t>
      </w:r>
      <w:r w:rsidR="00F65398">
        <w:t xml:space="preserve">reporting is to report </w:t>
      </w:r>
      <w:r>
        <w:t>on-site energy savings</w:t>
      </w:r>
      <w:r w:rsidR="00F65398">
        <w:t>;</w:t>
      </w:r>
      <w:r>
        <w:t xml:space="preserve"> </w:t>
      </w:r>
      <w:r w:rsidR="00F65398">
        <w:t>the</w:t>
      </w:r>
      <w:r>
        <w:t xml:space="preserve"> </w:t>
      </w:r>
      <w:r w:rsidR="00F65398">
        <w:t xml:space="preserve">purpose of the </w:t>
      </w:r>
      <w:r>
        <w:t xml:space="preserve">secondary measure would </w:t>
      </w:r>
      <w:r w:rsidR="00F65398">
        <w:t xml:space="preserve">be for </w:t>
      </w:r>
      <w:r>
        <w:t>report</w:t>
      </w:r>
      <w:r w:rsidR="00F65398">
        <w:t>ing</w:t>
      </w:r>
      <w:r>
        <w:t xml:space="preserve"> embedded savings. </w:t>
      </w:r>
    </w:p>
    <w:p w14:paraId="3196F3C5" w14:textId="2DC44087" w:rsidR="00552EAA" w:rsidRDefault="00552EAA" w:rsidP="00552EAA">
      <w:pPr>
        <w:spacing w:after="240"/>
      </w:pPr>
      <w:r>
        <w:t xml:space="preserve">To capture the relationship between the on-site savings and embedded savings from a water </w:t>
      </w:r>
      <w:r w:rsidR="005C222F">
        <w:t xml:space="preserve">efficiency </w:t>
      </w:r>
      <w:r>
        <w:t>measure, the WEN Working Group created a Water Measure Table (</w:t>
      </w:r>
      <w:r w:rsidR="005C59B3">
        <w:rPr>
          <w:highlight w:val="yellow"/>
        </w:rPr>
        <w:fldChar w:fldCharType="begin"/>
      </w:r>
      <w:r w:rsidR="005C59B3">
        <w:instrText xml:space="preserve"> REF _Ref42596486 \h </w:instrText>
      </w:r>
      <w:r w:rsidR="005C59B3">
        <w:rPr>
          <w:highlight w:val="yellow"/>
        </w:rPr>
      </w:r>
      <w:r w:rsidR="005C59B3">
        <w:rPr>
          <w:highlight w:val="yellow"/>
        </w:rPr>
        <w:fldChar w:fldCharType="separate"/>
      </w:r>
      <w:r w:rsidR="00695DD3">
        <w:t xml:space="preserve">Table </w:t>
      </w:r>
      <w:r w:rsidR="00695DD3">
        <w:rPr>
          <w:noProof/>
        </w:rPr>
        <w:t>6</w:t>
      </w:r>
      <w:r w:rsidR="005C59B3">
        <w:rPr>
          <w:highlight w:val="yellow"/>
        </w:rPr>
        <w:fldChar w:fldCharType="end"/>
      </w:r>
      <w:r>
        <w:t xml:space="preserve">), which, like the </w:t>
      </w:r>
      <w:proofErr w:type="spellStart"/>
      <w:r>
        <w:t>CustomMeasure</w:t>
      </w:r>
      <w:proofErr w:type="spellEnd"/>
      <w:r>
        <w:t xml:space="preserve"> and </w:t>
      </w:r>
      <w:proofErr w:type="spellStart"/>
      <w:r>
        <w:t>DeemedMeasure</w:t>
      </w:r>
      <w:proofErr w:type="spellEnd"/>
      <w:r>
        <w:t xml:space="preserve"> tables, has a </w:t>
      </w:r>
      <w:r w:rsidR="00F65398">
        <w:t>one</w:t>
      </w:r>
      <w:r>
        <w:t>-to-</w:t>
      </w:r>
      <w:r w:rsidR="00F65398">
        <w:t>one</w:t>
      </w:r>
      <w:r>
        <w:t xml:space="preserve"> relationship with the Claim table. </w:t>
      </w:r>
      <w:r w:rsidRPr="00E3027B">
        <w:rPr>
          <w:b/>
        </w:rPr>
        <w:t>Figure 8</w:t>
      </w:r>
      <w:r>
        <w:t xml:space="preserve"> depicts how embedded energy savings (Line 21) will be reported as a separate line item in the Monthly Energy Efficiency Program Report.</w:t>
      </w:r>
    </w:p>
    <w:p w14:paraId="07129DA5" w14:textId="77777777" w:rsidR="00552EAA" w:rsidRDefault="00552EAA" w:rsidP="00552EAA">
      <w:pPr>
        <w:spacing w:after="240"/>
        <w:jc w:val="center"/>
      </w:pPr>
      <w:r>
        <w:rPr>
          <w:noProof/>
        </w:rPr>
        <mc:AlternateContent>
          <mc:Choice Requires="wps">
            <w:drawing>
              <wp:anchor distT="0" distB="0" distL="114300" distR="114300" simplePos="0" relativeHeight="251665408" behindDoc="0" locked="0" layoutInCell="1" allowOverlap="1" wp14:anchorId="77DB0DC8" wp14:editId="29ACA499">
                <wp:simplePos x="0" y="0"/>
                <wp:positionH relativeFrom="column">
                  <wp:posOffset>-635</wp:posOffset>
                </wp:positionH>
                <wp:positionV relativeFrom="paragraph">
                  <wp:posOffset>2285365</wp:posOffset>
                </wp:positionV>
                <wp:extent cx="2035175" cy="102870"/>
                <wp:effectExtent l="0" t="0" r="22225" b="11430"/>
                <wp:wrapNone/>
                <wp:docPr id="17" name="Rectangle 17"/>
                <wp:cNvGraphicFramePr/>
                <a:graphic xmlns:a="http://schemas.openxmlformats.org/drawingml/2006/main">
                  <a:graphicData uri="http://schemas.microsoft.com/office/word/2010/wordprocessingShape">
                    <wps:wsp>
                      <wps:cNvSpPr/>
                      <wps:spPr>
                        <a:xfrm>
                          <a:off x="0" y="0"/>
                          <a:ext cx="2035175" cy="10287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DF7823" id="Rectangle 17" o:spid="_x0000_s1026" style="position:absolute;margin-left:-.05pt;margin-top:179.95pt;width:160.25pt;height:8.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" fillcolor="#ff6d2e [3204]" strokecolor="red" strokeweight="2pt">
                <v:fill opacity="0"/>
              </v:rect>
            </w:pict>
          </mc:Fallback>
        </mc:AlternateContent>
      </w:r>
      <w:r>
        <w:rPr>
          <w:noProof/>
        </w:rPr>
        <mc:AlternateContent>
          <mc:Choice Requires="wps">
            <w:drawing>
              <wp:anchor distT="0" distB="0" distL="114300" distR="114300" simplePos="0" relativeHeight="251666432" behindDoc="0" locked="0" layoutInCell="1" allowOverlap="1" wp14:anchorId="5F334DA2" wp14:editId="4E3627B4">
                <wp:simplePos x="0" y="0"/>
                <wp:positionH relativeFrom="column">
                  <wp:posOffset>2023</wp:posOffset>
                </wp:positionH>
                <wp:positionV relativeFrom="paragraph">
                  <wp:posOffset>2121535</wp:posOffset>
                </wp:positionV>
                <wp:extent cx="2035444" cy="103322"/>
                <wp:effectExtent l="0" t="0" r="22225" b="11430"/>
                <wp:wrapNone/>
                <wp:docPr id="18" name="Rectangle 18"/>
                <wp:cNvGraphicFramePr/>
                <a:graphic xmlns:a="http://schemas.openxmlformats.org/drawingml/2006/main">
                  <a:graphicData uri="http://schemas.microsoft.com/office/word/2010/wordprocessingShape">
                    <wps:wsp>
                      <wps:cNvSpPr/>
                      <wps:spPr>
                        <a:xfrm>
                          <a:off x="0" y="0"/>
                          <a:ext cx="2035444" cy="103322"/>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BD7E85" id="Rectangle 18" o:spid="_x0000_s1026" style="position:absolute;margin-left:.15pt;margin-top:167.05pt;width:160.25pt;height:8.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" fillcolor="#ff6d2e [3204]" strokecolor="red" strokeweight="2pt">
                <v:fill opacity="0"/>
              </v:rect>
            </w:pict>
          </mc:Fallback>
        </mc:AlternateContent>
      </w:r>
      <w:r>
        <w:rPr>
          <w:noProof/>
        </w:rPr>
        <w:drawing>
          <wp:inline distT="0" distB="0" distL="0" distR="0" wp14:anchorId="0E9DF4CB" wp14:editId="5CC4BF66">
            <wp:extent cx="5943600" cy="238569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2385695"/>
                    </a:xfrm>
                    <a:prstGeom prst="rect">
                      <a:avLst/>
                    </a:prstGeom>
                  </pic:spPr>
                </pic:pic>
              </a:graphicData>
            </a:graphic>
          </wp:inline>
        </w:drawing>
      </w:r>
    </w:p>
    <w:p w14:paraId="70366495" w14:textId="4EE82C09" w:rsidR="00552EAA" w:rsidRDefault="00552EAA" w:rsidP="00453E72">
      <w:pPr>
        <w:pStyle w:val="Caption"/>
      </w:pPr>
      <w:r>
        <w:t xml:space="preserve">Figure </w:t>
      </w:r>
      <w:r>
        <w:fldChar w:fldCharType="begin"/>
      </w:r>
      <w:r>
        <w:instrText xml:space="preserve"> SEQ Figure \* ARABIC </w:instrText>
      </w:r>
      <w:r>
        <w:fldChar w:fldCharType="separate"/>
      </w:r>
      <w:r w:rsidR="00695DD3">
        <w:t>7</w:t>
      </w:r>
      <w:r>
        <w:fldChar w:fldCharType="end"/>
      </w:r>
      <w:r>
        <w:t>: 2017 EE Monthly Report Template</w:t>
      </w:r>
    </w:p>
    <w:p w14:paraId="71BD9752" w14:textId="77777777" w:rsidR="00552EAA" w:rsidRDefault="00552EAA" w:rsidP="00552EAA">
      <w:pPr>
        <w:spacing w:after="240"/>
      </w:pPr>
      <w:bookmarkStart w:id="47" w:name="_Ref477778934"/>
    </w:p>
    <w:p w14:paraId="116313E9" w14:textId="45320272" w:rsidR="00552EAA" w:rsidRDefault="00552EAA" w:rsidP="00552EAA">
      <w:pPr>
        <w:spacing w:after="240"/>
      </w:pPr>
      <w:r>
        <w:lastRenderedPageBreak/>
        <w:t xml:space="preserve">Each Claim requires either a </w:t>
      </w:r>
      <w:proofErr w:type="spellStart"/>
      <w:r>
        <w:t>CustomMeasure</w:t>
      </w:r>
      <w:proofErr w:type="spellEnd"/>
      <w:r>
        <w:t xml:space="preserve"> or a </w:t>
      </w:r>
      <w:proofErr w:type="spellStart"/>
      <w:r>
        <w:t>DeemedMeasure</w:t>
      </w:r>
      <w:proofErr w:type="spellEnd"/>
      <w:r>
        <w:t xml:space="preserve"> record, and water-saving measures can be either Deemed or Custom measures. Claims that are water-saving measures also need a </w:t>
      </w:r>
      <w:proofErr w:type="spellStart"/>
      <w:r>
        <w:t>WaterMeasure</w:t>
      </w:r>
      <w:proofErr w:type="spellEnd"/>
      <w:r>
        <w:t xml:space="preserve"> 'sister' record, linked by the </w:t>
      </w:r>
      <w:proofErr w:type="spellStart"/>
      <w:r>
        <w:t>ClaimID</w:t>
      </w:r>
      <w:proofErr w:type="spellEnd"/>
      <w:r>
        <w:t xml:space="preserve">. The </w:t>
      </w:r>
      <w:proofErr w:type="spellStart"/>
      <w:r>
        <w:t>WaterMeasure</w:t>
      </w:r>
      <w:proofErr w:type="spellEnd"/>
      <w:r>
        <w:t xml:space="preserve"> table contains the key inputs and outputs from </w:t>
      </w:r>
      <w:r w:rsidR="00A85D46">
        <w:t>the</w:t>
      </w:r>
      <w:r>
        <w:t xml:space="preserve"> </w:t>
      </w:r>
      <w:r w:rsidR="00A85D46">
        <w:t>Water-Energy</w:t>
      </w:r>
      <w:r>
        <w:t xml:space="preserve"> Calculator. The process of adding this table to the </w:t>
      </w:r>
      <w:r w:rsidR="00C4638B">
        <w:t>energy efficiency</w:t>
      </w:r>
      <w:r>
        <w:t xml:space="preserve"> program tracking specification would follow adopted change management guidelines, and the IOU Reporting Teams already has a list of proposed specification modifications for 2017 claims to which this would be added once agreed upon by the WEN Working Group.</w:t>
      </w:r>
    </w:p>
    <w:p w14:paraId="07CAAF1B" w14:textId="0DD431FF" w:rsidR="00552EAA" w:rsidRDefault="00552EAA" w:rsidP="00453E72">
      <w:pPr>
        <w:pStyle w:val="Caption"/>
      </w:pPr>
      <w:bookmarkStart w:id="48" w:name="_Ref42596486"/>
      <w:r>
        <w:t xml:space="preserve">Table </w:t>
      </w:r>
      <w:r>
        <w:fldChar w:fldCharType="begin"/>
      </w:r>
      <w:r>
        <w:instrText xml:space="preserve"> SEQ Table \* ARABIC </w:instrText>
      </w:r>
      <w:r>
        <w:fldChar w:fldCharType="separate"/>
      </w:r>
      <w:r w:rsidR="00695DD3">
        <w:t>6</w:t>
      </w:r>
      <w:r>
        <w:fldChar w:fldCharType="end"/>
      </w:r>
      <w:bookmarkEnd w:id="47"/>
      <w:bookmarkEnd w:id="48"/>
      <w:r w:rsidR="0055394C">
        <w:t>:</w:t>
      </w:r>
      <w:r>
        <w:t xml:space="preserve"> Proposed Water Measure Table</w:t>
      </w:r>
    </w:p>
    <w:p w14:paraId="40F43423" w14:textId="77777777" w:rsidR="00552EAA" w:rsidRDefault="00552EAA" w:rsidP="00F25633">
      <w:pPr>
        <w:spacing w:after="240"/>
      </w:pPr>
      <w:r>
        <w:rPr>
          <w:noProof/>
        </w:rPr>
        <w:drawing>
          <wp:inline distT="0" distB="0" distL="0" distR="0" wp14:anchorId="02EF99FB" wp14:editId="3CF2D134">
            <wp:extent cx="1526770" cy="189498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551280" cy="1925410"/>
                    </a:xfrm>
                    <a:prstGeom prst="rect">
                      <a:avLst/>
                    </a:prstGeom>
                  </pic:spPr>
                </pic:pic>
              </a:graphicData>
            </a:graphic>
          </wp:inline>
        </w:drawing>
      </w:r>
    </w:p>
    <w:p w14:paraId="13DBA814" w14:textId="2BCF8DE9" w:rsidR="00552EAA" w:rsidRDefault="00552EAA" w:rsidP="00063EE5"/>
    <w:p w14:paraId="7B4398F9" w14:textId="77777777" w:rsidR="00653886" w:rsidRDefault="00653886" w:rsidP="00653886">
      <w:bookmarkStart w:id="49" w:name="_Hlk42681658"/>
      <w:r>
        <w:t xml:space="preserve">A result of the November 2016 meeting, a list of questions was issued for stakeholder consideration before the reporting schemes for accounting for WEN measures were finalized. Specifically, before adding this </w:t>
      </w:r>
      <w:proofErr w:type="spellStart"/>
      <w:r>
        <w:t>WaterMeasure</w:t>
      </w:r>
      <w:proofErr w:type="spellEnd"/>
      <w:r>
        <w:t xml:space="preserve"> table to the EE program tracking specification, the team has some threshold questions for energy water stakeholders:</w:t>
      </w:r>
    </w:p>
    <w:p w14:paraId="6B50746D" w14:textId="77777777" w:rsidR="00653886" w:rsidRDefault="00653886" w:rsidP="00653886">
      <w:pPr>
        <w:pStyle w:val="eTRMBulletedText"/>
      </w:pPr>
      <w:r>
        <w:t>Does this approach seem reasonable; if not, what modifications should be considered?</w:t>
      </w:r>
    </w:p>
    <w:p w14:paraId="088F7010" w14:textId="36A883D1" w:rsidR="00653886" w:rsidRDefault="00653886" w:rsidP="00653886">
      <w:pPr>
        <w:pStyle w:val="eTRMBulletedText"/>
      </w:pPr>
      <w:r>
        <w:t>Does the table capture all appropriate fields?</w:t>
      </w:r>
    </w:p>
    <w:p w14:paraId="01CAD009" w14:textId="77777777" w:rsidR="00653886" w:rsidRDefault="00653886" w:rsidP="00653886">
      <w:pPr>
        <w:pStyle w:val="eTRMBulletedText"/>
      </w:pPr>
      <w:r>
        <w:t>Is there a reason why the calculator does not produce kW savings? Should kW be added to the table? Is demand reduction available for reporting?</w:t>
      </w:r>
    </w:p>
    <w:p w14:paraId="5C9BA1EA" w14:textId="77777777" w:rsidR="00653886" w:rsidRDefault="00653886" w:rsidP="00653886">
      <w:pPr>
        <w:pStyle w:val="eTRMBulletedText"/>
      </w:pPr>
      <w:r>
        <w:t>Is there a reason why the water calculator provides (</w:t>
      </w:r>
      <w:proofErr w:type="spellStart"/>
      <w:r>
        <w:t>AvAnnualTherms</w:t>
      </w:r>
      <w:proofErr w:type="spellEnd"/>
      <w:r>
        <w:t>) as a savings field for embedded water/energy savings? (This question will not impact the proposal, necessarily, just informational.)</w:t>
      </w:r>
    </w:p>
    <w:bookmarkEnd w:id="49"/>
    <w:p w14:paraId="2A060494" w14:textId="77777777" w:rsidR="00653886" w:rsidRDefault="00653886" w:rsidP="00063EE5"/>
    <w:p w14:paraId="21E3D3E7" w14:textId="26ABF2FD" w:rsidR="00BB3525" w:rsidRPr="004B06E3" w:rsidRDefault="00BB3525" w:rsidP="00BB3525">
      <w:pPr>
        <w:pStyle w:val="eTRMHeading3"/>
      </w:pPr>
      <w:bookmarkStart w:id="50" w:name="_Toc486490856"/>
      <w:bookmarkStart w:id="51" w:name="_Toc486580927"/>
      <w:bookmarkStart w:id="52" w:name="_Toc42682478"/>
      <w:r w:rsidRPr="004B06E3">
        <w:t>Peak Electric Demand Reduction (</w:t>
      </w:r>
      <w:r w:rsidR="0043320F" w:rsidRPr="0043320F">
        <w:rPr>
          <w:caps w:val="0"/>
        </w:rPr>
        <w:t>kW</w:t>
      </w:r>
      <w:r w:rsidRPr="004B06E3">
        <w:t>)</w:t>
      </w:r>
      <w:bookmarkEnd w:id="50"/>
      <w:bookmarkEnd w:id="51"/>
      <w:bookmarkEnd w:id="52"/>
    </w:p>
    <w:p w14:paraId="0B5E8C82" w14:textId="77777777" w:rsidR="009C4827" w:rsidRDefault="009C4827" w:rsidP="009C4827">
      <w:r>
        <w:t>Not applicable. Currently the Water-Energy Calculator does not compute demand reduction associated with embedded energy.</w:t>
      </w:r>
    </w:p>
    <w:p w14:paraId="285DB824" w14:textId="77777777" w:rsidR="00EE2A2F" w:rsidRDefault="00EE2A2F" w:rsidP="004B06E3"/>
    <w:p w14:paraId="0E9D248B" w14:textId="201C29F9" w:rsidR="007D230B" w:rsidRPr="004B06E3" w:rsidRDefault="007D230B" w:rsidP="00462BB6">
      <w:pPr>
        <w:pStyle w:val="eTRMHeading3"/>
      </w:pPr>
      <w:bookmarkStart w:id="53" w:name="_Toc486490858"/>
      <w:bookmarkStart w:id="54" w:name="_Toc486580929"/>
      <w:bookmarkStart w:id="55" w:name="_Toc42682479"/>
      <w:r w:rsidRPr="004B06E3">
        <w:lastRenderedPageBreak/>
        <w:t>Gas Savings</w:t>
      </w:r>
      <w:r w:rsidR="00245AFF" w:rsidRPr="004B06E3">
        <w:t xml:space="preserve"> (</w:t>
      </w:r>
      <w:r w:rsidR="0043320F">
        <w:rPr>
          <w:caps w:val="0"/>
        </w:rPr>
        <w:t>Therms</w:t>
      </w:r>
      <w:r w:rsidR="00245AFF" w:rsidRPr="004B06E3">
        <w:t>)</w:t>
      </w:r>
      <w:bookmarkEnd w:id="53"/>
      <w:bookmarkEnd w:id="54"/>
      <w:bookmarkEnd w:id="55"/>
    </w:p>
    <w:p w14:paraId="6544115B" w14:textId="70C7BB32" w:rsidR="00BB4F22" w:rsidRDefault="00CD3317" w:rsidP="00BB4F22">
      <w:r>
        <w:t>Embedded gas energy savings of the WEN Measures specified in the Measure Case Description were calculated with the Water-Energy Calculator (version 1.05).</w:t>
      </w:r>
      <w:r>
        <w:rPr>
          <w:rStyle w:val="FootnoteReference"/>
        </w:rPr>
        <w:footnoteReference w:id="18"/>
      </w:r>
      <w:r>
        <w:t xml:space="preserve"> See Electric Savings for details.</w:t>
      </w:r>
    </w:p>
    <w:p w14:paraId="396566C6" w14:textId="77777777" w:rsidR="00CD3317" w:rsidRDefault="00CD3317" w:rsidP="00BB4F22"/>
    <w:p w14:paraId="4DDCD51F" w14:textId="7382EA47" w:rsidR="007D230B" w:rsidRPr="004B06E3" w:rsidRDefault="00245AFF" w:rsidP="00462BB6">
      <w:pPr>
        <w:pStyle w:val="eTRMHeading3"/>
      </w:pPr>
      <w:bookmarkStart w:id="56" w:name="_Toc42682480"/>
      <w:bookmarkStart w:id="57" w:name="_Toc486490859"/>
      <w:bookmarkStart w:id="58" w:name="_Toc486580930"/>
      <w:r w:rsidRPr="004B06E3">
        <w:t>Life Cycle</w:t>
      </w:r>
      <w:bookmarkEnd w:id="56"/>
      <w:r w:rsidR="007D230B" w:rsidRPr="004B06E3">
        <w:t xml:space="preserve"> </w:t>
      </w:r>
      <w:bookmarkEnd w:id="57"/>
      <w:bookmarkEnd w:id="58"/>
    </w:p>
    <w:p w14:paraId="63DA558E" w14:textId="0889AB65" w:rsidR="0043320F"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r>
        <w:t xml:space="preserve"> </w:t>
      </w:r>
    </w:p>
    <w:p w14:paraId="2480E941" w14:textId="7E662E1E" w:rsidR="00CD3317" w:rsidRDefault="00CD3317" w:rsidP="004142EF">
      <w:pPr>
        <w:rPr>
          <w:szCs w:val="22"/>
        </w:rPr>
      </w:pPr>
      <w:r>
        <w:rPr>
          <w:szCs w:val="22"/>
        </w:rPr>
        <w:t>The methodology to calculate the RUL conforms with Version 5 of the Energy Efficiency Policy Manual, which recommends “one-third of the effective useful life in DEER as the remaining useful life until further study results are available to establish more accurate values.”</w:t>
      </w:r>
      <w:r>
        <w:rPr>
          <w:rStyle w:val="FootnoteReference"/>
          <w:szCs w:val="22"/>
        </w:rPr>
        <w:footnoteReference w:id="19"/>
      </w:r>
      <w:r>
        <w:rPr>
          <w:sz w:val="14"/>
          <w:szCs w:val="14"/>
        </w:rPr>
        <w:t xml:space="preserve"> </w:t>
      </w:r>
      <w:r>
        <w:rPr>
          <w:szCs w:val="22"/>
        </w:rPr>
        <w:t>This approach provides a reasonable RUL estimate without the requiring any a priori knowledge about the age of the equipment being replaced.</w:t>
      </w:r>
      <w:r>
        <w:rPr>
          <w:rStyle w:val="FootnoteReference"/>
          <w:szCs w:val="22"/>
        </w:rPr>
        <w:footnoteReference w:id="20"/>
      </w:r>
      <w:r w:rsidR="003010F8" w:rsidRPr="003010F8">
        <w:t xml:space="preserve"> </w:t>
      </w:r>
      <w:r w:rsidR="003010F8">
        <w:t>Note that the</w:t>
      </w:r>
      <w:r w:rsidR="003010F8" w:rsidRPr="0087393E">
        <w:t xml:space="preserve"> RUL value is applicable</w:t>
      </w:r>
      <w:r w:rsidR="003010F8">
        <w:t xml:space="preserve"> only</w:t>
      </w:r>
      <w:r w:rsidR="003010F8" w:rsidRPr="0087393E">
        <w:t xml:space="preserve"> to the first baseline period for an </w:t>
      </w:r>
      <w:r w:rsidR="003010F8">
        <w:t>retrofit</w:t>
      </w:r>
      <w:r w:rsidR="003010F8" w:rsidRPr="0087393E">
        <w:t xml:space="preserve"> measure with an applicable code baseline.</w:t>
      </w:r>
    </w:p>
    <w:p w14:paraId="6B219429" w14:textId="73CB163B" w:rsidR="003010F8" w:rsidRDefault="003010F8" w:rsidP="004142EF">
      <w:pPr>
        <w:rPr>
          <w:szCs w:val="22"/>
        </w:rPr>
      </w:pPr>
      <w:r>
        <w:rPr>
          <w:szCs w:val="22"/>
        </w:rPr>
        <w:t>The sources for the EUL and RUL values for the WEN Measures are as follows:</w:t>
      </w:r>
    </w:p>
    <w:p w14:paraId="42AB5D70" w14:textId="0DDFF7C4" w:rsidR="00560B74" w:rsidRDefault="00552EAA" w:rsidP="00E14074">
      <w:pPr>
        <w:pStyle w:val="eTRMBulletedText"/>
      </w:pPr>
      <w:r>
        <w:t>For the IOU WEN Measures, t</w:t>
      </w:r>
      <w:r w:rsidRPr="0087393E">
        <w:t xml:space="preserve">he EUL and RUL </w:t>
      </w:r>
      <w:r w:rsidR="003010F8">
        <w:t xml:space="preserve">shall equal the EUL and RUL values </w:t>
      </w:r>
      <w:r w:rsidR="00EE2A2F">
        <w:t xml:space="preserve">in the </w:t>
      </w:r>
      <w:r w:rsidR="00560B74" w:rsidRPr="00560B74">
        <w:t>RMS Consulting, LLC</w:t>
      </w:r>
      <w:r w:rsidR="00BE508B">
        <w:t>.</w:t>
      </w:r>
      <w:r w:rsidR="00560B74" w:rsidRPr="00560B74">
        <w:t xml:space="preserve"> “202</w:t>
      </w:r>
      <w:r w:rsidR="00BE508B">
        <w:t>1</w:t>
      </w:r>
      <w:r w:rsidR="00560B74" w:rsidRPr="00560B74">
        <w:t xml:space="preserve"> WEN Master Spreadsheet.xlsx.” Prepared for San Diego Gas &amp; Electric (SDG&amp;E). </w:t>
      </w:r>
    </w:p>
    <w:p w14:paraId="2C195FC1" w14:textId="56C79BA8" w:rsidR="003010F8" w:rsidRDefault="00560B74" w:rsidP="00E14074">
      <w:pPr>
        <w:pStyle w:val="eTRMBulletedText"/>
      </w:pPr>
      <w:r w:rsidRPr="00560B74">
        <w:t xml:space="preserve"> </w:t>
      </w:r>
      <w:r w:rsidR="003010F8">
        <w:t xml:space="preserve">For the MWD measure, the EUL shall equal the value that has been evaluated and approved by MWD. </w:t>
      </w:r>
    </w:p>
    <w:p w14:paraId="26B0641E" w14:textId="645FEB90" w:rsidR="001B7214" w:rsidRDefault="001B7214" w:rsidP="00C84759">
      <w:r>
        <w:t xml:space="preserve">The first ten rows for IOU WEN measures and MWD WEN measures are provided in </w:t>
      </w:r>
      <w:r>
        <w:fldChar w:fldCharType="begin"/>
      </w:r>
      <w:r>
        <w:instrText xml:space="preserve"> REF _Ref19592472 \h </w:instrText>
      </w:r>
      <w:r>
        <w:fldChar w:fldCharType="separate"/>
      </w:r>
      <w:r w:rsidR="00695DD3">
        <w:t xml:space="preserve">Table </w:t>
      </w:r>
      <w:r w:rsidR="00695DD3">
        <w:rPr>
          <w:noProof/>
        </w:rPr>
        <w:t>7</w:t>
      </w:r>
      <w:r>
        <w:fldChar w:fldCharType="end"/>
      </w:r>
      <w:r>
        <w:t xml:space="preserve"> and </w:t>
      </w:r>
      <w:r>
        <w:fldChar w:fldCharType="begin"/>
      </w:r>
      <w:r>
        <w:instrText xml:space="preserve"> REF _Ref19593024 \h </w:instrText>
      </w:r>
      <w:r>
        <w:fldChar w:fldCharType="separate"/>
      </w:r>
      <w:r w:rsidR="00695DD3">
        <w:t xml:space="preserve">Table </w:t>
      </w:r>
      <w:r w:rsidR="00695DD3">
        <w:rPr>
          <w:noProof/>
        </w:rPr>
        <w:t>8</w:t>
      </w:r>
      <w:r>
        <w:fldChar w:fldCharType="end"/>
      </w:r>
      <w:r>
        <w:t xml:space="preserve"> below.</w:t>
      </w:r>
    </w:p>
    <w:p w14:paraId="3F44B179" w14:textId="318E9ADC" w:rsidR="00552EAA" w:rsidRPr="00920905" w:rsidRDefault="00552EAA" w:rsidP="006A7B34">
      <w:pPr>
        <w:pStyle w:val="Caption"/>
      </w:pPr>
      <w:bookmarkStart w:id="59" w:name="_Ref19592472"/>
      <w:r>
        <w:lastRenderedPageBreak/>
        <w:t xml:space="preserve">Table </w:t>
      </w:r>
      <w:r>
        <w:fldChar w:fldCharType="begin"/>
      </w:r>
      <w:r>
        <w:instrText xml:space="preserve"> SEQ Table \* ARABIC </w:instrText>
      </w:r>
      <w:r>
        <w:fldChar w:fldCharType="separate"/>
      </w:r>
      <w:r w:rsidR="00695DD3">
        <w:t>7</w:t>
      </w:r>
      <w:r>
        <w:fldChar w:fldCharType="end"/>
      </w:r>
      <w:bookmarkEnd w:id="59"/>
      <w:r>
        <w:t xml:space="preserve">: </w:t>
      </w:r>
      <w:r w:rsidR="00CD3317">
        <w:t xml:space="preserve">Effective Useful Life and Remaining Useful Life - </w:t>
      </w:r>
      <w:r>
        <w:t>IOU WEN Measures</w:t>
      </w:r>
      <w:r w:rsidR="001B7214">
        <w:t xml:space="preserve"> </w:t>
      </w:r>
    </w:p>
    <w:tbl>
      <w:tblPr>
        <w:tblStyle w:val="TableGrid1"/>
        <w:tblW w:w="5042"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5"/>
        <w:gridCol w:w="1560"/>
        <w:gridCol w:w="2734"/>
        <w:gridCol w:w="1277"/>
        <w:gridCol w:w="1345"/>
        <w:gridCol w:w="824"/>
        <w:gridCol w:w="824"/>
      </w:tblGrid>
      <w:tr w:rsidR="00C84759" w:rsidRPr="00C84759" w14:paraId="52025E16" w14:textId="77777777" w:rsidTr="002E409C">
        <w:trPr>
          <w:trHeight w:val="20"/>
        </w:trPr>
        <w:tc>
          <w:tcPr>
            <w:tcW w:w="458" w:type="pct"/>
            <w:shd w:val="clear" w:color="auto" w:fill="F2F2F2" w:themeFill="background1" w:themeFillShade="F2"/>
            <w:vAlign w:val="center"/>
          </w:tcPr>
          <w:p w14:paraId="495945F3" w14:textId="5E6BEEDB" w:rsidR="00552EAA" w:rsidRPr="00C84759" w:rsidRDefault="00453E72" w:rsidP="006A7B34">
            <w:pPr>
              <w:keepNext/>
              <w:keepLines/>
              <w:spacing w:before="0" w:after="0" w:line="240" w:lineRule="auto"/>
              <w:jc w:val="center"/>
              <w:rPr>
                <w:rFonts w:cs="Calibri Light"/>
                <w:b/>
                <w:sz w:val="20"/>
              </w:rPr>
            </w:pPr>
            <w:r>
              <w:rPr>
                <w:rFonts w:cs="Calibri Light"/>
                <w:b/>
                <w:sz w:val="20"/>
              </w:rPr>
              <w:t>Line</w:t>
            </w:r>
            <w:r w:rsidR="00552EAA" w:rsidRPr="00C84759">
              <w:rPr>
                <w:rFonts w:cs="Calibri Light"/>
                <w:b/>
                <w:sz w:val="20"/>
              </w:rPr>
              <w:t xml:space="preserve"> #</w:t>
            </w:r>
          </w:p>
        </w:tc>
        <w:tc>
          <w:tcPr>
            <w:tcW w:w="827" w:type="pct"/>
            <w:shd w:val="clear" w:color="auto" w:fill="F2F2F2" w:themeFill="background1" w:themeFillShade="F2"/>
            <w:vAlign w:val="center"/>
          </w:tcPr>
          <w:p w14:paraId="00DD50B3"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EUL ID</w:t>
            </w:r>
          </w:p>
        </w:tc>
        <w:tc>
          <w:tcPr>
            <w:tcW w:w="1450" w:type="pct"/>
            <w:shd w:val="clear" w:color="auto" w:fill="F2F2F2" w:themeFill="background1" w:themeFillShade="F2"/>
            <w:vAlign w:val="center"/>
          </w:tcPr>
          <w:p w14:paraId="456D9933"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Description</w:t>
            </w:r>
          </w:p>
        </w:tc>
        <w:tc>
          <w:tcPr>
            <w:tcW w:w="677" w:type="pct"/>
            <w:shd w:val="clear" w:color="auto" w:fill="F2F2F2" w:themeFill="background1" w:themeFillShade="F2"/>
            <w:vAlign w:val="center"/>
          </w:tcPr>
          <w:p w14:paraId="189B1FE2"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Sector</w:t>
            </w:r>
          </w:p>
        </w:tc>
        <w:tc>
          <w:tcPr>
            <w:tcW w:w="713" w:type="pct"/>
            <w:shd w:val="clear" w:color="auto" w:fill="F2F2F2" w:themeFill="background1" w:themeFillShade="F2"/>
            <w:vAlign w:val="center"/>
          </w:tcPr>
          <w:p w14:paraId="1222E4B1" w14:textId="77777777" w:rsidR="00552EAA" w:rsidRPr="00C84759" w:rsidRDefault="00552EAA" w:rsidP="006A7B34">
            <w:pPr>
              <w:keepNext/>
              <w:keepLines/>
              <w:spacing w:before="0" w:after="0" w:line="240" w:lineRule="auto"/>
              <w:jc w:val="center"/>
              <w:rPr>
                <w:rFonts w:cs="Calibri Light"/>
                <w:b/>
                <w:sz w:val="20"/>
              </w:rPr>
            </w:pPr>
            <w:proofErr w:type="spellStart"/>
            <w:r w:rsidRPr="00C84759">
              <w:rPr>
                <w:rFonts w:cs="Calibri Light"/>
                <w:b/>
                <w:sz w:val="20"/>
              </w:rPr>
              <w:t>UseCategory</w:t>
            </w:r>
            <w:proofErr w:type="spellEnd"/>
          </w:p>
        </w:tc>
        <w:tc>
          <w:tcPr>
            <w:tcW w:w="437" w:type="pct"/>
            <w:shd w:val="clear" w:color="auto" w:fill="F2F2F2" w:themeFill="background1" w:themeFillShade="F2"/>
            <w:vAlign w:val="center"/>
          </w:tcPr>
          <w:p w14:paraId="5FAC07A1"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EUL (Years)</w:t>
            </w:r>
          </w:p>
        </w:tc>
        <w:tc>
          <w:tcPr>
            <w:tcW w:w="437" w:type="pct"/>
            <w:shd w:val="clear" w:color="auto" w:fill="F2F2F2" w:themeFill="background1" w:themeFillShade="F2"/>
            <w:vAlign w:val="center"/>
          </w:tcPr>
          <w:p w14:paraId="65ADA791" w14:textId="77777777" w:rsidR="00552EAA" w:rsidRPr="00C84759" w:rsidRDefault="00552EAA" w:rsidP="006A7B34">
            <w:pPr>
              <w:keepNext/>
              <w:keepLines/>
              <w:spacing w:before="0" w:after="0" w:line="240" w:lineRule="auto"/>
              <w:jc w:val="center"/>
              <w:rPr>
                <w:rFonts w:cs="Calibri Light"/>
                <w:b/>
                <w:sz w:val="20"/>
              </w:rPr>
            </w:pPr>
            <w:r w:rsidRPr="00C84759">
              <w:rPr>
                <w:rFonts w:cs="Calibri Light"/>
                <w:b/>
                <w:sz w:val="20"/>
              </w:rPr>
              <w:t>RUL (Years)</w:t>
            </w:r>
          </w:p>
        </w:tc>
      </w:tr>
      <w:tr w:rsidR="00C84759" w:rsidRPr="00C84759" w14:paraId="4F4ABB29" w14:textId="77777777" w:rsidTr="002E409C">
        <w:trPr>
          <w:trHeight w:val="20"/>
        </w:trPr>
        <w:tc>
          <w:tcPr>
            <w:tcW w:w="458" w:type="pct"/>
            <w:vAlign w:val="center"/>
          </w:tcPr>
          <w:p w14:paraId="3FE047DC"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1</w:t>
            </w:r>
          </w:p>
        </w:tc>
        <w:tc>
          <w:tcPr>
            <w:tcW w:w="827" w:type="pct"/>
            <w:vAlign w:val="center"/>
          </w:tcPr>
          <w:p w14:paraId="1A31A2E8" w14:textId="77777777" w:rsidR="00552EAA" w:rsidRPr="00C84759" w:rsidRDefault="00552EAA" w:rsidP="006A7B34">
            <w:pPr>
              <w:keepNext/>
              <w:keepLines/>
              <w:spacing w:before="0" w:after="0" w:line="240" w:lineRule="auto"/>
              <w:rPr>
                <w:rFonts w:cs="Calibri Light"/>
                <w:sz w:val="20"/>
              </w:rPr>
            </w:pPr>
            <w:r w:rsidRPr="00C84759">
              <w:rPr>
                <w:rFonts w:cs="Calibri Light"/>
                <w:sz w:val="20"/>
              </w:rPr>
              <w:t>Appl-</w:t>
            </w:r>
            <w:proofErr w:type="spellStart"/>
            <w:r w:rsidRPr="00C84759">
              <w:rPr>
                <w:rFonts w:cs="Calibri Light"/>
                <w:sz w:val="20"/>
              </w:rPr>
              <w:t>EffCW</w:t>
            </w:r>
            <w:proofErr w:type="spellEnd"/>
          </w:p>
        </w:tc>
        <w:tc>
          <w:tcPr>
            <w:tcW w:w="1450" w:type="pct"/>
            <w:vAlign w:val="center"/>
          </w:tcPr>
          <w:p w14:paraId="7D436BE7" w14:textId="304DB7DB" w:rsidR="00552EAA" w:rsidRPr="00C84759" w:rsidRDefault="00031FE5" w:rsidP="006A7B34">
            <w:pPr>
              <w:keepNext/>
              <w:keepLines/>
              <w:spacing w:before="0" w:after="0" w:line="240" w:lineRule="auto"/>
              <w:rPr>
                <w:rFonts w:cs="Calibri Light"/>
                <w:color w:val="000000"/>
                <w:sz w:val="20"/>
              </w:rPr>
            </w:pPr>
            <w:r>
              <w:rPr>
                <w:rFonts w:cs="Calibri Light"/>
                <w:sz w:val="20"/>
              </w:rPr>
              <w:t>ENERGY STAR Most Efficient</w:t>
            </w:r>
            <w:r w:rsidR="00552EAA" w:rsidRPr="00C84759">
              <w:rPr>
                <w:rFonts w:cs="Calibri Light"/>
                <w:sz w:val="20"/>
              </w:rPr>
              <w:t xml:space="preserve"> clothes washer, &gt;2.5 cubic ft - SFM. MFM In-Unit</w:t>
            </w:r>
          </w:p>
        </w:tc>
        <w:tc>
          <w:tcPr>
            <w:tcW w:w="677" w:type="pct"/>
            <w:vAlign w:val="center"/>
          </w:tcPr>
          <w:p w14:paraId="1E8F8404" w14:textId="77777777" w:rsidR="00552EAA" w:rsidRPr="00C84759" w:rsidRDefault="00552EAA" w:rsidP="006A7B34">
            <w:pPr>
              <w:keepNext/>
              <w:keepLines/>
              <w:spacing w:before="0" w:after="0" w:line="240" w:lineRule="auto"/>
              <w:rPr>
                <w:rFonts w:cs="Calibri Light"/>
                <w:color w:val="000000"/>
                <w:sz w:val="20"/>
              </w:rPr>
            </w:pPr>
            <w:r w:rsidRPr="00C84759">
              <w:rPr>
                <w:rFonts w:cs="Calibri Light"/>
                <w:color w:val="000000"/>
                <w:sz w:val="20"/>
              </w:rPr>
              <w:t>SFM. MFM In-Unit</w:t>
            </w:r>
          </w:p>
        </w:tc>
        <w:tc>
          <w:tcPr>
            <w:tcW w:w="713" w:type="pct"/>
            <w:vAlign w:val="center"/>
          </w:tcPr>
          <w:p w14:paraId="02C8541D" w14:textId="77777777" w:rsidR="00552EAA" w:rsidRPr="00C84759" w:rsidRDefault="00552EAA" w:rsidP="006A7B34">
            <w:pPr>
              <w:keepNext/>
              <w:keepLines/>
              <w:spacing w:before="0" w:after="0" w:line="240" w:lineRule="auto"/>
              <w:jc w:val="center"/>
              <w:rPr>
                <w:rFonts w:cs="Calibri Light"/>
                <w:sz w:val="20"/>
              </w:rPr>
            </w:pPr>
            <w:proofErr w:type="spellStart"/>
            <w:r w:rsidRPr="00C84759">
              <w:rPr>
                <w:rFonts w:cs="Calibri Light"/>
                <w:sz w:val="20"/>
              </w:rPr>
              <w:t>AppPlug</w:t>
            </w:r>
            <w:proofErr w:type="spellEnd"/>
          </w:p>
        </w:tc>
        <w:tc>
          <w:tcPr>
            <w:tcW w:w="437" w:type="pct"/>
            <w:vAlign w:val="center"/>
          </w:tcPr>
          <w:p w14:paraId="5A4F9B06" w14:textId="77777777" w:rsidR="00552EAA" w:rsidRPr="00C84759" w:rsidRDefault="00552EAA" w:rsidP="006A7B34">
            <w:pPr>
              <w:keepNext/>
              <w:keepLines/>
              <w:spacing w:before="0" w:after="0" w:line="240" w:lineRule="auto"/>
              <w:jc w:val="center"/>
              <w:rPr>
                <w:rFonts w:cs="Calibri Light"/>
                <w:color w:val="000000"/>
                <w:sz w:val="20"/>
              </w:rPr>
            </w:pPr>
            <w:r w:rsidRPr="00C84759">
              <w:rPr>
                <w:rFonts w:cs="Calibri Light"/>
                <w:color w:val="000000"/>
                <w:sz w:val="20"/>
              </w:rPr>
              <w:t>11</w:t>
            </w:r>
          </w:p>
        </w:tc>
        <w:tc>
          <w:tcPr>
            <w:tcW w:w="437" w:type="pct"/>
            <w:vAlign w:val="center"/>
          </w:tcPr>
          <w:p w14:paraId="3AFB21C1"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3.7</w:t>
            </w:r>
          </w:p>
        </w:tc>
      </w:tr>
      <w:tr w:rsidR="00C84759" w:rsidRPr="00C84759" w14:paraId="7E383CFD" w14:textId="77777777" w:rsidTr="002E409C">
        <w:trPr>
          <w:trHeight w:val="20"/>
        </w:trPr>
        <w:tc>
          <w:tcPr>
            <w:tcW w:w="458" w:type="pct"/>
            <w:vAlign w:val="center"/>
          </w:tcPr>
          <w:p w14:paraId="00FAE9C4"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2</w:t>
            </w:r>
          </w:p>
        </w:tc>
        <w:tc>
          <w:tcPr>
            <w:tcW w:w="827" w:type="pct"/>
            <w:vAlign w:val="center"/>
          </w:tcPr>
          <w:p w14:paraId="34E6BDD3" w14:textId="77777777" w:rsidR="00552EAA" w:rsidRPr="00C84759" w:rsidRDefault="00552EAA" w:rsidP="006A7B34">
            <w:pPr>
              <w:keepNext/>
              <w:keepLines/>
              <w:spacing w:before="0" w:after="0" w:line="240" w:lineRule="auto"/>
              <w:rPr>
                <w:rFonts w:cs="Calibri Light"/>
                <w:sz w:val="20"/>
              </w:rPr>
            </w:pPr>
            <w:r w:rsidRPr="00C84759">
              <w:rPr>
                <w:rFonts w:cs="Calibri Light"/>
                <w:sz w:val="20"/>
              </w:rPr>
              <w:t>Appl-</w:t>
            </w:r>
            <w:proofErr w:type="spellStart"/>
            <w:r w:rsidRPr="00C84759">
              <w:rPr>
                <w:rFonts w:cs="Calibri Light"/>
                <w:sz w:val="20"/>
              </w:rPr>
              <w:t>EffCW</w:t>
            </w:r>
            <w:proofErr w:type="spellEnd"/>
          </w:p>
        </w:tc>
        <w:tc>
          <w:tcPr>
            <w:tcW w:w="1450" w:type="pct"/>
            <w:vAlign w:val="center"/>
          </w:tcPr>
          <w:p w14:paraId="130D1548" w14:textId="750D5824" w:rsidR="00552EAA" w:rsidRPr="00C84759" w:rsidRDefault="00031FE5" w:rsidP="006A7B34">
            <w:pPr>
              <w:keepNext/>
              <w:keepLines/>
              <w:spacing w:before="0" w:after="0" w:line="240" w:lineRule="auto"/>
              <w:rPr>
                <w:rFonts w:cs="Calibri Light"/>
                <w:color w:val="000000"/>
                <w:sz w:val="20"/>
              </w:rPr>
            </w:pPr>
            <w:r>
              <w:rPr>
                <w:rFonts w:cs="Calibri Light"/>
                <w:sz w:val="20"/>
              </w:rPr>
              <w:t>ENERGY STAR Most Efficient</w:t>
            </w:r>
            <w:r w:rsidRPr="00C84759">
              <w:rPr>
                <w:rFonts w:cs="Calibri Light"/>
                <w:sz w:val="20"/>
              </w:rPr>
              <w:t xml:space="preserve"> </w:t>
            </w:r>
            <w:r w:rsidR="00552EAA" w:rsidRPr="00C84759">
              <w:rPr>
                <w:rFonts w:cs="Calibri Light"/>
                <w:sz w:val="20"/>
              </w:rPr>
              <w:t>clothes washer, &gt;2.5 cubic ft - MFM Common Area</w:t>
            </w:r>
          </w:p>
        </w:tc>
        <w:tc>
          <w:tcPr>
            <w:tcW w:w="677" w:type="pct"/>
            <w:vAlign w:val="center"/>
          </w:tcPr>
          <w:p w14:paraId="77F63106" w14:textId="77777777" w:rsidR="00552EAA" w:rsidRPr="00C84759" w:rsidRDefault="00552EAA" w:rsidP="006A7B34">
            <w:pPr>
              <w:keepNext/>
              <w:keepLines/>
              <w:spacing w:before="0" w:after="0" w:line="240" w:lineRule="auto"/>
              <w:rPr>
                <w:rFonts w:cs="Calibri Light"/>
                <w:color w:val="000000"/>
                <w:sz w:val="20"/>
              </w:rPr>
            </w:pPr>
            <w:r w:rsidRPr="00C84759">
              <w:rPr>
                <w:rFonts w:cs="Calibri Light"/>
                <w:color w:val="000000"/>
                <w:sz w:val="20"/>
              </w:rPr>
              <w:t>MFM Common Area</w:t>
            </w:r>
          </w:p>
        </w:tc>
        <w:tc>
          <w:tcPr>
            <w:tcW w:w="713" w:type="pct"/>
            <w:vAlign w:val="center"/>
          </w:tcPr>
          <w:p w14:paraId="3AC3AEC6" w14:textId="77777777" w:rsidR="00552EAA" w:rsidRPr="00C84759" w:rsidRDefault="00552EAA" w:rsidP="006A7B34">
            <w:pPr>
              <w:keepNext/>
              <w:keepLines/>
              <w:spacing w:before="0" w:after="0" w:line="240" w:lineRule="auto"/>
              <w:jc w:val="center"/>
              <w:rPr>
                <w:rFonts w:cs="Calibri Light"/>
                <w:sz w:val="20"/>
              </w:rPr>
            </w:pPr>
            <w:proofErr w:type="spellStart"/>
            <w:r w:rsidRPr="00C84759">
              <w:rPr>
                <w:rFonts w:cs="Calibri Light"/>
                <w:sz w:val="20"/>
              </w:rPr>
              <w:t>AppPlug</w:t>
            </w:r>
            <w:proofErr w:type="spellEnd"/>
          </w:p>
        </w:tc>
        <w:tc>
          <w:tcPr>
            <w:tcW w:w="437" w:type="pct"/>
            <w:vAlign w:val="center"/>
          </w:tcPr>
          <w:p w14:paraId="0014C045" w14:textId="77777777" w:rsidR="00552EAA" w:rsidRPr="00C84759" w:rsidRDefault="00552EAA" w:rsidP="006A7B34">
            <w:pPr>
              <w:keepNext/>
              <w:keepLines/>
              <w:spacing w:before="0" w:after="0" w:line="240" w:lineRule="auto"/>
              <w:jc w:val="center"/>
              <w:rPr>
                <w:rFonts w:cs="Calibri Light"/>
                <w:color w:val="000000"/>
                <w:sz w:val="20"/>
              </w:rPr>
            </w:pPr>
            <w:r w:rsidRPr="00C84759">
              <w:rPr>
                <w:rFonts w:cs="Calibri Light"/>
                <w:color w:val="000000"/>
                <w:sz w:val="20"/>
              </w:rPr>
              <w:t>11</w:t>
            </w:r>
          </w:p>
        </w:tc>
        <w:tc>
          <w:tcPr>
            <w:tcW w:w="437" w:type="pct"/>
            <w:vAlign w:val="center"/>
          </w:tcPr>
          <w:p w14:paraId="3720BE7B" w14:textId="77777777" w:rsidR="00552EAA" w:rsidRPr="00C84759" w:rsidRDefault="00552EAA" w:rsidP="006A7B34">
            <w:pPr>
              <w:keepNext/>
              <w:keepLines/>
              <w:spacing w:before="0" w:after="0" w:line="240" w:lineRule="auto"/>
              <w:jc w:val="center"/>
              <w:rPr>
                <w:rFonts w:cs="Calibri Light"/>
                <w:sz w:val="20"/>
              </w:rPr>
            </w:pPr>
            <w:r w:rsidRPr="00C84759">
              <w:rPr>
                <w:rFonts w:cs="Calibri Light"/>
                <w:sz w:val="20"/>
              </w:rPr>
              <w:t>3.7</w:t>
            </w:r>
          </w:p>
        </w:tc>
      </w:tr>
      <w:tr w:rsidR="00C84759" w:rsidRPr="00C84759" w14:paraId="73F1490E" w14:textId="77777777" w:rsidTr="002E409C">
        <w:trPr>
          <w:trHeight w:val="20"/>
        </w:trPr>
        <w:tc>
          <w:tcPr>
            <w:tcW w:w="458" w:type="pct"/>
            <w:vAlign w:val="center"/>
          </w:tcPr>
          <w:p w14:paraId="4E88A840" w14:textId="77777777" w:rsidR="00552EAA" w:rsidRPr="00C84759" w:rsidRDefault="00552EAA" w:rsidP="00C84759">
            <w:pPr>
              <w:spacing w:before="0" w:after="0" w:line="240" w:lineRule="auto"/>
              <w:jc w:val="center"/>
              <w:rPr>
                <w:rFonts w:cs="Calibri Light"/>
                <w:sz w:val="20"/>
              </w:rPr>
            </w:pPr>
            <w:r w:rsidRPr="00C84759">
              <w:rPr>
                <w:rFonts w:cs="Calibri Light"/>
                <w:sz w:val="20"/>
              </w:rPr>
              <w:t>3</w:t>
            </w:r>
          </w:p>
        </w:tc>
        <w:tc>
          <w:tcPr>
            <w:tcW w:w="827" w:type="pct"/>
            <w:vAlign w:val="center"/>
          </w:tcPr>
          <w:p w14:paraId="6BAB8048" w14:textId="77777777" w:rsidR="00552EAA" w:rsidRPr="00C84759" w:rsidRDefault="00552EAA" w:rsidP="00C84759">
            <w:pPr>
              <w:spacing w:before="0" w:after="0" w:line="240" w:lineRule="auto"/>
              <w:rPr>
                <w:rFonts w:cs="Calibri Light"/>
                <w:sz w:val="20"/>
              </w:rPr>
            </w:pPr>
            <w:proofErr w:type="spellStart"/>
            <w:r w:rsidRPr="00C84759">
              <w:rPr>
                <w:rFonts w:cs="Calibri Light"/>
                <w:sz w:val="20"/>
              </w:rPr>
              <w:t>ComLau-EffCW</w:t>
            </w:r>
            <w:proofErr w:type="spellEnd"/>
          </w:p>
        </w:tc>
        <w:tc>
          <w:tcPr>
            <w:tcW w:w="1450" w:type="pct"/>
            <w:vAlign w:val="center"/>
          </w:tcPr>
          <w:p w14:paraId="2D652C9D" w14:textId="1655D7F9" w:rsidR="00552EAA" w:rsidRPr="00C84759" w:rsidRDefault="00031FE5" w:rsidP="00C84759">
            <w:pPr>
              <w:spacing w:before="0" w:after="0" w:line="240" w:lineRule="auto"/>
              <w:rPr>
                <w:rFonts w:cs="Calibri Light"/>
                <w:color w:val="000000"/>
                <w:sz w:val="20"/>
              </w:rPr>
            </w:pPr>
            <w:r>
              <w:rPr>
                <w:rFonts w:cs="Calibri Light"/>
                <w:sz w:val="20"/>
              </w:rPr>
              <w:t>ENERGY STAR Most Efficient</w:t>
            </w:r>
            <w:r w:rsidRPr="00C84759">
              <w:rPr>
                <w:rFonts w:cs="Calibri Light"/>
                <w:sz w:val="20"/>
              </w:rPr>
              <w:t xml:space="preserve"> </w:t>
            </w:r>
            <w:r w:rsidR="00552EAA" w:rsidRPr="00C84759">
              <w:rPr>
                <w:rFonts w:cs="Calibri Light"/>
                <w:sz w:val="20"/>
              </w:rPr>
              <w:t xml:space="preserve">clothes washer, &gt;2.5 cubic ft - </w:t>
            </w:r>
            <w:proofErr w:type="gramStart"/>
            <w:r w:rsidR="00552EAA" w:rsidRPr="00C84759">
              <w:rPr>
                <w:rFonts w:cs="Calibri Light"/>
                <w:sz w:val="20"/>
              </w:rPr>
              <w:t>Non-Res</w:t>
            </w:r>
            <w:proofErr w:type="gramEnd"/>
          </w:p>
        </w:tc>
        <w:tc>
          <w:tcPr>
            <w:tcW w:w="677" w:type="pct"/>
            <w:vAlign w:val="center"/>
          </w:tcPr>
          <w:p w14:paraId="1D6D5097"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Non-Res</w:t>
            </w:r>
          </w:p>
        </w:tc>
        <w:tc>
          <w:tcPr>
            <w:tcW w:w="713" w:type="pct"/>
            <w:vAlign w:val="center"/>
          </w:tcPr>
          <w:p w14:paraId="05B96443" w14:textId="77777777" w:rsidR="00552EAA" w:rsidRPr="00C84759" w:rsidRDefault="00552EAA" w:rsidP="00C84759">
            <w:pPr>
              <w:spacing w:before="0" w:after="0" w:line="240" w:lineRule="auto"/>
              <w:jc w:val="center"/>
              <w:rPr>
                <w:rFonts w:cs="Calibri Light"/>
                <w:sz w:val="20"/>
              </w:rPr>
            </w:pPr>
            <w:proofErr w:type="spellStart"/>
            <w:r w:rsidRPr="00C84759">
              <w:rPr>
                <w:rFonts w:cs="Calibri Light"/>
                <w:sz w:val="20"/>
              </w:rPr>
              <w:t>AppPlug</w:t>
            </w:r>
            <w:proofErr w:type="spellEnd"/>
          </w:p>
        </w:tc>
        <w:tc>
          <w:tcPr>
            <w:tcW w:w="437" w:type="pct"/>
            <w:vAlign w:val="center"/>
          </w:tcPr>
          <w:p w14:paraId="344802AE"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11</w:t>
            </w:r>
          </w:p>
        </w:tc>
        <w:tc>
          <w:tcPr>
            <w:tcW w:w="437" w:type="pct"/>
            <w:vAlign w:val="center"/>
          </w:tcPr>
          <w:p w14:paraId="499BAAB9" w14:textId="77777777" w:rsidR="00552EAA" w:rsidRPr="00C84759" w:rsidRDefault="00552EAA" w:rsidP="00C84759">
            <w:pPr>
              <w:spacing w:before="0" w:after="0" w:line="240" w:lineRule="auto"/>
              <w:jc w:val="center"/>
              <w:rPr>
                <w:rFonts w:cs="Calibri Light"/>
                <w:sz w:val="20"/>
              </w:rPr>
            </w:pPr>
            <w:r w:rsidRPr="00C84759">
              <w:rPr>
                <w:rFonts w:cs="Calibri Light"/>
                <w:sz w:val="20"/>
              </w:rPr>
              <w:t>3.7</w:t>
            </w:r>
          </w:p>
        </w:tc>
      </w:tr>
      <w:tr w:rsidR="00C84759" w:rsidRPr="00C84759" w14:paraId="39D941C7" w14:textId="77777777" w:rsidTr="002E409C">
        <w:trPr>
          <w:trHeight w:val="20"/>
        </w:trPr>
        <w:tc>
          <w:tcPr>
            <w:tcW w:w="458" w:type="pct"/>
            <w:vAlign w:val="center"/>
          </w:tcPr>
          <w:p w14:paraId="0A8C93BA"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4</w:t>
            </w:r>
          </w:p>
        </w:tc>
        <w:tc>
          <w:tcPr>
            <w:tcW w:w="827" w:type="pct"/>
            <w:vAlign w:val="center"/>
          </w:tcPr>
          <w:p w14:paraId="4E0C00F0" w14:textId="77777777" w:rsidR="00552EAA" w:rsidRPr="00C84759" w:rsidRDefault="00552EAA" w:rsidP="00C84759">
            <w:pPr>
              <w:spacing w:before="0" w:after="0" w:line="240" w:lineRule="auto"/>
              <w:rPr>
                <w:rFonts w:cs="Calibri Light"/>
                <w:sz w:val="20"/>
              </w:rPr>
            </w:pPr>
            <w:r w:rsidRPr="00C84759">
              <w:rPr>
                <w:rFonts w:cs="Calibri Light"/>
                <w:sz w:val="20"/>
              </w:rPr>
              <w:t>Cook-</w:t>
            </w:r>
            <w:proofErr w:type="spellStart"/>
            <w:r w:rsidRPr="00C84759">
              <w:rPr>
                <w:rFonts w:cs="Calibri Light"/>
                <w:sz w:val="20"/>
              </w:rPr>
              <w:t>ElecStmCooker</w:t>
            </w:r>
            <w:proofErr w:type="spellEnd"/>
          </w:p>
        </w:tc>
        <w:tc>
          <w:tcPr>
            <w:tcW w:w="1450" w:type="pct"/>
            <w:vAlign w:val="center"/>
          </w:tcPr>
          <w:p w14:paraId="3D8CE422" w14:textId="77777777" w:rsidR="00552EAA" w:rsidRPr="00C84759" w:rsidRDefault="00552EAA" w:rsidP="00C84759">
            <w:pPr>
              <w:spacing w:before="0" w:after="0" w:line="240" w:lineRule="auto"/>
              <w:rPr>
                <w:rFonts w:cs="Calibri Light"/>
                <w:color w:val="000000"/>
                <w:sz w:val="20"/>
              </w:rPr>
            </w:pPr>
            <w:r w:rsidRPr="00C84759">
              <w:rPr>
                <w:rFonts w:cs="Calibri Light"/>
                <w:sz w:val="20"/>
              </w:rPr>
              <w:t>Commercial steam cooker Electric</w:t>
            </w:r>
          </w:p>
        </w:tc>
        <w:tc>
          <w:tcPr>
            <w:tcW w:w="677" w:type="pct"/>
            <w:vAlign w:val="center"/>
          </w:tcPr>
          <w:p w14:paraId="6118CA3C"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0F13507E" w14:textId="77777777" w:rsidR="00552EAA" w:rsidRPr="00C84759" w:rsidRDefault="00552EAA" w:rsidP="00C84759">
            <w:pPr>
              <w:spacing w:before="0" w:after="0" w:line="240" w:lineRule="auto"/>
              <w:jc w:val="center"/>
              <w:rPr>
                <w:rFonts w:cs="Calibri Light"/>
                <w:sz w:val="20"/>
              </w:rPr>
            </w:pPr>
            <w:proofErr w:type="spellStart"/>
            <w:r w:rsidRPr="00C84759">
              <w:rPr>
                <w:rFonts w:cs="Calibri Light"/>
                <w:sz w:val="20"/>
              </w:rPr>
              <w:t>FoodServ</w:t>
            </w:r>
            <w:proofErr w:type="spellEnd"/>
          </w:p>
        </w:tc>
        <w:tc>
          <w:tcPr>
            <w:tcW w:w="437" w:type="pct"/>
            <w:vAlign w:val="center"/>
          </w:tcPr>
          <w:p w14:paraId="7303AC71"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6EFB4D81"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7A4F153B" w14:textId="77777777" w:rsidTr="002E409C">
        <w:trPr>
          <w:trHeight w:val="20"/>
        </w:trPr>
        <w:tc>
          <w:tcPr>
            <w:tcW w:w="458" w:type="pct"/>
            <w:vAlign w:val="center"/>
          </w:tcPr>
          <w:p w14:paraId="5EBD4921"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5</w:t>
            </w:r>
          </w:p>
        </w:tc>
        <w:tc>
          <w:tcPr>
            <w:tcW w:w="827" w:type="pct"/>
            <w:vAlign w:val="center"/>
          </w:tcPr>
          <w:p w14:paraId="1EAB6F07" w14:textId="77777777" w:rsidR="00552EAA" w:rsidRPr="00C84759" w:rsidRDefault="00552EAA" w:rsidP="00C84759">
            <w:pPr>
              <w:spacing w:before="0" w:after="0" w:line="240" w:lineRule="auto"/>
              <w:rPr>
                <w:rFonts w:cs="Calibri Light"/>
                <w:sz w:val="20"/>
              </w:rPr>
            </w:pPr>
            <w:r w:rsidRPr="00C84759">
              <w:rPr>
                <w:rFonts w:cs="Calibri Light"/>
                <w:sz w:val="20"/>
              </w:rPr>
              <w:t>Cook-</w:t>
            </w:r>
            <w:proofErr w:type="spellStart"/>
            <w:r w:rsidRPr="00C84759">
              <w:rPr>
                <w:rFonts w:cs="Calibri Light"/>
                <w:sz w:val="20"/>
              </w:rPr>
              <w:t>GasStmCooker</w:t>
            </w:r>
            <w:proofErr w:type="spellEnd"/>
          </w:p>
        </w:tc>
        <w:tc>
          <w:tcPr>
            <w:tcW w:w="1450" w:type="pct"/>
            <w:vAlign w:val="center"/>
          </w:tcPr>
          <w:p w14:paraId="31CF1292" w14:textId="77777777" w:rsidR="00552EAA" w:rsidRPr="00C84759" w:rsidRDefault="00552EAA" w:rsidP="00C84759">
            <w:pPr>
              <w:spacing w:before="0" w:after="0" w:line="240" w:lineRule="auto"/>
              <w:rPr>
                <w:rFonts w:cs="Calibri Light"/>
                <w:color w:val="000000"/>
                <w:sz w:val="20"/>
              </w:rPr>
            </w:pPr>
            <w:r w:rsidRPr="00C84759">
              <w:rPr>
                <w:rFonts w:cs="Calibri Light"/>
                <w:sz w:val="20"/>
              </w:rPr>
              <w:t>Commercial steam cooker Natural gas</w:t>
            </w:r>
          </w:p>
        </w:tc>
        <w:tc>
          <w:tcPr>
            <w:tcW w:w="677" w:type="pct"/>
            <w:vAlign w:val="center"/>
          </w:tcPr>
          <w:p w14:paraId="70083943"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tcPr>
          <w:p w14:paraId="0689B176" w14:textId="77777777" w:rsidR="00552EAA" w:rsidRPr="00C84759" w:rsidRDefault="00552EAA" w:rsidP="00C84759">
            <w:pPr>
              <w:spacing w:before="0" w:after="0" w:line="240" w:lineRule="auto"/>
              <w:jc w:val="center"/>
              <w:rPr>
                <w:rFonts w:cs="Calibri Light"/>
                <w:sz w:val="20"/>
              </w:rPr>
            </w:pPr>
            <w:proofErr w:type="spellStart"/>
            <w:r w:rsidRPr="00C84759">
              <w:rPr>
                <w:rFonts w:cs="Calibri Light"/>
                <w:sz w:val="20"/>
              </w:rPr>
              <w:t>FoodServ</w:t>
            </w:r>
            <w:proofErr w:type="spellEnd"/>
          </w:p>
        </w:tc>
        <w:tc>
          <w:tcPr>
            <w:tcW w:w="437" w:type="pct"/>
            <w:vAlign w:val="center"/>
          </w:tcPr>
          <w:p w14:paraId="6B69A18E"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4E67AC70"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3DF460E8" w14:textId="77777777" w:rsidTr="002E409C">
        <w:trPr>
          <w:trHeight w:val="20"/>
        </w:trPr>
        <w:tc>
          <w:tcPr>
            <w:tcW w:w="458" w:type="pct"/>
            <w:vAlign w:val="center"/>
          </w:tcPr>
          <w:p w14:paraId="46EE82C0"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6</w:t>
            </w:r>
          </w:p>
        </w:tc>
        <w:tc>
          <w:tcPr>
            <w:tcW w:w="827" w:type="pct"/>
            <w:vAlign w:val="center"/>
          </w:tcPr>
          <w:p w14:paraId="471AE594" w14:textId="77777777" w:rsidR="00552EAA" w:rsidRPr="00C84759" w:rsidRDefault="00552EAA" w:rsidP="00C84759">
            <w:pPr>
              <w:spacing w:before="0" w:after="0" w:line="240" w:lineRule="auto"/>
              <w:rPr>
                <w:rFonts w:cs="Calibri Light"/>
                <w:sz w:val="20"/>
              </w:rPr>
            </w:pPr>
            <w:r w:rsidRPr="00C84759">
              <w:rPr>
                <w:rFonts w:cs="Calibri Light"/>
                <w:sz w:val="20"/>
              </w:rPr>
              <w:t>Cook-</w:t>
            </w:r>
            <w:proofErr w:type="spellStart"/>
            <w:r w:rsidRPr="00C84759">
              <w:rPr>
                <w:rFonts w:cs="Calibri Light"/>
                <w:sz w:val="20"/>
              </w:rPr>
              <w:t>ElecCombOven</w:t>
            </w:r>
            <w:proofErr w:type="spellEnd"/>
          </w:p>
        </w:tc>
        <w:tc>
          <w:tcPr>
            <w:tcW w:w="1450" w:type="pct"/>
            <w:vAlign w:val="center"/>
          </w:tcPr>
          <w:p w14:paraId="6DE632D5"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Electric (less than 15 pans)</w:t>
            </w:r>
          </w:p>
        </w:tc>
        <w:tc>
          <w:tcPr>
            <w:tcW w:w="677" w:type="pct"/>
            <w:vAlign w:val="center"/>
          </w:tcPr>
          <w:p w14:paraId="33390DF1"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2ED89411" w14:textId="77777777" w:rsidR="00552EAA" w:rsidRPr="00C84759" w:rsidRDefault="00552EAA" w:rsidP="00C84759">
            <w:pPr>
              <w:spacing w:before="0" w:after="0" w:line="240" w:lineRule="auto"/>
              <w:jc w:val="center"/>
              <w:rPr>
                <w:rFonts w:cs="Calibri Light"/>
                <w:sz w:val="20"/>
              </w:rPr>
            </w:pPr>
            <w:proofErr w:type="spellStart"/>
            <w:r w:rsidRPr="00C84759">
              <w:rPr>
                <w:rFonts w:cs="Calibri Light"/>
                <w:sz w:val="20"/>
              </w:rPr>
              <w:t>FoodServ</w:t>
            </w:r>
            <w:proofErr w:type="spellEnd"/>
          </w:p>
        </w:tc>
        <w:tc>
          <w:tcPr>
            <w:tcW w:w="437" w:type="pct"/>
            <w:vAlign w:val="center"/>
          </w:tcPr>
          <w:p w14:paraId="45B52EE3"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52D484B8"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1B8355C5" w14:textId="77777777" w:rsidTr="002E409C">
        <w:trPr>
          <w:trHeight w:val="20"/>
        </w:trPr>
        <w:tc>
          <w:tcPr>
            <w:tcW w:w="458" w:type="pct"/>
            <w:vAlign w:val="center"/>
          </w:tcPr>
          <w:p w14:paraId="63368ADB"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7</w:t>
            </w:r>
          </w:p>
        </w:tc>
        <w:tc>
          <w:tcPr>
            <w:tcW w:w="827" w:type="pct"/>
            <w:vAlign w:val="center"/>
          </w:tcPr>
          <w:p w14:paraId="3E79E6F3" w14:textId="77777777" w:rsidR="00552EAA" w:rsidRPr="00C84759" w:rsidRDefault="00552EAA" w:rsidP="00C84759">
            <w:pPr>
              <w:spacing w:before="0" w:after="0" w:line="240" w:lineRule="auto"/>
              <w:rPr>
                <w:rFonts w:cs="Calibri Light"/>
                <w:sz w:val="20"/>
              </w:rPr>
            </w:pPr>
            <w:r w:rsidRPr="00C84759">
              <w:rPr>
                <w:rFonts w:cs="Calibri Light"/>
                <w:sz w:val="20"/>
              </w:rPr>
              <w:t>Cook-</w:t>
            </w:r>
            <w:proofErr w:type="spellStart"/>
            <w:r w:rsidRPr="00C84759">
              <w:rPr>
                <w:rFonts w:cs="Calibri Light"/>
                <w:sz w:val="20"/>
              </w:rPr>
              <w:t>ElecCombOven</w:t>
            </w:r>
            <w:proofErr w:type="spellEnd"/>
          </w:p>
        </w:tc>
        <w:tc>
          <w:tcPr>
            <w:tcW w:w="1450" w:type="pct"/>
            <w:vAlign w:val="center"/>
          </w:tcPr>
          <w:p w14:paraId="659DC7A0"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Electric (15-28 pans)</w:t>
            </w:r>
          </w:p>
        </w:tc>
        <w:tc>
          <w:tcPr>
            <w:tcW w:w="677" w:type="pct"/>
            <w:vAlign w:val="center"/>
          </w:tcPr>
          <w:p w14:paraId="71002CAC"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2EBEC3BD" w14:textId="77777777" w:rsidR="00552EAA" w:rsidRPr="00C84759" w:rsidRDefault="00552EAA" w:rsidP="00C84759">
            <w:pPr>
              <w:spacing w:before="0" w:after="0" w:line="240" w:lineRule="auto"/>
              <w:jc w:val="center"/>
              <w:rPr>
                <w:rFonts w:cs="Calibri Light"/>
                <w:sz w:val="20"/>
              </w:rPr>
            </w:pPr>
            <w:proofErr w:type="spellStart"/>
            <w:r w:rsidRPr="00C84759">
              <w:rPr>
                <w:rFonts w:cs="Calibri Light"/>
                <w:sz w:val="20"/>
              </w:rPr>
              <w:t>FoodServ</w:t>
            </w:r>
            <w:proofErr w:type="spellEnd"/>
          </w:p>
        </w:tc>
        <w:tc>
          <w:tcPr>
            <w:tcW w:w="437" w:type="pct"/>
            <w:vAlign w:val="center"/>
          </w:tcPr>
          <w:p w14:paraId="6767E9DF"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18840367"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3706523D" w14:textId="77777777" w:rsidTr="002E409C">
        <w:trPr>
          <w:trHeight w:val="20"/>
        </w:trPr>
        <w:tc>
          <w:tcPr>
            <w:tcW w:w="458" w:type="pct"/>
            <w:vAlign w:val="center"/>
          </w:tcPr>
          <w:p w14:paraId="187E27C2"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8</w:t>
            </w:r>
          </w:p>
        </w:tc>
        <w:tc>
          <w:tcPr>
            <w:tcW w:w="827" w:type="pct"/>
            <w:vAlign w:val="center"/>
          </w:tcPr>
          <w:p w14:paraId="3AC7F200" w14:textId="77777777" w:rsidR="00552EAA" w:rsidRPr="00C84759" w:rsidRDefault="00552EAA" w:rsidP="00C84759">
            <w:pPr>
              <w:spacing w:before="0" w:after="0" w:line="240" w:lineRule="auto"/>
              <w:rPr>
                <w:rFonts w:cs="Calibri Light"/>
                <w:sz w:val="20"/>
              </w:rPr>
            </w:pPr>
            <w:r w:rsidRPr="00C84759">
              <w:rPr>
                <w:rFonts w:cs="Calibri Light"/>
                <w:sz w:val="20"/>
              </w:rPr>
              <w:t>Cook-</w:t>
            </w:r>
            <w:proofErr w:type="spellStart"/>
            <w:r w:rsidRPr="00C84759">
              <w:rPr>
                <w:rFonts w:cs="Calibri Light"/>
                <w:sz w:val="20"/>
              </w:rPr>
              <w:t>ElecCombOven</w:t>
            </w:r>
            <w:proofErr w:type="spellEnd"/>
          </w:p>
        </w:tc>
        <w:tc>
          <w:tcPr>
            <w:tcW w:w="1450" w:type="pct"/>
            <w:vAlign w:val="center"/>
          </w:tcPr>
          <w:p w14:paraId="239BD081"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Electric (more than 28 pans)</w:t>
            </w:r>
          </w:p>
        </w:tc>
        <w:tc>
          <w:tcPr>
            <w:tcW w:w="677" w:type="pct"/>
            <w:vAlign w:val="center"/>
          </w:tcPr>
          <w:p w14:paraId="2B9AAAEC"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679BF334" w14:textId="77777777" w:rsidR="00552EAA" w:rsidRPr="00C84759" w:rsidRDefault="00552EAA" w:rsidP="00C84759">
            <w:pPr>
              <w:spacing w:before="0" w:after="0" w:line="240" w:lineRule="auto"/>
              <w:jc w:val="center"/>
              <w:rPr>
                <w:rFonts w:cs="Calibri Light"/>
                <w:sz w:val="20"/>
              </w:rPr>
            </w:pPr>
            <w:proofErr w:type="spellStart"/>
            <w:r w:rsidRPr="00C84759">
              <w:rPr>
                <w:rFonts w:cs="Calibri Light"/>
                <w:sz w:val="20"/>
              </w:rPr>
              <w:t>FoodServ</w:t>
            </w:r>
            <w:proofErr w:type="spellEnd"/>
          </w:p>
        </w:tc>
        <w:tc>
          <w:tcPr>
            <w:tcW w:w="437" w:type="pct"/>
            <w:vAlign w:val="center"/>
          </w:tcPr>
          <w:p w14:paraId="64CDF911"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4CD8DF96"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14E3AED6" w14:textId="77777777" w:rsidTr="002E409C">
        <w:trPr>
          <w:trHeight w:val="20"/>
        </w:trPr>
        <w:tc>
          <w:tcPr>
            <w:tcW w:w="458" w:type="pct"/>
            <w:vAlign w:val="center"/>
          </w:tcPr>
          <w:p w14:paraId="088DB259"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9</w:t>
            </w:r>
          </w:p>
        </w:tc>
        <w:tc>
          <w:tcPr>
            <w:tcW w:w="827" w:type="pct"/>
            <w:vAlign w:val="center"/>
          </w:tcPr>
          <w:p w14:paraId="3EFFBF0C" w14:textId="77777777" w:rsidR="00552EAA" w:rsidRPr="00C84759" w:rsidRDefault="00552EAA" w:rsidP="00C84759">
            <w:pPr>
              <w:spacing w:before="0" w:after="0" w:line="240" w:lineRule="auto"/>
              <w:rPr>
                <w:rFonts w:cs="Calibri Light"/>
                <w:sz w:val="20"/>
              </w:rPr>
            </w:pPr>
            <w:r w:rsidRPr="00C84759">
              <w:rPr>
                <w:rFonts w:cs="Calibri Light"/>
                <w:sz w:val="20"/>
              </w:rPr>
              <w:t>Cook-</w:t>
            </w:r>
            <w:proofErr w:type="spellStart"/>
            <w:r w:rsidRPr="00C84759">
              <w:rPr>
                <w:rFonts w:cs="Calibri Light"/>
                <w:sz w:val="20"/>
              </w:rPr>
              <w:t>GasCombOVen</w:t>
            </w:r>
            <w:proofErr w:type="spellEnd"/>
          </w:p>
        </w:tc>
        <w:tc>
          <w:tcPr>
            <w:tcW w:w="1450" w:type="pct"/>
            <w:vAlign w:val="center"/>
          </w:tcPr>
          <w:p w14:paraId="74510A78"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Natural gas (less than 15 pans)</w:t>
            </w:r>
          </w:p>
        </w:tc>
        <w:tc>
          <w:tcPr>
            <w:tcW w:w="677" w:type="pct"/>
            <w:vAlign w:val="center"/>
          </w:tcPr>
          <w:p w14:paraId="640B9900"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2BF97522" w14:textId="77777777" w:rsidR="00552EAA" w:rsidRPr="00C84759" w:rsidRDefault="00552EAA" w:rsidP="00C84759">
            <w:pPr>
              <w:spacing w:before="0" w:after="0" w:line="240" w:lineRule="auto"/>
              <w:jc w:val="center"/>
              <w:rPr>
                <w:rFonts w:cs="Calibri Light"/>
                <w:sz w:val="20"/>
              </w:rPr>
            </w:pPr>
            <w:proofErr w:type="spellStart"/>
            <w:r w:rsidRPr="00C84759">
              <w:rPr>
                <w:rFonts w:cs="Calibri Light"/>
                <w:sz w:val="20"/>
              </w:rPr>
              <w:t>FoodServ</w:t>
            </w:r>
            <w:proofErr w:type="spellEnd"/>
          </w:p>
        </w:tc>
        <w:tc>
          <w:tcPr>
            <w:tcW w:w="437" w:type="pct"/>
            <w:vAlign w:val="center"/>
          </w:tcPr>
          <w:p w14:paraId="1C0F74EB"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18050D80"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r w:rsidR="00C84759" w:rsidRPr="00C84759" w14:paraId="15C57934" w14:textId="77777777" w:rsidTr="002E409C">
        <w:trPr>
          <w:trHeight w:val="20"/>
        </w:trPr>
        <w:tc>
          <w:tcPr>
            <w:tcW w:w="458" w:type="pct"/>
            <w:vAlign w:val="center"/>
          </w:tcPr>
          <w:p w14:paraId="7DB6F838" w14:textId="77777777" w:rsidR="00552EAA" w:rsidRPr="00C84759" w:rsidRDefault="00552EAA" w:rsidP="00C84759">
            <w:pPr>
              <w:spacing w:before="0" w:after="0" w:line="240" w:lineRule="auto"/>
              <w:jc w:val="center"/>
              <w:rPr>
                <w:rFonts w:cs="Calibri Light"/>
                <w:color w:val="000000"/>
                <w:sz w:val="20"/>
              </w:rPr>
            </w:pPr>
            <w:r w:rsidRPr="00C84759">
              <w:rPr>
                <w:rFonts w:cs="Calibri Light"/>
                <w:sz w:val="20"/>
              </w:rPr>
              <w:t>10</w:t>
            </w:r>
          </w:p>
        </w:tc>
        <w:tc>
          <w:tcPr>
            <w:tcW w:w="827" w:type="pct"/>
            <w:vAlign w:val="center"/>
          </w:tcPr>
          <w:p w14:paraId="6F5D6A30" w14:textId="77777777" w:rsidR="00552EAA" w:rsidRPr="00C84759" w:rsidRDefault="00552EAA" w:rsidP="00C84759">
            <w:pPr>
              <w:spacing w:before="0" w:after="0" w:line="240" w:lineRule="auto"/>
              <w:rPr>
                <w:rFonts w:cs="Calibri Light"/>
                <w:sz w:val="20"/>
              </w:rPr>
            </w:pPr>
            <w:r w:rsidRPr="00C84759">
              <w:rPr>
                <w:rFonts w:cs="Calibri Light"/>
                <w:sz w:val="20"/>
              </w:rPr>
              <w:t>Cook-</w:t>
            </w:r>
            <w:proofErr w:type="spellStart"/>
            <w:r w:rsidRPr="00C84759">
              <w:rPr>
                <w:rFonts w:cs="Calibri Light"/>
                <w:sz w:val="20"/>
              </w:rPr>
              <w:t>GasCombOVen</w:t>
            </w:r>
            <w:proofErr w:type="spellEnd"/>
          </w:p>
        </w:tc>
        <w:tc>
          <w:tcPr>
            <w:tcW w:w="1450" w:type="pct"/>
            <w:vAlign w:val="center"/>
          </w:tcPr>
          <w:p w14:paraId="6DBF985D" w14:textId="77777777" w:rsidR="00552EAA" w:rsidRPr="00C84759" w:rsidRDefault="00552EAA" w:rsidP="00C84759">
            <w:pPr>
              <w:spacing w:before="0" w:after="0" w:line="240" w:lineRule="auto"/>
              <w:rPr>
                <w:rFonts w:cs="Calibri Light"/>
                <w:color w:val="000000"/>
                <w:sz w:val="20"/>
              </w:rPr>
            </w:pPr>
            <w:r w:rsidRPr="00C84759">
              <w:rPr>
                <w:rFonts w:cs="Calibri Light"/>
                <w:color w:val="000000"/>
                <w:sz w:val="20"/>
              </w:rPr>
              <w:t>Commercial combination oven/steamer Natural gas (15-28 pans)</w:t>
            </w:r>
          </w:p>
        </w:tc>
        <w:tc>
          <w:tcPr>
            <w:tcW w:w="677" w:type="pct"/>
            <w:vAlign w:val="center"/>
          </w:tcPr>
          <w:p w14:paraId="6A451B66" w14:textId="77777777" w:rsidR="00552EAA" w:rsidRPr="00C84759" w:rsidRDefault="00552EAA" w:rsidP="00031FE5">
            <w:pPr>
              <w:spacing w:before="0" w:after="0" w:line="240" w:lineRule="auto"/>
              <w:rPr>
                <w:rFonts w:cs="Calibri Light"/>
                <w:color w:val="000000"/>
                <w:sz w:val="20"/>
              </w:rPr>
            </w:pPr>
            <w:r w:rsidRPr="00C84759">
              <w:rPr>
                <w:rFonts w:cs="Calibri Light"/>
                <w:color w:val="000000"/>
                <w:sz w:val="20"/>
              </w:rPr>
              <w:t>Commercial</w:t>
            </w:r>
          </w:p>
        </w:tc>
        <w:tc>
          <w:tcPr>
            <w:tcW w:w="713" w:type="pct"/>
            <w:vAlign w:val="center"/>
          </w:tcPr>
          <w:p w14:paraId="7838FC61" w14:textId="77777777" w:rsidR="00552EAA" w:rsidRPr="00C84759" w:rsidRDefault="00552EAA" w:rsidP="00C84759">
            <w:pPr>
              <w:spacing w:before="0" w:after="0" w:line="240" w:lineRule="auto"/>
              <w:jc w:val="center"/>
              <w:rPr>
                <w:rFonts w:cs="Calibri Light"/>
                <w:sz w:val="20"/>
              </w:rPr>
            </w:pPr>
            <w:proofErr w:type="spellStart"/>
            <w:r w:rsidRPr="00C84759">
              <w:rPr>
                <w:rFonts w:cs="Calibri Light"/>
                <w:sz w:val="20"/>
              </w:rPr>
              <w:t>FoodServ</w:t>
            </w:r>
            <w:proofErr w:type="spellEnd"/>
          </w:p>
        </w:tc>
        <w:tc>
          <w:tcPr>
            <w:tcW w:w="437" w:type="pct"/>
            <w:vAlign w:val="center"/>
          </w:tcPr>
          <w:p w14:paraId="3D371DC2" w14:textId="77777777" w:rsidR="00552EAA" w:rsidRPr="00C84759" w:rsidRDefault="00552EAA" w:rsidP="00C84759">
            <w:pPr>
              <w:spacing w:before="0" w:after="0" w:line="240" w:lineRule="auto"/>
              <w:jc w:val="center"/>
              <w:rPr>
                <w:rFonts w:cs="Calibri Light"/>
                <w:color w:val="000000"/>
                <w:sz w:val="20"/>
              </w:rPr>
            </w:pPr>
            <w:r w:rsidRPr="00C84759">
              <w:rPr>
                <w:rFonts w:cs="Calibri Light"/>
                <w:color w:val="000000"/>
                <w:sz w:val="20"/>
              </w:rPr>
              <w:t>12</w:t>
            </w:r>
          </w:p>
        </w:tc>
        <w:tc>
          <w:tcPr>
            <w:tcW w:w="437" w:type="pct"/>
            <w:vAlign w:val="center"/>
          </w:tcPr>
          <w:p w14:paraId="067D7385" w14:textId="77777777" w:rsidR="00552EAA" w:rsidRPr="00C84759" w:rsidRDefault="00552EAA" w:rsidP="00C84759">
            <w:pPr>
              <w:spacing w:before="0" w:after="0" w:line="240" w:lineRule="auto"/>
              <w:jc w:val="center"/>
              <w:rPr>
                <w:rFonts w:cs="Calibri Light"/>
                <w:sz w:val="20"/>
              </w:rPr>
            </w:pPr>
            <w:r w:rsidRPr="00C84759">
              <w:rPr>
                <w:rFonts w:cs="Calibri Light"/>
                <w:sz w:val="20"/>
              </w:rPr>
              <w:t>4</w:t>
            </w:r>
          </w:p>
        </w:tc>
      </w:tr>
    </w:tbl>
    <w:p w14:paraId="53C78918" w14:textId="77777777" w:rsidR="00552EAA" w:rsidRDefault="00552EAA" w:rsidP="00552EAA">
      <w:pPr>
        <w:pStyle w:val="NoSpacing"/>
      </w:pPr>
    </w:p>
    <w:p w14:paraId="317695E6" w14:textId="576728EA" w:rsidR="00552EAA" w:rsidRDefault="00552EAA" w:rsidP="00453E72">
      <w:pPr>
        <w:pStyle w:val="Caption"/>
      </w:pPr>
      <w:bookmarkStart w:id="60" w:name="_Ref19593024"/>
      <w:r>
        <w:t xml:space="preserve">Table </w:t>
      </w:r>
      <w:r>
        <w:fldChar w:fldCharType="begin"/>
      </w:r>
      <w:r>
        <w:instrText xml:space="preserve"> SEQ Table \* ARABIC </w:instrText>
      </w:r>
      <w:r>
        <w:fldChar w:fldCharType="separate"/>
      </w:r>
      <w:r w:rsidR="00695DD3">
        <w:t>8</w:t>
      </w:r>
      <w:r>
        <w:fldChar w:fldCharType="end"/>
      </w:r>
      <w:bookmarkEnd w:id="60"/>
      <w:r>
        <w:t xml:space="preserve">: </w:t>
      </w:r>
      <w:r w:rsidR="00CD3317">
        <w:t xml:space="preserve">Effective Useful Life and Remaining Useful Life - </w:t>
      </w:r>
      <w:r>
        <w:t>MWD</w:t>
      </w:r>
      <w:r w:rsidRPr="00DA5710">
        <w:t xml:space="preserve"> WEN Measures </w:t>
      </w:r>
    </w:p>
    <w:tbl>
      <w:tblPr>
        <w:tblStyle w:val="TableGrid1"/>
        <w:tblW w:w="505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2"/>
        <w:gridCol w:w="1438"/>
        <w:gridCol w:w="2733"/>
        <w:gridCol w:w="1296"/>
        <w:gridCol w:w="1269"/>
        <w:gridCol w:w="912"/>
        <w:gridCol w:w="857"/>
      </w:tblGrid>
      <w:tr w:rsidR="00A452DC" w:rsidRPr="00500C4E" w14:paraId="0028C488" w14:textId="77777777" w:rsidTr="002E409C">
        <w:trPr>
          <w:trHeight w:val="20"/>
          <w:tblHeader/>
        </w:trPr>
        <w:tc>
          <w:tcPr>
            <w:tcW w:w="503" w:type="pct"/>
            <w:shd w:val="clear" w:color="auto" w:fill="F2F2F2" w:themeFill="background1" w:themeFillShade="F2"/>
            <w:vAlign w:val="center"/>
          </w:tcPr>
          <w:p w14:paraId="2D615938" w14:textId="77777777" w:rsidR="00552EAA" w:rsidRPr="00A452DC" w:rsidRDefault="00552EAA" w:rsidP="00A452DC">
            <w:pPr>
              <w:spacing w:before="0" w:after="0"/>
              <w:jc w:val="center"/>
              <w:rPr>
                <w:rFonts w:cs="Calibri Light"/>
                <w:color w:val="000000"/>
                <w:sz w:val="20"/>
              </w:rPr>
            </w:pPr>
            <w:r w:rsidRPr="00A452DC">
              <w:rPr>
                <w:rFonts w:cs="Calibri Light"/>
                <w:b/>
                <w:sz w:val="20"/>
              </w:rPr>
              <w:t>Measure #</w:t>
            </w:r>
          </w:p>
        </w:tc>
        <w:tc>
          <w:tcPr>
            <w:tcW w:w="760" w:type="pct"/>
            <w:shd w:val="clear" w:color="auto" w:fill="F2F2F2" w:themeFill="background1" w:themeFillShade="F2"/>
            <w:vAlign w:val="center"/>
          </w:tcPr>
          <w:p w14:paraId="0AA889D2" w14:textId="77777777" w:rsidR="00552EAA" w:rsidRPr="00031FE5" w:rsidRDefault="00552EAA" w:rsidP="00431A2D">
            <w:pPr>
              <w:spacing w:before="0" w:after="0"/>
              <w:jc w:val="center"/>
              <w:rPr>
                <w:rFonts w:cs="Calibri Light"/>
                <w:sz w:val="20"/>
              </w:rPr>
            </w:pPr>
            <w:r w:rsidRPr="00031FE5">
              <w:rPr>
                <w:rFonts w:cs="Calibri Light"/>
                <w:b/>
                <w:sz w:val="20"/>
              </w:rPr>
              <w:t>EUL ID</w:t>
            </w:r>
          </w:p>
        </w:tc>
        <w:tc>
          <w:tcPr>
            <w:tcW w:w="1445" w:type="pct"/>
            <w:shd w:val="clear" w:color="auto" w:fill="F2F2F2" w:themeFill="background1" w:themeFillShade="F2"/>
            <w:vAlign w:val="center"/>
          </w:tcPr>
          <w:p w14:paraId="7EBBF3E9" w14:textId="77777777" w:rsidR="00552EAA" w:rsidRPr="00A452DC" w:rsidRDefault="00552EAA" w:rsidP="00A452DC">
            <w:pPr>
              <w:spacing w:before="0" w:after="0"/>
              <w:jc w:val="center"/>
              <w:rPr>
                <w:rFonts w:cs="Calibri Light"/>
                <w:color w:val="000000"/>
                <w:sz w:val="20"/>
              </w:rPr>
            </w:pPr>
            <w:r w:rsidRPr="00A452DC">
              <w:rPr>
                <w:rFonts w:cs="Calibri Light"/>
                <w:b/>
                <w:sz w:val="20"/>
              </w:rPr>
              <w:t>Description</w:t>
            </w:r>
          </w:p>
        </w:tc>
        <w:tc>
          <w:tcPr>
            <w:tcW w:w="685" w:type="pct"/>
            <w:shd w:val="clear" w:color="auto" w:fill="F2F2F2" w:themeFill="background1" w:themeFillShade="F2"/>
            <w:vAlign w:val="center"/>
          </w:tcPr>
          <w:p w14:paraId="0B891B72" w14:textId="77777777" w:rsidR="00552EAA" w:rsidRPr="00A452DC" w:rsidRDefault="00552EAA" w:rsidP="00A452DC">
            <w:pPr>
              <w:spacing w:before="0" w:after="0"/>
              <w:jc w:val="center"/>
              <w:rPr>
                <w:rFonts w:cs="Calibri Light"/>
                <w:color w:val="000000"/>
                <w:sz w:val="20"/>
              </w:rPr>
            </w:pPr>
            <w:r w:rsidRPr="00A452DC">
              <w:rPr>
                <w:rFonts w:cs="Calibri Light"/>
                <w:b/>
                <w:sz w:val="20"/>
              </w:rPr>
              <w:t>Sector</w:t>
            </w:r>
          </w:p>
        </w:tc>
        <w:tc>
          <w:tcPr>
            <w:tcW w:w="671" w:type="pct"/>
            <w:shd w:val="clear" w:color="auto" w:fill="F2F2F2" w:themeFill="background1" w:themeFillShade="F2"/>
            <w:vAlign w:val="center"/>
          </w:tcPr>
          <w:p w14:paraId="25EEAA2D" w14:textId="77777777" w:rsidR="00552EAA" w:rsidRPr="00A452DC" w:rsidRDefault="00552EAA" w:rsidP="00A452DC">
            <w:pPr>
              <w:spacing w:before="0" w:after="0"/>
              <w:jc w:val="center"/>
              <w:rPr>
                <w:rFonts w:cs="Calibri Light"/>
                <w:sz w:val="20"/>
              </w:rPr>
            </w:pPr>
            <w:proofErr w:type="spellStart"/>
            <w:r w:rsidRPr="00A452DC">
              <w:rPr>
                <w:rFonts w:cs="Calibri Light"/>
                <w:b/>
                <w:sz w:val="20"/>
              </w:rPr>
              <w:t>UseCategory</w:t>
            </w:r>
            <w:proofErr w:type="spellEnd"/>
          </w:p>
        </w:tc>
        <w:tc>
          <w:tcPr>
            <w:tcW w:w="482" w:type="pct"/>
            <w:shd w:val="clear" w:color="auto" w:fill="F2F2F2" w:themeFill="background1" w:themeFillShade="F2"/>
            <w:vAlign w:val="center"/>
          </w:tcPr>
          <w:p w14:paraId="500337F2" w14:textId="77777777" w:rsidR="00552EAA" w:rsidRPr="00A452DC" w:rsidRDefault="00552EAA" w:rsidP="00A452DC">
            <w:pPr>
              <w:spacing w:before="0" w:after="0"/>
              <w:jc w:val="center"/>
              <w:rPr>
                <w:rFonts w:cs="Calibri Light"/>
                <w:color w:val="000000"/>
                <w:sz w:val="20"/>
              </w:rPr>
            </w:pPr>
            <w:r w:rsidRPr="00A452DC">
              <w:rPr>
                <w:rFonts w:cs="Calibri Light"/>
                <w:b/>
                <w:sz w:val="20"/>
              </w:rPr>
              <w:t>EUL (Years)</w:t>
            </w:r>
          </w:p>
        </w:tc>
        <w:tc>
          <w:tcPr>
            <w:tcW w:w="453" w:type="pct"/>
            <w:shd w:val="clear" w:color="auto" w:fill="F2F2F2" w:themeFill="background1" w:themeFillShade="F2"/>
            <w:vAlign w:val="center"/>
          </w:tcPr>
          <w:p w14:paraId="26861037" w14:textId="77777777" w:rsidR="00552EAA" w:rsidRPr="00A452DC" w:rsidRDefault="00552EAA" w:rsidP="00A452DC">
            <w:pPr>
              <w:spacing w:before="0" w:after="0"/>
              <w:jc w:val="center"/>
              <w:rPr>
                <w:rFonts w:cs="Calibri Light"/>
                <w:sz w:val="20"/>
              </w:rPr>
            </w:pPr>
            <w:r w:rsidRPr="00A452DC">
              <w:rPr>
                <w:rFonts w:cs="Calibri Light"/>
                <w:b/>
                <w:sz w:val="20"/>
              </w:rPr>
              <w:t>RUL (Years)</w:t>
            </w:r>
          </w:p>
        </w:tc>
      </w:tr>
      <w:tr w:rsidR="00A452DC" w:rsidRPr="00500C4E" w14:paraId="0B2CE280" w14:textId="77777777" w:rsidTr="003010F8">
        <w:trPr>
          <w:trHeight w:val="243"/>
        </w:trPr>
        <w:tc>
          <w:tcPr>
            <w:tcW w:w="503" w:type="pct"/>
            <w:vAlign w:val="center"/>
          </w:tcPr>
          <w:p w14:paraId="370851E0" w14:textId="77777777" w:rsidR="00552EAA" w:rsidRPr="00A452DC" w:rsidRDefault="00552EAA" w:rsidP="00A452DC">
            <w:pPr>
              <w:spacing w:before="0" w:after="0"/>
              <w:jc w:val="center"/>
              <w:rPr>
                <w:rFonts w:cs="Calibri Light"/>
                <w:color w:val="000000"/>
                <w:sz w:val="20"/>
              </w:rPr>
            </w:pPr>
            <w:r w:rsidRPr="00A452DC">
              <w:rPr>
                <w:rFonts w:cs="Calibri Light"/>
                <w:sz w:val="20"/>
              </w:rPr>
              <w:t>53</w:t>
            </w:r>
          </w:p>
        </w:tc>
        <w:tc>
          <w:tcPr>
            <w:tcW w:w="760" w:type="pct"/>
            <w:vAlign w:val="center"/>
          </w:tcPr>
          <w:p w14:paraId="5539C841" w14:textId="4233DFA8"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24C45196" w14:textId="77777777" w:rsidR="00552EAA" w:rsidRPr="00A452DC" w:rsidRDefault="00552EAA" w:rsidP="00A452DC">
            <w:pPr>
              <w:spacing w:before="0" w:after="0"/>
              <w:rPr>
                <w:rFonts w:cs="Calibri Light"/>
                <w:color w:val="000000"/>
                <w:sz w:val="20"/>
              </w:rPr>
            </w:pPr>
            <w:r w:rsidRPr="00A452DC">
              <w:rPr>
                <w:rFonts w:cs="Calibri Light"/>
                <w:color w:val="000000"/>
                <w:sz w:val="20"/>
              </w:rPr>
              <w:t>Com-High Efficiency Toilet (Melded)</w:t>
            </w:r>
          </w:p>
        </w:tc>
        <w:tc>
          <w:tcPr>
            <w:tcW w:w="685" w:type="pct"/>
            <w:vAlign w:val="center"/>
          </w:tcPr>
          <w:p w14:paraId="1A7AB785"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70DF1C7D" w14:textId="2F930F0C"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3A54E9F0"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20</w:t>
            </w:r>
          </w:p>
        </w:tc>
        <w:tc>
          <w:tcPr>
            <w:tcW w:w="453" w:type="pct"/>
            <w:vAlign w:val="center"/>
          </w:tcPr>
          <w:p w14:paraId="669F5FD9" w14:textId="77777777" w:rsidR="00552EAA" w:rsidRPr="00A452DC" w:rsidRDefault="00552EAA" w:rsidP="00A452DC">
            <w:pPr>
              <w:spacing w:before="0" w:after="0"/>
              <w:jc w:val="center"/>
              <w:rPr>
                <w:rFonts w:cs="Calibri Light"/>
                <w:sz w:val="20"/>
              </w:rPr>
            </w:pPr>
            <w:r w:rsidRPr="00A452DC">
              <w:rPr>
                <w:rFonts w:cs="Calibri Light"/>
                <w:sz w:val="20"/>
              </w:rPr>
              <w:t>6.67</w:t>
            </w:r>
          </w:p>
        </w:tc>
      </w:tr>
      <w:tr w:rsidR="00A452DC" w:rsidRPr="00500C4E" w14:paraId="2877B160" w14:textId="77777777" w:rsidTr="003010F8">
        <w:trPr>
          <w:trHeight w:val="243"/>
        </w:trPr>
        <w:tc>
          <w:tcPr>
            <w:tcW w:w="503" w:type="pct"/>
            <w:vAlign w:val="center"/>
          </w:tcPr>
          <w:p w14:paraId="53F9F3BC" w14:textId="77777777" w:rsidR="00552EAA" w:rsidRPr="00A452DC" w:rsidRDefault="00552EAA" w:rsidP="00A452DC">
            <w:pPr>
              <w:spacing w:before="0" w:after="0"/>
              <w:jc w:val="center"/>
              <w:rPr>
                <w:rFonts w:cs="Calibri Light"/>
                <w:color w:val="000000"/>
                <w:sz w:val="20"/>
              </w:rPr>
            </w:pPr>
            <w:r w:rsidRPr="00A452DC">
              <w:rPr>
                <w:rFonts w:cs="Calibri Light"/>
                <w:sz w:val="20"/>
              </w:rPr>
              <w:t>54</w:t>
            </w:r>
          </w:p>
        </w:tc>
        <w:tc>
          <w:tcPr>
            <w:tcW w:w="760" w:type="pct"/>
            <w:vAlign w:val="center"/>
          </w:tcPr>
          <w:p w14:paraId="370845B8" w14:textId="5B180A8B"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53677630" w14:textId="77777777" w:rsidR="00552EAA" w:rsidRPr="00A452DC" w:rsidRDefault="00552EAA" w:rsidP="00A452DC">
            <w:pPr>
              <w:spacing w:before="0" w:after="0"/>
              <w:rPr>
                <w:rFonts w:cs="Calibri Light"/>
                <w:color w:val="000000"/>
                <w:sz w:val="20"/>
              </w:rPr>
            </w:pPr>
            <w:r w:rsidRPr="00A452DC">
              <w:rPr>
                <w:rFonts w:cs="Calibri Light"/>
                <w:color w:val="000000"/>
                <w:sz w:val="20"/>
              </w:rPr>
              <w:t>Com-4 Liter Toilet (Melded)</w:t>
            </w:r>
          </w:p>
        </w:tc>
        <w:tc>
          <w:tcPr>
            <w:tcW w:w="685" w:type="pct"/>
            <w:vAlign w:val="center"/>
          </w:tcPr>
          <w:p w14:paraId="432E012E" w14:textId="77777777" w:rsidR="00552EAA" w:rsidRPr="00A452DC" w:rsidRDefault="00552EAA" w:rsidP="00031FE5">
            <w:pPr>
              <w:spacing w:before="0" w:after="0"/>
              <w:rPr>
                <w:rFonts w:cs="Calibri Light"/>
                <w:sz w:val="20"/>
              </w:rPr>
            </w:pPr>
            <w:r w:rsidRPr="00A452DC">
              <w:rPr>
                <w:rFonts w:cs="Calibri Light"/>
                <w:color w:val="000000"/>
                <w:sz w:val="20"/>
              </w:rPr>
              <w:t>Commercial</w:t>
            </w:r>
          </w:p>
        </w:tc>
        <w:tc>
          <w:tcPr>
            <w:tcW w:w="671" w:type="pct"/>
            <w:vAlign w:val="center"/>
          </w:tcPr>
          <w:p w14:paraId="56F01135" w14:textId="37B4FCBA"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52D113BE"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20</w:t>
            </w:r>
          </w:p>
        </w:tc>
        <w:tc>
          <w:tcPr>
            <w:tcW w:w="453" w:type="pct"/>
            <w:vAlign w:val="center"/>
          </w:tcPr>
          <w:p w14:paraId="39EF32AC" w14:textId="77777777" w:rsidR="00552EAA" w:rsidRPr="00A452DC" w:rsidRDefault="00552EAA" w:rsidP="00A452DC">
            <w:pPr>
              <w:spacing w:before="0" w:after="0"/>
              <w:jc w:val="center"/>
              <w:rPr>
                <w:rFonts w:cs="Calibri Light"/>
                <w:sz w:val="20"/>
              </w:rPr>
            </w:pPr>
            <w:r w:rsidRPr="00A452DC">
              <w:rPr>
                <w:rFonts w:cs="Calibri Light"/>
                <w:sz w:val="20"/>
              </w:rPr>
              <w:t>6.67</w:t>
            </w:r>
          </w:p>
        </w:tc>
      </w:tr>
      <w:tr w:rsidR="00A452DC" w:rsidRPr="00500C4E" w14:paraId="156189D7" w14:textId="77777777" w:rsidTr="003010F8">
        <w:trPr>
          <w:trHeight w:val="243"/>
        </w:trPr>
        <w:tc>
          <w:tcPr>
            <w:tcW w:w="503" w:type="pct"/>
            <w:vAlign w:val="center"/>
          </w:tcPr>
          <w:p w14:paraId="12DC6EE5" w14:textId="77777777" w:rsidR="00552EAA" w:rsidRPr="00A452DC" w:rsidRDefault="00552EAA" w:rsidP="00A452DC">
            <w:pPr>
              <w:spacing w:before="0" w:after="0"/>
              <w:jc w:val="center"/>
              <w:rPr>
                <w:rFonts w:cs="Calibri Light"/>
                <w:color w:val="000000"/>
                <w:sz w:val="20"/>
              </w:rPr>
            </w:pPr>
            <w:r w:rsidRPr="00A452DC">
              <w:rPr>
                <w:rFonts w:cs="Calibri Light"/>
                <w:sz w:val="20"/>
              </w:rPr>
              <w:t>55</w:t>
            </w:r>
          </w:p>
        </w:tc>
        <w:tc>
          <w:tcPr>
            <w:tcW w:w="760" w:type="pct"/>
            <w:vAlign w:val="center"/>
          </w:tcPr>
          <w:p w14:paraId="2D96F174" w14:textId="44596085"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12B9B3B4" w14:textId="77777777" w:rsidR="00552EAA" w:rsidRPr="00A452DC" w:rsidRDefault="00552EAA" w:rsidP="00A452DC">
            <w:pPr>
              <w:spacing w:before="0" w:after="0"/>
              <w:rPr>
                <w:rFonts w:cs="Calibri Light"/>
                <w:color w:val="000000"/>
                <w:sz w:val="20"/>
              </w:rPr>
            </w:pPr>
            <w:r w:rsidRPr="00A452DC">
              <w:rPr>
                <w:rFonts w:cs="Calibri Light"/>
                <w:color w:val="000000"/>
                <w:sz w:val="20"/>
              </w:rPr>
              <w:t>Com-Zero/Ultra Low Water Urinal</w:t>
            </w:r>
          </w:p>
        </w:tc>
        <w:tc>
          <w:tcPr>
            <w:tcW w:w="685" w:type="pct"/>
            <w:vAlign w:val="center"/>
          </w:tcPr>
          <w:p w14:paraId="792FBB95" w14:textId="77777777" w:rsidR="00552EAA" w:rsidRPr="00A452DC" w:rsidRDefault="00552EAA" w:rsidP="00031FE5">
            <w:pPr>
              <w:spacing w:before="0" w:after="0"/>
              <w:rPr>
                <w:rFonts w:cs="Calibri Light"/>
                <w:sz w:val="20"/>
              </w:rPr>
            </w:pPr>
            <w:r w:rsidRPr="00A452DC">
              <w:rPr>
                <w:rFonts w:cs="Calibri Light"/>
                <w:color w:val="000000"/>
                <w:sz w:val="20"/>
              </w:rPr>
              <w:t>Commercial</w:t>
            </w:r>
          </w:p>
        </w:tc>
        <w:tc>
          <w:tcPr>
            <w:tcW w:w="671" w:type="pct"/>
            <w:vAlign w:val="center"/>
          </w:tcPr>
          <w:p w14:paraId="373C3000" w14:textId="35503C58"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1B0A46FF"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20</w:t>
            </w:r>
          </w:p>
        </w:tc>
        <w:tc>
          <w:tcPr>
            <w:tcW w:w="453" w:type="pct"/>
            <w:vAlign w:val="center"/>
          </w:tcPr>
          <w:p w14:paraId="745253B0" w14:textId="77777777" w:rsidR="00552EAA" w:rsidRPr="00A452DC" w:rsidRDefault="00552EAA" w:rsidP="00A452DC">
            <w:pPr>
              <w:spacing w:before="0" w:after="0"/>
              <w:jc w:val="center"/>
              <w:rPr>
                <w:rFonts w:cs="Calibri Light"/>
                <w:sz w:val="20"/>
              </w:rPr>
            </w:pPr>
            <w:r w:rsidRPr="00A452DC">
              <w:rPr>
                <w:rFonts w:cs="Calibri Light"/>
                <w:sz w:val="20"/>
              </w:rPr>
              <w:t>6.67</w:t>
            </w:r>
          </w:p>
        </w:tc>
      </w:tr>
      <w:tr w:rsidR="00A452DC" w:rsidRPr="00500C4E" w14:paraId="3A10DF87" w14:textId="77777777" w:rsidTr="003010F8">
        <w:trPr>
          <w:trHeight w:val="243"/>
        </w:trPr>
        <w:tc>
          <w:tcPr>
            <w:tcW w:w="503" w:type="pct"/>
            <w:vAlign w:val="center"/>
          </w:tcPr>
          <w:p w14:paraId="59F1BD2B" w14:textId="77777777" w:rsidR="00552EAA" w:rsidRPr="00A452DC" w:rsidRDefault="00552EAA" w:rsidP="00A452DC">
            <w:pPr>
              <w:spacing w:before="0" w:after="0"/>
              <w:jc w:val="center"/>
              <w:rPr>
                <w:rFonts w:cs="Calibri Light"/>
                <w:color w:val="000000"/>
                <w:sz w:val="20"/>
              </w:rPr>
            </w:pPr>
            <w:r w:rsidRPr="00A452DC">
              <w:rPr>
                <w:rFonts w:cs="Calibri Light"/>
                <w:sz w:val="20"/>
              </w:rPr>
              <w:t>56</w:t>
            </w:r>
          </w:p>
        </w:tc>
        <w:tc>
          <w:tcPr>
            <w:tcW w:w="760" w:type="pct"/>
            <w:vAlign w:val="center"/>
          </w:tcPr>
          <w:p w14:paraId="29F30013" w14:textId="33D8A8FB"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6A56B07E" w14:textId="77777777" w:rsidR="00552EAA" w:rsidRPr="00A452DC" w:rsidRDefault="00552EAA" w:rsidP="00A452DC">
            <w:pPr>
              <w:spacing w:before="0" w:after="0"/>
              <w:rPr>
                <w:rFonts w:cs="Calibri Light"/>
                <w:color w:val="000000"/>
                <w:sz w:val="20"/>
              </w:rPr>
            </w:pPr>
            <w:r w:rsidRPr="00A452DC">
              <w:rPr>
                <w:rFonts w:cs="Calibri Light"/>
                <w:color w:val="000000"/>
                <w:sz w:val="20"/>
              </w:rPr>
              <w:t>Com-Dry Vacuum Pump (/1/2 hp)</w:t>
            </w:r>
          </w:p>
        </w:tc>
        <w:tc>
          <w:tcPr>
            <w:tcW w:w="685" w:type="pct"/>
            <w:vAlign w:val="center"/>
          </w:tcPr>
          <w:p w14:paraId="1ABDB894"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7B5EC155" w14:textId="6227CE77"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7D2BC33A"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7</w:t>
            </w:r>
          </w:p>
        </w:tc>
        <w:tc>
          <w:tcPr>
            <w:tcW w:w="453" w:type="pct"/>
            <w:vAlign w:val="center"/>
          </w:tcPr>
          <w:p w14:paraId="12ED70E6" w14:textId="77777777" w:rsidR="00552EAA" w:rsidRPr="00A452DC" w:rsidRDefault="00552EAA" w:rsidP="00A452DC">
            <w:pPr>
              <w:spacing w:before="0" w:after="0"/>
              <w:jc w:val="center"/>
              <w:rPr>
                <w:rFonts w:cs="Calibri Light"/>
                <w:sz w:val="20"/>
              </w:rPr>
            </w:pPr>
            <w:r w:rsidRPr="00A452DC">
              <w:rPr>
                <w:rFonts w:cs="Calibri Light"/>
                <w:color w:val="000000"/>
                <w:sz w:val="20"/>
              </w:rPr>
              <w:t>2.33</w:t>
            </w:r>
          </w:p>
        </w:tc>
      </w:tr>
      <w:tr w:rsidR="00A452DC" w:rsidRPr="00500C4E" w14:paraId="027398A0" w14:textId="77777777" w:rsidTr="003010F8">
        <w:trPr>
          <w:trHeight w:val="243"/>
        </w:trPr>
        <w:tc>
          <w:tcPr>
            <w:tcW w:w="503" w:type="pct"/>
            <w:vAlign w:val="center"/>
          </w:tcPr>
          <w:p w14:paraId="345C0BD2" w14:textId="77777777" w:rsidR="00552EAA" w:rsidRPr="00A452DC" w:rsidRDefault="00552EAA" w:rsidP="00A452DC">
            <w:pPr>
              <w:spacing w:before="0" w:after="0"/>
              <w:jc w:val="center"/>
              <w:rPr>
                <w:rFonts w:cs="Calibri Light"/>
                <w:color w:val="000000"/>
                <w:sz w:val="20"/>
              </w:rPr>
            </w:pPr>
            <w:r w:rsidRPr="00A452DC">
              <w:rPr>
                <w:rFonts w:cs="Calibri Light"/>
                <w:sz w:val="20"/>
              </w:rPr>
              <w:t>57</w:t>
            </w:r>
          </w:p>
        </w:tc>
        <w:tc>
          <w:tcPr>
            <w:tcW w:w="760" w:type="pct"/>
            <w:vAlign w:val="center"/>
          </w:tcPr>
          <w:p w14:paraId="4A3E3F98" w14:textId="19D776C8"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511A8EEC" w14:textId="77777777" w:rsidR="00552EAA" w:rsidRPr="00A452DC" w:rsidRDefault="00552EAA" w:rsidP="00A452DC">
            <w:pPr>
              <w:spacing w:before="0" w:after="0"/>
              <w:rPr>
                <w:rFonts w:cs="Calibri Light"/>
                <w:color w:val="000000"/>
                <w:sz w:val="20"/>
              </w:rPr>
            </w:pPr>
            <w:r w:rsidRPr="00A452DC">
              <w:rPr>
                <w:rFonts w:cs="Calibri Light"/>
                <w:color w:val="000000"/>
                <w:sz w:val="20"/>
              </w:rPr>
              <w:t>Com-Cooling Tower Conductivity Controller</w:t>
            </w:r>
          </w:p>
        </w:tc>
        <w:tc>
          <w:tcPr>
            <w:tcW w:w="685" w:type="pct"/>
            <w:vAlign w:val="center"/>
          </w:tcPr>
          <w:p w14:paraId="02E9D25F"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5F3849CC" w14:textId="2C28848C"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0D73F54D"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5</w:t>
            </w:r>
          </w:p>
        </w:tc>
        <w:tc>
          <w:tcPr>
            <w:tcW w:w="453" w:type="pct"/>
            <w:vAlign w:val="center"/>
          </w:tcPr>
          <w:p w14:paraId="34963B74" w14:textId="77777777" w:rsidR="00552EAA" w:rsidRPr="00A452DC" w:rsidRDefault="00552EAA" w:rsidP="00A452DC">
            <w:pPr>
              <w:spacing w:before="0" w:after="0"/>
              <w:jc w:val="center"/>
              <w:rPr>
                <w:rFonts w:cs="Calibri Light"/>
                <w:sz w:val="20"/>
              </w:rPr>
            </w:pPr>
            <w:r w:rsidRPr="00A452DC">
              <w:rPr>
                <w:rFonts w:cs="Calibri Light"/>
                <w:color w:val="000000"/>
                <w:sz w:val="20"/>
              </w:rPr>
              <w:t>1.67</w:t>
            </w:r>
          </w:p>
        </w:tc>
      </w:tr>
      <w:tr w:rsidR="00A452DC" w:rsidRPr="00500C4E" w14:paraId="690D43F5" w14:textId="77777777" w:rsidTr="003010F8">
        <w:trPr>
          <w:trHeight w:val="243"/>
        </w:trPr>
        <w:tc>
          <w:tcPr>
            <w:tcW w:w="503" w:type="pct"/>
            <w:vAlign w:val="center"/>
          </w:tcPr>
          <w:p w14:paraId="27B2F08B" w14:textId="77777777" w:rsidR="00552EAA" w:rsidRPr="00A452DC" w:rsidRDefault="00552EAA" w:rsidP="00A452DC">
            <w:pPr>
              <w:spacing w:before="0" w:after="0"/>
              <w:jc w:val="center"/>
              <w:rPr>
                <w:rFonts w:cs="Calibri Light"/>
                <w:color w:val="000000"/>
                <w:sz w:val="20"/>
              </w:rPr>
            </w:pPr>
            <w:r w:rsidRPr="00A452DC">
              <w:rPr>
                <w:rFonts w:cs="Calibri Light"/>
                <w:sz w:val="20"/>
              </w:rPr>
              <w:t>58</w:t>
            </w:r>
          </w:p>
        </w:tc>
        <w:tc>
          <w:tcPr>
            <w:tcW w:w="760" w:type="pct"/>
            <w:vAlign w:val="center"/>
          </w:tcPr>
          <w:p w14:paraId="16C2C3BE" w14:textId="79F4A913"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48DBFFD4" w14:textId="77777777" w:rsidR="00552EAA" w:rsidRPr="00A452DC" w:rsidRDefault="00552EAA" w:rsidP="00A452DC">
            <w:pPr>
              <w:spacing w:before="0" w:after="0"/>
              <w:rPr>
                <w:rFonts w:cs="Calibri Light"/>
                <w:color w:val="000000"/>
                <w:sz w:val="20"/>
              </w:rPr>
            </w:pPr>
            <w:r w:rsidRPr="00A452DC">
              <w:rPr>
                <w:rFonts w:cs="Calibri Light"/>
                <w:color w:val="000000"/>
                <w:sz w:val="20"/>
              </w:rPr>
              <w:t>Com-pH Cooling Tower Controller</w:t>
            </w:r>
          </w:p>
        </w:tc>
        <w:tc>
          <w:tcPr>
            <w:tcW w:w="685" w:type="pct"/>
            <w:vAlign w:val="center"/>
          </w:tcPr>
          <w:p w14:paraId="3AF23D82"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7A2E87BA" w14:textId="2971B61E"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6619F32A"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5</w:t>
            </w:r>
          </w:p>
        </w:tc>
        <w:tc>
          <w:tcPr>
            <w:tcW w:w="453" w:type="pct"/>
            <w:vAlign w:val="center"/>
          </w:tcPr>
          <w:p w14:paraId="0C927132" w14:textId="77777777" w:rsidR="00552EAA" w:rsidRPr="00A452DC" w:rsidRDefault="00552EAA" w:rsidP="00A452DC">
            <w:pPr>
              <w:spacing w:before="0" w:after="0"/>
              <w:jc w:val="center"/>
              <w:rPr>
                <w:rFonts w:cs="Calibri Light"/>
                <w:sz w:val="20"/>
              </w:rPr>
            </w:pPr>
            <w:r w:rsidRPr="00A452DC">
              <w:rPr>
                <w:rFonts w:cs="Calibri Light"/>
                <w:color w:val="000000"/>
                <w:sz w:val="20"/>
              </w:rPr>
              <w:t>1.67</w:t>
            </w:r>
          </w:p>
        </w:tc>
      </w:tr>
      <w:tr w:rsidR="00A452DC" w:rsidRPr="00500C4E" w14:paraId="1799E59E" w14:textId="77777777" w:rsidTr="003010F8">
        <w:trPr>
          <w:trHeight w:val="243"/>
        </w:trPr>
        <w:tc>
          <w:tcPr>
            <w:tcW w:w="503" w:type="pct"/>
            <w:vAlign w:val="center"/>
          </w:tcPr>
          <w:p w14:paraId="3CF50211" w14:textId="77777777" w:rsidR="00552EAA" w:rsidRPr="00A452DC" w:rsidRDefault="00552EAA" w:rsidP="00A452DC">
            <w:pPr>
              <w:spacing w:before="0" w:after="0"/>
              <w:jc w:val="center"/>
              <w:rPr>
                <w:rFonts w:cs="Calibri Light"/>
                <w:color w:val="000000"/>
                <w:sz w:val="20"/>
              </w:rPr>
            </w:pPr>
            <w:r w:rsidRPr="00A452DC">
              <w:rPr>
                <w:rFonts w:cs="Calibri Light"/>
                <w:sz w:val="20"/>
              </w:rPr>
              <w:t>59</w:t>
            </w:r>
          </w:p>
        </w:tc>
        <w:tc>
          <w:tcPr>
            <w:tcW w:w="760" w:type="pct"/>
            <w:vAlign w:val="center"/>
          </w:tcPr>
          <w:p w14:paraId="1E5D2DE1" w14:textId="3A07369D"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77B5D332" w14:textId="77777777" w:rsidR="00552EAA" w:rsidRPr="00A452DC" w:rsidRDefault="00552EAA" w:rsidP="00A452DC">
            <w:pPr>
              <w:spacing w:before="0" w:after="0"/>
              <w:rPr>
                <w:rFonts w:cs="Calibri Light"/>
                <w:color w:val="000000"/>
                <w:sz w:val="20"/>
              </w:rPr>
            </w:pPr>
            <w:r w:rsidRPr="00A452DC">
              <w:rPr>
                <w:rFonts w:cs="Calibri Light"/>
                <w:color w:val="000000"/>
                <w:sz w:val="20"/>
              </w:rPr>
              <w:t>Com-Weather Based Irrigation Controller-Stat</w:t>
            </w:r>
          </w:p>
        </w:tc>
        <w:tc>
          <w:tcPr>
            <w:tcW w:w="685" w:type="pct"/>
            <w:vAlign w:val="center"/>
          </w:tcPr>
          <w:p w14:paraId="157429CA"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2473F158" w14:textId="0A646CC7"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0EFE70F9"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10</w:t>
            </w:r>
          </w:p>
        </w:tc>
        <w:tc>
          <w:tcPr>
            <w:tcW w:w="453" w:type="pct"/>
            <w:vAlign w:val="center"/>
          </w:tcPr>
          <w:p w14:paraId="5240B62E" w14:textId="77777777" w:rsidR="00552EAA" w:rsidRPr="00A452DC" w:rsidRDefault="00552EAA" w:rsidP="00A452DC">
            <w:pPr>
              <w:spacing w:before="0" w:after="0"/>
              <w:jc w:val="center"/>
              <w:rPr>
                <w:rFonts w:cs="Calibri Light"/>
                <w:sz w:val="20"/>
              </w:rPr>
            </w:pPr>
            <w:r w:rsidRPr="00A452DC">
              <w:rPr>
                <w:rFonts w:cs="Calibri Light"/>
                <w:color w:val="000000"/>
                <w:sz w:val="20"/>
              </w:rPr>
              <w:t>3.33</w:t>
            </w:r>
          </w:p>
        </w:tc>
      </w:tr>
      <w:tr w:rsidR="00A452DC" w:rsidRPr="00500C4E" w14:paraId="4A197887" w14:textId="77777777" w:rsidTr="003010F8">
        <w:trPr>
          <w:trHeight w:val="243"/>
        </w:trPr>
        <w:tc>
          <w:tcPr>
            <w:tcW w:w="503" w:type="pct"/>
            <w:vAlign w:val="center"/>
          </w:tcPr>
          <w:p w14:paraId="060AAF40" w14:textId="77777777" w:rsidR="00552EAA" w:rsidRPr="00A452DC" w:rsidRDefault="00552EAA" w:rsidP="00A452DC">
            <w:pPr>
              <w:spacing w:before="0" w:after="0"/>
              <w:jc w:val="center"/>
              <w:rPr>
                <w:rFonts w:cs="Calibri Light"/>
                <w:color w:val="000000"/>
                <w:sz w:val="20"/>
              </w:rPr>
            </w:pPr>
            <w:r w:rsidRPr="00A452DC">
              <w:rPr>
                <w:rFonts w:cs="Calibri Light"/>
                <w:sz w:val="20"/>
              </w:rPr>
              <w:t>60</w:t>
            </w:r>
          </w:p>
        </w:tc>
        <w:tc>
          <w:tcPr>
            <w:tcW w:w="760" w:type="pct"/>
            <w:vAlign w:val="center"/>
          </w:tcPr>
          <w:p w14:paraId="62F1DD59" w14:textId="41C6F07D"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73C59AE3" w14:textId="77777777" w:rsidR="00552EAA" w:rsidRPr="00A452DC" w:rsidRDefault="00552EAA" w:rsidP="00A452DC">
            <w:pPr>
              <w:spacing w:before="0" w:after="0"/>
              <w:rPr>
                <w:rFonts w:cs="Calibri Light"/>
                <w:color w:val="000000"/>
                <w:sz w:val="20"/>
              </w:rPr>
            </w:pPr>
            <w:r w:rsidRPr="00A452DC">
              <w:rPr>
                <w:rFonts w:cs="Calibri Light"/>
                <w:color w:val="000000"/>
                <w:sz w:val="20"/>
              </w:rPr>
              <w:t>Com-Central Computer Irrigation Controller-Stat</w:t>
            </w:r>
          </w:p>
        </w:tc>
        <w:tc>
          <w:tcPr>
            <w:tcW w:w="685" w:type="pct"/>
            <w:vAlign w:val="center"/>
          </w:tcPr>
          <w:p w14:paraId="7ED3E475"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21F04F39" w14:textId="49ADB388"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1B1BF4C8"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10</w:t>
            </w:r>
          </w:p>
        </w:tc>
        <w:tc>
          <w:tcPr>
            <w:tcW w:w="453" w:type="pct"/>
            <w:vAlign w:val="center"/>
          </w:tcPr>
          <w:p w14:paraId="1A8A638B" w14:textId="77777777" w:rsidR="00552EAA" w:rsidRPr="00A452DC" w:rsidRDefault="00552EAA" w:rsidP="00A452DC">
            <w:pPr>
              <w:spacing w:before="0" w:after="0"/>
              <w:jc w:val="center"/>
              <w:rPr>
                <w:rFonts w:cs="Calibri Light"/>
                <w:sz w:val="20"/>
              </w:rPr>
            </w:pPr>
            <w:r w:rsidRPr="00A452DC">
              <w:rPr>
                <w:rFonts w:cs="Calibri Light"/>
                <w:color w:val="000000"/>
                <w:sz w:val="20"/>
              </w:rPr>
              <w:t>3.33</w:t>
            </w:r>
          </w:p>
        </w:tc>
      </w:tr>
      <w:tr w:rsidR="00A452DC" w:rsidRPr="00500C4E" w14:paraId="2ADDD49D" w14:textId="77777777" w:rsidTr="003010F8">
        <w:trPr>
          <w:trHeight w:val="243"/>
        </w:trPr>
        <w:tc>
          <w:tcPr>
            <w:tcW w:w="503" w:type="pct"/>
            <w:vAlign w:val="center"/>
          </w:tcPr>
          <w:p w14:paraId="4E31B340" w14:textId="77777777" w:rsidR="00552EAA" w:rsidRPr="00A452DC" w:rsidRDefault="00552EAA" w:rsidP="00A452DC">
            <w:pPr>
              <w:spacing w:before="0" w:after="0"/>
              <w:jc w:val="center"/>
              <w:rPr>
                <w:rFonts w:cs="Calibri Light"/>
                <w:color w:val="000000"/>
                <w:sz w:val="20"/>
              </w:rPr>
            </w:pPr>
            <w:r w:rsidRPr="00A452DC">
              <w:rPr>
                <w:rFonts w:cs="Calibri Light"/>
                <w:sz w:val="20"/>
              </w:rPr>
              <w:lastRenderedPageBreak/>
              <w:t>61</w:t>
            </w:r>
          </w:p>
        </w:tc>
        <w:tc>
          <w:tcPr>
            <w:tcW w:w="760" w:type="pct"/>
            <w:vAlign w:val="center"/>
          </w:tcPr>
          <w:p w14:paraId="63B680C7" w14:textId="0804C1E2"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6B774D06" w14:textId="77777777" w:rsidR="00552EAA" w:rsidRPr="00A452DC" w:rsidRDefault="00552EAA" w:rsidP="00A452DC">
            <w:pPr>
              <w:spacing w:before="0" w:after="0"/>
              <w:rPr>
                <w:rFonts w:cs="Calibri Light"/>
                <w:color w:val="000000"/>
                <w:sz w:val="20"/>
              </w:rPr>
            </w:pPr>
            <w:r w:rsidRPr="00A452DC">
              <w:rPr>
                <w:rFonts w:cs="Calibri Light"/>
                <w:color w:val="000000"/>
                <w:sz w:val="20"/>
              </w:rPr>
              <w:t>Com-Rotary Multi-Stream Nozzle</w:t>
            </w:r>
          </w:p>
        </w:tc>
        <w:tc>
          <w:tcPr>
            <w:tcW w:w="685" w:type="pct"/>
            <w:vAlign w:val="center"/>
          </w:tcPr>
          <w:p w14:paraId="5AD2CD3F"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6418E3A5" w14:textId="27CD4CD0"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29E21127"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5</w:t>
            </w:r>
          </w:p>
        </w:tc>
        <w:tc>
          <w:tcPr>
            <w:tcW w:w="453" w:type="pct"/>
            <w:vAlign w:val="center"/>
          </w:tcPr>
          <w:p w14:paraId="60B8C155" w14:textId="77777777" w:rsidR="00552EAA" w:rsidRPr="00A452DC" w:rsidRDefault="00552EAA" w:rsidP="00A452DC">
            <w:pPr>
              <w:spacing w:before="0" w:after="0"/>
              <w:jc w:val="center"/>
              <w:rPr>
                <w:rFonts w:cs="Calibri Light"/>
                <w:sz w:val="20"/>
              </w:rPr>
            </w:pPr>
            <w:r w:rsidRPr="00A452DC">
              <w:rPr>
                <w:rFonts w:cs="Calibri Light"/>
                <w:color w:val="000000"/>
                <w:sz w:val="20"/>
              </w:rPr>
              <w:t>1.67</w:t>
            </w:r>
          </w:p>
        </w:tc>
      </w:tr>
      <w:tr w:rsidR="00A452DC" w:rsidRPr="00500C4E" w14:paraId="0402F3C3" w14:textId="77777777" w:rsidTr="003010F8">
        <w:trPr>
          <w:trHeight w:val="243"/>
        </w:trPr>
        <w:tc>
          <w:tcPr>
            <w:tcW w:w="503" w:type="pct"/>
            <w:vAlign w:val="center"/>
          </w:tcPr>
          <w:p w14:paraId="1B3252BE" w14:textId="77777777" w:rsidR="00552EAA" w:rsidRPr="00A452DC" w:rsidRDefault="00552EAA" w:rsidP="00A452DC">
            <w:pPr>
              <w:spacing w:before="0" w:after="0"/>
              <w:jc w:val="center"/>
              <w:rPr>
                <w:rFonts w:cs="Calibri Light"/>
                <w:color w:val="000000"/>
                <w:sz w:val="20"/>
              </w:rPr>
            </w:pPr>
            <w:r w:rsidRPr="00A452DC">
              <w:rPr>
                <w:rFonts w:cs="Calibri Light"/>
                <w:sz w:val="20"/>
              </w:rPr>
              <w:t>62</w:t>
            </w:r>
          </w:p>
        </w:tc>
        <w:tc>
          <w:tcPr>
            <w:tcW w:w="760" w:type="pct"/>
            <w:vAlign w:val="center"/>
          </w:tcPr>
          <w:p w14:paraId="749D1657" w14:textId="398E9FBE" w:rsidR="00552EAA" w:rsidRPr="00031FE5" w:rsidRDefault="00031FE5" w:rsidP="00431A2D">
            <w:pPr>
              <w:spacing w:before="0" w:after="0"/>
              <w:jc w:val="center"/>
              <w:rPr>
                <w:rFonts w:cs="Calibri Light"/>
                <w:sz w:val="20"/>
              </w:rPr>
            </w:pPr>
            <w:r>
              <w:rPr>
                <w:rFonts w:cs="Calibri Light"/>
                <w:sz w:val="20"/>
              </w:rPr>
              <w:t>-</w:t>
            </w:r>
          </w:p>
        </w:tc>
        <w:tc>
          <w:tcPr>
            <w:tcW w:w="1445" w:type="pct"/>
            <w:vAlign w:val="bottom"/>
          </w:tcPr>
          <w:p w14:paraId="496F0735" w14:textId="77777777" w:rsidR="00552EAA" w:rsidRPr="00A452DC" w:rsidRDefault="00552EAA" w:rsidP="00A452DC">
            <w:pPr>
              <w:spacing w:before="0" w:after="0"/>
              <w:rPr>
                <w:rFonts w:cs="Calibri Light"/>
                <w:color w:val="000000"/>
                <w:sz w:val="20"/>
              </w:rPr>
            </w:pPr>
            <w:r w:rsidRPr="00A452DC">
              <w:rPr>
                <w:rFonts w:cs="Calibri Light"/>
                <w:color w:val="000000"/>
                <w:sz w:val="20"/>
              </w:rPr>
              <w:t>Com-Large Rotary Nozzle</w:t>
            </w:r>
          </w:p>
        </w:tc>
        <w:tc>
          <w:tcPr>
            <w:tcW w:w="685" w:type="pct"/>
            <w:vAlign w:val="center"/>
          </w:tcPr>
          <w:p w14:paraId="437462FB" w14:textId="77777777" w:rsidR="00552EAA" w:rsidRPr="00A452DC" w:rsidRDefault="00552EAA" w:rsidP="00031FE5">
            <w:pPr>
              <w:spacing w:before="0" w:after="0"/>
              <w:rPr>
                <w:rFonts w:cs="Calibri Light"/>
                <w:color w:val="000000"/>
                <w:sz w:val="20"/>
              </w:rPr>
            </w:pPr>
            <w:r w:rsidRPr="00A452DC">
              <w:rPr>
                <w:rFonts w:cs="Calibri Light"/>
                <w:color w:val="000000"/>
                <w:sz w:val="20"/>
              </w:rPr>
              <w:t>Commercial</w:t>
            </w:r>
          </w:p>
        </w:tc>
        <w:tc>
          <w:tcPr>
            <w:tcW w:w="671" w:type="pct"/>
            <w:vAlign w:val="center"/>
          </w:tcPr>
          <w:p w14:paraId="63061225" w14:textId="0A088A54" w:rsidR="00552EAA" w:rsidRPr="00A452DC" w:rsidRDefault="00031FE5" w:rsidP="00A452DC">
            <w:pPr>
              <w:spacing w:before="0" w:after="0"/>
              <w:jc w:val="center"/>
              <w:rPr>
                <w:rFonts w:cs="Calibri Light"/>
                <w:sz w:val="20"/>
              </w:rPr>
            </w:pPr>
            <w:r>
              <w:rPr>
                <w:rFonts w:cs="Calibri Light"/>
                <w:sz w:val="20"/>
              </w:rPr>
              <w:t>-</w:t>
            </w:r>
          </w:p>
        </w:tc>
        <w:tc>
          <w:tcPr>
            <w:tcW w:w="482" w:type="pct"/>
            <w:vAlign w:val="center"/>
          </w:tcPr>
          <w:p w14:paraId="7AF302E9" w14:textId="77777777" w:rsidR="00552EAA" w:rsidRPr="00A452DC" w:rsidRDefault="00552EAA" w:rsidP="00A452DC">
            <w:pPr>
              <w:spacing w:before="0" w:after="0"/>
              <w:jc w:val="center"/>
              <w:rPr>
                <w:rFonts w:cs="Calibri Light"/>
                <w:color w:val="000000"/>
                <w:sz w:val="20"/>
              </w:rPr>
            </w:pPr>
            <w:r w:rsidRPr="00A452DC">
              <w:rPr>
                <w:rFonts w:cs="Calibri Light"/>
                <w:color w:val="000000"/>
                <w:sz w:val="20"/>
              </w:rPr>
              <w:t>10</w:t>
            </w:r>
          </w:p>
        </w:tc>
        <w:tc>
          <w:tcPr>
            <w:tcW w:w="453" w:type="pct"/>
            <w:vAlign w:val="center"/>
          </w:tcPr>
          <w:p w14:paraId="57C38CF2" w14:textId="77777777" w:rsidR="00552EAA" w:rsidRPr="00A452DC" w:rsidRDefault="00552EAA" w:rsidP="00A452DC">
            <w:pPr>
              <w:spacing w:before="0" w:after="0"/>
              <w:jc w:val="center"/>
              <w:rPr>
                <w:rFonts w:cs="Calibri Light"/>
                <w:sz w:val="20"/>
              </w:rPr>
            </w:pPr>
            <w:r w:rsidRPr="00A452DC">
              <w:rPr>
                <w:rFonts w:cs="Calibri Light"/>
                <w:color w:val="000000"/>
                <w:sz w:val="20"/>
              </w:rPr>
              <w:t>3.33</w:t>
            </w:r>
          </w:p>
        </w:tc>
      </w:tr>
    </w:tbl>
    <w:p w14:paraId="7207F4F8" w14:textId="6CDB3763" w:rsidR="00552EAA" w:rsidRDefault="00552EAA" w:rsidP="004142EF"/>
    <w:p w14:paraId="6F092C3A" w14:textId="120F49B3" w:rsidR="001B7214" w:rsidRDefault="001B7214" w:rsidP="001B7214">
      <w:r w:rsidRPr="006A7B34">
        <w:t xml:space="preserve">Since the embedded energy savings of the WEN measures are incremental to the approved unit energy savings, the </w:t>
      </w:r>
      <w:r w:rsidR="006A7B34">
        <w:t xml:space="preserve">impact of </w:t>
      </w:r>
      <w:r w:rsidRPr="006A7B34">
        <w:t xml:space="preserve">differences in EUL </w:t>
      </w:r>
      <w:r w:rsidR="006A7B34">
        <w:t xml:space="preserve">values </w:t>
      </w:r>
      <w:r w:rsidRPr="006A7B34">
        <w:t>are expected to be minimal. There may also be differing values between proposed MWD EUL values and those adopted for the IOU energy efficiency portfolios. An assessment of the differences relative to the overall energy impact accuracy may be warranted</w:t>
      </w:r>
      <w:r w:rsidR="006A7B34">
        <w:t xml:space="preserve"> in the future</w:t>
      </w:r>
      <w:r w:rsidRPr="006A7B34">
        <w:t>.</w:t>
      </w:r>
      <w:r>
        <w:t xml:space="preserve"> </w:t>
      </w:r>
    </w:p>
    <w:p w14:paraId="30E8D391" w14:textId="77777777" w:rsidR="001B7214" w:rsidRDefault="001B7214" w:rsidP="004142EF"/>
    <w:p w14:paraId="3B14B593" w14:textId="77777777" w:rsidR="007D230B" w:rsidRPr="004B06E3" w:rsidRDefault="007D230B" w:rsidP="00462BB6">
      <w:pPr>
        <w:pStyle w:val="eTRMHeading3"/>
      </w:pPr>
      <w:bookmarkStart w:id="61" w:name="_Toc486490860"/>
      <w:bookmarkStart w:id="62" w:name="_Toc486580931"/>
      <w:bookmarkStart w:id="63" w:name="_Toc42682481"/>
      <w:r w:rsidRPr="004B06E3">
        <w:t>Base Case Material Cost ($/unit)</w:t>
      </w:r>
      <w:bookmarkEnd w:id="61"/>
      <w:bookmarkEnd w:id="62"/>
      <w:bookmarkEnd w:id="63"/>
    </w:p>
    <w:p w14:paraId="30669F91" w14:textId="3DBBBF7B" w:rsidR="00552EAA" w:rsidRDefault="00453E72" w:rsidP="00552EAA">
      <w:r w:rsidRPr="00852BA9">
        <w:t>The WEN measures identified in the Measure Description section are defined as “rider measures</w:t>
      </w:r>
      <w:r w:rsidR="006E6D91">
        <w:t>”</w:t>
      </w:r>
      <w:r w:rsidRPr="00852BA9">
        <w:t xml:space="preserve"> for which the</w:t>
      </w:r>
      <w:r w:rsidRPr="007D6B25">
        <w:t xml:space="preserve"> incremental</w:t>
      </w:r>
      <w:r>
        <w:t xml:space="preserve"> embedded energy</w:t>
      </w:r>
      <w:r w:rsidRPr="007D6B25">
        <w:t xml:space="preserve"> savings</w:t>
      </w:r>
      <w:r>
        <w:t xml:space="preserve"> were estimated for</w:t>
      </w:r>
      <w:r w:rsidRPr="007D6B25">
        <w:t xml:space="preserve"> </w:t>
      </w:r>
      <w:r w:rsidR="006A7B34">
        <w:t>each specific IOU WEN</w:t>
      </w:r>
      <w:r>
        <w:t xml:space="preserve"> </w:t>
      </w:r>
      <w:r w:rsidRPr="007D6B25">
        <w:t>measures</w:t>
      </w:r>
      <w:r>
        <w:t xml:space="preserve">. Therefore, base case </w:t>
      </w:r>
      <w:r w:rsidR="00552EAA">
        <w:t xml:space="preserve">costs have already been </w:t>
      </w:r>
      <w:r>
        <w:t xml:space="preserve">developed and are reported in existing </w:t>
      </w:r>
      <w:r w:rsidR="006A7B34">
        <w:t xml:space="preserve">workpapers </w:t>
      </w:r>
      <w:r w:rsidRPr="00185302">
        <w:t>a</w:t>
      </w:r>
      <w:r>
        <w:t>nd/or are available in the MWD water savings list.</w:t>
      </w:r>
      <w:r>
        <w:rPr>
          <w:rStyle w:val="FootnoteReference"/>
        </w:rPr>
        <w:footnoteReference w:id="21"/>
      </w:r>
      <w:r>
        <w:t xml:space="preserve"> </w:t>
      </w:r>
      <w:r w:rsidR="00552EAA">
        <w:t xml:space="preserve">Thus, the cost for WEN measures is assumed to be $0. </w:t>
      </w:r>
    </w:p>
    <w:p w14:paraId="2486ACF5" w14:textId="662D7FA5" w:rsidR="007D230B" w:rsidRPr="004B06E3" w:rsidRDefault="00552EAA" w:rsidP="00552EAA">
      <w:r>
        <w:t xml:space="preserve">However, for cost-effectiveness calculation purposes, </w:t>
      </w:r>
      <w:r w:rsidR="00453E72">
        <w:t xml:space="preserve">the incremental cost of a </w:t>
      </w:r>
      <w:r>
        <w:t>WEN measure</w:t>
      </w:r>
      <w:r w:rsidR="00453E72">
        <w:t xml:space="preserve"> is</w:t>
      </w:r>
      <w:r>
        <w:t xml:space="preserve"> assumed to be $0.01 to allow cost-benefit values to be generated for program evaluation purposes.</w:t>
      </w:r>
      <w:r w:rsidRPr="00D71CC5">
        <w:t xml:space="preserve"> </w:t>
      </w:r>
      <w:r>
        <w:t xml:space="preserve">More specifically, direct savings IOU WEN measure will use $0.01 for the cost of the measure when running the </w:t>
      </w:r>
      <w:r w:rsidR="00A85D46">
        <w:t>Water-Energy</w:t>
      </w:r>
      <w:r w:rsidR="00021993">
        <w:t xml:space="preserve"> Calculator</w:t>
      </w:r>
      <w:r>
        <w:t xml:space="preserve"> since the costs of the measures are included in the calculations for the direct savings measure. For MWD WEN cold water measures, the IOUs will work with the water agencies to determine the dollar amount to assist with marketing and/or incentives based on the embedded energy savings output from the </w:t>
      </w:r>
      <w:r w:rsidR="00A85D46">
        <w:t>Water-Energy Calculator</w:t>
      </w:r>
      <w:r>
        <w:t>.  For the cost-effectiveness calculation purposes MWD WEN cold water measures will also use $0.01 for the calculation purposes.</w:t>
      </w:r>
    </w:p>
    <w:p w14:paraId="5DA603B3" w14:textId="77777777" w:rsidR="007D230B" w:rsidRPr="004B06E3" w:rsidRDefault="007D230B" w:rsidP="004142EF">
      <w:r w:rsidRPr="004B06E3">
        <w:t> </w:t>
      </w:r>
    </w:p>
    <w:p w14:paraId="44E8DBEB" w14:textId="77777777" w:rsidR="007D230B" w:rsidRPr="004B06E3" w:rsidRDefault="007D230B" w:rsidP="00462BB6">
      <w:pPr>
        <w:pStyle w:val="eTRMHeading3"/>
      </w:pPr>
      <w:bookmarkStart w:id="64" w:name="_Toc486490861"/>
      <w:bookmarkStart w:id="65" w:name="_Toc486580932"/>
      <w:bookmarkStart w:id="66" w:name="_Toc42682482"/>
      <w:r w:rsidRPr="004B06E3">
        <w:t>Measure Case Material Cost ($/unit)</w:t>
      </w:r>
      <w:bookmarkEnd w:id="64"/>
      <w:bookmarkEnd w:id="65"/>
      <w:bookmarkEnd w:id="66"/>
    </w:p>
    <w:p w14:paraId="3449A3CF" w14:textId="2E0BAD96" w:rsidR="007D230B" w:rsidRDefault="00021993" w:rsidP="008208F0">
      <w:pPr>
        <w:tabs>
          <w:tab w:val="left" w:pos="6940"/>
        </w:tabs>
      </w:pPr>
      <w:r>
        <w:t>See Base Case Material Cost.</w:t>
      </w:r>
    </w:p>
    <w:p w14:paraId="081E0316" w14:textId="3ACA45D6" w:rsidR="007D230B" w:rsidRPr="004B06E3" w:rsidRDefault="007D230B" w:rsidP="004142EF"/>
    <w:p w14:paraId="02691007" w14:textId="75465439" w:rsidR="007D230B" w:rsidRPr="004B06E3" w:rsidRDefault="00BB3525" w:rsidP="00462BB6">
      <w:pPr>
        <w:pStyle w:val="eTRMHeading3"/>
      </w:pPr>
      <w:bookmarkStart w:id="67" w:name="_Toc486490862"/>
      <w:bookmarkStart w:id="68" w:name="_Toc486580933"/>
      <w:bookmarkStart w:id="69" w:name="_Toc42682483"/>
      <w:r>
        <w:t xml:space="preserve">Base Case </w:t>
      </w:r>
      <w:r w:rsidR="007D230B" w:rsidRPr="004B06E3">
        <w:t>Labor Cost ($/unit)</w:t>
      </w:r>
      <w:bookmarkEnd w:id="67"/>
      <w:bookmarkEnd w:id="68"/>
      <w:bookmarkEnd w:id="69"/>
    </w:p>
    <w:p w14:paraId="22511D8A" w14:textId="77777777" w:rsidR="00021993" w:rsidRDefault="00021993" w:rsidP="00021993">
      <w:pPr>
        <w:tabs>
          <w:tab w:val="left" w:pos="6940"/>
        </w:tabs>
      </w:pPr>
      <w:r>
        <w:t>See Base Case Material Cost.</w:t>
      </w:r>
    </w:p>
    <w:p w14:paraId="5E42C0DF" w14:textId="77777777" w:rsidR="00AE6955" w:rsidRPr="004B06E3" w:rsidRDefault="00AE6955" w:rsidP="004142EF"/>
    <w:p w14:paraId="050D9183" w14:textId="7ABF5C13" w:rsidR="007D230B" w:rsidRPr="004B06E3" w:rsidRDefault="004B06E3" w:rsidP="00462BB6">
      <w:pPr>
        <w:pStyle w:val="eTRMHeading3"/>
      </w:pPr>
      <w:bookmarkStart w:id="70" w:name="_Toc486490863"/>
      <w:bookmarkStart w:id="71" w:name="_Toc486580934"/>
      <w:bookmarkStart w:id="72" w:name="_Toc42682484"/>
      <w:r>
        <w:lastRenderedPageBreak/>
        <w:t>Net-to-Gross</w:t>
      </w:r>
      <w:bookmarkEnd w:id="70"/>
      <w:bookmarkEnd w:id="71"/>
      <w:r w:rsidR="008D4652">
        <w:t xml:space="preserve"> (NTG)</w:t>
      </w:r>
      <w:bookmarkEnd w:id="72"/>
    </w:p>
    <w:p w14:paraId="4F754D7E" w14:textId="77777777" w:rsidR="008967F1" w:rsidRDefault="008967F1" w:rsidP="00A452DC">
      <w:pPr>
        <w:rPr>
          <w:szCs w:val="22"/>
        </w:rPr>
      </w:pPr>
      <w:r>
        <w:rPr>
          <w:szCs w:val="22"/>
        </w:rPr>
        <w:t>The net-to-gross (NTG) ratio represents the portion of gross impacts that are determined to be directly attributed to a specific program intervention. The sources for NTG values adopted for the WEN measures are as follows:</w:t>
      </w:r>
    </w:p>
    <w:p w14:paraId="1D90437E" w14:textId="37B6281D" w:rsidR="008967F1" w:rsidRDefault="008967F1" w:rsidP="008967F1">
      <w:pPr>
        <w:pStyle w:val="eTRMBulletedText"/>
      </w:pPr>
      <w:r>
        <w:t>If</w:t>
      </w:r>
      <w:r w:rsidR="00AE3944">
        <w:t xml:space="preserve"> the WEN measure </w:t>
      </w:r>
      <w:r>
        <w:t xml:space="preserve">is a currently approved measure for the utility energy efficiency portfolios, </w:t>
      </w:r>
      <w:r w:rsidR="00AE3944">
        <w:t xml:space="preserve">the NTG ratio </w:t>
      </w:r>
      <w:r w:rsidR="00414F64">
        <w:t>is</w:t>
      </w:r>
      <w:r>
        <w:t xml:space="preserve"> equal the NTG ratio </w:t>
      </w:r>
      <w:r w:rsidR="001B7214">
        <w:t xml:space="preserve">of the approved measure, as indicated in the </w:t>
      </w:r>
      <w:r w:rsidR="00560B74" w:rsidRPr="00560B74">
        <w:t>RMS Consulting, LLC. “202</w:t>
      </w:r>
      <w:r w:rsidR="00BE508B">
        <w:t>1</w:t>
      </w:r>
      <w:r w:rsidR="00560B74" w:rsidRPr="00560B74">
        <w:t xml:space="preserve"> WEN Master Spreadsheet.xlsx.” Prepared for San Diego Gas &amp; Electric (SDG&amp;E). </w:t>
      </w:r>
    </w:p>
    <w:p w14:paraId="068EB027" w14:textId="71A29641" w:rsidR="00AE3944" w:rsidRDefault="008967F1" w:rsidP="008967F1">
      <w:pPr>
        <w:pStyle w:val="eTRMBulletedText"/>
      </w:pPr>
      <w:r>
        <w:t>If a WEN measure is not currently approved for the California energy efficiency portfolios (i.e., toilets)</w:t>
      </w:r>
      <w:r w:rsidRPr="000C04BC">
        <w:t xml:space="preserve"> then Metropolitan </w:t>
      </w:r>
      <w:r>
        <w:t xml:space="preserve">Water District (MWD) NTG values </w:t>
      </w:r>
      <w:r w:rsidR="00414F64">
        <w:t>were</w:t>
      </w:r>
      <w:r>
        <w:t xml:space="preserve"> adopted</w:t>
      </w:r>
      <w:r w:rsidR="00414F64">
        <w:t>, if available</w:t>
      </w:r>
      <w:r w:rsidR="00AE3944">
        <w:t>.</w:t>
      </w:r>
      <w:r w:rsidR="00D92998" w:rsidRPr="00D92998">
        <w:t xml:space="preserve"> </w:t>
      </w:r>
      <w:r w:rsidR="00D92998">
        <w:t xml:space="preserve">(Note that the MWD does not provide NTG values for these measures </w:t>
      </w:r>
      <w:proofErr w:type="gramStart"/>
      <w:r w:rsidR="00D92998">
        <w:t>at this time</w:t>
      </w:r>
      <w:proofErr w:type="gramEnd"/>
      <w:r w:rsidR="00D92998">
        <w:t>.)</w:t>
      </w:r>
    </w:p>
    <w:p w14:paraId="1716B072" w14:textId="58CA8EE9" w:rsidR="00552EAA" w:rsidRDefault="00937ED3" w:rsidP="008967F1">
      <w:pPr>
        <w:pStyle w:val="eTRMBulletedText"/>
      </w:pPr>
      <w:r>
        <w:t xml:space="preserve">If a WEN measure is not approved for the California energy efficiency portfolios and </w:t>
      </w:r>
      <w:r w:rsidR="00D92998">
        <w:t xml:space="preserve">a NTG ratio </w:t>
      </w:r>
      <w:r>
        <w:t>is not provided by the MWD, the</w:t>
      </w:r>
      <w:r w:rsidR="00552EAA">
        <w:t xml:space="preserve"> NTG value </w:t>
      </w:r>
      <w:r w:rsidR="008967F1">
        <w:t>of 0.85 stipulated by</w:t>
      </w:r>
      <w:r w:rsidR="00552EAA">
        <w:t xml:space="preserve"> </w:t>
      </w:r>
      <w:r w:rsidR="00552EAA" w:rsidRPr="000C04BC">
        <w:t xml:space="preserve">the </w:t>
      </w:r>
      <w:r w:rsidR="00552EAA">
        <w:t>California Public Utility Commission (</w:t>
      </w:r>
      <w:r w:rsidR="00552EAA" w:rsidRPr="000C04BC">
        <w:t>CPUC</w:t>
      </w:r>
      <w:r w:rsidR="00552EAA">
        <w:t>)</w:t>
      </w:r>
      <w:r w:rsidR="00552EAA" w:rsidRPr="000C04BC">
        <w:t xml:space="preserve"> </w:t>
      </w:r>
      <w:r w:rsidR="005774E5">
        <w:t xml:space="preserve">in </w:t>
      </w:r>
      <w:r w:rsidR="00552EAA" w:rsidRPr="000C04BC">
        <w:t>Decision D.15-09-023</w:t>
      </w:r>
      <w:r w:rsidR="00552EAA">
        <w:t xml:space="preserve"> </w:t>
      </w:r>
      <w:r>
        <w:t>shall be adopted</w:t>
      </w:r>
      <w:r w:rsidR="00552EAA" w:rsidRPr="000C04BC">
        <w:t>.</w:t>
      </w:r>
      <w:r w:rsidR="00414F64" w:rsidRPr="00414F64">
        <w:rPr>
          <w:rStyle w:val="FootnoteReference"/>
        </w:rPr>
        <w:footnoteReference w:id="22"/>
      </w:r>
      <w:r w:rsidR="00552EAA" w:rsidRPr="000C04BC">
        <w:t xml:space="preserve"> </w:t>
      </w:r>
      <w:r w:rsidR="00D92998">
        <w:t>(Because MWD does not provide NTG ratios, all MWD</w:t>
      </w:r>
      <w:r w:rsidR="005774E5" w:rsidRPr="005774E5">
        <w:t xml:space="preserve"> measures </w:t>
      </w:r>
      <w:r w:rsidR="00D92998">
        <w:t>are</w:t>
      </w:r>
      <w:r w:rsidR="005774E5" w:rsidRPr="005774E5">
        <w:t xml:space="preserve"> assigned a 0.85 NTG for cost-effectiveness calculation purposes.</w:t>
      </w:r>
      <w:r w:rsidR="00D92998">
        <w:t>)</w:t>
      </w:r>
    </w:p>
    <w:p w14:paraId="1E91AD15" w14:textId="55A9B434" w:rsidR="001B7214" w:rsidRDefault="001B7214" w:rsidP="001B7214">
      <w:pPr>
        <w:pStyle w:val="eTRMBulletedText"/>
        <w:numPr>
          <w:ilvl w:val="0"/>
          <w:numId w:val="0"/>
        </w:numPr>
        <w:ind w:left="720" w:hanging="360"/>
      </w:pPr>
    </w:p>
    <w:p w14:paraId="6A7303DB" w14:textId="60D7D7F1" w:rsidR="001B7214" w:rsidRDefault="001B7214" w:rsidP="001B7214">
      <w:r>
        <w:t xml:space="preserve">The NTG ratios for the first 10 rows of IOU WEN measures is provided below. </w:t>
      </w:r>
    </w:p>
    <w:p w14:paraId="3D347A44" w14:textId="77E4CA74" w:rsidR="00552EAA" w:rsidRPr="00920905" w:rsidRDefault="00552EAA" w:rsidP="00453E72">
      <w:pPr>
        <w:pStyle w:val="Caption"/>
      </w:pPr>
      <w:bookmarkStart w:id="73" w:name="_Ref19592155"/>
      <w:r>
        <w:t xml:space="preserve">Table </w:t>
      </w:r>
      <w:r>
        <w:fldChar w:fldCharType="begin"/>
      </w:r>
      <w:r>
        <w:instrText xml:space="preserve"> SEQ Table \* ARABIC </w:instrText>
      </w:r>
      <w:r>
        <w:fldChar w:fldCharType="separate"/>
      </w:r>
      <w:r w:rsidR="00695DD3">
        <w:t>9</w:t>
      </w:r>
      <w:r>
        <w:fldChar w:fldCharType="end"/>
      </w:r>
      <w:bookmarkEnd w:id="73"/>
      <w:r>
        <w:t xml:space="preserve">: Net to Gross Ratio </w:t>
      </w:r>
      <w:r w:rsidR="005774E5">
        <w:t>Ratios</w:t>
      </w:r>
      <w:r>
        <w:t xml:space="preserve"> </w:t>
      </w:r>
      <w:r w:rsidR="001B7214">
        <w:t>– IOU WEN Measures</w:t>
      </w:r>
      <w:r>
        <w:t xml:space="preserve"> </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713"/>
        <w:gridCol w:w="1428"/>
        <w:gridCol w:w="3141"/>
        <w:gridCol w:w="922"/>
        <w:gridCol w:w="1043"/>
        <w:gridCol w:w="1404"/>
        <w:gridCol w:w="699"/>
      </w:tblGrid>
      <w:tr w:rsidR="00AE6955" w:rsidRPr="00A452DC" w14:paraId="72485A73" w14:textId="77777777" w:rsidTr="00AE6955">
        <w:trPr>
          <w:tblHeader/>
        </w:trPr>
        <w:tc>
          <w:tcPr>
            <w:tcW w:w="381" w:type="pct"/>
            <w:shd w:val="clear" w:color="auto" w:fill="F2F2F2" w:themeFill="background1" w:themeFillShade="F2"/>
            <w:vAlign w:val="center"/>
          </w:tcPr>
          <w:p w14:paraId="21434DB6" w14:textId="6D858097" w:rsidR="00552EAA" w:rsidRPr="006A7B34" w:rsidRDefault="002E409C" w:rsidP="00A452DC">
            <w:pPr>
              <w:spacing w:before="0" w:after="0" w:line="240" w:lineRule="auto"/>
              <w:jc w:val="center"/>
              <w:rPr>
                <w:rFonts w:cs="Calibri Light"/>
                <w:b/>
                <w:sz w:val="20"/>
              </w:rPr>
            </w:pPr>
            <w:r w:rsidRPr="006A7B34">
              <w:rPr>
                <w:rFonts w:cs="Calibri Light"/>
                <w:b/>
                <w:sz w:val="20"/>
              </w:rPr>
              <w:t xml:space="preserve">Line </w:t>
            </w:r>
            <w:r w:rsidR="00552EAA" w:rsidRPr="006A7B34">
              <w:rPr>
                <w:rFonts w:cs="Calibri Light"/>
                <w:b/>
                <w:sz w:val="20"/>
              </w:rPr>
              <w:t>#</w:t>
            </w:r>
          </w:p>
        </w:tc>
        <w:tc>
          <w:tcPr>
            <w:tcW w:w="763" w:type="pct"/>
            <w:shd w:val="clear" w:color="auto" w:fill="F2F2F2" w:themeFill="background1" w:themeFillShade="F2"/>
            <w:vAlign w:val="center"/>
          </w:tcPr>
          <w:p w14:paraId="2E0902C7"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NTGR ID</w:t>
            </w:r>
          </w:p>
        </w:tc>
        <w:tc>
          <w:tcPr>
            <w:tcW w:w="1679" w:type="pct"/>
            <w:shd w:val="clear" w:color="auto" w:fill="F2F2F2" w:themeFill="background1" w:themeFillShade="F2"/>
            <w:vAlign w:val="center"/>
          </w:tcPr>
          <w:p w14:paraId="2ABC66F5"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Description</w:t>
            </w:r>
          </w:p>
        </w:tc>
        <w:tc>
          <w:tcPr>
            <w:tcW w:w="493" w:type="pct"/>
            <w:shd w:val="clear" w:color="auto" w:fill="F2F2F2" w:themeFill="background1" w:themeFillShade="F2"/>
            <w:vAlign w:val="center"/>
          </w:tcPr>
          <w:p w14:paraId="18C6969B"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Sector</w:t>
            </w:r>
          </w:p>
        </w:tc>
        <w:tc>
          <w:tcPr>
            <w:tcW w:w="558" w:type="pct"/>
            <w:shd w:val="clear" w:color="auto" w:fill="F2F2F2" w:themeFill="background1" w:themeFillShade="F2"/>
            <w:vAlign w:val="center"/>
          </w:tcPr>
          <w:p w14:paraId="158C645F" w14:textId="77777777" w:rsidR="00552EAA" w:rsidRPr="006A7B34" w:rsidRDefault="00552EAA" w:rsidP="00A452DC">
            <w:pPr>
              <w:spacing w:before="0" w:after="0" w:line="240" w:lineRule="auto"/>
              <w:jc w:val="center"/>
              <w:rPr>
                <w:rFonts w:cs="Calibri Light"/>
                <w:b/>
                <w:sz w:val="20"/>
              </w:rPr>
            </w:pPr>
            <w:proofErr w:type="spellStart"/>
            <w:r w:rsidRPr="006A7B34">
              <w:rPr>
                <w:rFonts w:cs="Calibri Light"/>
                <w:b/>
                <w:sz w:val="20"/>
              </w:rPr>
              <w:t>BldgType</w:t>
            </w:r>
            <w:proofErr w:type="spellEnd"/>
          </w:p>
        </w:tc>
        <w:tc>
          <w:tcPr>
            <w:tcW w:w="751" w:type="pct"/>
            <w:shd w:val="clear" w:color="auto" w:fill="F2F2F2" w:themeFill="background1" w:themeFillShade="F2"/>
            <w:vAlign w:val="center"/>
          </w:tcPr>
          <w:p w14:paraId="45F33C7F"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Measure Delivery</w:t>
            </w:r>
          </w:p>
        </w:tc>
        <w:tc>
          <w:tcPr>
            <w:tcW w:w="374" w:type="pct"/>
            <w:shd w:val="clear" w:color="auto" w:fill="F2F2F2" w:themeFill="background1" w:themeFillShade="F2"/>
            <w:vAlign w:val="center"/>
          </w:tcPr>
          <w:p w14:paraId="1F649F84" w14:textId="77777777" w:rsidR="00552EAA" w:rsidRPr="006A7B34" w:rsidRDefault="00552EAA" w:rsidP="00A452DC">
            <w:pPr>
              <w:spacing w:before="0" w:after="0" w:line="240" w:lineRule="auto"/>
              <w:jc w:val="center"/>
              <w:rPr>
                <w:rFonts w:cs="Calibri Light"/>
                <w:b/>
                <w:sz w:val="20"/>
              </w:rPr>
            </w:pPr>
            <w:r w:rsidRPr="006A7B34">
              <w:rPr>
                <w:rFonts w:cs="Calibri Light"/>
                <w:b/>
                <w:sz w:val="20"/>
              </w:rPr>
              <w:t>NTGR</w:t>
            </w:r>
          </w:p>
        </w:tc>
      </w:tr>
      <w:tr w:rsidR="00AE6955" w:rsidRPr="00A452DC" w14:paraId="66DB58A4" w14:textId="77777777" w:rsidTr="00AE6955">
        <w:tc>
          <w:tcPr>
            <w:tcW w:w="381" w:type="pct"/>
            <w:vAlign w:val="center"/>
          </w:tcPr>
          <w:p w14:paraId="5CC2E343" w14:textId="77777777" w:rsidR="00552EAA" w:rsidRPr="006A7B34" w:rsidRDefault="00552EAA" w:rsidP="00A452DC">
            <w:pPr>
              <w:spacing w:before="0" w:after="0" w:line="240" w:lineRule="auto"/>
              <w:jc w:val="center"/>
              <w:rPr>
                <w:rFonts w:cs="Calibri Light"/>
                <w:sz w:val="20"/>
              </w:rPr>
            </w:pPr>
            <w:r w:rsidRPr="006A7B34">
              <w:rPr>
                <w:rFonts w:cs="Calibri Light"/>
                <w:sz w:val="20"/>
              </w:rPr>
              <w:t>1</w:t>
            </w:r>
          </w:p>
        </w:tc>
        <w:tc>
          <w:tcPr>
            <w:tcW w:w="763" w:type="pct"/>
          </w:tcPr>
          <w:p w14:paraId="3B957A5A" w14:textId="77777777" w:rsidR="00552EAA" w:rsidRPr="006A7B34" w:rsidRDefault="00552EAA" w:rsidP="00A452DC">
            <w:pPr>
              <w:spacing w:before="0" w:after="0" w:line="240" w:lineRule="auto"/>
              <w:rPr>
                <w:rFonts w:cs="Calibri Light"/>
                <w:sz w:val="20"/>
              </w:rPr>
            </w:pPr>
            <w:r w:rsidRPr="006A7B34">
              <w:rPr>
                <w:rFonts w:cs="Calibri Light"/>
                <w:sz w:val="20"/>
              </w:rPr>
              <w:t>Res-</w:t>
            </w:r>
            <w:proofErr w:type="spellStart"/>
            <w:r w:rsidRPr="006A7B34">
              <w:rPr>
                <w:rFonts w:cs="Calibri Light"/>
                <w:sz w:val="20"/>
              </w:rPr>
              <w:t>sAll</w:t>
            </w:r>
            <w:proofErr w:type="spellEnd"/>
            <w:r w:rsidRPr="006A7B34">
              <w:rPr>
                <w:rFonts w:cs="Calibri Light"/>
                <w:sz w:val="20"/>
              </w:rPr>
              <w:t>-</w:t>
            </w:r>
            <w:proofErr w:type="spellStart"/>
            <w:r w:rsidRPr="006A7B34">
              <w:rPr>
                <w:rFonts w:cs="Calibri Light"/>
                <w:sz w:val="20"/>
              </w:rPr>
              <w:t>mCW</w:t>
            </w:r>
            <w:proofErr w:type="spellEnd"/>
          </w:p>
        </w:tc>
        <w:tc>
          <w:tcPr>
            <w:tcW w:w="1679" w:type="pct"/>
            <w:vAlign w:val="center"/>
          </w:tcPr>
          <w:p w14:paraId="70838F95" w14:textId="77777777" w:rsidR="00552EAA" w:rsidRPr="006A7B34" w:rsidRDefault="00552EAA" w:rsidP="00A452DC">
            <w:pPr>
              <w:spacing w:before="0" w:after="0" w:line="240" w:lineRule="auto"/>
              <w:rPr>
                <w:rFonts w:cs="Calibri Light"/>
                <w:sz w:val="20"/>
              </w:rPr>
            </w:pPr>
            <w:r w:rsidRPr="006A7B34">
              <w:rPr>
                <w:rFonts w:cs="Calibri Light"/>
                <w:sz w:val="20"/>
              </w:rPr>
              <w:t>Energy Star most efficient clothes washer, &gt;2.5 cubic ft - SFM. MFM In-Unit</w:t>
            </w:r>
          </w:p>
        </w:tc>
        <w:tc>
          <w:tcPr>
            <w:tcW w:w="493" w:type="pct"/>
            <w:vAlign w:val="center"/>
          </w:tcPr>
          <w:p w14:paraId="02282C83"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A4047EC"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6F141AA0"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714E6090" w14:textId="77777777" w:rsidR="00552EAA" w:rsidRPr="006A7B34" w:rsidRDefault="00552EAA" w:rsidP="00A452DC">
            <w:pPr>
              <w:spacing w:before="0" w:after="0" w:line="240" w:lineRule="auto"/>
              <w:jc w:val="center"/>
              <w:rPr>
                <w:rFonts w:cs="Calibri Light"/>
                <w:sz w:val="20"/>
              </w:rPr>
            </w:pPr>
            <w:r w:rsidRPr="006A7B34">
              <w:rPr>
                <w:rFonts w:cs="Calibri Light"/>
                <w:sz w:val="20"/>
              </w:rPr>
              <w:t>0.31</w:t>
            </w:r>
          </w:p>
        </w:tc>
      </w:tr>
      <w:tr w:rsidR="00AE6955" w:rsidRPr="00A452DC" w14:paraId="189A9577" w14:textId="77777777" w:rsidTr="00AE6955">
        <w:tc>
          <w:tcPr>
            <w:tcW w:w="381" w:type="pct"/>
            <w:vAlign w:val="center"/>
          </w:tcPr>
          <w:p w14:paraId="07E46DD0" w14:textId="77777777" w:rsidR="00552EAA" w:rsidRPr="006A7B34" w:rsidRDefault="00552EAA" w:rsidP="00A452DC">
            <w:pPr>
              <w:spacing w:before="0" w:after="0" w:line="240" w:lineRule="auto"/>
              <w:jc w:val="center"/>
              <w:rPr>
                <w:rFonts w:cs="Calibri Light"/>
                <w:sz w:val="20"/>
              </w:rPr>
            </w:pPr>
            <w:r w:rsidRPr="006A7B34">
              <w:rPr>
                <w:rFonts w:cs="Calibri Light"/>
                <w:sz w:val="20"/>
              </w:rPr>
              <w:t>2</w:t>
            </w:r>
          </w:p>
        </w:tc>
        <w:tc>
          <w:tcPr>
            <w:tcW w:w="763" w:type="pct"/>
          </w:tcPr>
          <w:p w14:paraId="61557D0F"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27AB80A4" w14:textId="77777777" w:rsidR="00552EAA" w:rsidRPr="006A7B34" w:rsidRDefault="00552EAA" w:rsidP="00A452DC">
            <w:pPr>
              <w:spacing w:before="0" w:after="0" w:line="240" w:lineRule="auto"/>
              <w:rPr>
                <w:rFonts w:cs="Calibri Light"/>
                <w:sz w:val="20"/>
              </w:rPr>
            </w:pPr>
            <w:r w:rsidRPr="006A7B34">
              <w:rPr>
                <w:rFonts w:cs="Calibri Light"/>
                <w:sz w:val="20"/>
              </w:rPr>
              <w:t>Energy Star most efficient clothes washer, &gt;2.5 cubic ft - MFM Common Area</w:t>
            </w:r>
          </w:p>
        </w:tc>
        <w:tc>
          <w:tcPr>
            <w:tcW w:w="493" w:type="pct"/>
            <w:vAlign w:val="center"/>
          </w:tcPr>
          <w:p w14:paraId="7972E566"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47D76161"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2CBFB2A9"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5135D0DD"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36336B8C" w14:textId="77777777" w:rsidTr="00AE6955">
        <w:tc>
          <w:tcPr>
            <w:tcW w:w="381" w:type="pct"/>
            <w:vAlign w:val="center"/>
          </w:tcPr>
          <w:p w14:paraId="7D64AE46" w14:textId="77777777" w:rsidR="00552EAA" w:rsidRPr="006A7B34" w:rsidRDefault="00552EAA" w:rsidP="00A452DC">
            <w:pPr>
              <w:spacing w:before="0" w:after="0" w:line="240" w:lineRule="auto"/>
              <w:jc w:val="center"/>
              <w:rPr>
                <w:rFonts w:cs="Calibri Light"/>
                <w:sz w:val="20"/>
              </w:rPr>
            </w:pPr>
            <w:r w:rsidRPr="006A7B34">
              <w:rPr>
                <w:rFonts w:cs="Calibri Light"/>
                <w:sz w:val="20"/>
              </w:rPr>
              <w:t>3</w:t>
            </w:r>
          </w:p>
        </w:tc>
        <w:tc>
          <w:tcPr>
            <w:tcW w:w="763" w:type="pct"/>
          </w:tcPr>
          <w:p w14:paraId="1A7EAE8A"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08FAA865" w14:textId="77777777" w:rsidR="00552EAA" w:rsidRPr="006A7B34" w:rsidRDefault="00552EAA" w:rsidP="00A452DC">
            <w:pPr>
              <w:spacing w:before="0" w:after="0" w:line="240" w:lineRule="auto"/>
              <w:rPr>
                <w:rFonts w:cs="Calibri Light"/>
                <w:sz w:val="20"/>
              </w:rPr>
            </w:pPr>
            <w:r w:rsidRPr="006A7B34">
              <w:rPr>
                <w:rFonts w:cs="Calibri Light"/>
                <w:sz w:val="20"/>
              </w:rPr>
              <w:t xml:space="preserve">Energy Star most efficient clothes washer, &gt;2.5 cubic ft - </w:t>
            </w:r>
            <w:proofErr w:type="gramStart"/>
            <w:r w:rsidRPr="006A7B34">
              <w:rPr>
                <w:rFonts w:cs="Calibri Light"/>
                <w:sz w:val="20"/>
              </w:rPr>
              <w:t>Non-Res</w:t>
            </w:r>
            <w:proofErr w:type="gramEnd"/>
          </w:p>
        </w:tc>
        <w:tc>
          <w:tcPr>
            <w:tcW w:w="493" w:type="pct"/>
            <w:vAlign w:val="center"/>
          </w:tcPr>
          <w:p w14:paraId="131AF061"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0B8469DF"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71DE3F10"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76264BB6"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63783547" w14:textId="77777777" w:rsidTr="00AE6955">
        <w:tc>
          <w:tcPr>
            <w:tcW w:w="381" w:type="pct"/>
            <w:vAlign w:val="center"/>
          </w:tcPr>
          <w:p w14:paraId="6DB19905" w14:textId="77777777" w:rsidR="00552EAA" w:rsidRPr="006A7B34" w:rsidRDefault="00552EAA" w:rsidP="00A452DC">
            <w:pPr>
              <w:spacing w:before="0" w:after="0" w:line="240" w:lineRule="auto"/>
              <w:jc w:val="center"/>
              <w:rPr>
                <w:rFonts w:cs="Calibri Light"/>
                <w:sz w:val="20"/>
              </w:rPr>
            </w:pPr>
            <w:r w:rsidRPr="006A7B34">
              <w:rPr>
                <w:rFonts w:cs="Calibri Light"/>
                <w:sz w:val="20"/>
              </w:rPr>
              <w:t>4</w:t>
            </w:r>
          </w:p>
        </w:tc>
        <w:tc>
          <w:tcPr>
            <w:tcW w:w="763" w:type="pct"/>
          </w:tcPr>
          <w:p w14:paraId="514859BD"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5FA78A7D" w14:textId="77777777" w:rsidR="00552EAA" w:rsidRPr="006A7B34" w:rsidRDefault="00552EAA" w:rsidP="00A452DC">
            <w:pPr>
              <w:spacing w:before="0" w:after="0" w:line="240" w:lineRule="auto"/>
              <w:rPr>
                <w:rFonts w:cs="Calibri Light"/>
                <w:sz w:val="20"/>
              </w:rPr>
            </w:pPr>
            <w:r w:rsidRPr="006A7B34">
              <w:rPr>
                <w:rFonts w:cs="Calibri Light"/>
                <w:sz w:val="20"/>
              </w:rPr>
              <w:t>Commercial steam cooker Electric</w:t>
            </w:r>
          </w:p>
        </w:tc>
        <w:tc>
          <w:tcPr>
            <w:tcW w:w="493" w:type="pct"/>
            <w:vAlign w:val="center"/>
          </w:tcPr>
          <w:p w14:paraId="3978CDA7"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6A765D40"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59E45B6E"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28947C7B"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714CAB00" w14:textId="77777777" w:rsidTr="00AE6955">
        <w:tc>
          <w:tcPr>
            <w:tcW w:w="381" w:type="pct"/>
            <w:vAlign w:val="center"/>
          </w:tcPr>
          <w:p w14:paraId="15A0C049" w14:textId="77777777" w:rsidR="00552EAA" w:rsidRPr="006A7B34" w:rsidRDefault="00552EAA" w:rsidP="00A452DC">
            <w:pPr>
              <w:spacing w:before="0" w:after="0" w:line="240" w:lineRule="auto"/>
              <w:jc w:val="center"/>
              <w:rPr>
                <w:rFonts w:cs="Calibri Light"/>
                <w:sz w:val="20"/>
              </w:rPr>
            </w:pPr>
            <w:r w:rsidRPr="006A7B34">
              <w:rPr>
                <w:rFonts w:cs="Calibri Light"/>
                <w:sz w:val="20"/>
              </w:rPr>
              <w:t>5</w:t>
            </w:r>
          </w:p>
        </w:tc>
        <w:tc>
          <w:tcPr>
            <w:tcW w:w="763" w:type="pct"/>
          </w:tcPr>
          <w:p w14:paraId="52FD5BAD"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5CB2EDAA" w14:textId="77777777" w:rsidR="00552EAA" w:rsidRPr="006A7B34" w:rsidRDefault="00552EAA" w:rsidP="00A452DC">
            <w:pPr>
              <w:spacing w:before="0" w:after="0" w:line="240" w:lineRule="auto"/>
              <w:rPr>
                <w:rFonts w:cs="Calibri Light"/>
                <w:sz w:val="20"/>
              </w:rPr>
            </w:pPr>
            <w:r w:rsidRPr="006A7B34">
              <w:rPr>
                <w:rFonts w:cs="Calibri Light"/>
                <w:sz w:val="20"/>
              </w:rPr>
              <w:t>Commercial steam cooker Natural gas</w:t>
            </w:r>
          </w:p>
        </w:tc>
        <w:tc>
          <w:tcPr>
            <w:tcW w:w="493" w:type="pct"/>
            <w:vAlign w:val="center"/>
          </w:tcPr>
          <w:p w14:paraId="57546939"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C55A112"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5C1128EC"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195BC977"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1FE17D4C" w14:textId="77777777" w:rsidTr="00AE6955">
        <w:tc>
          <w:tcPr>
            <w:tcW w:w="381" w:type="pct"/>
            <w:vAlign w:val="center"/>
          </w:tcPr>
          <w:p w14:paraId="254917DC" w14:textId="77777777" w:rsidR="00552EAA" w:rsidRPr="006A7B34" w:rsidRDefault="00552EAA" w:rsidP="00A452DC">
            <w:pPr>
              <w:spacing w:before="0" w:after="0" w:line="240" w:lineRule="auto"/>
              <w:jc w:val="center"/>
              <w:rPr>
                <w:rFonts w:cs="Calibri Light"/>
                <w:sz w:val="20"/>
              </w:rPr>
            </w:pPr>
            <w:r w:rsidRPr="006A7B34">
              <w:rPr>
                <w:rFonts w:cs="Calibri Light"/>
                <w:sz w:val="20"/>
              </w:rPr>
              <w:t>6</w:t>
            </w:r>
          </w:p>
        </w:tc>
        <w:tc>
          <w:tcPr>
            <w:tcW w:w="763" w:type="pct"/>
          </w:tcPr>
          <w:p w14:paraId="00252C51"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2D21C74A"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Electric (less than 15 pans)</w:t>
            </w:r>
          </w:p>
        </w:tc>
        <w:tc>
          <w:tcPr>
            <w:tcW w:w="493" w:type="pct"/>
            <w:vAlign w:val="center"/>
          </w:tcPr>
          <w:p w14:paraId="03E72DA4"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6CEA094"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4FF329DA"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3E99731A"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5F031898" w14:textId="77777777" w:rsidTr="00AE6955">
        <w:tc>
          <w:tcPr>
            <w:tcW w:w="381" w:type="pct"/>
            <w:vAlign w:val="center"/>
          </w:tcPr>
          <w:p w14:paraId="28907FB6" w14:textId="77777777" w:rsidR="00552EAA" w:rsidRPr="006A7B34" w:rsidRDefault="00552EAA" w:rsidP="00A452DC">
            <w:pPr>
              <w:spacing w:before="0" w:after="0" w:line="240" w:lineRule="auto"/>
              <w:jc w:val="center"/>
              <w:rPr>
                <w:rFonts w:cs="Calibri Light"/>
                <w:sz w:val="20"/>
              </w:rPr>
            </w:pPr>
            <w:r w:rsidRPr="006A7B34">
              <w:rPr>
                <w:rFonts w:cs="Calibri Light"/>
                <w:sz w:val="20"/>
              </w:rPr>
              <w:t>7</w:t>
            </w:r>
          </w:p>
        </w:tc>
        <w:tc>
          <w:tcPr>
            <w:tcW w:w="763" w:type="pct"/>
          </w:tcPr>
          <w:p w14:paraId="4A803E4F"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34E34AB2"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Electric (15-28 pans)</w:t>
            </w:r>
          </w:p>
        </w:tc>
        <w:tc>
          <w:tcPr>
            <w:tcW w:w="493" w:type="pct"/>
            <w:vAlign w:val="center"/>
          </w:tcPr>
          <w:p w14:paraId="0EB55B05"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E7185D0"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442762D7"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3607A99F"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014016FA" w14:textId="77777777" w:rsidTr="00AE6955">
        <w:tc>
          <w:tcPr>
            <w:tcW w:w="381" w:type="pct"/>
            <w:vAlign w:val="center"/>
          </w:tcPr>
          <w:p w14:paraId="14D36546" w14:textId="77777777" w:rsidR="00552EAA" w:rsidRPr="006A7B34" w:rsidRDefault="00552EAA" w:rsidP="00A452DC">
            <w:pPr>
              <w:spacing w:before="0" w:after="0" w:line="240" w:lineRule="auto"/>
              <w:jc w:val="center"/>
              <w:rPr>
                <w:rFonts w:cs="Calibri Light"/>
                <w:sz w:val="20"/>
              </w:rPr>
            </w:pPr>
            <w:r w:rsidRPr="006A7B34">
              <w:rPr>
                <w:rFonts w:cs="Calibri Light"/>
                <w:sz w:val="20"/>
              </w:rPr>
              <w:lastRenderedPageBreak/>
              <w:t>8</w:t>
            </w:r>
          </w:p>
        </w:tc>
        <w:tc>
          <w:tcPr>
            <w:tcW w:w="763" w:type="pct"/>
          </w:tcPr>
          <w:p w14:paraId="0CE0F10B"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2C8BF8D5"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Electric (more than 28 pans)</w:t>
            </w:r>
          </w:p>
        </w:tc>
        <w:tc>
          <w:tcPr>
            <w:tcW w:w="493" w:type="pct"/>
            <w:vAlign w:val="center"/>
          </w:tcPr>
          <w:p w14:paraId="10D5C1F2"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737E2E16"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4ABB05A4"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03D443F7"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61A6C542" w14:textId="77777777" w:rsidTr="00AE6955">
        <w:tc>
          <w:tcPr>
            <w:tcW w:w="381" w:type="pct"/>
            <w:vAlign w:val="center"/>
          </w:tcPr>
          <w:p w14:paraId="12BE29CC" w14:textId="77777777" w:rsidR="00552EAA" w:rsidRPr="006A7B34" w:rsidRDefault="00552EAA" w:rsidP="00A452DC">
            <w:pPr>
              <w:spacing w:before="0" w:after="0" w:line="240" w:lineRule="auto"/>
              <w:jc w:val="center"/>
              <w:rPr>
                <w:rFonts w:cs="Calibri Light"/>
                <w:sz w:val="20"/>
              </w:rPr>
            </w:pPr>
            <w:r w:rsidRPr="006A7B34">
              <w:rPr>
                <w:rFonts w:cs="Calibri Light"/>
                <w:sz w:val="20"/>
              </w:rPr>
              <w:t>9</w:t>
            </w:r>
          </w:p>
        </w:tc>
        <w:tc>
          <w:tcPr>
            <w:tcW w:w="763" w:type="pct"/>
          </w:tcPr>
          <w:p w14:paraId="24563AB3"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1B169DDD"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Natural gas (less than 15 pans)</w:t>
            </w:r>
          </w:p>
        </w:tc>
        <w:tc>
          <w:tcPr>
            <w:tcW w:w="493" w:type="pct"/>
            <w:vAlign w:val="center"/>
          </w:tcPr>
          <w:p w14:paraId="4DB2E54A"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63131A57"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6EE664A7"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17B04DD6"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r w:rsidR="00AE6955" w:rsidRPr="00A452DC" w14:paraId="676E7EEF" w14:textId="77777777" w:rsidTr="00AE6955">
        <w:tc>
          <w:tcPr>
            <w:tcW w:w="381" w:type="pct"/>
            <w:vAlign w:val="center"/>
          </w:tcPr>
          <w:p w14:paraId="55EA6FDC" w14:textId="77777777" w:rsidR="00552EAA" w:rsidRPr="006A7B34" w:rsidRDefault="00552EAA" w:rsidP="00A452DC">
            <w:pPr>
              <w:spacing w:before="0" w:after="0" w:line="240" w:lineRule="auto"/>
              <w:jc w:val="center"/>
              <w:rPr>
                <w:rFonts w:cs="Calibri Light"/>
                <w:sz w:val="20"/>
              </w:rPr>
            </w:pPr>
            <w:r w:rsidRPr="006A7B34">
              <w:rPr>
                <w:rFonts w:cs="Calibri Light"/>
                <w:sz w:val="20"/>
              </w:rPr>
              <w:t>10</w:t>
            </w:r>
          </w:p>
        </w:tc>
        <w:tc>
          <w:tcPr>
            <w:tcW w:w="763" w:type="pct"/>
          </w:tcPr>
          <w:p w14:paraId="1DD22091" w14:textId="77777777" w:rsidR="00552EAA" w:rsidRPr="006A7B34" w:rsidRDefault="00552EAA" w:rsidP="00A452DC">
            <w:pPr>
              <w:spacing w:before="0" w:after="0" w:line="240" w:lineRule="auto"/>
              <w:rPr>
                <w:rFonts w:cs="Calibri Light"/>
                <w:sz w:val="20"/>
              </w:rPr>
            </w:pPr>
            <w:r w:rsidRPr="006A7B34">
              <w:rPr>
                <w:rFonts w:cs="Calibri Light"/>
                <w:sz w:val="20"/>
              </w:rPr>
              <w:t>Com-Default&gt;2yrs</w:t>
            </w:r>
          </w:p>
        </w:tc>
        <w:tc>
          <w:tcPr>
            <w:tcW w:w="1679" w:type="pct"/>
            <w:vAlign w:val="center"/>
          </w:tcPr>
          <w:p w14:paraId="213825C2" w14:textId="77777777" w:rsidR="00552EAA" w:rsidRPr="006A7B34" w:rsidRDefault="00552EAA" w:rsidP="00A452DC">
            <w:pPr>
              <w:spacing w:before="0" w:after="0" w:line="240" w:lineRule="auto"/>
              <w:rPr>
                <w:rFonts w:cs="Calibri Light"/>
                <w:sz w:val="20"/>
              </w:rPr>
            </w:pPr>
            <w:r w:rsidRPr="006A7B34">
              <w:rPr>
                <w:rFonts w:cs="Calibri Light"/>
                <w:sz w:val="20"/>
              </w:rPr>
              <w:t>Commercial combination oven/steamer Natural gas (15-28 pans)</w:t>
            </w:r>
          </w:p>
        </w:tc>
        <w:tc>
          <w:tcPr>
            <w:tcW w:w="493" w:type="pct"/>
            <w:vAlign w:val="center"/>
          </w:tcPr>
          <w:p w14:paraId="020D371B"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558" w:type="pct"/>
            <w:vAlign w:val="center"/>
          </w:tcPr>
          <w:p w14:paraId="5007C00E"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751" w:type="pct"/>
            <w:vAlign w:val="center"/>
          </w:tcPr>
          <w:p w14:paraId="545FAA3C" w14:textId="77777777" w:rsidR="00552EAA" w:rsidRPr="006A7B34" w:rsidRDefault="00552EAA" w:rsidP="00A452DC">
            <w:pPr>
              <w:spacing w:before="0" w:after="0" w:line="240" w:lineRule="auto"/>
              <w:jc w:val="center"/>
              <w:rPr>
                <w:rFonts w:cs="Calibri Light"/>
                <w:sz w:val="20"/>
              </w:rPr>
            </w:pPr>
            <w:r w:rsidRPr="006A7B34">
              <w:rPr>
                <w:rFonts w:cs="Calibri Light"/>
                <w:sz w:val="20"/>
              </w:rPr>
              <w:t>Any</w:t>
            </w:r>
          </w:p>
        </w:tc>
        <w:tc>
          <w:tcPr>
            <w:tcW w:w="374" w:type="pct"/>
            <w:vAlign w:val="center"/>
          </w:tcPr>
          <w:p w14:paraId="7512A5C5" w14:textId="77777777" w:rsidR="00552EAA" w:rsidRPr="006A7B34" w:rsidRDefault="00552EAA" w:rsidP="00A452DC">
            <w:pPr>
              <w:spacing w:before="0" w:after="0" w:line="240" w:lineRule="auto"/>
              <w:jc w:val="center"/>
              <w:rPr>
                <w:rFonts w:cs="Calibri Light"/>
                <w:sz w:val="20"/>
              </w:rPr>
            </w:pPr>
            <w:r w:rsidRPr="006A7B34">
              <w:rPr>
                <w:rFonts w:cs="Calibri Light"/>
                <w:sz w:val="20"/>
              </w:rPr>
              <w:t>0.60</w:t>
            </w:r>
          </w:p>
        </w:tc>
      </w:tr>
    </w:tbl>
    <w:p w14:paraId="4CD25779" w14:textId="77777777" w:rsidR="00552EAA" w:rsidRPr="004B06E3" w:rsidRDefault="00552EAA" w:rsidP="004142EF"/>
    <w:p w14:paraId="323B5B02" w14:textId="4C4B13DC" w:rsidR="007D230B" w:rsidRPr="004B06E3" w:rsidRDefault="00D02C36" w:rsidP="00462BB6">
      <w:pPr>
        <w:pStyle w:val="eTRMHeading3"/>
      </w:pPr>
      <w:bookmarkStart w:id="74" w:name="_Toc486490864"/>
      <w:bookmarkStart w:id="75" w:name="_Toc486580935"/>
      <w:bookmarkStart w:id="76" w:name="_Toc42682485"/>
      <w:r>
        <w:t>Gross Savings Installation Adjustment (</w:t>
      </w:r>
      <w:r w:rsidR="007D230B" w:rsidRPr="004B06E3">
        <w:t>GSIA</w:t>
      </w:r>
      <w:bookmarkEnd w:id="74"/>
      <w:bookmarkEnd w:id="75"/>
      <w:r>
        <w:t>)</w:t>
      </w:r>
      <w:bookmarkEnd w:id="76"/>
    </w:p>
    <w:p w14:paraId="2A1F1C17" w14:textId="50A3C585" w:rsidR="007D230B" w:rsidRPr="00771458" w:rsidRDefault="00AA3E2A" w:rsidP="00771458">
      <w:pPr>
        <w:rPr>
          <w:rFonts w:cs="Calibri Light"/>
          <w:szCs w:val="22"/>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rsidRPr="00771458">
        <w:rPr>
          <w:rFonts w:cs="Calibri Light"/>
          <w:szCs w:val="22"/>
        </w:rPr>
        <w:t xml:space="preserve">. </w:t>
      </w:r>
      <w:r w:rsidR="00771458">
        <w:rPr>
          <w:rFonts w:cs="Calibri Light"/>
          <w:color w:val="292929"/>
          <w:szCs w:val="22"/>
          <w:shd w:val="clear" w:color="auto" w:fill="FFFFFF"/>
        </w:rPr>
        <w:t>The</w:t>
      </w:r>
      <w:r w:rsidR="00771458" w:rsidRPr="00771458">
        <w:rPr>
          <w:rFonts w:cs="Calibri Light"/>
          <w:color w:val="292929"/>
          <w:szCs w:val="22"/>
          <w:shd w:val="clear" w:color="auto" w:fill="FFFFFF"/>
        </w:rPr>
        <w:t xml:space="preserve"> GSIA rate </w:t>
      </w:r>
      <w:r w:rsidR="00771458">
        <w:rPr>
          <w:rFonts w:cs="Calibri Light"/>
          <w:color w:val="292929"/>
          <w:szCs w:val="22"/>
          <w:shd w:val="clear" w:color="auto" w:fill="FFFFFF"/>
        </w:rPr>
        <w:t xml:space="preserve">for all WEN measures </w:t>
      </w:r>
      <w:r w:rsidR="0097654A">
        <w:rPr>
          <w:rFonts w:cs="Calibri Light"/>
          <w:color w:val="292929"/>
          <w:szCs w:val="22"/>
          <w:shd w:val="clear" w:color="auto" w:fill="FFFFFF"/>
        </w:rPr>
        <w:t>is</w:t>
      </w:r>
      <w:r w:rsidR="00732C51" w:rsidRPr="00732C51">
        <w:rPr>
          <w:rFonts w:cs="Calibri Light"/>
          <w:color w:val="292929"/>
          <w:szCs w:val="22"/>
          <w:shd w:val="clear" w:color="auto" w:fill="FFFFFF"/>
        </w:rPr>
        <w:t xml:space="preserve"> equal to the GISA for the </w:t>
      </w:r>
      <w:proofErr w:type="gramStart"/>
      <w:r w:rsidR="0097654A">
        <w:rPr>
          <w:rFonts w:cs="Calibri Light"/>
          <w:color w:val="292929"/>
          <w:szCs w:val="22"/>
          <w:shd w:val="clear" w:color="auto" w:fill="FFFFFF"/>
        </w:rPr>
        <w:t xml:space="preserve">particular </w:t>
      </w:r>
      <w:r w:rsidR="00732C51" w:rsidRPr="00732C51">
        <w:rPr>
          <w:rFonts w:cs="Calibri Light"/>
          <w:color w:val="292929"/>
          <w:szCs w:val="22"/>
          <w:shd w:val="clear" w:color="auto" w:fill="FFFFFF"/>
        </w:rPr>
        <w:t>statewide</w:t>
      </w:r>
      <w:proofErr w:type="gramEnd"/>
      <w:r w:rsidR="00732C51" w:rsidRPr="00732C51">
        <w:rPr>
          <w:rFonts w:cs="Calibri Light"/>
          <w:color w:val="292929"/>
          <w:szCs w:val="22"/>
          <w:shd w:val="clear" w:color="auto" w:fill="FFFFFF"/>
        </w:rPr>
        <w:t xml:space="preserve"> measure, and if not a statewide measure the GSIA would equal the default</w:t>
      </w:r>
      <w:r w:rsidR="0097654A">
        <w:rPr>
          <w:rFonts w:cs="Calibri Light"/>
          <w:color w:val="292929"/>
          <w:szCs w:val="22"/>
          <w:shd w:val="clear" w:color="auto" w:fill="FFFFFF"/>
        </w:rPr>
        <w:t xml:space="preserve"> GSIA value.</w:t>
      </w:r>
    </w:p>
    <w:p w14:paraId="08395124" w14:textId="77777777" w:rsidR="00DE1A0F" w:rsidRDefault="00DE1A0F" w:rsidP="00DE1A0F">
      <w:pPr>
        <w:rPr>
          <w:rFonts w:cs="Arial"/>
          <w:sz w:val="20"/>
          <w:szCs w:val="20"/>
        </w:rPr>
      </w:pPr>
    </w:p>
    <w:p w14:paraId="498C05E5" w14:textId="3C8D76D9" w:rsidR="002C67DF" w:rsidRPr="004B06E3" w:rsidRDefault="002C67DF" w:rsidP="00462BB6">
      <w:pPr>
        <w:pStyle w:val="eTRMHeading3"/>
      </w:pPr>
      <w:bookmarkStart w:id="77" w:name="_Toc486490865"/>
      <w:bookmarkStart w:id="78" w:name="_Toc486580936"/>
      <w:bookmarkStart w:id="79" w:name="_Toc42682486"/>
      <w:r w:rsidRPr="004B06E3">
        <w:t xml:space="preserve">Non-Energy </w:t>
      </w:r>
      <w:bookmarkEnd w:id="77"/>
      <w:bookmarkEnd w:id="78"/>
      <w:r w:rsidR="00771458">
        <w:t>Impacts</w:t>
      </w:r>
      <w:bookmarkEnd w:id="79"/>
    </w:p>
    <w:p w14:paraId="1BCB0A7E" w14:textId="684D4154" w:rsidR="002C67DF" w:rsidRDefault="00D92998" w:rsidP="004142EF">
      <w:r>
        <w:t xml:space="preserve">The non-energy impacts for all WEN measures </w:t>
      </w:r>
      <w:proofErr w:type="gramStart"/>
      <w:r>
        <w:t>is</w:t>
      </w:r>
      <w:proofErr w:type="gramEnd"/>
      <w:r>
        <w:t xml:space="preserve"> the </w:t>
      </w:r>
      <w:r w:rsidR="006A7B34">
        <w:t xml:space="preserve">estimated </w:t>
      </w:r>
      <w:r>
        <w:t>water savings</w:t>
      </w:r>
      <w:r w:rsidR="006A7B34">
        <w:t>, as documented in specific IOU WEN workpapers and/or by the MWD</w:t>
      </w:r>
      <w:r>
        <w:t>. Estimated water savings values are input into the Water-Energy Calculator to estimate embedded energy.</w:t>
      </w:r>
    </w:p>
    <w:p w14:paraId="39F978D9" w14:textId="5E0D7014" w:rsidR="00771458" w:rsidRDefault="00771458" w:rsidP="004142EF"/>
    <w:p w14:paraId="7D8551BB" w14:textId="760F7D39" w:rsidR="009C31A4" w:rsidRPr="004B06E3" w:rsidRDefault="009C31A4" w:rsidP="00462BB6">
      <w:pPr>
        <w:pStyle w:val="eTRMHeading3"/>
      </w:pPr>
      <w:bookmarkStart w:id="80" w:name="_Toc42682487"/>
      <w:r>
        <w:t>DEER Differences Analysis</w:t>
      </w:r>
      <w:bookmarkEnd w:id="80"/>
    </w:p>
    <w:p w14:paraId="7486CAC6" w14:textId="77777777" w:rsidR="00D70C60" w:rsidRPr="002914D8" w:rsidRDefault="00D70C60" w:rsidP="00D70C60">
      <w:r w:rsidRPr="002914D8">
        <w:t>This section provides a summary of inputs and methods</w:t>
      </w:r>
      <w:r>
        <w:t xml:space="preserve"> based upon the Database of Energy Efficient Resources (DEER)</w:t>
      </w:r>
      <w:r w:rsidRPr="002914D8">
        <w:t>, and the rationale for inputs and methods that are not DEER-based.</w:t>
      </w:r>
      <w:r>
        <w:t xml:space="preserve"> </w:t>
      </w:r>
    </w:p>
    <w:p w14:paraId="575E579E" w14:textId="77777777" w:rsidR="002C67DF" w:rsidRDefault="002C67DF" w:rsidP="004142EF"/>
    <w:p w14:paraId="756C62FB" w14:textId="6A694E17" w:rsidR="00EA057C" w:rsidRPr="00920905" w:rsidRDefault="00EA057C" w:rsidP="00453E72">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304988" w:rsidRDefault="00EA057C" w:rsidP="00EA057C">
            <w:pPr>
              <w:keepNext/>
              <w:keepLines/>
              <w:tabs>
                <w:tab w:val="right" w:pos="2957"/>
              </w:tabs>
              <w:spacing w:before="20" w:after="20"/>
              <w:rPr>
                <w:rFonts w:cs="Arial"/>
                <w:b/>
                <w:sz w:val="20"/>
                <w:szCs w:val="20"/>
              </w:rPr>
            </w:pPr>
            <w:r w:rsidRPr="00304988">
              <w:rPr>
                <w:rFonts w:cs="Arial"/>
                <w:b/>
                <w:sz w:val="20"/>
                <w:szCs w:val="20"/>
              </w:rPr>
              <w:t>DEER Item</w:t>
            </w:r>
          </w:p>
        </w:tc>
        <w:tc>
          <w:tcPr>
            <w:tcW w:w="3270" w:type="pct"/>
            <w:shd w:val="clear" w:color="auto" w:fill="F2F2F2" w:themeFill="background1" w:themeFillShade="F2"/>
          </w:tcPr>
          <w:p w14:paraId="52AD34D1" w14:textId="0CFF441B" w:rsidR="00EA057C" w:rsidRPr="00304988" w:rsidRDefault="00EA057C" w:rsidP="00EA057C">
            <w:pPr>
              <w:keepNext/>
              <w:keepLines/>
              <w:spacing w:before="20" w:after="20"/>
              <w:rPr>
                <w:rFonts w:cs="Arial"/>
                <w:b/>
                <w:sz w:val="20"/>
                <w:szCs w:val="20"/>
              </w:rPr>
            </w:pPr>
            <w:r w:rsidRPr="00304988">
              <w:rPr>
                <w:rFonts w:cs="Arial"/>
                <w:b/>
                <w:sz w:val="20"/>
                <w:szCs w:val="20"/>
              </w:rPr>
              <w:t>Comment / Used for Workpaper</w:t>
            </w:r>
          </w:p>
        </w:tc>
      </w:tr>
      <w:tr w:rsidR="00304988" w:rsidRPr="00500C4E" w14:paraId="33003020" w14:textId="77777777" w:rsidTr="00EA057C">
        <w:trPr>
          <w:trHeight w:val="20"/>
        </w:trPr>
        <w:tc>
          <w:tcPr>
            <w:tcW w:w="1730" w:type="pct"/>
          </w:tcPr>
          <w:p w14:paraId="1F2D360A" w14:textId="77777777" w:rsidR="00304988" w:rsidRPr="00304988" w:rsidRDefault="00304988" w:rsidP="00304988">
            <w:pPr>
              <w:keepNext/>
              <w:keepLines/>
              <w:spacing w:before="20" w:after="20"/>
              <w:rPr>
                <w:rFonts w:cs="Arial"/>
                <w:sz w:val="20"/>
                <w:szCs w:val="20"/>
              </w:rPr>
            </w:pPr>
            <w:r w:rsidRPr="00304988">
              <w:rPr>
                <w:rFonts w:cs="Arial"/>
                <w:sz w:val="20"/>
                <w:szCs w:val="20"/>
              </w:rPr>
              <w:t>Modified DEER methodology</w:t>
            </w:r>
          </w:p>
        </w:tc>
        <w:tc>
          <w:tcPr>
            <w:tcW w:w="3270" w:type="pct"/>
          </w:tcPr>
          <w:p w14:paraId="247EE411" w14:textId="5F73FF65"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507422EA" w14:textId="77777777" w:rsidTr="00EA057C">
        <w:trPr>
          <w:trHeight w:val="20"/>
        </w:trPr>
        <w:tc>
          <w:tcPr>
            <w:tcW w:w="1730" w:type="pct"/>
          </w:tcPr>
          <w:p w14:paraId="29430E33" w14:textId="77777777" w:rsidR="00304988" w:rsidRPr="00304988" w:rsidRDefault="00304988" w:rsidP="00304988">
            <w:pPr>
              <w:keepNext/>
              <w:keepLines/>
              <w:spacing w:before="20" w:after="20"/>
              <w:rPr>
                <w:rFonts w:cs="Arial"/>
                <w:sz w:val="20"/>
                <w:szCs w:val="20"/>
              </w:rPr>
            </w:pPr>
            <w:r w:rsidRPr="00304988">
              <w:rPr>
                <w:rFonts w:cs="Arial"/>
                <w:sz w:val="20"/>
                <w:szCs w:val="20"/>
              </w:rPr>
              <w:t>Scaled DEER measure</w:t>
            </w:r>
          </w:p>
        </w:tc>
        <w:tc>
          <w:tcPr>
            <w:tcW w:w="3270" w:type="pct"/>
          </w:tcPr>
          <w:p w14:paraId="0C847473" w14:textId="0019B6C3"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335CDE40" w14:textId="77777777" w:rsidTr="00EA057C">
        <w:trPr>
          <w:trHeight w:val="20"/>
        </w:trPr>
        <w:tc>
          <w:tcPr>
            <w:tcW w:w="1730" w:type="pct"/>
          </w:tcPr>
          <w:p w14:paraId="126C3B42" w14:textId="77777777" w:rsidR="00304988" w:rsidRPr="00304988" w:rsidRDefault="00304988" w:rsidP="00304988">
            <w:pPr>
              <w:keepNext/>
              <w:keepLines/>
              <w:spacing w:before="20" w:after="20"/>
              <w:rPr>
                <w:rFonts w:cs="Arial"/>
                <w:sz w:val="20"/>
                <w:szCs w:val="20"/>
              </w:rPr>
            </w:pPr>
            <w:r w:rsidRPr="00304988">
              <w:rPr>
                <w:rFonts w:cs="Arial"/>
                <w:sz w:val="20"/>
                <w:szCs w:val="20"/>
              </w:rPr>
              <w:t>DEER Base Case</w:t>
            </w:r>
          </w:p>
        </w:tc>
        <w:tc>
          <w:tcPr>
            <w:tcW w:w="3270" w:type="pct"/>
          </w:tcPr>
          <w:p w14:paraId="5D2A1B0E" w14:textId="75850DFC"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1F8399E1" w14:textId="77777777" w:rsidTr="00EA057C">
        <w:trPr>
          <w:trHeight w:val="20"/>
        </w:trPr>
        <w:tc>
          <w:tcPr>
            <w:tcW w:w="1730" w:type="pct"/>
          </w:tcPr>
          <w:p w14:paraId="0CC701E3" w14:textId="77777777" w:rsidR="00304988" w:rsidRPr="00304988" w:rsidRDefault="00304988" w:rsidP="00304988">
            <w:pPr>
              <w:keepNext/>
              <w:keepLines/>
              <w:spacing w:before="20" w:after="20"/>
              <w:rPr>
                <w:rFonts w:cs="Arial"/>
                <w:sz w:val="20"/>
                <w:szCs w:val="20"/>
              </w:rPr>
            </w:pPr>
            <w:r w:rsidRPr="00304988">
              <w:rPr>
                <w:rFonts w:cs="Arial"/>
                <w:sz w:val="20"/>
                <w:szCs w:val="20"/>
              </w:rPr>
              <w:t>DEER Measure Case</w:t>
            </w:r>
          </w:p>
        </w:tc>
        <w:tc>
          <w:tcPr>
            <w:tcW w:w="3270" w:type="pct"/>
          </w:tcPr>
          <w:p w14:paraId="49A023A0" w14:textId="0C7670C4"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663742C6" w14:textId="77777777" w:rsidTr="00EA057C">
        <w:trPr>
          <w:trHeight w:val="20"/>
        </w:trPr>
        <w:tc>
          <w:tcPr>
            <w:tcW w:w="1730" w:type="pct"/>
          </w:tcPr>
          <w:p w14:paraId="16B2FDAB" w14:textId="77777777" w:rsidR="00304988" w:rsidRPr="00304988" w:rsidRDefault="00304988" w:rsidP="00304988">
            <w:pPr>
              <w:keepNext/>
              <w:keepLines/>
              <w:spacing w:before="20" w:after="20"/>
              <w:rPr>
                <w:rFonts w:cs="Arial"/>
                <w:sz w:val="20"/>
                <w:szCs w:val="20"/>
              </w:rPr>
            </w:pPr>
            <w:r w:rsidRPr="00304988">
              <w:rPr>
                <w:rFonts w:cs="Arial"/>
                <w:sz w:val="20"/>
                <w:szCs w:val="20"/>
              </w:rPr>
              <w:t>DEER Building Types</w:t>
            </w:r>
          </w:p>
        </w:tc>
        <w:tc>
          <w:tcPr>
            <w:tcW w:w="3270" w:type="pct"/>
          </w:tcPr>
          <w:p w14:paraId="6BBA540C" w14:textId="36D0C5D4" w:rsidR="00304988" w:rsidRPr="005F1AC7" w:rsidRDefault="00304988" w:rsidP="00304988">
            <w:pPr>
              <w:keepNext/>
              <w:keepLines/>
              <w:spacing w:before="20" w:after="20"/>
              <w:rPr>
                <w:rFonts w:cs="Arial"/>
                <w:sz w:val="20"/>
                <w:szCs w:val="20"/>
              </w:rPr>
            </w:pPr>
            <w:r w:rsidRPr="005F1AC7">
              <w:rPr>
                <w:rFonts w:cs="Arial"/>
                <w:sz w:val="20"/>
                <w:szCs w:val="20"/>
              </w:rPr>
              <w:t>Yes</w:t>
            </w:r>
          </w:p>
        </w:tc>
      </w:tr>
      <w:tr w:rsidR="00304988" w:rsidRPr="00500C4E" w14:paraId="424F1325" w14:textId="77777777" w:rsidTr="00EA057C">
        <w:trPr>
          <w:trHeight w:val="20"/>
        </w:trPr>
        <w:tc>
          <w:tcPr>
            <w:tcW w:w="1730" w:type="pct"/>
          </w:tcPr>
          <w:p w14:paraId="71098DDA" w14:textId="77777777" w:rsidR="00304988" w:rsidRPr="00304988" w:rsidRDefault="00304988" w:rsidP="00304988">
            <w:pPr>
              <w:keepNext/>
              <w:keepLines/>
              <w:spacing w:before="20" w:after="20"/>
              <w:rPr>
                <w:rFonts w:cs="Arial"/>
                <w:sz w:val="20"/>
                <w:szCs w:val="20"/>
              </w:rPr>
            </w:pPr>
            <w:r w:rsidRPr="00304988">
              <w:rPr>
                <w:rFonts w:cs="Arial"/>
                <w:sz w:val="20"/>
                <w:szCs w:val="20"/>
              </w:rPr>
              <w:t>DEER Operating Hours</w:t>
            </w:r>
          </w:p>
        </w:tc>
        <w:tc>
          <w:tcPr>
            <w:tcW w:w="3270" w:type="pct"/>
          </w:tcPr>
          <w:p w14:paraId="1693E1EE" w14:textId="02421975" w:rsidR="00304988" w:rsidRPr="005F1AC7"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0B93AD47" w14:textId="77777777" w:rsidTr="00EA057C">
        <w:trPr>
          <w:trHeight w:val="20"/>
        </w:trPr>
        <w:tc>
          <w:tcPr>
            <w:tcW w:w="1730" w:type="pct"/>
          </w:tcPr>
          <w:p w14:paraId="6E9E484F" w14:textId="77777777" w:rsidR="00304988" w:rsidRPr="00304988" w:rsidRDefault="00304988" w:rsidP="00304988">
            <w:pPr>
              <w:keepNext/>
              <w:keepLines/>
              <w:spacing w:before="20" w:after="20"/>
              <w:rPr>
                <w:rFonts w:cs="Arial"/>
                <w:sz w:val="20"/>
                <w:szCs w:val="20"/>
              </w:rPr>
            </w:pPr>
            <w:r w:rsidRPr="00304988">
              <w:rPr>
                <w:rFonts w:cs="Arial"/>
                <w:sz w:val="20"/>
                <w:szCs w:val="20"/>
              </w:rPr>
              <w:t xml:space="preserve">DEER </w:t>
            </w:r>
            <w:proofErr w:type="spellStart"/>
            <w:r w:rsidRPr="00304988">
              <w:rPr>
                <w:rFonts w:cs="Arial"/>
                <w:sz w:val="20"/>
                <w:szCs w:val="20"/>
              </w:rPr>
              <w:t>eQUEST</w:t>
            </w:r>
            <w:proofErr w:type="spellEnd"/>
            <w:r w:rsidRPr="00304988">
              <w:rPr>
                <w:rFonts w:cs="Arial"/>
                <w:sz w:val="20"/>
                <w:szCs w:val="20"/>
              </w:rPr>
              <w:t xml:space="preserve"> Prototypes</w:t>
            </w:r>
          </w:p>
        </w:tc>
        <w:tc>
          <w:tcPr>
            <w:tcW w:w="3270" w:type="pct"/>
          </w:tcPr>
          <w:p w14:paraId="4948DEAF" w14:textId="3CD73CE6" w:rsidR="00304988" w:rsidRPr="005F1AC7" w:rsidDel="00505CEC" w:rsidRDefault="00304988" w:rsidP="00304988">
            <w:pPr>
              <w:keepNext/>
              <w:keepLines/>
              <w:spacing w:before="20" w:after="20"/>
              <w:rPr>
                <w:rFonts w:cs="Arial"/>
                <w:sz w:val="20"/>
                <w:szCs w:val="20"/>
              </w:rPr>
            </w:pPr>
            <w:r w:rsidRPr="005F1AC7">
              <w:rPr>
                <w:rFonts w:cs="Arial"/>
                <w:sz w:val="20"/>
                <w:szCs w:val="20"/>
              </w:rPr>
              <w:t>No</w:t>
            </w:r>
          </w:p>
        </w:tc>
      </w:tr>
      <w:tr w:rsidR="00304988" w:rsidRPr="00500C4E" w14:paraId="2CFDE9D3" w14:textId="77777777" w:rsidTr="00EA057C">
        <w:trPr>
          <w:trHeight w:val="180"/>
        </w:trPr>
        <w:tc>
          <w:tcPr>
            <w:tcW w:w="1730" w:type="pct"/>
          </w:tcPr>
          <w:p w14:paraId="3B6B3E22" w14:textId="77777777" w:rsidR="00304988" w:rsidRPr="00304988" w:rsidRDefault="00304988" w:rsidP="00304988">
            <w:pPr>
              <w:keepNext/>
              <w:keepLines/>
              <w:spacing w:before="20" w:after="20"/>
              <w:rPr>
                <w:rFonts w:cs="Arial"/>
                <w:sz w:val="20"/>
                <w:szCs w:val="20"/>
              </w:rPr>
            </w:pPr>
            <w:r w:rsidRPr="00304988">
              <w:rPr>
                <w:rFonts w:cs="Arial"/>
                <w:sz w:val="20"/>
                <w:szCs w:val="20"/>
              </w:rPr>
              <w:t>DEER Version</w:t>
            </w:r>
          </w:p>
        </w:tc>
        <w:tc>
          <w:tcPr>
            <w:tcW w:w="3270" w:type="pct"/>
          </w:tcPr>
          <w:p w14:paraId="1C3B60D1" w14:textId="6F1B0002" w:rsidR="00304988" w:rsidRPr="005F1AC7" w:rsidRDefault="00304988" w:rsidP="00304988">
            <w:pPr>
              <w:keepNext/>
              <w:keepLines/>
              <w:spacing w:before="20" w:after="20"/>
              <w:rPr>
                <w:rFonts w:cs="Arial"/>
                <w:sz w:val="20"/>
                <w:szCs w:val="20"/>
              </w:rPr>
            </w:pPr>
            <w:r w:rsidRPr="005F1AC7">
              <w:rPr>
                <w:rFonts w:cstheme="minorHAnsi"/>
                <w:sz w:val="20"/>
                <w:szCs w:val="20"/>
              </w:rPr>
              <w:t>DEER 20</w:t>
            </w:r>
            <w:r w:rsidR="00B74344">
              <w:rPr>
                <w:rFonts w:cstheme="minorHAnsi"/>
                <w:sz w:val="20"/>
                <w:szCs w:val="20"/>
              </w:rPr>
              <w:t>2</w:t>
            </w:r>
            <w:r w:rsidR="0005559B">
              <w:rPr>
                <w:rFonts w:cstheme="minorHAnsi"/>
                <w:sz w:val="20"/>
                <w:szCs w:val="20"/>
              </w:rPr>
              <w:t>1</w:t>
            </w:r>
            <w:r w:rsidRPr="005F1AC7">
              <w:rPr>
                <w:rFonts w:cstheme="minorHAnsi"/>
                <w:sz w:val="20"/>
                <w:szCs w:val="20"/>
              </w:rPr>
              <w:t>, READI v2.5.1</w:t>
            </w:r>
          </w:p>
        </w:tc>
      </w:tr>
      <w:tr w:rsidR="00304988" w:rsidRPr="00500C4E" w14:paraId="3B7464D7" w14:textId="77777777" w:rsidTr="00EA057C">
        <w:trPr>
          <w:trHeight w:val="20"/>
        </w:trPr>
        <w:tc>
          <w:tcPr>
            <w:tcW w:w="1730" w:type="pct"/>
          </w:tcPr>
          <w:p w14:paraId="24000A76" w14:textId="77777777" w:rsidR="00304988" w:rsidRPr="00304988" w:rsidRDefault="00304988" w:rsidP="00304988">
            <w:pPr>
              <w:keepNext/>
              <w:keepLines/>
              <w:spacing w:before="20" w:after="20"/>
              <w:rPr>
                <w:rFonts w:cs="Arial"/>
                <w:sz w:val="20"/>
                <w:szCs w:val="20"/>
              </w:rPr>
            </w:pPr>
            <w:r w:rsidRPr="00304988">
              <w:rPr>
                <w:rFonts w:cs="Arial"/>
                <w:sz w:val="20"/>
                <w:szCs w:val="20"/>
              </w:rPr>
              <w:t>Reason for Deviation from DEER</w:t>
            </w:r>
          </w:p>
        </w:tc>
        <w:tc>
          <w:tcPr>
            <w:tcW w:w="3270" w:type="pct"/>
          </w:tcPr>
          <w:p w14:paraId="125AAB90" w14:textId="6C1A7AED" w:rsidR="00304988" w:rsidRPr="005F1AC7" w:rsidRDefault="00304988" w:rsidP="00304988">
            <w:pPr>
              <w:keepNext/>
              <w:keepLines/>
              <w:spacing w:before="20" w:after="20"/>
              <w:rPr>
                <w:rFonts w:cs="Arial"/>
                <w:sz w:val="20"/>
                <w:szCs w:val="20"/>
              </w:rPr>
            </w:pPr>
            <w:r w:rsidRPr="005F1AC7">
              <w:rPr>
                <w:rFonts w:cs="Arial"/>
                <w:sz w:val="20"/>
                <w:szCs w:val="20"/>
              </w:rPr>
              <w:t>DEER does not contain embedded energy savings for WEN measures</w:t>
            </w:r>
          </w:p>
        </w:tc>
      </w:tr>
      <w:tr w:rsidR="00304988" w:rsidRPr="00500C4E" w14:paraId="4A7EE859" w14:textId="77777777" w:rsidTr="00EA057C">
        <w:trPr>
          <w:trHeight w:val="20"/>
        </w:trPr>
        <w:tc>
          <w:tcPr>
            <w:tcW w:w="1730" w:type="pct"/>
          </w:tcPr>
          <w:p w14:paraId="7B4D686A" w14:textId="77777777" w:rsidR="00304988" w:rsidRPr="00304988" w:rsidRDefault="00304988" w:rsidP="00304988">
            <w:pPr>
              <w:keepNext/>
              <w:keepLines/>
              <w:spacing w:before="20" w:after="20"/>
              <w:rPr>
                <w:rFonts w:cs="Arial"/>
                <w:sz w:val="20"/>
                <w:szCs w:val="20"/>
              </w:rPr>
            </w:pPr>
            <w:r w:rsidRPr="00304988">
              <w:rPr>
                <w:rFonts w:cs="Arial"/>
                <w:sz w:val="20"/>
                <w:szCs w:val="20"/>
              </w:rPr>
              <w:t>DEER Measure IDs Used</w:t>
            </w:r>
          </w:p>
        </w:tc>
        <w:tc>
          <w:tcPr>
            <w:tcW w:w="3270" w:type="pct"/>
          </w:tcPr>
          <w:p w14:paraId="63ABA251" w14:textId="50156A75" w:rsidR="00304988" w:rsidRPr="005F1AC7" w:rsidRDefault="00304988" w:rsidP="00304988">
            <w:pPr>
              <w:keepNext/>
              <w:keepLines/>
              <w:spacing w:before="20" w:after="20"/>
              <w:rPr>
                <w:rFonts w:cs="Arial"/>
                <w:sz w:val="20"/>
                <w:szCs w:val="20"/>
              </w:rPr>
            </w:pPr>
            <w:r w:rsidRPr="005F1AC7">
              <w:rPr>
                <w:rFonts w:cs="Arial"/>
                <w:sz w:val="20"/>
                <w:szCs w:val="20"/>
              </w:rPr>
              <w:t>N/A</w:t>
            </w:r>
          </w:p>
        </w:tc>
      </w:tr>
      <w:tr w:rsidR="00EA057C" w:rsidRPr="00500C4E" w14:paraId="5A83EC74" w14:textId="77777777" w:rsidTr="00EA057C">
        <w:trPr>
          <w:trHeight w:val="20"/>
        </w:trPr>
        <w:tc>
          <w:tcPr>
            <w:tcW w:w="1730" w:type="pct"/>
          </w:tcPr>
          <w:p w14:paraId="2C82A9E0" w14:textId="121308D7" w:rsidR="00EA057C" w:rsidRPr="00304988" w:rsidRDefault="00EA057C" w:rsidP="00EA057C">
            <w:pPr>
              <w:keepNext/>
              <w:keepLines/>
              <w:spacing w:before="20" w:after="20"/>
              <w:rPr>
                <w:rFonts w:cs="Arial"/>
                <w:sz w:val="20"/>
                <w:szCs w:val="20"/>
              </w:rPr>
            </w:pPr>
            <w:r w:rsidRPr="00304988">
              <w:rPr>
                <w:rFonts w:cs="Arial"/>
                <w:sz w:val="20"/>
                <w:szCs w:val="20"/>
              </w:rPr>
              <w:t>NTG</w:t>
            </w:r>
          </w:p>
        </w:tc>
        <w:tc>
          <w:tcPr>
            <w:tcW w:w="3270" w:type="pct"/>
          </w:tcPr>
          <w:p w14:paraId="2BBBB10C" w14:textId="1BCDB330" w:rsidR="00EA057C" w:rsidRPr="00304988" w:rsidRDefault="00D92998" w:rsidP="00EA057C">
            <w:pPr>
              <w:keepNext/>
              <w:keepLines/>
              <w:spacing w:before="20" w:after="20"/>
              <w:rPr>
                <w:rFonts w:cs="Arial"/>
                <w:sz w:val="20"/>
                <w:szCs w:val="20"/>
              </w:rPr>
            </w:pPr>
            <w:r>
              <w:rPr>
                <w:rFonts w:cs="Arial"/>
                <w:sz w:val="20"/>
                <w:szCs w:val="20"/>
              </w:rPr>
              <w:t>(Specified for each WEN measure)</w:t>
            </w:r>
          </w:p>
        </w:tc>
      </w:tr>
      <w:tr w:rsidR="00EA057C" w:rsidRPr="00500C4E" w14:paraId="131D1F9D" w14:textId="77777777" w:rsidTr="00EA057C">
        <w:trPr>
          <w:trHeight w:val="20"/>
        </w:trPr>
        <w:tc>
          <w:tcPr>
            <w:tcW w:w="1730" w:type="pct"/>
          </w:tcPr>
          <w:p w14:paraId="45FFA983" w14:textId="5F527A83" w:rsidR="00EA057C" w:rsidRPr="00304988" w:rsidRDefault="00EA057C" w:rsidP="00EA057C">
            <w:pPr>
              <w:keepNext/>
              <w:keepLines/>
              <w:spacing w:before="20" w:after="20"/>
              <w:rPr>
                <w:rFonts w:cs="Arial"/>
                <w:sz w:val="20"/>
                <w:szCs w:val="20"/>
              </w:rPr>
            </w:pPr>
            <w:r w:rsidRPr="00304988">
              <w:rPr>
                <w:rFonts w:cs="Arial"/>
                <w:sz w:val="20"/>
                <w:szCs w:val="20"/>
              </w:rPr>
              <w:t>GSIA</w:t>
            </w:r>
          </w:p>
        </w:tc>
        <w:tc>
          <w:tcPr>
            <w:tcW w:w="3270" w:type="pct"/>
          </w:tcPr>
          <w:p w14:paraId="7C16D603" w14:textId="2DF918BE" w:rsidR="00EA057C" w:rsidRPr="00304988" w:rsidRDefault="00D92998" w:rsidP="00EA057C">
            <w:pPr>
              <w:keepNext/>
              <w:keepLines/>
              <w:spacing w:before="20" w:after="20"/>
              <w:rPr>
                <w:rFonts w:cs="Arial"/>
                <w:sz w:val="20"/>
                <w:szCs w:val="20"/>
              </w:rPr>
            </w:pPr>
            <w:r w:rsidRPr="00552EAA">
              <w:rPr>
                <w:rFonts w:cstheme="minorHAnsi"/>
                <w:sz w:val="20"/>
                <w:szCs w:val="20"/>
              </w:rPr>
              <w:t>Def-GSIA</w:t>
            </w:r>
          </w:p>
        </w:tc>
      </w:tr>
      <w:tr w:rsidR="00EA057C" w:rsidRPr="00500C4E" w14:paraId="4D0F7E1B" w14:textId="77777777" w:rsidTr="00EA057C">
        <w:trPr>
          <w:trHeight w:val="20"/>
        </w:trPr>
        <w:tc>
          <w:tcPr>
            <w:tcW w:w="1730" w:type="pct"/>
          </w:tcPr>
          <w:p w14:paraId="103BA947" w14:textId="6665B2EA" w:rsidR="00EA057C" w:rsidRPr="00304988" w:rsidRDefault="00EA057C" w:rsidP="00EA057C">
            <w:pPr>
              <w:keepNext/>
              <w:keepLines/>
              <w:spacing w:before="20" w:after="20"/>
              <w:rPr>
                <w:rFonts w:cs="Arial"/>
                <w:sz w:val="20"/>
                <w:szCs w:val="20"/>
              </w:rPr>
            </w:pPr>
            <w:r w:rsidRPr="00304988">
              <w:rPr>
                <w:rFonts w:cs="Arial"/>
                <w:sz w:val="20"/>
                <w:szCs w:val="20"/>
              </w:rPr>
              <w:t>EUL/RUL</w:t>
            </w:r>
          </w:p>
        </w:tc>
        <w:tc>
          <w:tcPr>
            <w:tcW w:w="3270" w:type="pct"/>
          </w:tcPr>
          <w:p w14:paraId="5BD9C961" w14:textId="18AEEC0A" w:rsidR="00EA057C" w:rsidRPr="00304988" w:rsidRDefault="00D92998" w:rsidP="00EA057C">
            <w:pPr>
              <w:keepNext/>
              <w:keepLines/>
              <w:spacing w:before="20" w:after="20"/>
              <w:rPr>
                <w:rFonts w:cs="Arial"/>
                <w:sz w:val="20"/>
                <w:szCs w:val="20"/>
              </w:rPr>
            </w:pPr>
            <w:r>
              <w:rPr>
                <w:rFonts w:cs="Arial"/>
                <w:sz w:val="20"/>
                <w:szCs w:val="20"/>
              </w:rPr>
              <w:t>(Specified for each WEN measure)</w:t>
            </w:r>
          </w:p>
        </w:tc>
      </w:tr>
    </w:tbl>
    <w:p w14:paraId="3D440479" w14:textId="26A911F9" w:rsidR="001D72E7" w:rsidRDefault="001D72E7" w:rsidP="004142EF"/>
    <w:p w14:paraId="3F23386D" w14:textId="77777777" w:rsidR="001D72E7" w:rsidRDefault="001D72E7">
      <w:pPr>
        <w:spacing w:before="0" w:after="0" w:line="240" w:lineRule="auto"/>
      </w:pPr>
      <w:r>
        <w:br w:type="page"/>
      </w:r>
    </w:p>
    <w:p w14:paraId="3DF75F79" w14:textId="77777777" w:rsidR="00C53326" w:rsidRPr="001D72E7" w:rsidRDefault="00C53326" w:rsidP="00120631">
      <w:pPr>
        <w:keepNext/>
        <w:spacing w:before="240" w:after="0" w:line="240" w:lineRule="auto"/>
        <w:outlineLvl w:val="0"/>
        <w:rPr>
          <w:rFonts w:ascii="Calibri" w:eastAsia="Times New Roman" w:hAnsi="Calibri" w:cs="Arial"/>
          <w:b/>
          <w:bCs/>
          <w:smallCaps/>
          <w:kern w:val="32"/>
          <w:sz w:val="36"/>
          <w:szCs w:val="32"/>
        </w:rPr>
      </w:pPr>
      <w:r w:rsidRPr="001D72E7">
        <w:rPr>
          <w:rFonts w:ascii="Calibri" w:eastAsia="Times New Roman" w:hAnsi="Calibri" w:cs="Arial"/>
          <w:b/>
          <w:bCs/>
          <w:smallCaps/>
          <w:kern w:val="32"/>
          <w:sz w:val="36"/>
          <w:szCs w:val="32"/>
        </w:rPr>
        <w:lastRenderedPageBreak/>
        <w:t>Revision History</w:t>
      </w:r>
    </w:p>
    <w:tbl>
      <w:tblPr>
        <w:tblStyle w:val="TableGrid11"/>
        <w:tblW w:w="5000" w:type="pct"/>
        <w:tblLook w:val="01E0" w:firstRow="1" w:lastRow="1" w:firstColumn="1" w:lastColumn="1" w:noHBand="0" w:noVBand="0"/>
      </w:tblPr>
      <w:tblGrid>
        <w:gridCol w:w="545"/>
        <w:gridCol w:w="1278"/>
        <w:gridCol w:w="1216"/>
        <w:gridCol w:w="6311"/>
      </w:tblGrid>
      <w:tr w:rsidR="00C53326" w:rsidRPr="00C53326" w14:paraId="412F6C1E" w14:textId="77777777" w:rsidTr="00374BFE">
        <w:trPr>
          <w:trHeight w:val="20"/>
        </w:trPr>
        <w:tc>
          <w:tcPr>
            <w:tcW w:w="291" w:type="pct"/>
            <w:shd w:val="clear" w:color="auto" w:fill="D9D9D9"/>
          </w:tcPr>
          <w:p w14:paraId="5616676B" w14:textId="77777777" w:rsidR="00C53326" w:rsidRPr="00C53326" w:rsidRDefault="00C53326" w:rsidP="00C53326">
            <w:pPr>
              <w:spacing w:before="0" w:after="0" w:line="240" w:lineRule="auto"/>
              <w:rPr>
                <w:rFonts w:ascii="Calibri" w:hAnsi="Calibri" w:cs="Calibri"/>
                <w:bCs/>
              </w:rPr>
            </w:pPr>
            <w:r w:rsidRPr="00C53326">
              <w:rPr>
                <w:rFonts w:ascii="Calibri" w:hAnsi="Calibri" w:cs="Calibri"/>
              </w:rPr>
              <w:t>Rev</w:t>
            </w:r>
          </w:p>
        </w:tc>
        <w:tc>
          <w:tcPr>
            <w:tcW w:w="683" w:type="pct"/>
            <w:shd w:val="clear" w:color="auto" w:fill="D9D9D9"/>
          </w:tcPr>
          <w:p w14:paraId="348A5222" w14:textId="77777777" w:rsidR="00C53326" w:rsidRPr="00C53326" w:rsidRDefault="00C53326" w:rsidP="00C53326">
            <w:pPr>
              <w:spacing w:before="0" w:after="0" w:line="240" w:lineRule="auto"/>
              <w:rPr>
                <w:rFonts w:ascii="Calibri" w:hAnsi="Calibri" w:cs="Calibri"/>
                <w:bCs/>
              </w:rPr>
            </w:pPr>
            <w:r w:rsidRPr="00C53326">
              <w:rPr>
                <w:rFonts w:ascii="Calibri" w:hAnsi="Calibri" w:cs="Calibri"/>
              </w:rPr>
              <w:t>Date</w:t>
            </w:r>
          </w:p>
        </w:tc>
        <w:tc>
          <w:tcPr>
            <w:tcW w:w="651" w:type="pct"/>
            <w:shd w:val="clear" w:color="auto" w:fill="D9D9D9"/>
          </w:tcPr>
          <w:p w14:paraId="397DA929" w14:textId="77777777" w:rsidR="00C53326" w:rsidRPr="00C53326" w:rsidRDefault="00C53326" w:rsidP="00C53326">
            <w:pPr>
              <w:spacing w:before="0" w:after="0" w:line="240" w:lineRule="auto"/>
              <w:rPr>
                <w:rFonts w:ascii="Calibri" w:hAnsi="Calibri" w:cs="Calibri"/>
                <w:bCs/>
              </w:rPr>
            </w:pPr>
            <w:r w:rsidRPr="00C53326">
              <w:rPr>
                <w:rFonts w:ascii="Calibri" w:hAnsi="Calibri" w:cs="Calibri"/>
              </w:rPr>
              <w:t>Author</w:t>
            </w:r>
          </w:p>
        </w:tc>
        <w:tc>
          <w:tcPr>
            <w:tcW w:w="3374" w:type="pct"/>
            <w:shd w:val="clear" w:color="auto" w:fill="D9D9D9"/>
          </w:tcPr>
          <w:p w14:paraId="24CF5653" w14:textId="77777777" w:rsidR="00C53326" w:rsidRPr="00C53326" w:rsidRDefault="00C53326" w:rsidP="00C53326">
            <w:pPr>
              <w:spacing w:before="0" w:after="0" w:line="240" w:lineRule="auto"/>
              <w:rPr>
                <w:rFonts w:ascii="Calibri" w:hAnsi="Calibri" w:cs="Calibri"/>
                <w:bCs/>
              </w:rPr>
            </w:pPr>
            <w:r w:rsidRPr="00C53326">
              <w:rPr>
                <w:rFonts w:ascii="Calibri" w:hAnsi="Calibri" w:cs="Calibri"/>
              </w:rPr>
              <w:t>Summary of Changes</w:t>
            </w:r>
          </w:p>
        </w:tc>
      </w:tr>
      <w:tr w:rsidR="00374BFE" w:rsidRPr="00C53326" w14:paraId="56462A08" w14:textId="77777777" w:rsidTr="00374BFE">
        <w:trPr>
          <w:trHeight w:val="20"/>
        </w:trPr>
        <w:tc>
          <w:tcPr>
            <w:tcW w:w="291" w:type="pct"/>
            <w:vMerge w:val="restart"/>
            <w:vAlign w:val="center"/>
          </w:tcPr>
          <w:p w14:paraId="53539D0E" w14:textId="6C8BF200" w:rsidR="00374BFE" w:rsidRPr="00C53326" w:rsidRDefault="00374BFE" w:rsidP="00C53326">
            <w:pPr>
              <w:spacing w:before="0" w:after="0" w:line="240" w:lineRule="auto"/>
              <w:rPr>
                <w:rFonts w:ascii="Calibri" w:hAnsi="Calibri" w:cs="Calibri"/>
              </w:rPr>
            </w:pPr>
          </w:p>
        </w:tc>
        <w:tc>
          <w:tcPr>
            <w:tcW w:w="683" w:type="pct"/>
            <w:vAlign w:val="center"/>
          </w:tcPr>
          <w:p w14:paraId="49BCF9FA" w14:textId="77777777" w:rsidR="00374BFE" w:rsidRPr="00E6780F" w:rsidRDefault="00374BFE" w:rsidP="00C53326">
            <w:pPr>
              <w:spacing w:before="0" w:after="0" w:line="240" w:lineRule="auto"/>
              <w:rPr>
                <w:rFonts w:ascii="Calibri" w:hAnsi="Calibri" w:cs="Calibri"/>
                <w:szCs w:val="22"/>
              </w:rPr>
            </w:pPr>
            <w:r w:rsidRPr="00E6780F">
              <w:rPr>
                <w:rFonts w:ascii="Calibri" w:hAnsi="Calibri" w:cs="Calibri"/>
                <w:szCs w:val="22"/>
              </w:rPr>
              <w:t>04/21/17</w:t>
            </w:r>
          </w:p>
        </w:tc>
        <w:tc>
          <w:tcPr>
            <w:tcW w:w="651" w:type="pct"/>
            <w:vAlign w:val="center"/>
          </w:tcPr>
          <w:p w14:paraId="71CEC821" w14:textId="77777777" w:rsidR="00374BFE" w:rsidRPr="00E6780F" w:rsidRDefault="00374BFE" w:rsidP="00C53326">
            <w:pPr>
              <w:spacing w:before="0" w:after="0" w:line="240" w:lineRule="auto"/>
              <w:rPr>
                <w:rFonts w:ascii="Calibri" w:hAnsi="Calibri" w:cs="Calibri"/>
                <w:szCs w:val="22"/>
              </w:rPr>
            </w:pPr>
            <w:r w:rsidRPr="00E6780F">
              <w:rPr>
                <w:rFonts w:ascii="Calibri" w:hAnsi="Calibri" w:cs="Calibri"/>
                <w:szCs w:val="22"/>
              </w:rPr>
              <w:t>RMS Energy Consulting, LLC</w:t>
            </w:r>
          </w:p>
        </w:tc>
        <w:tc>
          <w:tcPr>
            <w:tcW w:w="3374" w:type="pct"/>
            <w:vAlign w:val="center"/>
          </w:tcPr>
          <w:p w14:paraId="24E091CD" w14:textId="6E83C3E1" w:rsidR="00374BFE" w:rsidRPr="00E6780F" w:rsidRDefault="00374BFE" w:rsidP="00C53326">
            <w:pPr>
              <w:spacing w:before="0" w:after="0" w:line="240" w:lineRule="auto"/>
              <w:rPr>
                <w:rFonts w:ascii="Calibri" w:hAnsi="Calibri"/>
                <w:szCs w:val="22"/>
              </w:rPr>
            </w:pPr>
            <w:r w:rsidRPr="00E6780F">
              <w:rPr>
                <w:rFonts w:ascii="Calibri" w:hAnsi="Calibri"/>
                <w:szCs w:val="22"/>
              </w:rPr>
              <w:t>New SDG&amp;E Workpaper</w:t>
            </w:r>
            <w:r w:rsidR="00020CA9" w:rsidRPr="00E6780F">
              <w:rPr>
                <w:rFonts w:ascii="Calibri" w:hAnsi="Calibri"/>
                <w:szCs w:val="22"/>
              </w:rPr>
              <w:t xml:space="preserve"> WPSDGEWEN00</w:t>
            </w:r>
            <w:r w:rsidR="001F12B4" w:rsidRPr="00E6780F">
              <w:rPr>
                <w:rFonts w:ascii="Calibri" w:hAnsi="Calibri"/>
                <w:szCs w:val="22"/>
              </w:rPr>
              <w:t>0</w:t>
            </w:r>
            <w:r w:rsidR="00020CA9" w:rsidRPr="00E6780F">
              <w:rPr>
                <w:rFonts w:ascii="Calibri" w:hAnsi="Calibri"/>
                <w:szCs w:val="22"/>
              </w:rPr>
              <w:t>1-</w:t>
            </w:r>
            <w:r w:rsidR="001F12B4" w:rsidRPr="00E6780F">
              <w:rPr>
                <w:rFonts w:ascii="Calibri" w:hAnsi="Calibri"/>
                <w:szCs w:val="22"/>
              </w:rPr>
              <w:t>1</w:t>
            </w:r>
            <w:r w:rsidRPr="00E6780F">
              <w:rPr>
                <w:rFonts w:ascii="Calibri" w:hAnsi="Calibri"/>
                <w:szCs w:val="22"/>
              </w:rPr>
              <w:t>.</w:t>
            </w:r>
          </w:p>
        </w:tc>
      </w:tr>
      <w:tr w:rsidR="00374BFE" w:rsidRPr="00C53326" w14:paraId="21652728" w14:textId="77777777" w:rsidTr="00374BFE">
        <w:trPr>
          <w:trHeight w:val="20"/>
        </w:trPr>
        <w:tc>
          <w:tcPr>
            <w:tcW w:w="291" w:type="pct"/>
            <w:vMerge/>
            <w:vAlign w:val="center"/>
          </w:tcPr>
          <w:p w14:paraId="5CC75676" w14:textId="4FCFDBBE" w:rsidR="00374BFE" w:rsidRPr="00C53326" w:rsidRDefault="00374BFE" w:rsidP="00C53326">
            <w:pPr>
              <w:spacing w:before="0" w:after="0" w:line="240" w:lineRule="auto"/>
              <w:rPr>
                <w:rFonts w:ascii="Calibri" w:hAnsi="Calibri" w:cs="Calibri"/>
              </w:rPr>
            </w:pPr>
          </w:p>
        </w:tc>
        <w:tc>
          <w:tcPr>
            <w:tcW w:w="683" w:type="pct"/>
            <w:vAlign w:val="center"/>
          </w:tcPr>
          <w:p w14:paraId="664CD9BC" w14:textId="77777777" w:rsidR="00374BFE" w:rsidRPr="00E6780F" w:rsidRDefault="00374BFE" w:rsidP="00C53326">
            <w:pPr>
              <w:spacing w:before="0" w:after="0" w:line="240" w:lineRule="auto"/>
              <w:rPr>
                <w:rFonts w:ascii="Calibri" w:hAnsi="Calibri" w:cs="Calibri"/>
                <w:szCs w:val="22"/>
              </w:rPr>
            </w:pPr>
            <w:r w:rsidRPr="00E6780F">
              <w:rPr>
                <w:rFonts w:ascii="Calibri" w:hAnsi="Calibri" w:cs="Calibri"/>
                <w:szCs w:val="22"/>
              </w:rPr>
              <w:t>09/17/19</w:t>
            </w:r>
          </w:p>
        </w:tc>
        <w:tc>
          <w:tcPr>
            <w:tcW w:w="651" w:type="pct"/>
            <w:vAlign w:val="center"/>
          </w:tcPr>
          <w:p w14:paraId="2D49FE94" w14:textId="77777777" w:rsidR="00374BFE" w:rsidRPr="00E6780F" w:rsidRDefault="00374BFE" w:rsidP="00C53326">
            <w:pPr>
              <w:spacing w:before="0" w:after="0" w:line="240" w:lineRule="auto"/>
              <w:rPr>
                <w:rFonts w:ascii="Calibri" w:hAnsi="Calibri" w:cs="Calibri"/>
                <w:szCs w:val="22"/>
              </w:rPr>
            </w:pPr>
            <w:r w:rsidRPr="00E6780F">
              <w:rPr>
                <w:rFonts w:ascii="Calibri" w:hAnsi="Calibri" w:cs="Calibri"/>
                <w:szCs w:val="22"/>
              </w:rPr>
              <w:t>RMS Energy Consulting, LLC</w:t>
            </w:r>
          </w:p>
        </w:tc>
        <w:tc>
          <w:tcPr>
            <w:tcW w:w="3374" w:type="pct"/>
            <w:vAlign w:val="center"/>
          </w:tcPr>
          <w:p w14:paraId="0AB84238" w14:textId="6D41F73D" w:rsidR="00374BFE" w:rsidRPr="00E6780F" w:rsidRDefault="00374BFE" w:rsidP="00C53326">
            <w:pPr>
              <w:numPr>
                <w:ilvl w:val="0"/>
                <w:numId w:val="26"/>
              </w:numPr>
              <w:spacing w:before="0" w:after="0" w:line="240" w:lineRule="auto"/>
              <w:contextualSpacing/>
              <w:rPr>
                <w:rFonts w:ascii="Calibri" w:hAnsi="Calibri"/>
                <w:szCs w:val="22"/>
              </w:rPr>
            </w:pPr>
            <w:r w:rsidRPr="00E6780F">
              <w:rPr>
                <w:rFonts w:ascii="Calibri" w:hAnsi="Calibri"/>
                <w:szCs w:val="22"/>
              </w:rPr>
              <w:t xml:space="preserve">WEN Master Spreadsheet was updated to correct typos on naming on worksheets. </w:t>
            </w:r>
          </w:p>
          <w:p w14:paraId="59D118A3" w14:textId="77777777" w:rsidR="00374BFE" w:rsidRPr="00E6780F" w:rsidRDefault="00374BFE" w:rsidP="00C53326">
            <w:pPr>
              <w:numPr>
                <w:ilvl w:val="0"/>
                <w:numId w:val="26"/>
              </w:numPr>
              <w:spacing w:before="0" w:after="0" w:line="240" w:lineRule="auto"/>
              <w:contextualSpacing/>
              <w:rPr>
                <w:rFonts w:ascii="Calibri" w:hAnsi="Calibri"/>
                <w:szCs w:val="22"/>
              </w:rPr>
            </w:pPr>
            <w:r w:rsidRPr="00E6780F">
              <w:rPr>
                <w:rFonts w:ascii="Calibri" w:hAnsi="Calibri"/>
                <w:szCs w:val="22"/>
              </w:rPr>
              <w:t>MWD commercial large rotary nozzle savings were corrected.</w:t>
            </w:r>
          </w:p>
          <w:p w14:paraId="45AB0B31" w14:textId="77777777" w:rsidR="00374BFE" w:rsidRPr="00E6780F" w:rsidRDefault="00374BFE" w:rsidP="00C53326">
            <w:pPr>
              <w:numPr>
                <w:ilvl w:val="0"/>
                <w:numId w:val="26"/>
              </w:numPr>
              <w:spacing w:before="0" w:after="0" w:line="240" w:lineRule="auto"/>
              <w:contextualSpacing/>
              <w:rPr>
                <w:rFonts w:ascii="Calibri" w:hAnsi="Calibri"/>
                <w:szCs w:val="22"/>
              </w:rPr>
            </w:pPr>
            <w:r w:rsidRPr="00E6780F">
              <w:rPr>
                <w:rFonts w:ascii="Calibri" w:hAnsi="Calibri"/>
                <w:szCs w:val="22"/>
              </w:rPr>
              <w:t xml:space="preserve">Applicable MWD outdoor measures were updated from urban to agricultural sector. </w:t>
            </w:r>
          </w:p>
          <w:p w14:paraId="4DD938CE" w14:textId="77777777" w:rsidR="00374BFE" w:rsidRPr="00E6780F" w:rsidRDefault="00374BFE" w:rsidP="00C53326">
            <w:pPr>
              <w:numPr>
                <w:ilvl w:val="0"/>
                <w:numId w:val="26"/>
              </w:numPr>
              <w:spacing w:before="0" w:after="0" w:line="240" w:lineRule="auto"/>
              <w:contextualSpacing/>
              <w:rPr>
                <w:rFonts w:ascii="Calibri" w:hAnsi="Calibri"/>
                <w:szCs w:val="22"/>
              </w:rPr>
            </w:pPr>
            <w:r w:rsidRPr="00E6780F">
              <w:rPr>
                <w:rFonts w:ascii="Calibri" w:hAnsi="Calibri"/>
                <w:szCs w:val="22"/>
              </w:rPr>
              <w:t>Master List Measures includes 110 WEN measures identified in the 2019-09-17 WEN Master Spreadsheet</w:t>
            </w:r>
          </w:p>
        </w:tc>
      </w:tr>
      <w:tr w:rsidR="00120631" w:rsidRPr="00C53326" w14:paraId="2A859CAC" w14:textId="77777777" w:rsidTr="00374BFE">
        <w:trPr>
          <w:trHeight w:val="20"/>
        </w:trPr>
        <w:tc>
          <w:tcPr>
            <w:tcW w:w="291" w:type="pct"/>
            <w:vAlign w:val="center"/>
          </w:tcPr>
          <w:p w14:paraId="4DD3B335" w14:textId="07A553C9" w:rsidR="00120631" w:rsidRPr="00C53326" w:rsidRDefault="00374BFE" w:rsidP="00C53326">
            <w:pPr>
              <w:spacing w:before="0" w:after="0" w:line="240" w:lineRule="auto"/>
              <w:rPr>
                <w:rFonts w:ascii="Calibri" w:hAnsi="Calibri" w:cs="Calibri"/>
              </w:rPr>
            </w:pPr>
            <w:r>
              <w:rPr>
                <w:rFonts w:ascii="Calibri" w:hAnsi="Calibri" w:cs="Calibri"/>
              </w:rPr>
              <w:t>1</w:t>
            </w:r>
          </w:p>
        </w:tc>
        <w:tc>
          <w:tcPr>
            <w:tcW w:w="683" w:type="pct"/>
            <w:vAlign w:val="center"/>
          </w:tcPr>
          <w:p w14:paraId="4D8EE054" w14:textId="2FEAA7F6" w:rsidR="00120631" w:rsidRPr="00E6780F" w:rsidRDefault="00846F9B" w:rsidP="00C53326">
            <w:pPr>
              <w:spacing w:before="0" w:after="0" w:line="240" w:lineRule="auto"/>
              <w:rPr>
                <w:rFonts w:ascii="Calibri" w:hAnsi="Calibri" w:cs="Calibri"/>
                <w:szCs w:val="22"/>
              </w:rPr>
            </w:pPr>
            <w:r w:rsidRPr="00E6780F">
              <w:rPr>
                <w:rFonts w:ascii="Calibri" w:hAnsi="Calibri" w:cs="Calibri"/>
                <w:szCs w:val="22"/>
              </w:rPr>
              <w:t>07/20/2020</w:t>
            </w:r>
          </w:p>
        </w:tc>
        <w:tc>
          <w:tcPr>
            <w:tcW w:w="651" w:type="pct"/>
            <w:vAlign w:val="center"/>
          </w:tcPr>
          <w:p w14:paraId="6CD21D01" w14:textId="77777777" w:rsidR="00120631" w:rsidRPr="00E6780F" w:rsidRDefault="00846F9B" w:rsidP="00C53326">
            <w:pPr>
              <w:spacing w:before="0" w:after="0" w:line="240" w:lineRule="auto"/>
              <w:rPr>
                <w:rFonts w:ascii="Calibri" w:hAnsi="Calibri" w:cs="Calibri"/>
                <w:szCs w:val="22"/>
              </w:rPr>
            </w:pPr>
            <w:r w:rsidRPr="00E6780F">
              <w:rPr>
                <w:rFonts w:ascii="Calibri" w:hAnsi="Calibri" w:cs="Calibri"/>
                <w:szCs w:val="22"/>
              </w:rPr>
              <w:t xml:space="preserve">RMS Energy Consulting, </w:t>
            </w:r>
          </w:p>
          <w:p w14:paraId="7D40DBD1" w14:textId="48A6191D" w:rsidR="00846F9B" w:rsidRPr="00E6780F" w:rsidRDefault="00846F9B" w:rsidP="00C53326">
            <w:pPr>
              <w:spacing w:before="0" w:after="0" w:line="240" w:lineRule="auto"/>
              <w:rPr>
                <w:rFonts w:ascii="Calibri" w:hAnsi="Calibri" w:cs="Calibri"/>
                <w:szCs w:val="22"/>
              </w:rPr>
            </w:pPr>
            <w:r w:rsidRPr="00E6780F">
              <w:rPr>
                <w:rFonts w:ascii="Calibri" w:hAnsi="Calibri" w:cs="Calibri"/>
                <w:szCs w:val="22"/>
              </w:rPr>
              <w:t>LLC</w:t>
            </w:r>
          </w:p>
        </w:tc>
        <w:tc>
          <w:tcPr>
            <w:tcW w:w="3374" w:type="pct"/>
            <w:vAlign w:val="center"/>
          </w:tcPr>
          <w:p w14:paraId="3C3DD0F2" w14:textId="31AC61A1" w:rsidR="00120631" w:rsidRPr="00E6780F" w:rsidRDefault="00846F9B" w:rsidP="00846F9B">
            <w:pPr>
              <w:spacing w:before="0" w:after="0" w:line="240" w:lineRule="auto"/>
              <w:contextualSpacing/>
              <w:rPr>
                <w:rFonts w:ascii="Calibri" w:hAnsi="Calibri"/>
                <w:szCs w:val="22"/>
              </w:rPr>
            </w:pPr>
            <w:r w:rsidRPr="00E6780F">
              <w:rPr>
                <w:rFonts w:ascii="Calibri" w:hAnsi="Calibri"/>
                <w:szCs w:val="22"/>
              </w:rPr>
              <w:t xml:space="preserve">Updated </w:t>
            </w:r>
            <w:r w:rsidR="00FA4244" w:rsidRPr="00E6780F">
              <w:rPr>
                <w:rFonts w:ascii="Calibri" w:hAnsi="Calibri"/>
                <w:szCs w:val="22"/>
              </w:rPr>
              <w:t>workpaper template to latest California statewide workpaper format</w:t>
            </w:r>
            <w:r w:rsidR="00CF0262" w:rsidRPr="00E6780F">
              <w:rPr>
                <w:rFonts w:ascii="Calibri" w:hAnsi="Calibri"/>
                <w:szCs w:val="22"/>
              </w:rPr>
              <w:t xml:space="preserve"> as requested by DNV GL</w:t>
            </w:r>
            <w:r w:rsidR="00D06A0D" w:rsidRPr="00E6780F">
              <w:rPr>
                <w:rFonts w:ascii="Calibri" w:hAnsi="Calibri"/>
                <w:szCs w:val="22"/>
              </w:rPr>
              <w:t xml:space="preserve"> Ex-Ante team</w:t>
            </w:r>
            <w:r w:rsidR="00113EBB" w:rsidRPr="00E6780F">
              <w:rPr>
                <w:rFonts w:ascii="Calibri" w:hAnsi="Calibri"/>
                <w:szCs w:val="22"/>
              </w:rPr>
              <w:t xml:space="preserve"> </w:t>
            </w:r>
            <w:r w:rsidR="00A23E05" w:rsidRPr="00E6780F">
              <w:rPr>
                <w:rFonts w:ascii="Calibri" w:hAnsi="Calibri"/>
                <w:szCs w:val="22"/>
              </w:rPr>
              <w:t>with designat</w:t>
            </w:r>
            <w:r w:rsidR="005B77F2" w:rsidRPr="00E6780F">
              <w:rPr>
                <w:rFonts w:ascii="Calibri" w:hAnsi="Calibri"/>
                <w:szCs w:val="22"/>
              </w:rPr>
              <w:t>ion “SWMI001-01”</w:t>
            </w:r>
            <w:r w:rsidR="00D06A0D" w:rsidRPr="00E6780F">
              <w:rPr>
                <w:rFonts w:ascii="Calibri" w:hAnsi="Calibri"/>
                <w:szCs w:val="22"/>
              </w:rPr>
              <w:t xml:space="preserve"> </w:t>
            </w:r>
          </w:p>
        </w:tc>
      </w:tr>
      <w:tr w:rsidR="00FB42A8" w:rsidRPr="00C53326" w14:paraId="1AE077CD" w14:textId="77777777" w:rsidTr="00374BFE">
        <w:trPr>
          <w:trHeight w:val="20"/>
        </w:trPr>
        <w:tc>
          <w:tcPr>
            <w:tcW w:w="291" w:type="pct"/>
            <w:vAlign w:val="center"/>
          </w:tcPr>
          <w:p w14:paraId="6B45B725" w14:textId="1FF4F92A" w:rsidR="00FB42A8" w:rsidRPr="0065406D" w:rsidRDefault="00517E7A" w:rsidP="00C53326">
            <w:pPr>
              <w:spacing w:before="0" w:after="0" w:line="240" w:lineRule="auto"/>
              <w:rPr>
                <w:rFonts w:cs="Calibri"/>
              </w:rPr>
            </w:pPr>
            <w:r w:rsidRPr="0065406D">
              <w:rPr>
                <w:rFonts w:cs="Calibri"/>
              </w:rPr>
              <w:t>2</w:t>
            </w:r>
          </w:p>
        </w:tc>
        <w:tc>
          <w:tcPr>
            <w:tcW w:w="683" w:type="pct"/>
            <w:vAlign w:val="center"/>
          </w:tcPr>
          <w:p w14:paraId="6C8FE692" w14:textId="2B69DA5F" w:rsidR="00FB42A8" w:rsidRPr="00E6780F" w:rsidRDefault="003331FD" w:rsidP="00C53326">
            <w:pPr>
              <w:spacing w:before="0" w:after="0" w:line="240" w:lineRule="auto"/>
              <w:rPr>
                <w:rFonts w:ascii="Calibri" w:hAnsi="Calibri" w:cs="Calibri"/>
                <w:szCs w:val="22"/>
              </w:rPr>
            </w:pPr>
            <w:r w:rsidRPr="00E6780F">
              <w:rPr>
                <w:rFonts w:ascii="Calibri" w:hAnsi="Calibri" w:cs="Calibri"/>
                <w:szCs w:val="22"/>
              </w:rPr>
              <w:t>3</w:t>
            </w:r>
            <w:r w:rsidR="00404023" w:rsidRPr="00E6780F">
              <w:rPr>
                <w:rFonts w:ascii="Calibri" w:hAnsi="Calibri" w:cs="Calibri"/>
                <w:szCs w:val="22"/>
              </w:rPr>
              <w:t>/1</w:t>
            </w:r>
            <w:r w:rsidRPr="00E6780F">
              <w:rPr>
                <w:rFonts w:ascii="Calibri" w:hAnsi="Calibri" w:cs="Calibri"/>
                <w:szCs w:val="22"/>
              </w:rPr>
              <w:t>9</w:t>
            </w:r>
            <w:r w:rsidR="00404023" w:rsidRPr="00E6780F">
              <w:rPr>
                <w:rFonts w:ascii="Calibri" w:hAnsi="Calibri" w:cs="Calibri"/>
                <w:szCs w:val="22"/>
              </w:rPr>
              <w:t>/202</w:t>
            </w:r>
            <w:r w:rsidRPr="00E6780F">
              <w:rPr>
                <w:rFonts w:ascii="Calibri" w:hAnsi="Calibri" w:cs="Calibri"/>
                <w:szCs w:val="22"/>
              </w:rPr>
              <w:t>1</w:t>
            </w:r>
          </w:p>
        </w:tc>
        <w:tc>
          <w:tcPr>
            <w:tcW w:w="651" w:type="pct"/>
            <w:vAlign w:val="center"/>
          </w:tcPr>
          <w:p w14:paraId="1AAC3446" w14:textId="77777777" w:rsidR="00FB42A8" w:rsidRPr="00E6780F" w:rsidRDefault="00404023" w:rsidP="00C53326">
            <w:pPr>
              <w:spacing w:before="0" w:after="0" w:line="240" w:lineRule="auto"/>
              <w:rPr>
                <w:rFonts w:ascii="Calibri" w:hAnsi="Calibri" w:cs="Calibri"/>
                <w:szCs w:val="22"/>
              </w:rPr>
            </w:pPr>
            <w:r w:rsidRPr="00E6780F">
              <w:rPr>
                <w:rFonts w:ascii="Calibri" w:hAnsi="Calibri" w:cs="Calibri"/>
                <w:szCs w:val="22"/>
              </w:rPr>
              <w:t>Ed Reynoso</w:t>
            </w:r>
          </w:p>
          <w:p w14:paraId="678D710A" w14:textId="545EFA65" w:rsidR="00404023" w:rsidRPr="00E6780F" w:rsidRDefault="00404023" w:rsidP="00C53326">
            <w:pPr>
              <w:spacing w:before="0" w:after="0" w:line="240" w:lineRule="auto"/>
              <w:rPr>
                <w:rFonts w:ascii="Calibri" w:hAnsi="Calibri" w:cs="Calibri"/>
                <w:szCs w:val="22"/>
              </w:rPr>
            </w:pPr>
            <w:r w:rsidRPr="00E6780F">
              <w:rPr>
                <w:rFonts w:ascii="Calibri" w:hAnsi="Calibri" w:cs="Calibri"/>
                <w:szCs w:val="22"/>
              </w:rPr>
              <w:t>SDG&amp;E</w:t>
            </w:r>
          </w:p>
        </w:tc>
        <w:tc>
          <w:tcPr>
            <w:tcW w:w="3374" w:type="pct"/>
            <w:vAlign w:val="center"/>
          </w:tcPr>
          <w:p w14:paraId="18266AEE" w14:textId="21372F7F" w:rsidR="00517E7A" w:rsidRPr="00E6780F" w:rsidRDefault="003331FD" w:rsidP="00517E7A">
            <w:pPr>
              <w:pStyle w:val="ListParagraph"/>
              <w:numPr>
                <w:ilvl w:val="0"/>
                <w:numId w:val="26"/>
              </w:numPr>
              <w:spacing w:before="0" w:after="0" w:line="240" w:lineRule="auto"/>
              <w:rPr>
                <w:rFonts w:ascii="Calibri" w:hAnsi="Calibri"/>
                <w:szCs w:val="22"/>
              </w:rPr>
            </w:pPr>
            <w:r w:rsidRPr="00E6780F">
              <w:rPr>
                <w:rFonts w:ascii="Calibri" w:hAnsi="Calibri"/>
                <w:szCs w:val="22"/>
              </w:rPr>
              <w:t xml:space="preserve">Updated Revision history so it aligns with </w:t>
            </w:r>
            <w:r w:rsidR="00517E7A" w:rsidRPr="00E6780F">
              <w:rPr>
                <w:rFonts w:ascii="Calibri" w:hAnsi="Calibri"/>
                <w:szCs w:val="22"/>
              </w:rPr>
              <w:t>statewide workpaper revision ID</w:t>
            </w:r>
            <w:r w:rsidR="001B585A" w:rsidRPr="00E6780F">
              <w:rPr>
                <w:rFonts w:ascii="Calibri" w:hAnsi="Calibri"/>
                <w:szCs w:val="22"/>
              </w:rPr>
              <w:t xml:space="preserve"> “SWMI001-02”</w:t>
            </w:r>
            <w:r w:rsidR="00517E7A" w:rsidRPr="00E6780F">
              <w:rPr>
                <w:rFonts w:ascii="Calibri" w:hAnsi="Calibri"/>
                <w:szCs w:val="22"/>
              </w:rPr>
              <w:t xml:space="preserve">. </w:t>
            </w:r>
          </w:p>
          <w:p w14:paraId="15ECBE78" w14:textId="77777777" w:rsidR="00517E7A" w:rsidRPr="00E6780F" w:rsidRDefault="00517E7A" w:rsidP="00846F9B">
            <w:pPr>
              <w:spacing w:before="0" w:after="0" w:line="240" w:lineRule="auto"/>
              <w:contextualSpacing/>
              <w:rPr>
                <w:rFonts w:ascii="Calibri" w:hAnsi="Calibri"/>
                <w:szCs w:val="22"/>
              </w:rPr>
            </w:pPr>
          </w:p>
          <w:p w14:paraId="38366C2B" w14:textId="2E9E0F1C" w:rsidR="00FB42A8" w:rsidRPr="00E6780F" w:rsidRDefault="00404023" w:rsidP="00517E7A">
            <w:pPr>
              <w:pStyle w:val="ListParagraph"/>
              <w:numPr>
                <w:ilvl w:val="0"/>
                <w:numId w:val="26"/>
              </w:numPr>
              <w:spacing w:before="0" w:after="0" w:line="240" w:lineRule="auto"/>
              <w:rPr>
                <w:rFonts w:ascii="Calibri" w:hAnsi="Calibri"/>
                <w:szCs w:val="22"/>
              </w:rPr>
            </w:pPr>
            <w:r w:rsidRPr="00E6780F">
              <w:rPr>
                <w:rFonts w:ascii="Calibri" w:hAnsi="Calibri"/>
                <w:szCs w:val="22"/>
              </w:rPr>
              <w:t xml:space="preserve">Updated </w:t>
            </w:r>
            <w:r w:rsidR="000A3ED3" w:rsidRPr="00E6780F">
              <w:rPr>
                <w:rFonts w:ascii="Calibri" w:hAnsi="Calibri"/>
                <w:szCs w:val="22"/>
              </w:rPr>
              <w:t xml:space="preserve">WEN </w:t>
            </w:r>
            <w:r w:rsidR="00C01AB5" w:rsidRPr="00E6780F">
              <w:rPr>
                <w:rFonts w:ascii="Calibri" w:hAnsi="Calibri"/>
                <w:szCs w:val="22"/>
              </w:rPr>
              <w:t>M</w:t>
            </w:r>
            <w:r w:rsidR="00EE34D8" w:rsidRPr="00E6780F">
              <w:rPr>
                <w:rFonts w:ascii="Calibri" w:hAnsi="Calibri"/>
                <w:szCs w:val="22"/>
              </w:rPr>
              <w:t xml:space="preserve">aster </w:t>
            </w:r>
            <w:r w:rsidR="00C01AB5" w:rsidRPr="00E6780F">
              <w:rPr>
                <w:rFonts w:ascii="Calibri" w:hAnsi="Calibri"/>
                <w:szCs w:val="22"/>
              </w:rPr>
              <w:t>S</w:t>
            </w:r>
            <w:r w:rsidR="00EE34D8" w:rsidRPr="00E6780F">
              <w:rPr>
                <w:rFonts w:ascii="Calibri" w:hAnsi="Calibri"/>
                <w:szCs w:val="22"/>
              </w:rPr>
              <w:t xml:space="preserve">preadsheet </w:t>
            </w:r>
            <w:r w:rsidR="00280B0C" w:rsidRPr="00E6780F">
              <w:rPr>
                <w:rFonts w:ascii="Calibri" w:hAnsi="Calibri"/>
                <w:szCs w:val="22"/>
              </w:rPr>
              <w:t>to account for workpaper source description updates to SWWH004-0</w:t>
            </w:r>
            <w:r w:rsidR="00F15A26" w:rsidRPr="00E6780F">
              <w:rPr>
                <w:rFonts w:ascii="Calibri" w:hAnsi="Calibri"/>
                <w:szCs w:val="22"/>
              </w:rPr>
              <w:t>2, SWWH019-03, and SWWH020-03</w:t>
            </w:r>
            <w:r w:rsidR="00921545" w:rsidRPr="00E6780F">
              <w:rPr>
                <w:rFonts w:ascii="Calibri" w:hAnsi="Calibri"/>
                <w:szCs w:val="22"/>
              </w:rPr>
              <w:t xml:space="preserve">. Workpaper revision were </w:t>
            </w:r>
            <w:r w:rsidR="00F17470" w:rsidRPr="00E6780F">
              <w:rPr>
                <w:rFonts w:ascii="Calibri" w:hAnsi="Calibri"/>
                <w:szCs w:val="22"/>
              </w:rPr>
              <w:t xml:space="preserve">triggered by CPUC Water Energy Calculator </w:t>
            </w:r>
            <w:r w:rsidR="00DD705E" w:rsidRPr="00E6780F">
              <w:rPr>
                <w:rFonts w:ascii="Calibri" w:hAnsi="Calibri"/>
                <w:szCs w:val="22"/>
              </w:rPr>
              <w:t>v4.</w:t>
            </w:r>
            <w:r w:rsidR="004F7DCE" w:rsidRPr="00E6780F">
              <w:rPr>
                <w:rFonts w:ascii="Calibri" w:hAnsi="Calibri"/>
                <w:szCs w:val="22"/>
              </w:rPr>
              <w:t xml:space="preserve">1 and CPUC Resolution E5082 </w:t>
            </w:r>
            <w:r w:rsidR="000938D1" w:rsidRPr="00E6780F">
              <w:rPr>
                <w:rFonts w:ascii="Calibri" w:hAnsi="Calibri"/>
                <w:szCs w:val="22"/>
              </w:rPr>
              <w:t>policy directive.</w:t>
            </w:r>
            <w:r w:rsidR="00DD705E" w:rsidRPr="00E6780F">
              <w:rPr>
                <w:rFonts w:ascii="Calibri" w:hAnsi="Calibri"/>
                <w:szCs w:val="22"/>
              </w:rPr>
              <w:t xml:space="preserve"> </w:t>
            </w:r>
          </w:p>
        </w:tc>
      </w:tr>
      <w:tr w:rsidR="001D72E7" w:rsidRPr="00C53326" w14:paraId="3CB1FCD3" w14:textId="77777777" w:rsidTr="00374BFE">
        <w:trPr>
          <w:trHeight w:val="20"/>
        </w:trPr>
        <w:tc>
          <w:tcPr>
            <w:tcW w:w="291" w:type="pct"/>
            <w:vAlign w:val="center"/>
          </w:tcPr>
          <w:p w14:paraId="4CAA2EC1" w14:textId="133CEDB7" w:rsidR="001D72E7" w:rsidRPr="0065406D" w:rsidRDefault="001D72E7" w:rsidP="00C53326">
            <w:pPr>
              <w:spacing w:before="0" w:after="0" w:line="240" w:lineRule="auto"/>
              <w:rPr>
                <w:rFonts w:cs="Calibri"/>
              </w:rPr>
            </w:pPr>
            <w:r w:rsidRPr="0065406D">
              <w:rPr>
                <w:rFonts w:cs="Calibri"/>
              </w:rPr>
              <w:t>2</w:t>
            </w:r>
          </w:p>
        </w:tc>
        <w:tc>
          <w:tcPr>
            <w:tcW w:w="683" w:type="pct"/>
            <w:vAlign w:val="center"/>
          </w:tcPr>
          <w:p w14:paraId="37D0780F" w14:textId="0AD9631E" w:rsidR="001D72E7" w:rsidRPr="00E6780F" w:rsidRDefault="001D72E7" w:rsidP="00C53326">
            <w:pPr>
              <w:spacing w:before="0" w:after="0" w:line="240" w:lineRule="auto"/>
              <w:rPr>
                <w:rFonts w:ascii="Calibri" w:hAnsi="Calibri" w:cs="Calibri"/>
                <w:szCs w:val="22"/>
              </w:rPr>
            </w:pPr>
            <w:r w:rsidRPr="00E6780F">
              <w:rPr>
                <w:rFonts w:ascii="Calibri" w:hAnsi="Calibri" w:cs="Calibri"/>
                <w:szCs w:val="22"/>
              </w:rPr>
              <w:t>7/29/2021</w:t>
            </w:r>
          </w:p>
        </w:tc>
        <w:tc>
          <w:tcPr>
            <w:tcW w:w="651" w:type="pct"/>
            <w:vAlign w:val="center"/>
          </w:tcPr>
          <w:p w14:paraId="351320E5" w14:textId="41376AD4" w:rsidR="004F582B" w:rsidRDefault="001D72E7" w:rsidP="00C53326">
            <w:pPr>
              <w:spacing w:before="0" w:after="0" w:line="240" w:lineRule="auto"/>
              <w:rPr>
                <w:rFonts w:ascii="Calibri" w:hAnsi="Calibri" w:cs="Calibri"/>
                <w:szCs w:val="22"/>
              </w:rPr>
            </w:pPr>
            <w:r w:rsidRPr="00E6780F">
              <w:rPr>
                <w:rFonts w:ascii="Calibri" w:hAnsi="Calibri" w:cs="Calibri"/>
                <w:szCs w:val="22"/>
              </w:rPr>
              <w:t>Ed Reynoso, SDG&amp;E</w:t>
            </w:r>
          </w:p>
          <w:p w14:paraId="060A219C" w14:textId="4DB801F0" w:rsidR="00E6780F" w:rsidRDefault="00E6780F" w:rsidP="00C53326">
            <w:pPr>
              <w:spacing w:before="0" w:after="0" w:line="240" w:lineRule="auto"/>
              <w:rPr>
                <w:rFonts w:ascii="Calibri" w:hAnsi="Calibri" w:cs="Calibri"/>
                <w:szCs w:val="22"/>
              </w:rPr>
            </w:pPr>
          </w:p>
          <w:p w14:paraId="272F2ABB" w14:textId="77777777" w:rsidR="00E6780F" w:rsidRPr="00E6780F" w:rsidRDefault="00E6780F" w:rsidP="00C53326">
            <w:pPr>
              <w:spacing w:before="0" w:after="0" w:line="240" w:lineRule="auto"/>
              <w:rPr>
                <w:rFonts w:ascii="Calibri" w:hAnsi="Calibri" w:cs="Calibri"/>
                <w:szCs w:val="22"/>
              </w:rPr>
            </w:pPr>
          </w:p>
          <w:p w14:paraId="539A9809" w14:textId="0F3F6044" w:rsidR="001D72E7" w:rsidRPr="00E6780F" w:rsidRDefault="001D72E7" w:rsidP="00C53326">
            <w:pPr>
              <w:spacing w:before="0" w:after="0" w:line="240" w:lineRule="auto"/>
              <w:rPr>
                <w:rFonts w:ascii="Calibri" w:hAnsi="Calibri" w:cs="Calibri"/>
                <w:szCs w:val="22"/>
              </w:rPr>
            </w:pPr>
            <w:r w:rsidRPr="00E6780F">
              <w:rPr>
                <w:rFonts w:ascii="Calibri" w:hAnsi="Calibri" w:cs="Calibri"/>
                <w:szCs w:val="22"/>
              </w:rPr>
              <w:t>Jeremy Sasse, RMS Consulting</w:t>
            </w:r>
          </w:p>
        </w:tc>
        <w:tc>
          <w:tcPr>
            <w:tcW w:w="3374" w:type="pct"/>
            <w:vAlign w:val="center"/>
          </w:tcPr>
          <w:p w14:paraId="0E6B02F4" w14:textId="786CA340" w:rsidR="001D72E7" w:rsidRPr="00E6780F" w:rsidRDefault="001D72E7" w:rsidP="001D72E7">
            <w:pPr>
              <w:pStyle w:val="ListParagraph"/>
              <w:numPr>
                <w:ilvl w:val="0"/>
                <w:numId w:val="29"/>
              </w:numPr>
              <w:rPr>
                <w:rFonts w:ascii="Calibri" w:hAnsi="Calibri"/>
                <w:szCs w:val="22"/>
              </w:rPr>
            </w:pPr>
            <w:r w:rsidRPr="00E6780F">
              <w:rPr>
                <w:rFonts w:ascii="Calibri" w:hAnsi="Calibri"/>
                <w:szCs w:val="22"/>
              </w:rPr>
              <w:t xml:space="preserve">This submission corrects minor </w:t>
            </w:r>
            <w:r w:rsidRPr="00E6780F">
              <w:rPr>
                <w:rFonts w:ascii="Calibri" w:hAnsi="Calibri"/>
                <w:szCs w:val="22"/>
              </w:rPr>
              <w:t>hydr</w:t>
            </w:r>
            <w:r w:rsidR="004F582B" w:rsidRPr="00E6780F">
              <w:rPr>
                <w:rFonts w:ascii="Calibri" w:hAnsi="Calibri"/>
                <w:szCs w:val="22"/>
              </w:rPr>
              <w:t>ologic</w:t>
            </w:r>
            <w:r w:rsidRPr="00E6780F">
              <w:rPr>
                <w:rFonts w:ascii="Calibri" w:hAnsi="Calibri"/>
                <w:szCs w:val="22"/>
              </w:rPr>
              <w:t xml:space="preserve"> </w:t>
            </w:r>
            <w:r w:rsidRPr="00E6780F">
              <w:rPr>
                <w:rFonts w:ascii="Calibri" w:hAnsi="Calibri"/>
                <w:szCs w:val="22"/>
              </w:rPr>
              <w:t xml:space="preserve">calculation errors </w:t>
            </w:r>
            <w:r w:rsidR="004F582B" w:rsidRPr="00E6780F">
              <w:rPr>
                <w:rFonts w:ascii="Calibri" w:hAnsi="Calibri"/>
                <w:szCs w:val="22"/>
              </w:rPr>
              <w:t xml:space="preserve">(from NL to CR) </w:t>
            </w:r>
            <w:r w:rsidRPr="00E6780F">
              <w:rPr>
                <w:rFonts w:ascii="Calibri" w:hAnsi="Calibri"/>
                <w:szCs w:val="22"/>
              </w:rPr>
              <w:t>associated with measures 67,75, 76 and 91. The NL hydraulic region had been duplicated in the master spreadsheet, this submission now accounts for CR hydraulic region for these given measures.</w:t>
            </w:r>
          </w:p>
          <w:p w14:paraId="7ABFC409" w14:textId="77777777" w:rsidR="004F582B" w:rsidRPr="00E6780F" w:rsidRDefault="004F582B" w:rsidP="004F582B">
            <w:pPr>
              <w:pStyle w:val="ListParagraph"/>
              <w:rPr>
                <w:rFonts w:ascii="Calibri" w:hAnsi="Calibri"/>
                <w:szCs w:val="22"/>
              </w:rPr>
            </w:pPr>
          </w:p>
          <w:p w14:paraId="39F9ED23" w14:textId="52CC0870" w:rsidR="004F582B" w:rsidRPr="00E6780F" w:rsidRDefault="004F582B" w:rsidP="006C3B1E">
            <w:pPr>
              <w:pStyle w:val="ListParagraph"/>
              <w:numPr>
                <w:ilvl w:val="0"/>
                <w:numId w:val="28"/>
              </w:numPr>
              <w:spacing w:before="0" w:after="0" w:line="240" w:lineRule="auto"/>
              <w:jc w:val="both"/>
              <w:rPr>
                <w:rFonts w:ascii="Calibri" w:hAnsi="Calibri"/>
                <w:szCs w:val="22"/>
              </w:rPr>
            </w:pPr>
            <w:r w:rsidRPr="00E6780F">
              <w:rPr>
                <w:rFonts w:ascii="Calibri" w:hAnsi="Calibri"/>
                <w:szCs w:val="22"/>
              </w:rPr>
              <w:t>The hydrologic region calculations were updated by RMS and now reflected in WEN master spreadsheet file “</w:t>
            </w:r>
            <w:r w:rsidRPr="00E6780F">
              <w:rPr>
                <w:rFonts w:ascii="Calibri" w:hAnsi="Calibri"/>
                <w:szCs w:val="22"/>
              </w:rPr>
              <w:t>2021 WEN Master Spreadsheet_2021-06-08</w:t>
            </w:r>
            <w:r w:rsidRPr="00E6780F">
              <w:rPr>
                <w:rFonts w:ascii="Calibri" w:hAnsi="Calibri"/>
                <w:szCs w:val="22"/>
              </w:rPr>
              <w:t>.xlsx”, measures 67,75, 76 and 91 are highlighted in yellow.</w:t>
            </w:r>
          </w:p>
          <w:p w14:paraId="6A242C6E" w14:textId="77777777" w:rsidR="004F582B" w:rsidRPr="00E6780F" w:rsidRDefault="004F582B" w:rsidP="004F582B">
            <w:pPr>
              <w:pStyle w:val="ListParagraph"/>
              <w:spacing w:before="0" w:after="0" w:line="240" w:lineRule="auto"/>
              <w:jc w:val="both"/>
              <w:rPr>
                <w:rFonts w:ascii="Calibri" w:hAnsi="Calibri"/>
                <w:szCs w:val="22"/>
              </w:rPr>
            </w:pPr>
          </w:p>
          <w:p w14:paraId="46F9B402" w14:textId="1F8E00DF" w:rsidR="001D72E7" w:rsidRPr="00E6780F" w:rsidRDefault="001D72E7" w:rsidP="004F582B">
            <w:pPr>
              <w:spacing w:before="0" w:after="0" w:line="240" w:lineRule="auto"/>
              <w:ind w:left="360"/>
              <w:jc w:val="both"/>
              <w:rPr>
                <w:rFonts w:ascii="Calibri" w:hAnsi="Calibri"/>
                <w:szCs w:val="22"/>
              </w:rPr>
            </w:pPr>
          </w:p>
          <w:p w14:paraId="7484B552" w14:textId="77777777" w:rsidR="001D72E7" w:rsidRPr="00E6780F" w:rsidRDefault="001D72E7" w:rsidP="001D72E7">
            <w:pPr>
              <w:spacing w:before="0" w:after="0" w:line="240" w:lineRule="auto"/>
              <w:jc w:val="both"/>
              <w:rPr>
                <w:rFonts w:ascii="Calibri" w:hAnsi="Calibri"/>
                <w:szCs w:val="22"/>
              </w:rPr>
            </w:pPr>
          </w:p>
          <w:p w14:paraId="34003020" w14:textId="77777777" w:rsidR="001D72E7" w:rsidRPr="00E6780F" w:rsidRDefault="001D72E7" w:rsidP="001D72E7">
            <w:pPr>
              <w:spacing w:before="0" w:after="0" w:line="240" w:lineRule="auto"/>
              <w:jc w:val="both"/>
              <w:rPr>
                <w:rFonts w:ascii="Calibri" w:hAnsi="Calibri"/>
                <w:szCs w:val="22"/>
              </w:rPr>
            </w:pPr>
          </w:p>
          <w:p w14:paraId="52D2937C" w14:textId="77777777" w:rsidR="001D72E7" w:rsidRPr="00E6780F" w:rsidRDefault="001D72E7" w:rsidP="001D72E7">
            <w:pPr>
              <w:spacing w:before="0" w:after="0" w:line="240" w:lineRule="auto"/>
              <w:jc w:val="both"/>
              <w:rPr>
                <w:rFonts w:ascii="Calibri" w:hAnsi="Calibri"/>
                <w:szCs w:val="22"/>
              </w:rPr>
            </w:pPr>
          </w:p>
          <w:p w14:paraId="4BE10A97" w14:textId="77777777" w:rsidR="001D72E7" w:rsidRPr="00E6780F" w:rsidRDefault="001D72E7" w:rsidP="001D72E7">
            <w:pPr>
              <w:spacing w:before="0" w:after="0" w:line="240" w:lineRule="auto"/>
              <w:jc w:val="both"/>
              <w:rPr>
                <w:rFonts w:ascii="Calibri" w:hAnsi="Calibri"/>
                <w:szCs w:val="22"/>
              </w:rPr>
            </w:pPr>
          </w:p>
          <w:p w14:paraId="6CC78123" w14:textId="7370DD27" w:rsidR="001D72E7" w:rsidRPr="00E6780F" w:rsidRDefault="001D72E7" w:rsidP="001D72E7">
            <w:pPr>
              <w:spacing w:before="0" w:after="0" w:line="240" w:lineRule="auto"/>
              <w:jc w:val="both"/>
              <w:rPr>
                <w:rFonts w:ascii="Calibri" w:hAnsi="Calibri"/>
                <w:szCs w:val="22"/>
              </w:rPr>
            </w:pPr>
          </w:p>
        </w:tc>
      </w:tr>
    </w:tbl>
    <w:p w14:paraId="4B43E23A" w14:textId="77777777" w:rsidR="009C31A4" w:rsidRPr="004B06E3" w:rsidRDefault="009C31A4" w:rsidP="004142EF"/>
    <w:sectPr w:rsidR="009C31A4" w:rsidRPr="004B06E3" w:rsidSect="005F505E">
      <w:headerReference w:type="default" r:id="rId27"/>
      <w:headerReference w:type="first" r:id="rId2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00CD7" w14:textId="77777777" w:rsidR="00D7122C" w:rsidRDefault="00D7122C" w:rsidP="00A2690C">
      <w:r>
        <w:separator/>
      </w:r>
    </w:p>
    <w:p w14:paraId="47597CEE" w14:textId="77777777" w:rsidR="00D7122C" w:rsidRDefault="00D7122C"/>
  </w:endnote>
  <w:endnote w:type="continuationSeparator" w:id="0">
    <w:p w14:paraId="49CB23E2" w14:textId="77777777" w:rsidR="00D7122C" w:rsidRDefault="00D7122C" w:rsidP="00A2690C">
      <w:r>
        <w:continuationSeparator/>
      </w:r>
    </w:p>
    <w:p w14:paraId="112C83C6" w14:textId="77777777" w:rsidR="00D7122C" w:rsidRDefault="00D71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58D06" w14:textId="77777777" w:rsidR="00A91DA4" w:rsidRDefault="00A91DA4"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A91DA4" w:rsidRPr="00B837C1" w:rsidRDefault="00A91DA4"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114B" w14:textId="77777777" w:rsidR="00A91DA4" w:rsidRDefault="00A91DA4"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A91DA4" w:rsidRPr="00B837C1" w:rsidRDefault="00A91DA4"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6</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9099" w14:textId="77777777" w:rsidR="00A91DA4" w:rsidRDefault="00A91DA4"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A91DA4" w:rsidRPr="005F505E" w:rsidRDefault="00A91DA4"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30711" w14:textId="77777777" w:rsidR="00D7122C" w:rsidRDefault="00D7122C" w:rsidP="00A2690C">
      <w:r>
        <w:separator/>
      </w:r>
    </w:p>
    <w:p w14:paraId="6E42FAAE" w14:textId="77777777" w:rsidR="00D7122C" w:rsidRDefault="00D7122C"/>
  </w:footnote>
  <w:footnote w:type="continuationSeparator" w:id="0">
    <w:p w14:paraId="4BCB18FC" w14:textId="77777777" w:rsidR="00D7122C" w:rsidRDefault="00D7122C" w:rsidP="00A2690C">
      <w:r>
        <w:continuationSeparator/>
      </w:r>
    </w:p>
    <w:p w14:paraId="498A5AB5" w14:textId="77777777" w:rsidR="00D7122C" w:rsidRDefault="00D7122C"/>
  </w:footnote>
  <w:footnote w:id="1">
    <w:p w14:paraId="7DF1517B" w14:textId="26F0B6B2" w:rsidR="00A91DA4" w:rsidRDefault="00A91DA4">
      <w:pPr>
        <w:pStyle w:val="FootnoteText"/>
      </w:pPr>
      <w:r>
        <w:rPr>
          <w:rStyle w:val="FootnoteReference"/>
        </w:rPr>
        <w:footnoteRef/>
      </w:r>
      <w:r>
        <w:t xml:space="preserve"> Navigant Consulting, Inc. and GEI Consultants. 2015. </w:t>
      </w:r>
      <w:r w:rsidRPr="003247AF">
        <w:rPr>
          <w:i/>
          <w:iCs/>
        </w:rPr>
        <w:t>Water/Energy Cost-Effectiveness Analysis. Revised Final Report.</w:t>
      </w:r>
      <w:r>
        <w:t xml:space="preserve"> Prepared for the California Public Utilities Commission (CPUC). April.</w:t>
      </w:r>
    </w:p>
  </w:footnote>
  <w:footnote w:id="2">
    <w:p w14:paraId="71FEAB72" w14:textId="77777777" w:rsidR="00A91DA4" w:rsidRDefault="00A91DA4" w:rsidP="0081092E">
      <w:pPr>
        <w:pStyle w:val="FootnoteText"/>
      </w:pPr>
      <w:r>
        <w:rPr>
          <w:rStyle w:val="FootnoteReference"/>
        </w:rPr>
        <w:footnoteRef/>
      </w:r>
      <w:r>
        <w:t xml:space="preserve"> Navigant Consulting, Inc. and GEI Consultants. 2015. </w:t>
      </w:r>
      <w:r w:rsidRPr="003247AF">
        <w:rPr>
          <w:i/>
          <w:iCs/>
        </w:rPr>
        <w:t>Water/Energy Cost-Effectiveness Analysis. Revised Final Report.</w:t>
      </w:r>
      <w:r>
        <w:t xml:space="preserve"> Prepared for the California Public Utilities Commission (CPUC). April.</w:t>
      </w:r>
    </w:p>
  </w:footnote>
  <w:footnote w:id="3">
    <w:p w14:paraId="7F9B5D52" w14:textId="2557448A" w:rsidR="00A91DA4" w:rsidRDefault="00A91DA4" w:rsidP="00A3202F">
      <w:pPr>
        <w:pStyle w:val="eTRMFootnoteText"/>
      </w:pPr>
      <w:r>
        <w:rPr>
          <w:rStyle w:val="FootnoteReference"/>
        </w:rPr>
        <w:footnoteRef/>
      </w:r>
      <w:r>
        <w:t xml:space="preserve"> </w:t>
      </w:r>
      <w:r w:rsidRPr="00A3202F">
        <w:t>California Public Utilities Commission (CPUC). 2015. </w:t>
      </w:r>
      <w:r w:rsidRPr="00A3202F">
        <w:rPr>
          <w:i/>
          <w:iCs/>
        </w:rPr>
        <w:t xml:space="preserve">Decision 15-09-023 in the Order Instituting Rulemaking into Policies to Promote a Partnership Framework between </w:t>
      </w:r>
      <w:proofErr w:type="gramStart"/>
      <w:r w:rsidRPr="00A3202F">
        <w:rPr>
          <w:i/>
          <w:iCs/>
        </w:rPr>
        <w:t>Investor Owned</w:t>
      </w:r>
      <w:proofErr w:type="gramEnd"/>
      <w:r w:rsidRPr="00A3202F">
        <w:rPr>
          <w:i/>
          <w:iCs/>
        </w:rPr>
        <w:t xml:space="preserve"> Utilities and the Water Sector to Promote Water-Energy Nexus Programs (R.13-12-011). </w:t>
      </w:r>
      <w:r w:rsidRPr="00A3202F">
        <w:t>Issued September 25. </w:t>
      </w:r>
    </w:p>
  </w:footnote>
  <w:footnote w:id="4">
    <w:p w14:paraId="24F62CB8" w14:textId="77777777" w:rsidR="00A91DA4" w:rsidRDefault="00A91DA4" w:rsidP="00C76E10">
      <w:pPr>
        <w:pStyle w:val="FootnoteText"/>
      </w:pPr>
      <w:r>
        <w:rPr>
          <w:rStyle w:val="FootnoteReference"/>
        </w:rPr>
        <w:footnoteRef/>
      </w:r>
      <w:r>
        <w:t xml:space="preserve"> California Public Utilities Commission (CPUC). 2015. </w:t>
      </w:r>
      <w:r>
        <w:rPr>
          <w:rStyle w:val="Emphasis"/>
        </w:rPr>
        <w:t xml:space="preserve">Decision 15-09-023 in the Order Instituting Rulemaking into Policies to Promote a Partnership Framework between </w:t>
      </w:r>
      <w:proofErr w:type="gramStart"/>
      <w:r>
        <w:rPr>
          <w:rStyle w:val="Emphasis"/>
        </w:rPr>
        <w:t>Investor Owned</w:t>
      </w:r>
      <w:proofErr w:type="gramEnd"/>
      <w:r>
        <w:rPr>
          <w:rStyle w:val="Emphasis"/>
        </w:rPr>
        <w:t xml:space="preserve"> Utilities and the Water Sector to Promote Water-Energy Nexus Programs (R.13-12-011).</w:t>
      </w:r>
      <w:r>
        <w:t> Issued September 25. </w:t>
      </w:r>
    </w:p>
  </w:footnote>
  <w:footnote w:id="5">
    <w:p w14:paraId="0C4CE448" w14:textId="77777777" w:rsidR="00A91DA4" w:rsidRDefault="00A91DA4" w:rsidP="004D0911">
      <w:pPr>
        <w:pStyle w:val="FootnoteText"/>
      </w:pPr>
      <w:r>
        <w:rPr>
          <w:rStyle w:val="FootnoteReference"/>
        </w:rPr>
        <w:footnoteRef/>
      </w:r>
      <w:r>
        <w:t xml:space="preserve"> California Public Utilities Commission (CPUC), Navigant Consulting, Inc., and GEI Consultants. (n.d.) “Water-Energy Calculator. Version 1.05.” </w:t>
      </w:r>
    </w:p>
  </w:footnote>
  <w:footnote w:id="6">
    <w:p w14:paraId="336D79CE" w14:textId="7F8AB058" w:rsidR="00A91DA4" w:rsidRDefault="00A91DA4">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 Table A.9-3. </w:t>
      </w:r>
    </w:p>
  </w:footnote>
  <w:footnote w:id="7">
    <w:p w14:paraId="3E7EFB3E" w14:textId="6F6F6ABB" w:rsidR="00A91DA4" w:rsidRDefault="00A91DA4" w:rsidP="00AB2646">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w:t>
      </w:r>
      <w:r>
        <w:t>.</w:t>
      </w:r>
    </w:p>
  </w:footnote>
  <w:footnote w:id="8">
    <w:p w14:paraId="1A327C82" w14:textId="610D4CE9" w:rsidR="00A91DA4" w:rsidRDefault="00A91DA4">
      <w:pPr>
        <w:pStyle w:val="FootnoteText"/>
      </w:pPr>
      <w:r>
        <w:rPr>
          <w:rStyle w:val="FootnoteReference"/>
        </w:rPr>
        <w:footnoteRef/>
      </w:r>
      <w:r>
        <w:t xml:space="preserve"> Metropolitan Water District of Southern California (MWD). </w:t>
      </w:r>
      <w:r>
        <w:rPr>
          <w:i/>
          <w:iCs/>
        </w:rPr>
        <w:t>2016</w:t>
      </w:r>
      <w:r w:rsidRPr="0001248B">
        <w:rPr>
          <w:i/>
          <w:iCs/>
        </w:rPr>
        <w:t>. Integrated Water Resources Plan. 2015 Update.</w:t>
      </w:r>
      <w:r>
        <w:t xml:space="preserve"> Report 1518. January. Appendix 9.</w:t>
      </w:r>
    </w:p>
  </w:footnote>
  <w:footnote w:id="9">
    <w:p w14:paraId="11C0CBC6" w14:textId="4576C043" w:rsidR="00A91DA4" w:rsidRDefault="00A91DA4">
      <w:pPr>
        <w:pStyle w:val="FootnoteText"/>
      </w:pPr>
      <w:r>
        <w:rPr>
          <w:rStyle w:val="FootnoteReference"/>
        </w:rPr>
        <w:footnoteRef/>
      </w:r>
      <w:r>
        <w:t xml:space="preserve"> California Public Utilities Commission (CPUC). 2015. </w:t>
      </w:r>
      <w:r>
        <w:rPr>
          <w:rStyle w:val="Emphasis"/>
        </w:rPr>
        <w:t xml:space="preserve">Decision 15-09-023 in the Order Instituting Rulemaking into Policies to Promote a Partnership Framework between </w:t>
      </w:r>
      <w:proofErr w:type="gramStart"/>
      <w:r>
        <w:rPr>
          <w:rStyle w:val="Emphasis"/>
        </w:rPr>
        <w:t>Investor Owned</w:t>
      </w:r>
      <w:proofErr w:type="gramEnd"/>
      <w:r>
        <w:rPr>
          <w:rStyle w:val="Emphasis"/>
        </w:rPr>
        <w:t xml:space="preserve"> Utilities and the Water Sector to Promote Water-Energy Nexus Programs (R.13-12-011).</w:t>
      </w:r>
      <w:r>
        <w:t> Issued September 25. </w:t>
      </w:r>
    </w:p>
  </w:footnote>
  <w:footnote w:id="10">
    <w:p w14:paraId="02D75EE2" w14:textId="500C2DF2" w:rsidR="00A91DA4" w:rsidRDefault="00A91DA4" w:rsidP="00AB2646">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 Table A.9-3.</w:t>
      </w:r>
    </w:p>
  </w:footnote>
  <w:footnote w:id="11">
    <w:p w14:paraId="7503B1AD" w14:textId="2F1D870A" w:rsidR="00A91DA4" w:rsidRDefault="00A91DA4" w:rsidP="00AB2646">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 Table A.9-3.</w:t>
      </w:r>
    </w:p>
  </w:footnote>
  <w:footnote w:id="12">
    <w:p w14:paraId="0A1EAEA3" w14:textId="1093F39A" w:rsidR="00A91DA4" w:rsidRDefault="00A91DA4" w:rsidP="00852BA9">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 Table A.9-3.</w:t>
      </w:r>
    </w:p>
  </w:footnote>
  <w:footnote w:id="13">
    <w:p w14:paraId="3D82F168" w14:textId="77777777" w:rsidR="00A91DA4" w:rsidRDefault="00A91DA4" w:rsidP="004D4B0B">
      <w:pPr>
        <w:pStyle w:val="FootnoteText"/>
      </w:pPr>
      <w:r>
        <w:rPr>
          <w:rStyle w:val="FootnoteReference"/>
        </w:rPr>
        <w:footnoteRef/>
      </w:r>
      <w:r>
        <w:t xml:space="preserve"> California Public Utilities Commission (CPUC), Navigant Consulting, Inc., and GEI Consultants. (n.d.) “Water-Energy Calculator. Version 1.05.” </w:t>
      </w:r>
    </w:p>
  </w:footnote>
  <w:footnote w:id="14">
    <w:p w14:paraId="7B567CD6" w14:textId="0F58F8D6" w:rsidR="00A91DA4" w:rsidRDefault="00A91DA4">
      <w:pPr>
        <w:pStyle w:val="FootnoteText"/>
      </w:pPr>
      <w:r>
        <w:rPr>
          <w:rStyle w:val="FootnoteReference"/>
        </w:rPr>
        <w:footnoteRef/>
      </w:r>
      <w:r>
        <w:t xml:space="preserve"> </w:t>
      </w:r>
      <w:r w:rsidRPr="00EE597B">
        <w:t xml:space="preserve">Metropolitan Water District of Southern California (MWD). </w:t>
      </w:r>
      <w:r>
        <w:rPr>
          <w:i/>
          <w:iCs/>
        </w:rPr>
        <w:t>2016</w:t>
      </w:r>
      <w:r w:rsidRPr="00EE597B">
        <w:rPr>
          <w:i/>
          <w:iCs/>
        </w:rPr>
        <w:t>. Integrated Water Resources Plan. 2015 Update.</w:t>
      </w:r>
      <w:r w:rsidRPr="00EE597B">
        <w:t xml:space="preserve"> Report 1518. January. Appendix 9</w:t>
      </w:r>
      <w:r>
        <w:t>.</w:t>
      </w:r>
    </w:p>
  </w:footnote>
  <w:footnote w:id="15">
    <w:p w14:paraId="15F2FB0D" w14:textId="5A3A61E6" w:rsidR="00A91DA4" w:rsidRDefault="00A91DA4">
      <w:pPr>
        <w:pStyle w:val="FootnoteText"/>
      </w:pPr>
      <w:r>
        <w:rPr>
          <w:rStyle w:val="FootnoteReference"/>
        </w:rPr>
        <w:footnoteRef/>
      </w:r>
      <w:r>
        <w:t xml:space="preserve"> (</w:t>
      </w:r>
      <w:proofErr w:type="gramStart"/>
      <w:r>
        <w:t>no</w:t>
      </w:r>
      <w:proofErr w:type="gramEnd"/>
      <w:r>
        <w:t xml:space="preserve"> author). (n.d.). “Zip to Hydrologic Region Look-Up Table 170412.xlsx.”</w:t>
      </w:r>
    </w:p>
  </w:footnote>
  <w:footnote w:id="16">
    <w:p w14:paraId="44BE0331" w14:textId="704CA113" w:rsidR="00A91DA4" w:rsidRDefault="00A91DA4">
      <w:pPr>
        <w:pStyle w:val="FootnoteText"/>
      </w:pPr>
      <w:r>
        <w:rPr>
          <w:rStyle w:val="FootnoteReference"/>
        </w:rPr>
        <w:footnoteRef/>
      </w:r>
      <w:r>
        <w:t xml:space="preserve"> (</w:t>
      </w:r>
      <w:proofErr w:type="gramStart"/>
      <w:r>
        <w:t>no</w:t>
      </w:r>
      <w:proofErr w:type="gramEnd"/>
      <w:r>
        <w:t xml:space="preserve"> author). (n.d.). “Zip to Hydrologic Region Look-Up Table 170412.xlsx.”</w:t>
      </w:r>
    </w:p>
  </w:footnote>
  <w:footnote w:id="17">
    <w:p w14:paraId="5E85CA92" w14:textId="36D6C572" w:rsidR="00527DAA" w:rsidRDefault="00527DAA">
      <w:pPr>
        <w:pStyle w:val="FootnoteText"/>
      </w:pPr>
      <w:r>
        <w:rPr>
          <w:rStyle w:val="FootnoteReference"/>
        </w:rPr>
        <w:footnoteRef/>
      </w:r>
      <w:r>
        <w:t xml:space="preserve"> </w:t>
      </w:r>
      <w:r w:rsidR="00CC0F77" w:rsidRPr="00CC0F77">
        <w:t xml:space="preserve">California Public Utilities Commission (CPUC). </w:t>
      </w:r>
      <w:r w:rsidR="00CC0F77" w:rsidRPr="00CC0F77">
        <w:rPr>
          <w:i/>
          <w:iCs/>
        </w:rPr>
        <w:t xml:space="preserve">Decision 16-12-047 in the Order Instituting Rulemaking into Policies to Promote a Partnership Framework between Energy </w:t>
      </w:r>
      <w:proofErr w:type="gramStart"/>
      <w:r w:rsidR="00CC0F77" w:rsidRPr="00CC0F77">
        <w:rPr>
          <w:i/>
          <w:iCs/>
        </w:rPr>
        <w:t>Investor Owned</w:t>
      </w:r>
      <w:proofErr w:type="gramEnd"/>
      <w:r w:rsidR="00CC0F77" w:rsidRPr="00CC0F77">
        <w:rPr>
          <w:i/>
          <w:iCs/>
        </w:rPr>
        <w:t xml:space="preserve"> Utilities and the Water Sector to Promote Water-Energy Nexus Programs (R.13-12-011). </w:t>
      </w:r>
      <w:r w:rsidR="00CC0F77" w:rsidRPr="00CC0F77">
        <w:t>Issued December 20</w:t>
      </w:r>
    </w:p>
  </w:footnote>
  <w:footnote w:id="18">
    <w:p w14:paraId="72E60ACC" w14:textId="77777777" w:rsidR="00A91DA4" w:rsidRDefault="00A91DA4" w:rsidP="00CD3317">
      <w:pPr>
        <w:pStyle w:val="FootnoteText"/>
      </w:pPr>
      <w:r>
        <w:rPr>
          <w:rStyle w:val="FootnoteReference"/>
        </w:rPr>
        <w:footnoteRef/>
      </w:r>
      <w:r>
        <w:t xml:space="preserve"> California Public Utilities Commission (CPUC), Navigant Consulting, Inc., and GEI Consultants. (n.d.) “Water-Energy Calculator. Version 1.05.” </w:t>
      </w:r>
    </w:p>
  </w:footnote>
  <w:footnote w:id="19">
    <w:p w14:paraId="1408FFD3" w14:textId="7E176329" w:rsidR="00A91DA4" w:rsidRDefault="00A91DA4">
      <w:pPr>
        <w:pStyle w:val="FootnoteText"/>
      </w:pPr>
      <w:r>
        <w:rPr>
          <w:rStyle w:val="FootnoteReference"/>
        </w:rPr>
        <w:footnoteRef/>
      </w:r>
      <w:r>
        <w:t xml:space="preserve"> </w:t>
      </w:r>
      <w:r>
        <w:rPr>
          <w:szCs w:val="18"/>
        </w:rPr>
        <w:t xml:space="preserve">California Public Utilities Commission (CPUC), Energy Division. 2013. </w:t>
      </w:r>
      <w:r>
        <w:rPr>
          <w:i/>
          <w:iCs/>
          <w:szCs w:val="18"/>
        </w:rPr>
        <w:t>Energy Efficiency Policy Manual Version 5</w:t>
      </w:r>
      <w:r>
        <w:rPr>
          <w:szCs w:val="18"/>
        </w:rPr>
        <w:t xml:space="preserve">. Page 32. </w:t>
      </w:r>
      <w:r>
        <w:t xml:space="preserve"> </w:t>
      </w:r>
    </w:p>
  </w:footnote>
  <w:footnote w:id="20">
    <w:p w14:paraId="361F3787" w14:textId="7AD220D2" w:rsidR="00A91DA4" w:rsidRDefault="00A91DA4">
      <w:pPr>
        <w:pStyle w:val="FootnoteText"/>
      </w:pPr>
      <w:r>
        <w:rPr>
          <w:rStyle w:val="FootnoteReference"/>
        </w:rPr>
        <w:footnoteRef/>
      </w:r>
      <w:r>
        <w:t xml:space="preserve"> </w:t>
      </w:r>
      <w:r>
        <w:rPr>
          <w:szCs w:val="18"/>
        </w:rPr>
        <w:t xml:space="preserve">KEMA, Inc. 2008. "Summary of EUL-RUL Analysis for the April 2008 Update to DEER." Memorandum submitted to </w:t>
      </w:r>
      <w:proofErr w:type="spellStart"/>
      <w:r>
        <w:rPr>
          <w:szCs w:val="18"/>
        </w:rPr>
        <w:t>Itron</w:t>
      </w:r>
      <w:proofErr w:type="spellEnd"/>
      <w:r>
        <w:rPr>
          <w:szCs w:val="18"/>
        </w:rPr>
        <w:t xml:space="preserve">, Inc. </w:t>
      </w:r>
      <w:r>
        <w:t xml:space="preserve"> </w:t>
      </w:r>
    </w:p>
  </w:footnote>
  <w:footnote w:id="21">
    <w:p w14:paraId="756A5262" w14:textId="2D6BBF17" w:rsidR="00A91DA4" w:rsidRDefault="00A91DA4" w:rsidP="00453E72">
      <w:pPr>
        <w:pStyle w:val="FootnoteText"/>
      </w:pPr>
      <w:r>
        <w:rPr>
          <w:rStyle w:val="FootnoteReference"/>
        </w:rPr>
        <w:footnoteRef/>
      </w:r>
      <w:r>
        <w:t xml:space="preserve"> </w:t>
      </w:r>
      <w:r w:rsidRPr="00EE597B">
        <w:t xml:space="preserve">Metropolitan Water District of Southern California (MWD). </w:t>
      </w:r>
      <w:r w:rsidRPr="00EE597B">
        <w:rPr>
          <w:i/>
          <w:iCs/>
        </w:rPr>
        <w:t>2106. Integrated Water Resources Plan. 2015 Update.</w:t>
      </w:r>
      <w:r w:rsidRPr="00EE597B">
        <w:t xml:space="preserve"> Report 1518. January. Appendix 9, Table A.9-3.</w:t>
      </w:r>
    </w:p>
  </w:footnote>
  <w:footnote w:id="22">
    <w:p w14:paraId="7BF6A338" w14:textId="172FD861" w:rsidR="00A91DA4" w:rsidRDefault="00A91DA4" w:rsidP="00414F64">
      <w:pPr>
        <w:pStyle w:val="eTRMFootnoteText"/>
      </w:pPr>
      <w:r>
        <w:rPr>
          <w:rStyle w:val="FootnoteReference"/>
        </w:rPr>
        <w:footnoteRef/>
      </w:r>
      <w:r>
        <w:t xml:space="preserve"> </w:t>
      </w:r>
      <w:r w:rsidRPr="00A3202F">
        <w:t>California Public Utilities Commission (CPUC). 2015. </w:t>
      </w:r>
      <w:r w:rsidRPr="00A3202F">
        <w:rPr>
          <w:i/>
          <w:iCs/>
        </w:rPr>
        <w:t xml:space="preserve">Decision 15-09-023 in the Order Instituting Rulemaking into Policies to Promote a Partnership Framework between </w:t>
      </w:r>
      <w:proofErr w:type="gramStart"/>
      <w:r w:rsidRPr="00A3202F">
        <w:rPr>
          <w:i/>
          <w:iCs/>
        </w:rPr>
        <w:t>Investor Owned</w:t>
      </w:r>
      <w:proofErr w:type="gramEnd"/>
      <w:r w:rsidRPr="00A3202F">
        <w:rPr>
          <w:i/>
          <w:iCs/>
        </w:rPr>
        <w:t xml:space="preserve"> Utilities and the Water Sector to Promote Water-Energy Nexus Programs (R.13-12-011). </w:t>
      </w:r>
      <w:r w:rsidRPr="00A3202F">
        <w:t>Issued September 25. </w:t>
      </w:r>
      <w:r>
        <w:t>OP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4C8F" w14:textId="159C53FF" w:rsidR="00A91DA4" w:rsidRPr="000220A0" w:rsidRDefault="00A91DA4"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1ACE" w14:textId="28F384A1" w:rsidR="00A91DA4" w:rsidRDefault="00A91DA4">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A91DA4" w:rsidRDefault="00A91D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B8AA" w14:textId="77777777" w:rsidR="00A91DA4" w:rsidRDefault="00A91DA4" w:rsidP="00BD221D">
    <w:pPr>
      <w:jc w:val="center"/>
    </w:pPr>
  </w:p>
  <w:p w14:paraId="342310D5" w14:textId="5BACBCD8" w:rsidR="00A91DA4" w:rsidRDefault="00A91DA4"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D616" w14:textId="28FFC31C" w:rsidR="00A91DA4" w:rsidRDefault="00A91DA4" w:rsidP="001D7A57">
    <w:pPr>
      <w:pStyle w:val="Header"/>
    </w:pPr>
    <w:r>
      <w:rPr>
        <w:rFonts w:ascii="Calibri Light" w:hAnsi="Calibri Light"/>
      </w:rPr>
      <w:t xml:space="preserve">MISCELLEANEOUS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SWMI001-0</w:t>
    </w:r>
    <w:r w:rsidR="00010A33">
      <w:rPr>
        <w:rFonts w:ascii="Calibri Light" w:hAnsi="Calibri Light"/>
        <w:b/>
      </w:rPr>
      <w:t>2</w:t>
    </w:r>
    <w:r>
      <w:rPr>
        <w:rFonts w:ascii="Calibri Light" w:hAnsi="Calibri Light"/>
        <w:b/>
      </w:rPr>
      <w:t xml:space="preserve"> Water Energy Nexus Measures</w:t>
    </w:r>
  </w:p>
  <w:p w14:paraId="2AC97B25" w14:textId="77777777" w:rsidR="00A91DA4" w:rsidRDefault="00A91D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757E" w14:textId="68B81AAC" w:rsidR="00A91DA4" w:rsidRDefault="00A91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C24DF"/>
    <w:multiLevelType w:val="hybridMultilevel"/>
    <w:tmpl w:val="74C2B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07A3"/>
    <w:multiLevelType w:val="hybridMultilevel"/>
    <w:tmpl w:val="2FE00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E2E47"/>
    <w:multiLevelType w:val="hybridMultilevel"/>
    <w:tmpl w:val="2F900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83059"/>
    <w:multiLevelType w:val="hybridMultilevel"/>
    <w:tmpl w:val="D1D0AA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E70877"/>
    <w:multiLevelType w:val="hybridMultilevel"/>
    <w:tmpl w:val="3970F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0933F8"/>
    <w:multiLevelType w:val="hybridMultilevel"/>
    <w:tmpl w:val="02B8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4EA1"/>
    <w:multiLevelType w:val="hybridMultilevel"/>
    <w:tmpl w:val="846EE08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5273E0"/>
    <w:multiLevelType w:val="hybridMultilevel"/>
    <w:tmpl w:val="6DB2B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DD5032"/>
    <w:multiLevelType w:val="hybridMultilevel"/>
    <w:tmpl w:val="C8A26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FC01E0"/>
    <w:multiLevelType w:val="hybridMultilevel"/>
    <w:tmpl w:val="58CC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BD0748"/>
    <w:multiLevelType w:val="hybridMultilevel"/>
    <w:tmpl w:val="E7623394"/>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5"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7" w15:restartNumberingAfterBreak="0">
    <w:nsid w:val="3D437298"/>
    <w:multiLevelType w:val="hybridMultilevel"/>
    <w:tmpl w:val="EB301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46D579D"/>
    <w:multiLevelType w:val="hybridMultilevel"/>
    <w:tmpl w:val="08F06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6312FA"/>
    <w:multiLevelType w:val="hybridMultilevel"/>
    <w:tmpl w:val="61EC3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D581F"/>
    <w:multiLevelType w:val="hybridMultilevel"/>
    <w:tmpl w:val="E39A2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3" w15:restartNumberingAfterBreak="0">
    <w:nsid w:val="6FC07B80"/>
    <w:multiLevelType w:val="hybridMultilevel"/>
    <w:tmpl w:val="C8DC38E6"/>
    <w:lvl w:ilvl="0" w:tplc="3294D354">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617F57"/>
    <w:multiLevelType w:val="hybridMultilevel"/>
    <w:tmpl w:val="64989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6"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3A024D"/>
    <w:multiLevelType w:val="hybridMultilevel"/>
    <w:tmpl w:val="02920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9" w15:restartNumberingAfterBreak="0">
    <w:nsid w:val="76A9147B"/>
    <w:multiLevelType w:val="hybridMultilevel"/>
    <w:tmpl w:val="A7C0E0B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5"/>
  </w:num>
  <w:num w:numId="3">
    <w:abstractNumId w:val="28"/>
  </w:num>
  <w:num w:numId="4">
    <w:abstractNumId w:val="28"/>
  </w:num>
  <w:num w:numId="5">
    <w:abstractNumId w:val="22"/>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7"/>
  </w:num>
  <w:num w:numId="8">
    <w:abstractNumId w:val="23"/>
  </w:num>
  <w:num w:numId="9">
    <w:abstractNumId w:val="0"/>
  </w:num>
  <w:num w:numId="10">
    <w:abstractNumId w:val="26"/>
  </w:num>
  <w:num w:numId="11">
    <w:abstractNumId w:val="10"/>
  </w:num>
  <w:num w:numId="12">
    <w:abstractNumId w:val="2"/>
  </w:num>
  <w:num w:numId="13">
    <w:abstractNumId w:val="5"/>
  </w:num>
  <w:num w:numId="14">
    <w:abstractNumId w:val="6"/>
  </w:num>
  <w:num w:numId="15">
    <w:abstractNumId w:val="19"/>
  </w:num>
  <w:num w:numId="16">
    <w:abstractNumId w:val="4"/>
  </w:num>
  <w:num w:numId="17">
    <w:abstractNumId w:val="9"/>
  </w:num>
  <w:num w:numId="18">
    <w:abstractNumId w:val="29"/>
  </w:num>
  <w:num w:numId="19">
    <w:abstractNumId w:val="21"/>
  </w:num>
  <w:num w:numId="20">
    <w:abstractNumId w:val="3"/>
  </w:num>
  <w:num w:numId="21">
    <w:abstractNumId w:val="12"/>
  </w:num>
  <w:num w:numId="22">
    <w:abstractNumId w:val="8"/>
  </w:num>
  <w:num w:numId="23">
    <w:abstractNumId w:val="27"/>
  </w:num>
  <w:num w:numId="24">
    <w:abstractNumId w:val="14"/>
  </w:num>
  <w:num w:numId="25">
    <w:abstractNumId w:val="24"/>
  </w:num>
  <w:num w:numId="26">
    <w:abstractNumId w:val="13"/>
  </w:num>
  <w:num w:numId="27">
    <w:abstractNumId w:val="17"/>
  </w:num>
  <w:num w:numId="28">
    <w:abstractNumId w:val="11"/>
  </w:num>
  <w:num w:numId="29">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Q0MTc3NjQ0NTYzNjZX0lEKTi0uzszPAykwrgUAoHnAcywAAAA="/>
  </w:docVars>
  <w:rsids>
    <w:rsidRoot w:val="00C41A08"/>
    <w:rsid w:val="00005B06"/>
    <w:rsid w:val="00005D8E"/>
    <w:rsid w:val="000063B0"/>
    <w:rsid w:val="000065C2"/>
    <w:rsid w:val="00010A33"/>
    <w:rsid w:val="000110D9"/>
    <w:rsid w:val="000111AF"/>
    <w:rsid w:val="0001248B"/>
    <w:rsid w:val="000143B9"/>
    <w:rsid w:val="00016928"/>
    <w:rsid w:val="00020CA9"/>
    <w:rsid w:val="00021993"/>
    <w:rsid w:val="000220A0"/>
    <w:rsid w:val="000221AC"/>
    <w:rsid w:val="0002389A"/>
    <w:rsid w:val="00026D58"/>
    <w:rsid w:val="000302DF"/>
    <w:rsid w:val="00031184"/>
    <w:rsid w:val="00031FE5"/>
    <w:rsid w:val="00037A06"/>
    <w:rsid w:val="00046BB0"/>
    <w:rsid w:val="00051DBB"/>
    <w:rsid w:val="00052C95"/>
    <w:rsid w:val="000530E4"/>
    <w:rsid w:val="0005559B"/>
    <w:rsid w:val="00061D34"/>
    <w:rsid w:val="000621A8"/>
    <w:rsid w:val="00063EE5"/>
    <w:rsid w:val="00065E54"/>
    <w:rsid w:val="000672E5"/>
    <w:rsid w:val="00074E3E"/>
    <w:rsid w:val="000767E9"/>
    <w:rsid w:val="0008108C"/>
    <w:rsid w:val="000841AA"/>
    <w:rsid w:val="00087255"/>
    <w:rsid w:val="00090BBF"/>
    <w:rsid w:val="000910B7"/>
    <w:rsid w:val="00091581"/>
    <w:rsid w:val="000938D1"/>
    <w:rsid w:val="00094517"/>
    <w:rsid w:val="00096485"/>
    <w:rsid w:val="000978C8"/>
    <w:rsid w:val="000A270E"/>
    <w:rsid w:val="000A3ED3"/>
    <w:rsid w:val="000A4D3A"/>
    <w:rsid w:val="000A62EF"/>
    <w:rsid w:val="000A66B7"/>
    <w:rsid w:val="000A7058"/>
    <w:rsid w:val="000B5FB6"/>
    <w:rsid w:val="000B6004"/>
    <w:rsid w:val="000C36B4"/>
    <w:rsid w:val="000C72C1"/>
    <w:rsid w:val="000D50FA"/>
    <w:rsid w:val="000F1833"/>
    <w:rsid w:val="00103399"/>
    <w:rsid w:val="00104933"/>
    <w:rsid w:val="00111A53"/>
    <w:rsid w:val="0011211C"/>
    <w:rsid w:val="00113EBB"/>
    <w:rsid w:val="0011498C"/>
    <w:rsid w:val="001162A6"/>
    <w:rsid w:val="00120592"/>
    <w:rsid w:val="00120631"/>
    <w:rsid w:val="001217DF"/>
    <w:rsid w:val="0012187D"/>
    <w:rsid w:val="00124BFE"/>
    <w:rsid w:val="00126809"/>
    <w:rsid w:val="00130996"/>
    <w:rsid w:val="00131C5A"/>
    <w:rsid w:val="00142D3C"/>
    <w:rsid w:val="001451AB"/>
    <w:rsid w:val="00151B9F"/>
    <w:rsid w:val="00154391"/>
    <w:rsid w:val="001564FC"/>
    <w:rsid w:val="00161DF1"/>
    <w:rsid w:val="0016470B"/>
    <w:rsid w:val="001648F6"/>
    <w:rsid w:val="00171BB8"/>
    <w:rsid w:val="0017287F"/>
    <w:rsid w:val="0017465E"/>
    <w:rsid w:val="00174707"/>
    <w:rsid w:val="00180DAD"/>
    <w:rsid w:val="00181672"/>
    <w:rsid w:val="00181E01"/>
    <w:rsid w:val="001944A0"/>
    <w:rsid w:val="00195B03"/>
    <w:rsid w:val="00196649"/>
    <w:rsid w:val="001A11C7"/>
    <w:rsid w:val="001A4BE1"/>
    <w:rsid w:val="001A7A21"/>
    <w:rsid w:val="001B1D23"/>
    <w:rsid w:val="001B585A"/>
    <w:rsid w:val="001B7214"/>
    <w:rsid w:val="001C2ACE"/>
    <w:rsid w:val="001C3916"/>
    <w:rsid w:val="001C6C9B"/>
    <w:rsid w:val="001C7134"/>
    <w:rsid w:val="001D65A6"/>
    <w:rsid w:val="001D72E7"/>
    <w:rsid w:val="001D7A57"/>
    <w:rsid w:val="001E19A3"/>
    <w:rsid w:val="001E4C3F"/>
    <w:rsid w:val="001E6273"/>
    <w:rsid w:val="001E726E"/>
    <w:rsid w:val="001F00E9"/>
    <w:rsid w:val="001F12B4"/>
    <w:rsid w:val="001F735E"/>
    <w:rsid w:val="002005A8"/>
    <w:rsid w:val="002006B6"/>
    <w:rsid w:val="00205BAF"/>
    <w:rsid w:val="00207F85"/>
    <w:rsid w:val="0021226A"/>
    <w:rsid w:val="00222A3B"/>
    <w:rsid w:val="00225142"/>
    <w:rsid w:val="00226694"/>
    <w:rsid w:val="00227BDD"/>
    <w:rsid w:val="002318A4"/>
    <w:rsid w:val="002335FF"/>
    <w:rsid w:val="00233D87"/>
    <w:rsid w:val="0023666C"/>
    <w:rsid w:val="00236692"/>
    <w:rsid w:val="00236E0A"/>
    <w:rsid w:val="00237964"/>
    <w:rsid w:val="002434DE"/>
    <w:rsid w:val="00245AFF"/>
    <w:rsid w:val="0024628D"/>
    <w:rsid w:val="0024690E"/>
    <w:rsid w:val="00251ABC"/>
    <w:rsid w:val="002524CF"/>
    <w:rsid w:val="00256400"/>
    <w:rsid w:val="00271B18"/>
    <w:rsid w:val="00276F9B"/>
    <w:rsid w:val="0027784B"/>
    <w:rsid w:val="00280B0C"/>
    <w:rsid w:val="00286D0E"/>
    <w:rsid w:val="002942B0"/>
    <w:rsid w:val="0029555D"/>
    <w:rsid w:val="0029781E"/>
    <w:rsid w:val="002A2471"/>
    <w:rsid w:val="002A2A94"/>
    <w:rsid w:val="002B107C"/>
    <w:rsid w:val="002B2C97"/>
    <w:rsid w:val="002B3BF4"/>
    <w:rsid w:val="002B5D8A"/>
    <w:rsid w:val="002B6DED"/>
    <w:rsid w:val="002B6F2A"/>
    <w:rsid w:val="002C06FC"/>
    <w:rsid w:val="002C1117"/>
    <w:rsid w:val="002C3DBE"/>
    <w:rsid w:val="002C67DF"/>
    <w:rsid w:val="002D0036"/>
    <w:rsid w:val="002D17CE"/>
    <w:rsid w:val="002D29F8"/>
    <w:rsid w:val="002D40EE"/>
    <w:rsid w:val="002D4993"/>
    <w:rsid w:val="002D50E9"/>
    <w:rsid w:val="002D5CFA"/>
    <w:rsid w:val="002E409C"/>
    <w:rsid w:val="002F036B"/>
    <w:rsid w:val="003010F8"/>
    <w:rsid w:val="00302A82"/>
    <w:rsid w:val="003046F9"/>
    <w:rsid w:val="00304988"/>
    <w:rsid w:val="003103FB"/>
    <w:rsid w:val="00313E1D"/>
    <w:rsid w:val="003247AF"/>
    <w:rsid w:val="003247FA"/>
    <w:rsid w:val="0032714D"/>
    <w:rsid w:val="003309DA"/>
    <w:rsid w:val="003331FD"/>
    <w:rsid w:val="00333809"/>
    <w:rsid w:val="00334B1A"/>
    <w:rsid w:val="00336313"/>
    <w:rsid w:val="00337D1D"/>
    <w:rsid w:val="0035060F"/>
    <w:rsid w:val="00352864"/>
    <w:rsid w:val="00362F9E"/>
    <w:rsid w:val="00363BE8"/>
    <w:rsid w:val="00372F61"/>
    <w:rsid w:val="00374BFE"/>
    <w:rsid w:val="00385069"/>
    <w:rsid w:val="00387072"/>
    <w:rsid w:val="00392097"/>
    <w:rsid w:val="00392684"/>
    <w:rsid w:val="003A0788"/>
    <w:rsid w:val="003B727F"/>
    <w:rsid w:val="003B7610"/>
    <w:rsid w:val="003C2CC3"/>
    <w:rsid w:val="003C72E1"/>
    <w:rsid w:val="003C7721"/>
    <w:rsid w:val="003D1FB8"/>
    <w:rsid w:val="003D7104"/>
    <w:rsid w:val="003E2013"/>
    <w:rsid w:val="003E5605"/>
    <w:rsid w:val="003F2615"/>
    <w:rsid w:val="003F269E"/>
    <w:rsid w:val="003F4964"/>
    <w:rsid w:val="003F65F3"/>
    <w:rsid w:val="00401C43"/>
    <w:rsid w:val="00404023"/>
    <w:rsid w:val="004046FF"/>
    <w:rsid w:val="00410790"/>
    <w:rsid w:val="00411EF4"/>
    <w:rsid w:val="004133BB"/>
    <w:rsid w:val="004142EF"/>
    <w:rsid w:val="00414F64"/>
    <w:rsid w:val="00420958"/>
    <w:rsid w:val="00420EF1"/>
    <w:rsid w:val="004213BD"/>
    <w:rsid w:val="00421920"/>
    <w:rsid w:val="00423D33"/>
    <w:rsid w:val="004249A0"/>
    <w:rsid w:val="00431A2D"/>
    <w:rsid w:val="00432D49"/>
    <w:rsid w:val="0043320F"/>
    <w:rsid w:val="004339EA"/>
    <w:rsid w:val="00433E8F"/>
    <w:rsid w:val="00434145"/>
    <w:rsid w:val="0044577B"/>
    <w:rsid w:val="00451588"/>
    <w:rsid w:val="004517F1"/>
    <w:rsid w:val="00453E72"/>
    <w:rsid w:val="00454CB1"/>
    <w:rsid w:val="004556DF"/>
    <w:rsid w:val="00461AE3"/>
    <w:rsid w:val="00462BB6"/>
    <w:rsid w:val="00464A63"/>
    <w:rsid w:val="00466DD6"/>
    <w:rsid w:val="00470670"/>
    <w:rsid w:val="00472286"/>
    <w:rsid w:val="00473412"/>
    <w:rsid w:val="00473F0E"/>
    <w:rsid w:val="00475A47"/>
    <w:rsid w:val="00475D57"/>
    <w:rsid w:val="00482883"/>
    <w:rsid w:val="00484536"/>
    <w:rsid w:val="00486585"/>
    <w:rsid w:val="00497289"/>
    <w:rsid w:val="004A06AE"/>
    <w:rsid w:val="004A510D"/>
    <w:rsid w:val="004B06E3"/>
    <w:rsid w:val="004B35DC"/>
    <w:rsid w:val="004B5888"/>
    <w:rsid w:val="004B6780"/>
    <w:rsid w:val="004C2A36"/>
    <w:rsid w:val="004C3663"/>
    <w:rsid w:val="004C57EC"/>
    <w:rsid w:val="004C69F2"/>
    <w:rsid w:val="004D0911"/>
    <w:rsid w:val="004D0C1B"/>
    <w:rsid w:val="004D0C20"/>
    <w:rsid w:val="004D1461"/>
    <w:rsid w:val="004D3A71"/>
    <w:rsid w:val="004D3CE4"/>
    <w:rsid w:val="004D4B0B"/>
    <w:rsid w:val="004D7E51"/>
    <w:rsid w:val="004E049B"/>
    <w:rsid w:val="004E04EE"/>
    <w:rsid w:val="004E1B37"/>
    <w:rsid w:val="004E2704"/>
    <w:rsid w:val="004E4D01"/>
    <w:rsid w:val="004F582B"/>
    <w:rsid w:val="004F705B"/>
    <w:rsid w:val="004F7DCE"/>
    <w:rsid w:val="00500964"/>
    <w:rsid w:val="00500C66"/>
    <w:rsid w:val="00505B94"/>
    <w:rsid w:val="005130EC"/>
    <w:rsid w:val="00513C36"/>
    <w:rsid w:val="005146E6"/>
    <w:rsid w:val="00517E7A"/>
    <w:rsid w:val="00527DAA"/>
    <w:rsid w:val="005332E3"/>
    <w:rsid w:val="00535A42"/>
    <w:rsid w:val="0053748E"/>
    <w:rsid w:val="005449C6"/>
    <w:rsid w:val="00544E8E"/>
    <w:rsid w:val="00552EAA"/>
    <w:rsid w:val="0055394C"/>
    <w:rsid w:val="00560B74"/>
    <w:rsid w:val="00566B42"/>
    <w:rsid w:val="0057165C"/>
    <w:rsid w:val="00571D95"/>
    <w:rsid w:val="005722C6"/>
    <w:rsid w:val="005755CD"/>
    <w:rsid w:val="005774E5"/>
    <w:rsid w:val="00580FF8"/>
    <w:rsid w:val="00585C8D"/>
    <w:rsid w:val="005862CC"/>
    <w:rsid w:val="005911FE"/>
    <w:rsid w:val="0059312F"/>
    <w:rsid w:val="00595758"/>
    <w:rsid w:val="00596081"/>
    <w:rsid w:val="005A3943"/>
    <w:rsid w:val="005A51E6"/>
    <w:rsid w:val="005A632E"/>
    <w:rsid w:val="005B7418"/>
    <w:rsid w:val="005B77F2"/>
    <w:rsid w:val="005C03A9"/>
    <w:rsid w:val="005C222F"/>
    <w:rsid w:val="005C2BFC"/>
    <w:rsid w:val="005C324B"/>
    <w:rsid w:val="005C43E2"/>
    <w:rsid w:val="005C454A"/>
    <w:rsid w:val="005C59B3"/>
    <w:rsid w:val="005C74C9"/>
    <w:rsid w:val="005D1B14"/>
    <w:rsid w:val="005D257B"/>
    <w:rsid w:val="005E1D5C"/>
    <w:rsid w:val="005E25DC"/>
    <w:rsid w:val="005E52AE"/>
    <w:rsid w:val="005E5607"/>
    <w:rsid w:val="005E567C"/>
    <w:rsid w:val="005F1AC7"/>
    <w:rsid w:val="005F505E"/>
    <w:rsid w:val="00602976"/>
    <w:rsid w:val="0060388D"/>
    <w:rsid w:val="00604231"/>
    <w:rsid w:val="006068F3"/>
    <w:rsid w:val="00610C2F"/>
    <w:rsid w:val="0061292D"/>
    <w:rsid w:val="0062187C"/>
    <w:rsid w:val="006239BC"/>
    <w:rsid w:val="00625805"/>
    <w:rsid w:val="00627AC4"/>
    <w:rsid w:val="0063253B"/>
    <w:rsid w:val="006363C8"/>
    <w:rsid w:val="00637AB8"/>
    <w:rsid w:val="0064370D"/>
    <w:rsid w:val="00643771"/>
    <w:rsid w:val="00644946"/>
    <w:rsid w:val="00645DC3"/>
    <w:rsid w:val="00646AB8"/>
    <w:rsid w:val="00647BD9"/>
    <w:rsid w:val="00653886"/>
    <w:rsid w:val="0065406D"/>
    <w:rsid w:val="00654A3E"/>
    <w:rsid w:val="006624A7"/>
    <w:rsid w:val="0066515F"/>
    <w:rsid w:val="006668AF"/>
    <w:rsid w:val="0067278C"/>
    <w:rsid w:val="00676DAA"/>
    <w:rsid w:val="0068277B"/>
    <w:rsid w:val="00686439"/>
    <w:rsid w:val="00695DD3"/>
    <w:rsid w:val="006A6051"/>
    <w:rsid w:val="006A7B34"/>
    <w:rsid w:val="006B31D9"/>
    <w:rsid w:val="006C0102"/>
    <w:rsid w:val="006C07D4"/>
    <w:rsid w:val="006C41AD"/>
    <w:rsid w:val="006D04BD"/>
    <w:rsid w:val="006D47EF"/>
    <w:rsid w:val="006D6644"/>
    <w:rsid w:val="006D7180"/>
    <w:rsid w:val="006E3674"/>
    <w:rsid w:val="006E433B"/>
    <w:rsid w:val="006E6D91"/>
    <w:rsid w:val="006E7899"/>
    <w:rsid w:val="006E7C78"/>
    <w:rsid w:val="006F27F4"/>
    <w:rsid w:val="006F2E23"/>
    <w:rsid w:val="006F7024"/>
    <w:rsid w:val="006F7F87"/>
    <w:rsid w:val="00703A7C"/>
    <w:rsid w:val="007076DA"/>
    <w:rsid w:val="00707860"/>
    <w:rsid w:val="007207BF"/>
    <w:rsid w:val="00720901"/>
    <w:rsid w:val="00725CB0"/>
    <w:rsid w:val="00732C51"/>
    <w:rsid w:val="0073517D"/>
    <w:rsid w:val="0073685C"/>
    <w:rsid w:val="00737EA5"/>
    <w:rsid w:val="007400AE"/>
    <w:rsid w:val="00741F3E"/>
    <w:rsid w:val="00743AA8"/>
    <w:rsid w:val="00750840"/>
    <w:rsid w:val="00757617"/>
    <w:rsid w:val="00763AD8"/>
    <w:rsid w:val="00765016"/>
    <w:rsid w:val="00767EDE"/>
    <w:rsid w:val="0077100C"/>
    <w:rsid w:val="00771458"/>
    <w:rsid w:val="00776C39"/>
    <w:rsid w:val="00781D00"/>
    <w:rsid w:val="007900F3"/>
    <w:rsid w:val="00791B69"/>
    <w:rsid w:val="0079498E"/>
    <w:rsid w:val="00796F10"/>
    <w:rsid w:val="007A6AB5"/>
    <w:rsid w:val="007B14D9"/>
    <w:rsid w:val="007B2B46"/>
    <w:rsid w:val="007B30F2"/>
    <w:rsid w:val="007B377F"/>
    <w:rsid w:val="007B4274"/>
    <w:rsid w:val="007B5117"/>
    <w:rsid w:val="007B599D"/>
    <w:rsid w:val="007B6650"/>
    <w:rsid w:val="007B6A74"/>
    <w:rsid w:val="007B6D6F"/>
    <w:rsid w:val="007C2DC8"/>
    <w:rsid w:val="007C6E58"/>
    <w:rsid w:val="007D097E"/>
    <w:rsid w:val="007D230B"/>
    <w:rsid w:val="007D2D80"/>
    <w:rsid w:val="007D3681"/>
    <w:rsid w:val="007D3824"/>
    <w:rsid w:val="007D49A1"/>
    <w:rsid w:val="007D59DD"/>
    <w:rsid w:val="007E1F66"/>
    <w:rsid w:val="007E2CB5"/>
    <w:rsid w:val="007E4C10"/>
    <w:rsid w:val="007E6501"/>
    <w:rsid w:val="007E6C25"/>
    <w:rsid w:val="007F32D7"/>
    <w:rsid w:val="007F669E"/>
    <w:rsid w:val="00801632"/>
    <w:rsid w:val="0080520B"/>
    <w:rsid w:val="0080751F"/>
    <w:rsid w:val="00807B3E"/>
    <w:rsid w:val="0081092E"/>
    <w:rsid w:val="00810D4A"/>
    <w:rsid w:val="00812E06"/>
    <w:rsid w:val="00812F82"/>
    <w:rsid w:val="008146FD"/>
    <w:rsid w:val="00816AAB"/>
    <w:rsid w:val="00820402"/>
    <w:rsid w:val="008208F0"/>
    <w:rsid w:val="008243B2"/>
    <w:rsid w:val="00824F08"/>
    <w:rsid w:val="008310DF"/>
    <w:rsid w:val="00831105"/>
    <w:rsid w:val="00835487"/>
    <w:rsid w:val="00844A4B"/>
    <w:rsid w:val="00846F9B"/>
    <w:rsid w:val="00852BA9"/>
    <w:rsid w:val="00854676"/>
    <w:rsid w:val="00865296"/>
    <w:rsid w:val="00867086"/>
    <w:rsid w:val="00874663"/>
    <w:rsid w:val="00881B95"/>
    <w:rsid w:val="008831CA"/>
    <w:rsid w:val="00886CD6"/>
    <w:rsid w:val="0089272A"/>
    <w:rsid w:val="00894890"/>
    <w:rsid w:val="008967F1"/>
    <w:rsid w:val="00897247"/>
    <w:rsid w:val="0089763B"/>
    <w:rsid w:val="008B08F0"/>
    <w:rsid w:val="008B262C"/>
    <w:rsid w:val="008B2DAD"/>
    <w:rsid w:val="008B6FC8"/>
    <w:rsid w:val="008C0942"/>
    <w:rsid w:val="008C19E9"/>
    <w:rsid w:val="008C26E9"/>
    <w:rsid w:val="008C774E"/>
    <w:rsid w:val="008D4652"/>
    <w:rsid w:val="008D559D"/>
    <w:rsid w:val="008D5ACE"/>
    <w:rsid w:val="008D6D9D"/>
    <w:rsid w:val="008F1691"/>
    <w:rsid w:val="008F22E2"/>
    <w:rsid w:val="008F5698"/>
    <w:rsid w:val="008F639E"/>
    <w:rsid w:val="00901EF2"/>
    <w:rsid w:val="00903EB6"/>
    <w:rsid w:val="00904906"/>
    <w:rsid w:val="0090702F"/>
    <w:rsid w:val="009079D0"/>
    <w:rsid w:val="00913D0A"/>
    <w:rsid w:val="009148A1"/>
    <w:rsid w:val="00921545"/>
    <w:rsid w:val="00924972"/>
    <w:rsid w:val="00932E1E"/>
    <w:rsid w:val="00934068"/>
    <w:rsid w:val="00937854"/>
    <w:rsid w:val="00937ED3"/>
    <w:rsid w:val="009469E0"/>
    <w:rsid w:val="00951C4D"/>
    <w:rsid w:val="00952E03"/>
    <w:rsid w:val="009547E2"/>
    <w:rsid w:val="00956488"/>
    <w:rsid w:val="00956F5F"/>
    <w:rsid w:val="009610DC"/>
    <w:rsid w:val="0097154F"/>
    <w:rsid w:val="0097654A"/>
    <w:rsid w:val="00985996"/>
    <w:rsid w:val="00986978"/>
    <w:rsid w:val="00992651"/>
    <w:rsid w:val="00994F74"/>
    <w:rsid w:val="0099563A"/>
    <w:rsid w:val="009A13F4"/>
    <w:rsid w:val="009A44BE"/>
    <w:rsid w:val="009A4B41"/>
    <w:rsid w:val="009B029F"/>
    <w:rsid w:val="009B27F8"/>
    <w:rsid w:val="009B4A8B"/>
    <w:rsid w:val="009B74FB"/>
    <w:rsid w:val="009C0660"/>
    <w:rsid w:val="009C31A4"/>
    <w:rsid w:val="009C4827"/>
    <w:rsid w:val="009C4845"/>
    <w:rsid w:val="009C7314"/>
    <w:rsid w:val="009D2442"/>
    <w:rsid w:val="009D28A8"/>
    <w:rsid w:val="009D5D9F"/>
    <w:rsid w:val="009E0FA2"/>
    <w:rsid w:val="009E2244"/>
    <w:rsid w:val="009F57FD"/>
    <w:rsid w:val="009F61CE"/>
    <w:rsid w:val="009F7F9F"/>
    <w:rsid w:val="00A01E02"/>
    <w:rsid w:val="00A02E26"/>
    <w:rsid w:val="00A05BA0"/>
    <w:rsid w:val="00A159C9"/>
    <w:rsid w:val="00A167FB"/>
    <w:rsid w:val="00A21B70"/>
    <w:rsid w:val="00A21D02"/>
    <w:rsid w:val="00A21DDB"/>
    <w:rsid w:val="00A23CF6"/>
    <w:rsid w:val="00A23E05"/>
    <w:rsid w:val="00A2690C"/>
    <w:rsid w:val="00A2792F"/>
    <w:rsid w:val="00A30970"/>
    <w:rsid w:val="00A315E4"/>
    <w:rsid w:val="00A31D96"/>
    <w:rsid w:val="00A31FEE"/>
    <w:rsid w:val="00A3202F"/>
    <w:rsid w:val="00A32588"/>
    <w:rsid w:val="00A33C55"/>
    <w:rsid w:val="00A406C3"/>
    <w:rsid w:val="00A42875"/>
    <w:rsid w:val="00A44DC1"/>
    <w:rsid w:val="00A452DC"/>
    <w:rsid w:val="00A47A98"/>
    <w:rsid w:val="00A47EE7"/>
    <w:rsid w:val="00A50B43"/>
    <w:rsid w:val="00A51C87"/>
    <w:rsid w:val="00A54197"/>
    <w:rsid w:val="00A61821"/>
    <w:rsid w:val="00A61E3A"/>
    <w:rsid w:val="00A631BA"/>
    <w:rsid w:val="00A67CA5"/>
    <w:rsid w:val="00A75CCD"/>
    <w:rsid w:val="00A76EC3"/>
    <w:rsid w:val="00A80506"/>
    <w:rsid w:val="00A806AE"/>
    <w:rsid w:val="00A8118F"/>
    <w:rsid w:val="00A83458"/>
    <w:rsid w:val="00A85D46"/>
    <w:rsid w:val="00A863AA"/>
    <w:rsid w:val="00A86C41"/>
    <w:rsid w:val="00A90148"/>
    <w:rsid w:val="00A917F8"/>
    <w:rsid w:val="00A91DA4"/>
    <w:rsid w:val="00AA0D8C"/>
    <w:rsid w:val="00AA25BC"/>
    <w:rsid w:val="00AA3077"/>
    <w:rsid w:val="00AA3E2A"/>
    <w:rsid w:val="00AA46AF"/>
    <w:rsid w:val="00AA5AE7"/>
    <w:rsid w:val="00AB2646"/>
    <w:rsid w:val="00AB4E9E"/>
    <w:rsid w:val="00AB6C99"/>
    <w:rsid w:val="00AB6CAA"/>
    <w:rsid w:val="00AC11D5"/>
    <w:rsid w:val="00AC15E5"/>
    <w:rsid w:val="00AC16DE"/>
    <w:rsid w:val="00AC22BB"/>
    <w:rsid w:val="00AC4080"/>
    <w:rsid w:val="00AC4D41"/>
    <w:rsid w:val="00AC5A6D"/>
    <w:rsid w:val="00AC5D73"/>
    <w:rsid w:val="00AC6E0A"/>
    <w:rsid w:val="00AC73AD"/>
    <w:rsid w:val="00AD067D"/>
    <w:rsid w:val="00AD705A"/>
    <w:rsid w:val="00AD78F9"/>
    <w:rsid w:val="00AE008D"/>
    <w:rsid w:val="00AE30E0"/>
    <w:rsid w:val="00AE346F"/>
    <w:rsid w:val="00AE3944"/>
    <w:rsid w:val="00AE3AD5"/>
    <w:rsid w:val="00AE6955"/>
    <w:rsid w:val="00AF2329"/>
    <w:rsid w:val="00AF3660"/>
    <w:rsid w:val="00AF7A20"/>
    <w:rsid w:val="00B01312"/>
    <w:rsid w:val="00B02A8D"/>
    <w:rsid w:val="00B02D98"/>
    <w:rsid w:val="00B078F7"/>
    <w:rsid w:val="00B126FB"/>
    <w:rsid w:val="00B15D2F"/>
    <w:rsid w:val="00B16399"/>
    <w:rsid w:val="00B1760F"/>
    <w:rsid w:val="00B2586D"/>
    <w:rsid w:val="00B25AE4"/>
    <w:rsid w:val="00B26909"/>
    <w:rsid w:val="00B275A8"/>
    <w:rsid w:val="00B27664"/>
    <w:rsid w:val="00B31169"/>
    <w:rsid w:val="00B31828"/>
    <w:rsid w:val="00B42BEE"/>
    <w:rsid w:val="00B452B7"/>
    <w:rsid w:val="00B458E3"/>
    <w:rsid w:val="00B518FF"/>
    <w:rsid w:val="00B54F17"/>
    <w:rsid w:val="00B561EE"/>
    <w:rsid w:val="00B57D47"/>
    <w:rsid w:val="00B6060C"/>
    <w:rsid w:val="00B6210E"/>
    <w:rsid w:val="00B632E3"/>
    <w:rsid w:val="00B64DC8"/>
    <w:rsid w:val="00B705AD"/>
    <w:rsid w:val="00B70688"/>
    <w:rsid w:val="00B74344"/>
    <w:rsid w:val="00B75FD9"/>
    <w:rsid w:val="00B77091"/>
    <w:rsid w:val="00B837C1"/>
    <w:rsid w:val="00B841E0"/>
    <w:rsid w:val="00B860BA"/>
    <w:rsid w:val="00B865F5"/>
    <w:rsid w:val="00B870A0"/>
    <w:rsid w:val="00B91DFE"/>
    <w:rsid w:val="00B95125"/>
    <w:rsid w:val="00B966E9"/>
    <w:rsid w:val="00B96BC7"/>
    <w:rsid w:val="00B97229"/>
    <w:rsid w:val="00BA08A3"/>
    <w:rsid w:val="00BA1BBA"/>
    <w:rsid w:val="00BA5AB3"/>
    <w:rsid w:val="00BB227E"/>
    <w:rsid w:val="00BB3525"/>
    <w:rsid w:val="00BB4F22"/>
    <w:rsid w:val="00BB7E3D"/>
    <w:rsid w:val="00BC3CD1"/>
    <w:rsid w:val="00BC5EC6"/>
    <w:rsid w:val="00BC5F0E"/>
    <w:rsid w:val="00BD2211"/>
    <w:rsid w:val="00BD221D"/>
    <w:rsid w:val="00BD3E65"/>
    <w:rsid w:val="00BD4834"/>
    <w:rsid w:val="00BD5934"/>
    <w:rsid w:val="00BD7785"/>
    <w:rsid w:val="00BE3B2E"/>
    <w:rsid w:val="00BE508B"/>
    <w:rsid w:val="00BF1CBD"/>
    <w:rsid w:val="00BF52C4"/>
    <w:rsid w:val="00C006BE"/>
    <w:rsid w:val="00C01AB5"/>
    <w:rsid w:val="00C05B8E"/>
    <w:rsid w:val="00C1063D"/>
    <w:rsid w:val="00C15E0E"/>
    <w:rsid w:val="00C177B5"/>
    <w:rsid w:val="00C23FB5"/>
    <w:rsid w:val="00C24A1A"/>
    <w:rsid w:val="00C331BB"/>
    <w:rsid w:val="00C41A08"/>
    <w:rsid w:val="00C422B9"/>
    <w:rsid w:val="00C4241E"/>
    <w:rsid w:val="00C4638B"/>
    <w:rsid w:val="00C50EFE"/>
    <w:rsid w:val="00C53326"/>
    <w:rsid w:val="00C615A3"/>
    <w:rsid w:val="00C6198D"/>
    <w:rsid w:val="00C635DA"/>
    <w:rsid w:val="00C639E7"/>
    <w:rsid w:val="00C659BE"/>
    <w:rsid w:val="00C76E10"/>
    <w:rsid w:val="00C80300"/>
    <w:rsid w:val="00C82307"/>
    <w:rsid w:val="00C84759"/>
    <w:rsid w:val="00C8613B"/>
    <w:rsid w:val="00C92622"/>
    <w:rsid w:val="00C97228"/>
    <w:rsid w:val="00C9780D"/>
    <w:rsid w:val="00CA02DA"/>
    <w:rsid w:val="00CA1A54"/>
    <w:rsid w:val="00CC0F77"/>
    <w:rsid w:val="00CC46B2"/>
    <w:rsid w:val="00CC5718"/>
    <w:rsid w:val="00CC7D01"/>
    <w:rsid w:val="00CD1352"/>
    <w:rsid w:val="00CD1CBE"/>
    <w:rsid w:val="00CD1E3E"/>
    <w:rsid w:val="00CD32E2"/>
    <w:rsid w:val="00CD3317"/>
    <w:rsid w:val="00CD4B0B"/>
    <w:rsid w:val="00CD6698"/>
    <w:rsid w:val="00CD7A1A"/>
    <w:rsid w:val="00CE1E5B"/>
    <w:rsid w:val="00CE352A"/>
    <w:rsid w:val="00CF0262"/>
    <w:rsid w:val="00CF1D92"/>
    <w:rsid w:val="00CF2D92"/>
    <w:rsid w:val="00CF5D91"/>
    <w:rsid w:val="00D0025C"/>
    <w:rsid w:val="00D002A2"/>
    <w:rsid w:val="00D004FB"/>
    <w:rsid w:val="00D02BBC"/>
    <w:rsid w:val="00D02C36"/>
    <w:rsid w:val="00D06A0D"/>
    <w:rsid w:val="00D12172"/>
    <w:rsid w:val="00D12B8C"/>
    <w:rsid w:val="00D200F6"/>
    <w:rsid w:val="00D21646"/>
    <w:rsid w:val="00D327F9"/>
    <w:rsid w:val="00D36A3A"/>
    <w:rsid w:val="00D454F2"/>
    <w:rsid w:val="00D47CE9"/>
    <w:rsid w:val="00D52995"/>
    <w:rsid w:val="00D70C60"/>
    <w:rsid w:val="00D7122C"/>
    <w:rsid w:val="00D72ADE"/>
    <w:rsid w:val="00D75233"/>
    <w:rsid w:val="00D7728F"/>
    <w:rsid w:val="00D77696"/>
    <w:rsid w:val="00D808EE"/>
    <w:rsid w:val="00D81CC4"/>
    <w:rsid w:val="00D84E91"/>
    <w:rsid w:val="00D85972"/>
    <w:rsid w:val="00D92948"/>
    <w:rsid w:val="00D92998"/>
    <w:rsid w:val="00D9765E"/>
    <w:rsid w:val="00DA4591"/>
    <w:rsid w:val="00DA6430"/>
    <w:rsid w:val="00DB63DB"/>
    <w:rsid w:val="00DB7824"/>
    <w:rsid w:val="00DB7A9C"/>
    <w:rsid w:val="00DC308E"/>
    <w:rsid w:val="00DC6C76"/>
    <w:rsid w:val="00DC7F73"/>
    <w:rsid w:val="00DD578D"/>
    <w:rsid w:val="00DD705E"/>
    <w:rsid w:val="00DD79FE"/>
    <w:rsid w:val="00DE191A"/>
    <w:rsid w:val="00DE1A0F"/>
    <w:rsid w:val="00DE3123"/>
    <w:rsid w:val="00DE339F"/>
    <w:rsid w:val="00DF1535"/>
    <w:rsid w:val="00DF53F5"/>
    <w:rsid w:val="00DF61FD"/>
    <w:rsid w:val="00DF6D25"/>
    <w:rsid w:val="00E03224"/>
    <w:rsid w:val="00E03C6D"/>
    <w:rsid w:val="00E11EE3"/>
    <w:rsid w:val="00E135F9"/>
    <w:rsid w:val="00E14349"/>
    <w:rsid w:val="00E20C28"/>
    <w:rsid w:val="00E22A77"/>
    <w:rsid w:val="00E22E84"/>
    <w:rsid w:val="00E24B18"/>
    <w:rsid w:val="00E3016C"/>
    <w:rsid w:val="00E315E3"/>
    <w:rsid w:val="00E348BC"/>
    <w:rsid w:val="00E4307D"/>
    <w:rsid w:val="00E4318F"/>
    <w:rsid w:val="00E4392E"/>
    <w:rsid w:val="00E54395"/>
    <w:rsid w:val="00E54741"/>
    <w:rsid w:val="00E568E5"/>
    <w:rsid w:val="00E57AAD"/>
    <w:rsid w:val="00E6453F"/>
    <w:rsid w:val="00E659EF"/>
    <w:rsid w:val="00E6780F"/>
    <w:rsid w:val="00E70CBD"/>
    <w:rsid w:val="00E717E8"/>
    <w:rsid w:val="00E72BAF"/>
    <w:rsid w:val="00E73D81"/>
    <w:rsid w:val="00E754F4"/>
    <w:rsid w:val="00EA057C"/>
    <w:rsid w:val="00EA2D3D"/>
    <w:rsid w:val="00EA5B84"/>
    <w:rsid w:val="00EA6427"/>
    <w:rsid w:val="00EB20F9"/>
    <w:rsid w:val="00EB24EB"/>
    <w:rsid w:val="00EB2A06"/>
    <w:rsid w:val="00EB34AF"/>
    <w:rsid w:val="00EB3B94"/>
    <w:rsid w:val="00ED06CC"/>
    <w:rsid w:val="00ED2C8E"/>
    <w:rsid w:val="00ED379E"/>
    <w:rsid w:val="00ED7680"/>
    <w:rsid w:val="00EE0424"/>
    <w:rsid w:val="00EE0D47"/>
    <w:rsid w:val="00EE2A2F"/>
    <w:rsid w:val="00EE34D8"/>
    <w:rsid w:val="00EE5358"/>
    <w:rsid w:val="00EE597B"/>
    <w:rsid w:val="00EF0F11"/>
    <w:rsid w:val="00EF54D8"/>
    <w:rsid w:val="00EF71E9"/>
    <w:rsid w:val="00EF7C94"/>
    <w:rsid w:val="00F006D2"/>
    <w:rsid w:val="00F00BD1"/>
    <w:rsid w:val="00F01FD9"/>
    <w:rsid w:val="00F04B07"/>
    <w:rsid w:val="00F05BA8"/>
    <w:rsid w:val="00F15A26"/>
    <w:rsid w:val="00F16F13"/>
    <w:rsid w:val="00F17470"/>
    <w:rsid w:val="00F23E9A"/>
    <w:rsid w:val="00F242D9"/>
    <w:rsid w:val="00F25633"/>
    <w:rsid w:val="00F3715D"/>
    <w:rsid w:val="00F44B62"/>
    <w:rsid w:val="00F5072C"/>
    <w:rsid w:val="00F51CBF"/>
    <w:rsid w:val="00F5411D"/>
    <w:rsid w:val="00F56D2B"/>
    <w:rsid w:val="00F57D2D"/>
    <w:rsid w:val="00F606D8"/>
    <w:rsid w:val="00F62A49"/>
    <w:rsid w:val="00F64F0D"/>
    <w:rsid w:val="00F65398"/>
    <w:rsid w:val="00F7026A"/>
    <w:rsid w:val="00F71826"/>
    <w:rsid w:val="00F72B45"/>
    <w:rsid w:val="00F73B00"/>
    <w:rsid w:val="00F84737"/>
    <w:rsid w:val="00F87B69"/>
    <w:rsid w:val="00F90C95"/>
    <w:rsid w:val="00F9103E"/>
    <w:rsid w:val="00F95923"/>
    <w:rsid w:val="00F96A39"/>
    <w:rsid w:val="00F97463"/>
    <w:rsid w:val="00FA4244"/>
    <w:rsid w:val="00FA4DC6"/>
    <w:rsid w:val="00FA5D99"/>
    <w:rsid w:val="00FB030E"/>
    <w:rsid w:val="00FB42A8"/>
    <w:rsid w:val="00FB571F"/>
    <w:rsid w:val="00FC42BA"/>
    <w:rsid w:val="00FC6166"/>
    <w:rsid w:val="00FD08C1"/>
    <w:rsid w:val="00FD2C54"/>
    <w:rsid w:val="00FD7A7A"/>
    <w:rsid w:val="00FE10C1"/>
    <w:rsid w:val="00FE16C0"/>
    <w:rsid w:val="00FE190E"/>
    <w:rsid w:val="00FE20A9"/>
    <w:rsid w:val="00FE48A9"/>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iPriority w:val="35"/>
    <w:unhideWhenUsed/>
    <w:qFormat/>
    <w:rsid w:val="00453E72"/>
    <w:pPr>
      <w:keepNext/>
      <w:keepLines/>
      <w:spacing w:before="280" w:after="80"/>
    </w:pPr>
    <w:rPr>
      <w:rFonts w:cs="Arial"/>
      <w:b/>
      <w:noProof/>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uiPriority w:val="35"/>
    <w:locked/>
    <w:rsid w:val="00453E72"/>
    <w:rPr>
      <w:rFonts w:ascii="Calibri Light" w:hAnsi="Calibri Light" w:cs="Arial"/>
      <w:b/>
      <w:noProof/>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noProof/>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8967F1"/>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43320F"/>
    <w:pPr>
      <w:keepNext/>
      <w:keepLines/>
      <w:spacing w:line="360" w:lineRule="exact"/>
      <w:jc w:val="center"/>
      <w:outlineLvl w:val="1"/>
    </w:pPr>
    <w:rPr>
      <w:rFonts w:eastAsiaTheme="majorEastAsia" w:cstheme="majorBidi"/>
      <w:caps/>
      <w:color w:val="FFFFFF" w:themeColor="background1"/>
      <w:spacing w:val="60"/>
      <w:sz w:val="32"/>
    </w:rPr>
  </w:style>
  <w:style w:type="character" w:customStyle="1" w:styleId="eTRMHeading2Char">
    <w:name w:val="eTRM Heading 2 Char"/>
    <w:basedOn w:val="DefaultParagraphFont"/>
    <w:link w:val="eTRMHeading2"/>
    <w:rsid w:val="0043320F"/>
    <w:rPr>
      <w:rFonts w:ascii="Calibri Light" w:eastAsiaTheme="majorEastAsia" w:hAnsi="Calibri Light" w:cstheme="majorBidi"/>
      <w:caps/>
      <w:color w:val="FFFFFF" w:themeColor="background1"/>
      <w:spacing w:val="60"/>
      <w:sz w:val="32"/>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A3202F"/>
    <w:pPr>
      <w:spacing w:before="20" w:after="20"/>
    </w:pPr>
  </w:style>
  <w:style w:type="character" w:customStyle="1" w:styleId="eTRMFootnoteTextChar">
    <w:name w:val="eTRM Footnote Text Char"/>
    <w:basedOn w:val="FootnoteTextChar"/>
    <w:link w:val="eTRMFootnoteText"/>
    <w:rsid w:val="00A3202F"/>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Default">
    <w:name w:val="Default"/>
    <w:rsid w:val="00304988"/>
    <w:pPr>
      <w:autoSpaceDE w:val="0"/>
      <w:autoSpaceDN w:val="0"/>
      <w:adjustRightInd w:val="0"/>
    </w:pPr>
    <w:rPr>
      <w:rFonts w:ascii="Palatino Linotype" w:eastAsiaTheme="minorHAnsi" w:hAnsi="Palatino Linotype" w:cs="Palatino Linotype"/>
      <w:color w:val="000000"/>
    </w:rPr>
  </w:style>
  <w:style w:type="character" w:styleId="Emphasis">
    <w:name w:val="Emphasis"/>
    <w:basedOn w:val="DefaultParagraphFont"/>
    <w:uiPriority w:val="20"/>
    <w:qFormat/>
    <w:rsid w:val="00CE352A"/>
    <w:rPr>
      <w:i/>
      <w:iCs/>
    </w:rPr>
  </w:style>
  <w:style w:type="table" w:customStyle="1" w:styleId="TableGrid1">
    <w:name w:val="Table Grid1"/>
    <w:basedOn w:val="TableNormal"/>
    <w:next w:val="TableGrid"/>
    <w:rsid w:val="00063EE5"/>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552EAA"/>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552EAA"/>
    <w:rPr>
      <w:rFonts w:ascii="Trebuchet MS" w:eastAsia="Times New Roman" w:hAnsi="Trebuchet MS" w:cs="Times New Roman"/>
      <w:i/>
      <w:color w:val="FF0000"/>
      <w:sz w:val="22"/>
    </w:rPr>
  </w:style>
  <w:style w:type="paragraph" w:styleId="NoSpacing">
    <w:name w:val="No Spacing"/>
    <w:uiPriority w:val="1"/>
    <w:rsid w:val="00552EAA"/>
    <w:rPr>
      <w:rFonts w:eastAsiaTheme="minorHAnsi"/>
      <w:sz w:val="22"/>
      <w:szCs w:val="22"/>
    </w:rPr>
  </w:style>
  <w:style w:type="character" w:styleId="PlaceholderText">
    <w:name w:val="Placeholder Text"/>
    <w:basedOn w:val="DefaultParagraphFont"/>
    <w:uiPriority w:val="99"/>
    <w:semiHidden/>
    <w:rsid w:val="00C177B5"/>
    <w:rPr>
      <w:color w:val="808080"/>
    </w:rPr>
  </w:style>
  <w:style w:type="table" w:customStyle="1" w:styleId="TableGrid11">
    <w:name w:val="Table Grid11"/>
    <w:basedOn w:val="TableNormal"/>
    <w:next w:val="TableGrid"/>
    <w:rsid w:val="00C5332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274077">
      <w:bodyDiv w:val="1"/>
      <w:marLeft w:val="0"/>
      <w:marRight w:val="0"/>
      <w:marTop w:val="0"/>
      <w:marBottom w:val="0"/>
      <w:divBdr>
        <w:top w:val="none" w:sz="0" w:space="0" w:color="auto"/>
        <w:left w:val="none" w:sz="0" w:space="0" w:color="auto"/>
        <w:bottom w:val="none" w:sz="0" w:space="0" w:color="auto"/>
        <w:right w:val="none" w:sz="0" w:space="0" w:color="auto"/>
      </w:divBdr>
    </w:div>
    <w:div w:id="950820370">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40275182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9.jpeg"/><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8.jpeg"/><Relationship Id="rId27" Type="http://schemas.openxmlformats.org/officeDocument/2006/relationships/header" Target="header4.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FD481-ADFA-4DB6-B0E5-A58CA93A46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060D22-C823-474A-9CA4-AB9E348F5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A6C79-F343-47E1-B9CF-95642EC84ED3}">
  <ds:schemaRefs>
    <ds:schemaRef ds:uri="http://schemas.openxmlformats.org/officeDocument/2006/bibliography"/>
  </ds:schemaRefs>
</ds:datastoreItem>
</file>

<file path=customXml/itemProps4.xml><?xml version="1.0" encoding="utf-8"?>
<ds:datastoreItem xmlns:ds="http://schemas.openxmlformats.org/officeDocument/2006/customXml" ds:itemID="{D586028E-E5A5-4A40-83AC-66C6BE6AE7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9</TotalTime>
  <Pages>23</Pages>
  <Words>5691</Words>
  <Characters>32442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38057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Reynoso, Ed</cp:lastModifiedBy>
  <cp:revision>4</cp:revision>
  <cp:lastPrinted>2020-06-10T19:25:00Z</cp:lastPrinted>
  <dcterms:created xsi:type="dcterms:W3CDTF">2021-07-28T22:53:00Z</dcterms:created>
  <dcterms:modified xsi:type="dcterms:W3CDTF">2021-07-28T22:55:00Z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