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5E17B501" w14:textId="77777777" w:rsidTr="00CA50C3">
        <w:trPr>
          <w:cantSplit/>
          <w:trHeight w:hRule="exact" w:val="2016"/>
          <w:jc w:val="right"/>
        </w:trPr>
        <w:tc>
          <w:tcPr>
            <w:tcW w:w="9000" w:type="dxa"/>
            <w:shd w:val="clear" w:color="auto" w:fill="8DC63F"/>
            <w:vAlign w:val="center"/>
          </w:tcPr>
          <w:p w14:paraId="18DCE7F9" w14:textId="6529FE84" w:rsidR="00BD221D" w:rsidRPr="00AC633C" w:rsidRDefault="00AC633C" w:rsidP="00D40FF7">
            <w:pPr>
              <w:pStyle w:val="eTRMHeading1"/>
            </w:pPr>
            <w:r w:rsidRPr="00AC633C">
              <w:t>Service &amp; Domestic Hot Water</w:t>
            </w:r>
          </w:p>
          <w:p w14:paraId="60E5D837" w14:textId="2EC9CC41" w:rsidR="00BD221D" w:rsidRDefault="00647853" w:rsidP="00CC5542">
            <w:pPr>
              <w:pStyle w:val="eTRMHeading2"/>
              <w:rPr>
                <w:color w:val="FFFFFF" w:themeColor="background1"/>
                <w:spacing w:val="60"/>
              </w:rPr>
            </w:pPr>
            <w:r w:rsidRPr="00647853">
              <w:rPr>
                <w:color w:val="FFFFFF" w:themeColor="background1"/>
                <w:spacing w:val="60"/>
              </w:rPr>
              <w:t xml:space="preserve">Heat Pump Water Heater, </w:t>
            </w:r>
            <w:r w:rsidR="00AC633C">
              <w:rPr>
                <w:color w:val="FFFFFF" w:themeColor="background1"/>
                <w:spacing w:val="60"/>
              </w:rPr>
              <w:t xml:space="preserve">Multifamily &amp; Commercial, </w:t>
            </w:r>
            <w:r w:rsidRPr="00647853">
              <w:rPr>
                <w:color w:val="FFFFFF" w:themeColor="background1"/>
                <w:spacing w:val="60"/>
              </w:rPr>
              <w:t>Fuel Substitutio</w:t>
            </w:r>
            <w:r w:rsidR="00A5127F">
              <w:rPr>
                <w:color w:val="FFFFFF" w:themeColor="background1"/>
                <w:spacing w:val="60"/>
              </w:rPr>
              <w:t>N</w:t>
            </w:r>
          </w:p>
          <w:p w14:paraId="6DBBF0F4" w14:textId="0A6F29CF" w:rsidR="00AC633C" w:rsidRPr="00203ECA" w:rsidRDefault="00AC633C" w:rsidP="00CC5542">
            <w:pPr>
              <w:pStyle w:val="eTRMHeading2"/>
              <w:rPr>
                <w:color w:val="FFFFFF" w:themeColor="background1"/>
              </w:rPr>
            </w:pPr>
            <w:r w:rsidRPr="00CA50C3">
              <w:rPr>
                <w:color w:val="FFFFFF" w:themeColor="background1"/>
                <w:spacing w:val="60"/>
                <w:sz w:val="28"/>
                <w:szCs w:val="22"/>
              </w:rPr>
              <w:t>SWWH028-0</w:t>
            </w:r>
            <w:r w:rsidR="00CB5F85">
              <w:rPr>
                <w:color w:val="FFFFFF" w:themeColor="background1"/>
                <w:spacing w:val="60"/>
                <w:sz w:val="28"/>
                <w:szCs w:val="22"/>
              </w:rPr>
              <w:t>1</w:t>
            </w:r>
          </w:p>
        </w:tc>
      </w:tr>
    </w:tbl>
    <w:p w14:paraId="4E87C4A6" w14:textId="77777777" w:rsidR="00BD221D" w:rsidRPr="00203ECA" w:rsidRDefault="00BD221D" w:rsidP="00BD221D"/>
    <w:p w14:paraId="498FF39D" w14:textId="77777777" w:rsidR="00D12B8C" w:rsidRPr="00203ECA" w:rsidRDefault="007E1F66" w:rsidP="0053748E">
      <w:pPr>
        <w:jc w:val="center"/>
        <w:rPr>
          <w:spacing w:val="80"/>
          <w:sz w:val="28"/>
        </w:rPr>
      </w:pPr>
      <w:r w:rsidRPr="00203ECA">
        <w:rPr>
          <w:spacing w:val="80"/>
          <w:sz w:val="28"/>
        </w:rPr>
        <w:t>CONTENTS</w:t>
      </w:r>
    </w:p>
    <w:p w14:paraId="5BA878C0" w14:textId="2AF771C6" w:rsidR="003A0268" w:rsidRDefault="001C6C9B">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3A0268" w:rsidRPr="00760209">
        <w:rPr>
          <w:rFonts w:cs="Calibri Light"/>
          <w:noProof/>
        </w:rPr>
        <w:t>Measure Name</w:t>
      </w:r>
      <w:r w:rsidR="003A0268">
        <w:rPr>
          <w:noProof/>
        </w:rPr>
        <w:tab/>
      </w:r>
      <w:r w:rsidR="003A0268">
        <w:rPr>
          <w:noProof/>
        </w:rPr>
        <w:fldChar w:fldCharType="begin"/>
      </w:r>
      <w:r w:rsidR="003A0268">
        <w:rPr>
          <w:noProof/>
        </w:rPr>
        <w:instrText xml:space="preserve"> PAGEREF _Toc75963020 \h </w:instrText>
      </w:r>
      <w:r w:rsidR="003A0268">
        <w:rPr>
          <w:noProof/>
        </w:rPr>
      </w:r>
      <w:r w:rsidR="003A0268">
        <w:rPr>
          <w:noProof/>
        </w:rPr>
        <w:fldChar w:fldCharType="separate"/>
      </w:r>
      <w:r w:rsidR="00CA4C6F">
        <w:rPr>
          <w:noProof/>
        </w:rPr>
        <w:t>2</w:t>
      </w:r>
      <w:r w:rsidR="003A0268">
        <w:rPr>
          <w:noProof/>
        </w:rPr>
        <w:fldChar w:fldCharType="end"/>
      </w:r>
    </w:p>
    <w:p w14:paraId="692D3ABC" w14:textId="7DD0FDA1" w:rsidR="003A0268" w:rsidRDefault="003A0268">
      <w:pPr>
        <w:pStyle w:val="TOC3"/>
        <w:rPr>
          <w:rFonts w:asciiTheme="minorHAnsi" w:hAnsiTheme="minorHAnsi"/>
          <w:noProof/>
          <w:szCs w:val="22"/>
        </w:rPr>
      </w:pPr>
      <w:r w:rsidRPr="00760209">
        <w:rPr>
          <w:rFonts w:cs="Calibri Light"/>
          <w:noProof/>
        </w:rPr>
        <w:t>Statewide Measure ID</w:t>
      </w:r>
      <w:r>
        <w:rPr>
          <w:noProof/>
        </w:rPr>
        <w:tab/>
      </w:r>
      <w:r>
        <w:rPr>
          <w:noProof/>
        </w:rPr>
        <w:fldChar w:fldCharType="begin"/>
      </w:r>
      <w:r>
        <w:rPr>
          <w:noProof/>
        </w:rPr>
        <w:instrText xml:space="preserve"> PAGEREF _Toc75963021 \h </w:instrText>
      </w:r>
      <w:r>
        <w:rPr>
          <w:noProof/>
        </w:rPr>
      </w:r>
      <w:r>
        <w:rPr>
          <w:noProof/>
        </w:rPr>
        <w:fldChar w:fldCharType="separate"/>
      </w:r>
      <w:r w:rsidR="00CA4C6F">
        <w:rPr>
          <w:noProof/>
        </w:rPr>
        <w:t>2</w:t>
      </w:r>
      <w:r>
        <w:rPr>
          <w:noProof/>
        </w:rPr>
        <w:fldChar w:fldCharType="end"/>
      </w:r>
    </w:p>
    <w:p w14:paraId="07332819" w14:textId="522992B3" w:rsidR="003A0268" w:rsidRDefault="003A0268">
      <w:pPr>
        <w:pStyle w:val="TOC3"/>
        <w:rPr>
          <w:rFonts w:asciiTheme="minorHAnsi" w:hAnsiTheme="minorHAnsi"/>
          <w:noProof/>
          <w:szCs w:val="22"/>
        </w:rPr>
      </w:pPr>
      <w:r w:rsidRPr="00760209">
        <w:rPr>
          <w:rFonts w:cs="Calibri Light"/>
          <w:noProof/>
        </w:rPr>
        <w:t>Effective Date</w:t>
      </w:r>
      <w:r>
        <w:rPr>
          <w:noProof/>
        </w:rPr>
        <w:tab/>
      </w:r>
      <w:r>
        <w:rPr>
          <w:noProof/>
        </w:rPr>
        <w:fldChar w:fldCharType="begin"/>
      </w:r>
      <w:r>
        <w:rPr>
          <w:noProof/>
        </w:rPr>
        <w:instrText xml:space="preserve"> PAGEREF _Toc75963022 \h </w:instrText>
      </w:r>
      <w:r>
        <w:rPr>
          <w:noProof/>
        </w:rPr>
      </w:r>
      <w:r>
        <w:rPr>
          <w:noProof/>
        </w:rPr>
        <w:fldChar w:fldCharType="separate"/>
      </w:r>
      <w:r w:rsidR="00CA4C6F">
        <w:rPr>
          <w:noProof/>
        </w:rPr>
        <w:t>2</w:t>
      </w:r>
      <w:r>
        <w:rPr>
          <w:noProof/>
        </w:rPr>
        <w:fldChar w:fldCharType="end"/>
      </w:r>
    </w:p>
    <w:p w14:paraId="50960CD7" w14:textId="00DD2E2C" w:rsidR="003A0268" w:rsidRDefault="003A0268">
      <w:pPr>
        <w:pStyle w:val="TOC3"/>
        <w:rPr>
          <w:rFonts w:asciiTheme="minorHAnsi" w:hAnsiTheme="minorHAnsi"/>
          <w:noProof/>
          <w:szCs w:val="22"/>
        </w:rPr>
      </w:pPr>
      <w:r w:rsidRPr="00760209">
        <w:rPr>
          <w:rFonts w:cs="Calibri Light"/>
          <w:noProof/>
        </w:rPr>
        <w:t>Technology Summary</w:t>
      </w:r>
      <w:r>
        <w:rPr>
          <w:noProof/>
        </w:rPr>
        <w:tab/>
      </w:r>
      <w:r>
        <w:rPr>
          <w:noProof/>
        </w:rPr>
        <w:fldChar w:fldCharType="begin"/>
      </w:r>
      <w:r>
        <w:rPr>
          <w:noProof/>
        </w:rPr>
        <w:instrText xml:space="preserve"> PAGEREF _Toc75963023 \h </w:instrText>
      </w:r>
      <w:r>
        <w:rPr>
          <w:noProof/>
        </w:rPr>
      </w:r>
      <w:r>
        <w:rPr>
          <w:noProof/>
        </w:rPr>
        <w:fldChar w:fldCharType="separate"/>
      </w:r>
      <w:r w:rsidR="00CA4C6F">
        <w:rPr>
          <w:noProof/>
        </w:rPr>
        <w:t>2</w:t>
      </w:r>
      <w:r>
        <w:rPr>
          <w:noProof/>
        </w:rPr>
        <w:fldChar w:fldCharType="end"/>
      </w:r>
    </w:p>
    <w:p w14:paraId="27777211" w14:textId="1A99A9C2" w:rsidR="003A0268" w:rsidRDefault="003A0268">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_Toc75963024 \h </w:instrText>
      </w:r>
      <w:r>
        <w:rPr>
          <w:noProof/>
        </w:rPr>
      </w:r>
      <w:r>
        <w:rPr>
          <w:noProof/>
        </w:rPr>
        <w:fldChar w:fldCharType="separate"/>
      </w:r>
      <w:r w:rsidR="00CA4C6F">
        <w:rPr>
          <w:noProof/>
        </w:rPr>
        <w:t>3</w:t>
      </w:r>
      <w:r>
        <w:rPr>
          <w:noProof/>
        </w:rPr>
        <w:fldChar w:fldCharType="end"/>
      </w:r>
    </w:p>
    <w:p w14:paraId="2C5FC779" w14:textId="172C2E25" w:rsidR="003A0268" w:rsidRDefault="003A0268">
      <w:pPr>
        <w:pStyle w:val="TOC3"/>
        <w:rPr>
          <w:rFonts w:asciiTheme="minorHAnsi" w:hAnsiTheme="minorHAnsi"/>
          <w:noProof/>
          <w:szCs w:val="22"/>
        </w:rPr>
      </w:pPr>
      <w:r w:rsidRPr="00760209">
        <w:rPr>
          <w:rFonts w:cs="Calibri Light"/>
          <w:noProof/>
        </w:rPr>
        <w:t>Base Case Description</w:t>
      </w:r>
      <w:r>
        <w:rPr>
          <w:noProof/>
        </w:rPr>
        <w:tab/>
      </w:r>
      <w:r>
        <w:rPr>
          <w:noProof/>
        </w:rPr>
        <w:fldChar w:fldCharType="begin"/>
      </w:r>
      <w:r>
        <w:rPr>
          <w:noProof/>
        </w:rPr>
        <w:instrText xml:space="preserve"> PAGEREF _Toc75963025 \h </w:instrText>
      </w:r>
      <w:r>
        <w:rPr>
          <w:noProof/>
        </w:rPr>
      </w:r>
      <w:r>
        <w:rPr>
          <w:noProof/>
        </w:rPr>
        <w:fldChar w:fldCharType="separate"/>
      </w:r>
      <w:r w:rsidR="00CA4C6F">
        <w:rPr>
          <w:noProof/>
        </w:rPr>
        <w:t>4</w:t>
      </w:r>
      <w:r>
        <w:rPr>
          <w:noProof/>
        </w:rPr>
        <w:fldChar w:fldCharType="end"/>
      </w:r>
    </w:p>
    <w:p w14:paraId="717449DE" w14:textId="488AE2F5" w:rsidR="003A0268" w:rsidRDefault="003A0268">
      <w:pPr>
        <w:pStyle w:val="TOC3"/>
        <w:rPr>
          <w:rFonts w:asciiTheme="minorHAnsi" w:hAnsiTheme="minorHAnsi"/>
          <w:noProof/>
          <w:szCs w:val="22"/>
        </w:rPr>
      </w:pPr>
      <w:r w:rsidRPr="00760209">
        <w:rPr>
          <w:rFonts w:cs="Calibri Light"/>
          <w:noProof/>
        </w:rPr>
        <w:t>Code Requirements</w:t>
      </w:r>
      <w:r>
        <w:rPr>
          <w:noProof/>
        </w:rPr>
        <w:tab/>
      </w:r>
      <w:r>
        <w:rPr>
          <w:noProof/>
        </w:rPr>
        <w:fldChar w:fldCharType="begin"/>
      </w:r>
      <w:r>
        <w:rPr>
          <w:noProof/>
        </w:rPr>
        <w:instrText xml:space="preserve"> PAGEREF _Toc75963026 \h </w:instrText>
      </w:r>
      <w:r>
        <w:rPr>
          <w:noProof/>
        </w:rPr>
      </w:r>
      <w:r>
        <w:rPr>
          <w:noProof/>
        </w:rPr>
        <w:fldChar w:fldCharType="separate"/>
      </w:r>
      <w:r w:rsidR="00CA4C6F">
        <w:rPr>
          <w:noProof/>
        </w:rPr>
        <w:t>5</w:t>
      </w:r>
      <w:r>
        <w:rPr>
          <w:noProof/>
        </w:rPr>
        <w:fldChar w:fldCharType="end"/>
      </w:r>
    </w:p>
    <w:p w14:paraId="1542AC7B" w14:textId="71350C01" w:rsidR="003A0268" w:rsidRDefault="003A0268">
      <w:pPr>
        <w:pStyle w:val="TOC3"/>
        <w:rPr>
          <w:rFonts w:asciiTheme="minorHAnsi" w:hAnsiTheme="minorHAnsi"/>
          <w:noProof/>
          <w:szCs w:val="22"/>
        </w:rPr>
      </w:pPr>
      <w:r w:rsidRPr="00760209">
        <w:rPr>
          <w:rFonts w:cs="Calibri Light"/>
          <w:noProof/>
        </w:rPr>
        <w:t>Normalizing Unit</w:t>
      </w:r>
      <w:r>
        <w:rPr>
          <w:noProof/>
        </w:rPr>
        <w:tab/>
      </w:r>
      <w:r>
        <w:rPr>
          <w:noProof/>
        </w:rPr>
        <w:fldChar w:fldCharType="begin"/>
      </w:r>
      <w:r>
        <w:rPr>
          <w:noProof/>
        </w:rPr>
        <w:instrText xml:space="preserve"> PAGEREF _Toc75963027 \h </w:instrText>
      </w:r>
      <w:r>
        <w:rPr>
          <w:noProof/>
        </w:rPr>
      </w:r>
      <w:r>
        <w:rPr>
          <w:noProof/>
        </w:rPr>
        <w:fldChar w:fldCharType="separate"/>
      </w:r>
      <w:r w:rsidR="00CA4C6F">
        <w:rPr>
          <w:noProof/>
        </w:rPr>
        <w:t>8</w:t>
      </w:r>
      <w:r>
        <w:rPr>
          <w:noProof/>
        </w:rPr>
        <w:fldChar w:fldCharType="end"/>
      </w:r>
    </w:p>
    <w:p w14:paraId="39DFB4A3" w14:textId="6007A957" w:rsidR="003A0268" w:rsidRDefault="003A0268">
      <w:pPr>
        <w:pStyle w:val="TOC3"/>
        <w:rPr>
          <w:rFonts w:asciiTheme="minorHAnsi" w:hAnsiTheme="minorHAnsi"/>
          <w:noProof/>
          <w:szCs w:val="22"/>
        </w:rPr>
      </w:pPr>
      <w:r w:rsidRPr="00760209">
        <w:rPr>
          <w:rFonts w:cs="Calibri Light"/>
          <w:noProof/>
        </w:rPr>
        <w:t>Program Requirements</w:t>
      </w:r>
      <w:r>
        <w:rPr>
          <w:noProof/>
        </w:rPr>
        <w:tab/>
      </w:r>
      <w:r>
        <w:rPr>
          <w:noProof/>
        </w:rPr>
        <w:fldChar w:fldCharType="begin"/>
      </w:r>
      <w:r>
        <w:rPr>
          <w:noProof/>
        </w:rPr>
        <w:instrText xml:space="preserve"> PAGEREF _Toc75963028 \h </w:instrText>
      </w:r>
      <w:r>
        <w:rPr>
          <w:noProof/>
        </w:rPr>
      </w:r>
      <w:r>
        <w:rPr>
          <w:noProof/>
        </w:rPr>
        <w:fldChar w:fldCharType="separate"/>
      </w:r>
      <w:r w:rsidR="00CA4C6F">
        <w:rPr>
          <w:noProof/>
        </w:rPr>
        <w:t>8</w:t>
      </w:r>
      <w:r>
        <w:rPr>
          <w:noProof/>
        </w:rPr>
        <w:fldChar w:fldCharType="end"/>
      </w:r>
    </w:p>
    <w:p w14:paraId="5621B5C5" w14:textId="4BC68B8D" w:rsidR="003A0268" w:rsidRDefault="003A0268">
      <w:pPr>
        <w:pStyle w:val="TOC3"/>
        <w:rPr>
          <w:rFonts w:asciiTheme="minorHAnsi" w:hAnsiTheme="minorHAnsi"/>
          <w:noProof/>
          <w:szCs w:val="22"/>
        </w:rPr>
      </w:pPr>
      <w:r w:rsidRPr="00760209">
        <w:rPr>
          <w:rFonts w:cs="Calibri Light"/>
          <w:noProof/>
        </w:rPr>
        <w:t>Program Exclusions</w:t>
      </w:r>
      <w:r>
        <w:rPr>
          <w:noProof/>
        </w:rPr>
        <w:tab/>
      </w:r>
      <w:r>
        <w:rPr>
          <w:noProof/>
        </w:rPr>
        <w:fldChar w:fldCharType="begin"/>
      </w:r>
      <w:r>
        <w:rPr>
          <w:noProof/>
        </w:rPr>
        <w:instrText xml:space="preserve"> PAGEREF _Toc75963029 \h </w:instrText>
      </w:r>
      <w:r>
        <w:rPr>
          <w:noProof/>
        </w:rPr>
      </w:r>
      <w:r>
        <w:rPr>
          <w:noProof/>
        </w:rPr>
        <w:fldChar w:fldCharType="separate"/>
      </w:r>
      <w:r w:rsidR="00CA4C6F">
        <w:rPr>
          <w:noProof/>
        </w:rPr>
        <w:t>13</w:t>
      </w:r>
      <w:r>
        <w:rPr>
          <w:noProof/>
        </w:rPr>
        <w:fldChar w:fldCharType="end"/>
      </w:r>
    </w:p>
    <w:p w14:paraId="66471743" w14:textId="46392532" w:rsidR="003A0268" w:rsidRDefault="003A0268">
      <w:pPr>
        <w:pStyle w:val="TOC3"/>
        <w:rPr>
          <w:rFonts w:asciiTheme="minorHAnsi" w:hAnsiTheme="minorHAnsi"/>
          <w:noProof/>
          <w:szCs w:val="22"/>
        </w:rPr>
      </w:pPr>
      <w:r w:rsidRPr="00760209">
        <w:rPr>
          <w:rFonts w:cs="Calibri Light"/>
          <w:noProof/>
        </w:rPr>
        <w:t>Data Collection Requirements</w:t>
      </w:r>
      <w:r>
        <w:rPr>
          <w:noProof/>
        </w:rPr>
        <w:tab/>
      </w:r>
      <w:r>
        <w:rPr>
          <w:noProof/>
        </w:rPr>
        <w:fldChar w:fldCharType="begin"/>
      </w:r>
      <w:r>
        <w:rPr>
          <w:noProof/>
        </w:rPr>
        <w:instrText xml:space="preserve"> PAGEREF _Toc75963030 \h </w:instrText>
      </w:r>
      <w:r>
        <w:rPr>
          <w:noProof/>
        </w:rPr>
      </w:r>
      <w:r>
        <w:rPr>
          <w:noProof/>
        </w:rPr>
        <w:fldChar w:fldCharType="separate"/>
      </w:r>
      <w:r w:rsidR="00CA4C6F">
        <w:rPr>
          <w:noProof/>
        </w:rPr>
        <w:t>14</w:t>
      </w:r>
      <w:r>
        <w:rPr>
          <w:noProof/>
        </w:rPr>
        <w:fldChar w:fldCharType="end"/>
      </w:r>
    </w:p>
    <w:p w14:paraId="5054573B" w14:textId="1954C40F" w:rsidR="003A0268" w:rsidRDefault="003A0268">
      <w:pPr>
        <w:pStyle w:val="TOC3"/>
        <w:rPr>
          <w:rFonts w:asciiTheme="minorHAnsi" w:hAnsiTheme="minorHAnsi"/>
          <w:noProof/>
          <w:szCs w:val="22"/>
        </w:rPr>
      </w:pPr>
      <w:r w:rsidRPr="00760209">
        <w:rPr>
          <w:rFonts w:cs="Calibri Light"/>
          <w:noProof/>
        </w:rPr>
        <w:t>Use Category</w:t>
      </w:r>
      <w:r>
        <w:rPr>
          <w:noProof/>
        </w:rPr>
        <w:tab/>
      </w:r>
      <w:r>
        <w:rPr>
          <w:noProof/>
        </w:rPr>
        <w:fldChar w:fldCharType="begin"/>
      </w:r>
      <w:r>
        <w:rPr>
          <w:noProof/>
        </w:rPr>
        <w:instrText xml:space="preserve"> PAGEREF _Toc75963031 \h </w:instrText>
      </w:r>
      <w:r>
        <w:rPr>
          <w:noProof/>
        </w:rPr>
      </w:r>
      <w:r>
        <w:rPr>
          <w:noProof/>
        </w:rPr>
        <w:fldChar w:fldCharType="separate"/>
      </w:r>
      <w:r w:rsidR="00CA4C6F">
        <w:rPr>
          <w:noProof/>
        </w:rPr>
        <w:t>15</w:t>
      </w:r>
      <w:r>
        <w:rPr>
          <w:noProof/>
        </w:rPr>
        <w:fldChar w:fldCharType="end"/>
      </w:r>
    </w:p>
    <w:p w14:paraId="4EA34FDE" w14:textId="63F24592" w:rsidR="003A0268" w:rsidRDefault="003A0268">
      <w:pPr>
        <w:pStyle w:val="TOC3"/>
        <w:rPr>
          <w:rFonts w:asciiTheme="minorHAnsi" w:hAnsiTheme="minorHAnsi"/>
          <w:noProof/>
          <w:szCs w:val="22"/>
        </w:rPr>
      </w:pPr>
      <w:r w:rsidRPr="00760209">
        <w:rPr>
          <w:rFonts w:cs="Calibri Light"/>
          <w:noProof/>
        </w:rPr>
        <w:t>Electric Savings (kWh)</w:t>
      </w:r>
      <w:r>
        <w:rPr>
          <w:noProof/>
        </w:rPr>
        <w:tab/>
      </w:r>
      <w:r>
        <w:rPr>
          <w:noProof/>
        </w:rPr>
        <w:fldChar w:fldCharType="begin"/>
      </w:r>
      <w:r>
        <w:rPr>
          <w:noProof/>
        </w:rPr>
        <w:instrText xml:space="preserve"> PAGEREF _Toc75963032 \h </w:instrText>
      </w:r>
      <w:r>
        <w:rPr>
          <w:noProof/>
        </w:rPr>
      </w:r>
      <w:r>
        <w:rPr>
          <w:noProof/>
        </w:rPr>
        <w:fldChar w:fldCharType="separate"/>
      </w:r>
      <w:r w:rsidR="00CA4C6F">
        <w:rPr>
          <w:noProof/>
        </w:rPr>
        <w:t>15</w:t>
      </w:r>
      <w:r>
        <w:rPr>
          <w:noProof/>
        </w:rPr>
        <w:fldChar w:fldCharType="end"/>
      </w:r>
    </w:p>
    <w:p w14:paraId="6A3BE4E4" w14:textId="6063CEE0" w:rsidR="003A0268" w:rsidRDefault="003A0268">
      <w:pPr>
        <w:pStyle w:val="TOC3"/>
        <w:rPr>
          <w:rFonts w:asciiTheme="minorHAnsi" w:hAnsiTheme="minorHAnsi"/>
          <w:noProof/>
          <w:szCs w:val="22"/>
        </w:rPr>
      </w:pPr>
      <w:r w:rsidRPr="00760209">
        <w:rPr>
          <w:rFonts w:cs="Calibri Light"/>
          <w:noProof/>
        </w:rPr>
        <w:t>peak electric Demand Reduction (kW)</w:t>
      </w:r>
      <w:r>
        <w:rPr>
          <w:noProof/>
        </w:rPr>
        <w:tab/>
      </w:r>
      <w:r>
        <w:rPr>
          <w:noProof/>
        </w:rPr>
        <w:fldChar w:fldCharType="begin"/>
      </w:r>
      <w:r>
        <w:rPr>
          <w:noProof/>
        </w:rPr>
        <w:instrText xml:space="preserve"> PAGEREF _Toc75963033 \h </w:instrText>
      </w:r>
      <w:r>
        <w:rPr>
          <w:noProof/>
        </w:rPr>
      </w:r>
      <w:r>
        <w:rPr>
          <w:noProof/>
        </w:rPr>
        <w:fldChar w:fldCharType="separate"/>
      </w:r>
      <w:r w:rsidR="00CA4C6F">
        <w:rPr>
          <w:noProof/>
        </w:rPr>
        <w:t>17</w:t>
      </w:r>
      <w:r>
        <w:rPr>
          <w:noProof/>
        </w:rPr>
        <w:fldChar w:fldCharType="end"/>
      </w:r>
    </w:p>
    <w:p w14:paraId="16C8F897" w14:textId="7004433C" w:rsidR="003A0268" w:rsidRDefault="003A0268">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_Toc75963034 \h </w:instrText>
      </w:r>
      <w:r>
        <w:rPr>
          <w:noProof/>
        </w:rPr>
      </w:r>
      <w:r>
        <w:rPr>
          <w:noProof/>
        </w:rPr>
        <w:fldChar w:fldCharType="separate"/>
      </w:r>
      <w:r w:rsidR="00CA4C6F">
        <w:rPr>
          <w:noProof/>
        </w:rPr>
        <w:t>17</w:t>
      </w:r>
      <w:r>
        <w:rPr>
          <w:noProof/>
        </w:rPr>
        <w:fldChar w:fldCharType="end"/>
      </w:r>
    </w:p>
    <w:p w14:paraId="36F572B3" w14:textId="6E944928" w:rsidR="003A0268" w:rsidRDefault="003A0268">
      <w:pPr>
        <w:pStyle w:val="TOC3"/>
        <w:rPr>
          <w:rFonts w:asciiTheme="minorHAnsi" w:hAnsiTheme="minorHAnsi"/>
          <w:noProof/>
          <w:szCs w:val="22"/>
        </w:rPr>
      </w:pPr>
      <w:r w:rsidRPr="00760209">
        <w:rPr>
          <w:rFonts w:cs="Calibri Light"/>
          <w:noProof/>
        </w:rPr>
        <w:t>Life Cycle</w:t>
      </w:r>
      <w:r>
        <w:rPr>
          <w:noProof/>
        </w:rPr>
        <w:tab/>
      </w:r>
      <w:r>
        <w:rPr>
          <w:noProof/>
        </w:rPr>
        <w:fldChar w:fldCharType="begin"/>
      </w:r>
      <w:r>
        <w:rPr>
          <w:noProof/>
        </w:rPr>
        <w:instrText xml:space="preserve"> PAGEREF _Toc75963035 \h </w:instrText>
      </w:r>
      <w:r>
        <w:rPr>
          <w:noProof/>
        </w:rPr>
      </w:r>
      <w:r>
        <w:rPr>
          <w:noProof/>
        </w:rPr>
        <w:fldChar w:fldCharType="separate"/>
      </w:r>
      <w:r w:rsidR="00CA4C6F">
        <w:rPr>
          <w:noProof/>
        </w:rPr>
        <w:t>17</w:t>
      </w:r>
      <w:r>
        <w:rPr>
          <w:noProof/>
        </w:rPr>
        <w:fldChar w:fldCharType="end"/>
      </w:r>
    </w:p>
    <w:p w14:paraId="013E1F90" w14:textId="49C7872E" w:rsidR="003A0268" w:rsidRDefault="003A0268">
      <w:pPr>
        <w:pStyle w:val="TOC3"/>
        <w:rPr>
          <w:rFonts w:asciiTheme="minorHAnsi" w:hAnsiTheme="minorHAnsi"/>
          <w:noProof/>
          <w:szCs w:val="22"/>
        </w:rPr>
      </w:pPr>
      <w:r w:rsidRPr="00760209">
        <w:rPr>
          <w:rFonts w:cs="Calibri Light"/>
          <w:noProof/>
        </w:rPr>
        <w:t>Base Case Material Cost ($/unit)</w:t>
      </w:r>
      <w:r>
        <w:rPr>
          <w:noProof/>
        </w:rPr>
        <w:tab/>
      </w:r>
      <w:r>
        <w:rPr>
          <w:noProof/>
        </w:rPr>
        <w:fldChar w:fldCharType="begin"/>
      </w:r>
      <w:r>
        <w:rPr>
          <w:noProof/>
        </w:rPr>
        <w:instrText xml:space="preserve"> PAGEREF _Toc75963036 \h </w:instrText>
      </w:r>
      <w:r>
        <w:rPr>
          <w:noProof/>
        </w:rPr>
      </w:r>
      <w:r>
        <w:rPr>
          <w:noProof/>
        </w:rPr>
        <w:fldChar w:fldCharType="separate"/>
      </w:r>
      <w:r w:rsidR="00CA4C6F">
        <w:rPr>
          <w:noProof/>
        </w:rPr>
        <w:t>18</w:t>
      </w:r>
      <w:r>
        <w:rPr>
          <w:noProof/>
        </w:rPr>
        <w:fldChar w:fldCharType="end"/>
      </w:r>
    </w:p>
    <w:p w14:paraId="474D8551" w14:textId="0699CF19" w:rsidR="003A0268" w:rsidRDefault="003A0268">
      <w:pPr>
        <w:pStyle w:val="TOC3"/>
        <w:rPr>
          <w:rFonts w:asciiTheme="minorHAnsi" w:hAnsiTheme="minorHAnsi"/>
          <w:noProof/>
          <w:szCs w:val="22"/>
        </w:rPr>
      </w:pPr>
      <w:r w:rsidRPr="00760209">
        <w:rPr>
          <w:rFonts w:cs="Calibri Light"/>
          <w:noProof/>
        </w:rPr>
        <w:t>Measure Case Material Cost ($/unit)</w:t>
      </w:r>
      <w:r>
        <w:rPr>
          <w:noProof/>
        </w:rPr>
        <w:tab/>
      </w:r>
      <w:r>
        <w:rPr>
          <w:noProof/>
        </w:rPr>
        <w:fldChar w:fldCharType="begin"/>
      </w:r>
      <w:r>
        <w:rPr>
          <w:noProof/>
        </w:rPr>
        <w:instrText xml:space="preserve"> PAGEREF _Toc75963037 \h </w:instrText>
      </w:r>
      <w:r>
        <w:rPr>
          <w:noProof/>
        </w:rPr>
      </w:r>
      <w:r>
        <w:rPr>
          <w:noProof/>
        </w:rPr>
        <w:fldChar w:fldCharType="separate"/>
      </w:r>
      <w:r w:rsidR="00CA4C6F">
        <w:rPr>
          <w:noProof/>
        </w:rPr>
        <w:t>19</w:t>
      </w:r>
      <w:r>
        <w:rPr>
          <w:noProof/>
        </w:rPr>
        <w:fldChar w:fldCharType="end"/>
      </w:r>
    </w:p>
    <w:p w14:paraId="04006280" w14:textId="55AAAE53" w:rsidR="003A0268" w:rsidRDefault="003A0268">
      <w:pPr>
        <w:pStyle w:val="TOC3"/>
        <w:rPr>
          <w:rFonts w:asciiTheme="minorHAnsi" w:hAnsiTheme="minorHAnsi"/>
          <w:noProof/>
          <w:szCs w:val="22"/>
        </w:rPr>
      </w:pPr>
      <w:r w:rsidRPr="00760209">
        <w:rPr>
          <w:rFonts w:cs="Calibri Light"/>
          <w:noProof/>
        </w:rPr>
        <w:t>Base Case Labor Cost ($/unit)</w:t>
      </w:r>
      <w:r>
        <w:rPr>
          <w:noProof/>
        </w:rPr>
        <w:tab/>
      </w:r>
      <w:r>
        <w:rPr>
          <w:noProof/>
        </w:rPr>
        <w:fldChar w:fldCharType="begin"/>
      </w:r>
      <w:r>
        <w:rPr>
          <w:noProof/>
        </w:rPr>
        <w:instrText xml:space="preserve"> PAGEREF _Toc75963038 \h </w:instrText>
      </w:r>
      <w:r>
        <w:rPr>
          <w:noProof/>
        </w:rPr>
      </w:r>
      <w:r>
        <w:rPr>
          <w:noProof/>
        </w:rPr>
        <w:fldChar w:fldCharType="separate"/>
      </w:r>
      <w:r w:rsidR="00CA4C6F">
        <w:rPr>
          <w:noProof/>
        </w:rPr>
        <w:t>20</w:t>
      </w:r>
      <w:r>
        <w:rPr>
          <w:noProof/>
        </w:rPr>
        <w:fldChar w:fldCharType="end"/>
      </w:r>
    </w:p>
    <w:p w14:paraId="1DCF80EC" w14:textId="0FEE817E" w:rsidR="003A0268" w:rsidRDefault="003A0268">
      <w:pPr>
        <w:pStyle w:val="TOC3"/>
        <w:rPr>
          <w:rFonts w:asciiTheme="minorHAnsi" w:hAnsiTheme="minorHAnsi"/>
          <w:noProof/>
          <w:szCs w:val="22"/>
        </w:rPr>
      </w:pPr>
      <w:r w:rsidRPr="00760209">
        <w:rPr>
          <w:rFonts w:cs="Calibri Light"/>
          <w:noProof/>
        </w:rPr>
        <w:t>Measure Case Labor Cost ($/unit)</w:t>
      </w:r>
      <w:r>
        <w:rPr>
          <w:noProof/>
        </w:rPr>
        <w:tab/>
      </w:r>
      <w:r>
        <w:rPr>
          <w:noProof/>
        </w:rPr>
        <w:fldChar w:fldCharType="begin"/>
      </w:r>
      <w:r>
        <w:rPr>
          <w:noProof/>
        </w:rPr>
        <w:instrText xml:space="preserve"> PAGEREF _Toc75963039 \h </w:instrText>
      </w:r>
      <w:r>
        <w:rPr>
          <w:noProof/>
        </w:rPr>
      </w:r>
      <w:r>
        <w:rPr>
          <w:noProof/>
        </w:rPr>
        <w:fldChar w:fldCharType="separate"/>
      </w:r>
      <w:r w:rsidR="00CA4C6F">
        <w:rPr>
          <w:noProof/>
        </w:rPr>
        <w:t>20</w:t>
      </w:r>
      <w:r>
        <w:rPr>
          <w:noProof/>
        </w:rPr>
        <w:fldChar w:fldCharType="end"/>
      </w:r>
    </w:p>
    <w:p w14:paraId="3C91AEF5" w14:textId="4BEA825C" w:rsidR="003A0268" w:rsidRDefault="003A0268">
      <w:pPr>
        <w:pStyle w:val="TOC3"/>
        <w:rPr>
          <w:rFonts w:asciiTheme="minorHAnsi" w:hAnsiTheme="minorHAnsi"/>
          <w:noProof/>
          <w:szCs w:val="22"/>
        </w:rPr>
      </w:pPr>
      <w:r w:rsidRPr="00760209">
        <w:rPr>
          <w:rFonts w:cs="Calibri Light"/>
          <w:noProof/>
        </w:rPr>
        <w:t>Net-to-Gross (NTG)</w:t>
      </w:r>
      <w:r>
        <w:rPr>
          <w:noProof/>
        </w:rPr>
        <w:tab/>
      </w:r>
      <w:r>
        <w:rPr>
          <w:noProof/>
        </w:rPr>
        <w:fldChar w:fldCharType="begin"/>
      </w:r>
      <w:r>
        <w:rPr>
          <w:noProof/>
        </w:rPr>
        <w:instrText xml:space="preserve"> PAGEREF _Toc75963040 \h </w:instrText>
      </w:r>
      <w:r>
        <w:rPr>
          <w:noProof/>
        </w:rPr>
      </w:r>
      <w:r>
        <w:rPr>
          <w:noProof/>
        </w:rPr>
        <w:fldChar w:fldCharType="separate"/>
      </w:r>
      <w:r w:rsidR="00CA4C6F">
        <w:rPr>
          <w:noProof/>
        </w:rPr>
        <w:t>21</w:t>
      </w:r>
      <w:r>
        <w:rPr>
          <w:noProof/>
        </w:rPr>
        <w:fldChar w:fldCharType="end"/>
      </w:r>
    </w:p>
    <w:p w14:paraId="3BF1C2F2" w14:textId="7E97D71D" w:rsidR="003A0268" w:rsidRDefault="003A0268">
      <w:pPr>
        <w:pStyle w:val="TOC3"/>
        <w:rPr>
          <w:rFonts w:asciiTheme="minorHAnsi" w:hAnsiTheme="minorHAnsi"/>
          <w:noProof/>
          <w:szCs w:val="22"/>
        </w:rPr>
      </w:pPr>
      <w:r w:rsidRPr="00760209">
        <w:rPr>
          <w:rFonts w:cs="Calibri Light"/>
          <w:noProof/>
        </w:rPr>
        <w:t>Gross Savings Installation Adjustment (GSIA)</w:t>
      </w:r>
      <w:r>
        <w:rPr>
          <w:noProof/>
        </w:rPr>
        <w:tab/>
      </w:r>
      <w:r>
        <w:rPr>
          <w:noProof/>
        </w:rPr>
        <w:fldChar w:fldCharType="begin"/>
      </w:r>
      <w:r>
        <w:rPr>
          <w:noProof/>
        </w:rPr>
        <w:instrText xml:space="preserve"> PAGEREF _Toc75963041 \h </w:instrText>
      </w:r>
      <w:r>
        <w:rPr>
          <w:noProof/>
        </w:rPr>
      </w:r>
      <w:r>
        <w:rPr>
          <w:noProof/>
        </w:rPr>
        <w:fldChar w:fldCharType="separate"/>
      </w:r>
      <w:r w:rsidR="00CA4C6F">
        <w:rPr>
          <w:noProof/>
        </w:rPr>
        <w:t>21</w:t>
      </w:r>
      <w:r>
        <w:rPr>
          <w:noProof/>
        </w:rPr>
        <w:fldChar w:fldCharType="end"/>
      </w:r>
    </w:p>
    <w:p w14:paraId="44D0A4DE" w14:textId="22246F9E" w:rsidR="003A0268" w:rsidRDefault="003A0268">
      <w:pPr>
        <w:pStyle w:val="TOC3"/>
        <w:rPr>
          <w:rFonts w:asciiTheme="minorHAnsi" w:hAnsiTheme="minorHAnsi"/>
          <w:noProof/>
          <w:szCs w:val="22"/>
        </w:rPr>
      </w:pPr>
      <w:r w:rsidRPr="00760209">
        <w:rPr>
          <w:rFonts w:cs="Calibri Light"/>
          <w:noProof/>
        </w:rPr>
        <w:t>DEER Differences Analysis</w:t>
      </w:r>
      <w:r>
        <w:rPr>
          <w:noProof/>
        </w:rPr>
        <w:tab/>
      </w:r>
      <w:r>
        <w:rPr>
          <w:noProof/>
        </w:rPr>
        <w:fldChar w:fldCharType="begin"/>
      </w:r>
      <w:r>
        <w:rPr>
          <w:noProof/>
        </w:rPr>
        <w:instrText xml:space="preserve"> PAGEREF _Toc75963042 \h </w:instrText>
      </w:r>
      <w:r>
        <w:rPr>
          <w:noProof/>
        </w:rPr>
      </w:r>
      <w:r>
        <w:rPr>
          <w:noProof/>
        </w:rPr>
        <w:fldChar w:fldCharType="separate"/>
      </w:r>
      <w:r w:rsidR="00CA4C6F">
        <w:rPr>
          <w:noProof/>
        </w:rPr>
        <w:t>21</w:t>
      </w:r>
      <w:r>
        <w:rPr>
          <w:noProof/>
        </w:rPr>
        <w:fldChar w:fldCharType="end"/>
      </w:r>
    </w:p>
    <w:p w14:paraId="1351A228" w14:textId="6ADAD271" w:rsidR="003A0268" w:rsidRDefault="003A0268">
      <w:pPr>
        <w:pStyle w:val="TOC3"/>
        <w:rPr>
          <w:rFonts w:asciiTheme="minorHAnsi" w:hAnsiTheme="minorHAnsi"/>
          <w:noProof/>
          <w:szCs w:val="22"/>
        </w:rPr>
      </w:pPr>
      <w:r w:rsidRPr="00760209">
        <w:rPr>
          <w:rFonts w:cs="Calibri Light"/>
          <w:noProof/>
        </w:rPr>
        <w:t>Revision History</w:t>
      </w:r>
      <w:r>
        <w:rPr>
          <w:noProof/>
        </w:rPr>
        <w:tab/>
      </w:r>
      <w:r>
        <w:rPr>
          <w:noProof/>
        </w:rPr>
        <w:fldChar w:fldCharType="begin"/>
      </w:r>
      <w:r>
        <w:rPr>
          <w:noProof/>
        </w:rPr>
        <w:instrText xml:space="preserve"> PAGEREF _Toc75963043 \h </w:instrText>
      </w:r>
      <w:r>
        <w:rPr>
          <w:noProof/>
        </w:rPr>
      </w:r>
      <w:r>
        <w:rPr>
          <w:noProof/>
        </w:rPr>
        <w:fldChar w:fldCharType="separate"/>
      </w:r>
      <w:r w:rsidR="00CA4C6F">
        <w:rPr>
          <w:noProof/>
        </w:rPr>
        <w:t>23</w:t>
      </w:r>
      <w:r>
        <w:rPr>
          <w:noProof/>
        </w:rPr>
        <w:fldChar w:fldCharType="end"/>
      </w:r>
    </w:p>
    <w:p w14:paraId="08F3F615" w14:textId="1011090F" w:rsidR="001C6C9B" w:rsidRPr="00203ECA" w:rsidRDefault="001C6C9B" w:rsidP="00D12B8C">
      <w:r w:rsidRPr="00203ECA">
        <w:fldChar w:fldCharType="end"/>
      </w:r>
    </w:p>
    <w:p w14:paraId="12343562" w14:textId="77777777" w:rsidR="007E1F66" w:rsidRPr="00203ECA" w:rsidRDefault="007E1F66" w:rsidP="00462BB6">
      <w:pPr>
        <w:pStyle w:val="eTRMHeading3"/>
        <w:sectPr w:rsidR="007E1F66" w:rsidRPr="00203ECA"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77F0BB74" w14:textId="18F1C42E" w:rsidR="00871123" w:rsidRPr="00C6243E" w:rsidRDefault="00871123" w:rsidP="00462BB6">
      <w:pPr>
        <w:pStyle w:val="eTRMHeading3"/>
        <w:spacing w:before="20" w:after="20"/>
        <w:rPr>
          <w:rFonts w:cs="Calibri Light"/>
        </w:rPr>
      </w:pPr>
      <w:bookmarkStart w:id="0" w:name="_Toc486490839"/>
      <w:bookmarkStart w:id="1" w:name="_Toc486580912"/>
      <w:bookmarkStart w:id="2" w:name="_Toc75963020"/>
      <w:r w:rsidRPr="00C6243E">
        <w:rPr>
          <w:rFonts w:cs="Calibri Light"/>
        </w:rPr>
        <w:lastRenderedPageBreak/>
        <w:t>Measure Name</w:t>
      </w:r>
      <w:bookmarkEnd w:id="0"/>
      <w:bookmarkEnd w:id="1"/>
      <w:bookmarkEnd w:id="2"/>
    </w:p>
    <w:p w14:paraId="5FA5329D" w14:textId="0EADA286" w:rsidR="00871123" w:rsidRDefault="004F62E5" w:rsidP="00462BB6">
      <w:pPr>
        <w:spacing w:before="20" w:after="20" w:line="280" w:lineRule="exact"/>
        <w:rPr>
          <w:rFonts w:cs="Calibri Light"/>
        </w:rPr>
      </w:pPr>
      <w:r w:rsidRPr="004F62E5">
        <w:rPr>
          <w:rFonts w:cs="Calibri Light"/>
        </w:rPr>
        <w:t xml:space="preserve">Heat Pump Water Heater, </w:t>
      </w:r>
      <w:r w:rsidR="00AC633C">
        <w:rPr>
          <w:rFonts w:cs="Calibri Light"/>
        </w:rPr>
        <w:t xml:space="preserve">Multifamily &amp; Commercial, </w:t>
      </w:r>
      <w:r w:rsidRPr="004F62E5">
        <w:rPr>
          <w:rFonts w:cs="Calibri Light"/>
        </w:rPr>
        <w:t>Fuel Substitution</w:t>
      </w:r>
    </w:p>
    <w:p w14:paraId="1737630D" w14:textId="77777777" w:rsidR="00B95982" w:rsidRPr="00C6243E" w:rsidRDefault="00B95982" w:rsidP="00462BB6">
      <w:pPr>
        <w:spacing w:before="20" w:after="20" w:line="280" w:lineRule="exact"/>
        <w:rPr>
          <w:rFonts w:cs="Calibri Light"/>
        </w:rPr>
      </w:pPr>
    </w:p>
    <w:p w14:paraId="5F938EFE" w14:textId="3A8FEC10" w:rsidR="00871123" w:rsidRPr="00C6243E" w:rsidRDefault="00871123" w:rsidP="00462BB6">
      <w:pPr>
        <w:pStyle w:val="eTRMHeading3"/>
        <w:spacing w:before="20" w:after="20"/>
        <w:rPr>
          <w:rFonts w:cs="Calibri Light"/>
        </w:rPr>
      </w:pPr>
      <w:bookmarkStart w:id="3" w:name="_Toc486490840"/>
      <w:bookmarkStart w:id="4" w:name="_Toc486580913"/>
      <w:bookmarkStart w:id="5" w:name="_Toc75963021"/>
      <w:r w:rsidRPr="00C6243E">
        <w:rPr>
          <w:rFonts w:cs="Calibri Light"/>
        </w:rPr>
        <w:t>Statewide Measure ID</w:t>
      </w:r>
      <w:bookmarkEnd w:id="3"/>
      <w:bookmarkEnd w:id="4"/>
      <w:bookmarkEnd w:id="5"/>
    </w:p>
    <w:p w14:paraId="3AE19DEF" w14:textId="4F4C99E2" w:rsidR="00871123" w:rsidRPr="00C6243E" w:rsidRDefault="0043235B" w:rsidP="00CA50C3">
      <w:r>
        <w:t>SWWH02</w:t>
      </w:r>
      <w:r w:rsidR="004F62E5">
        <w:t>8</w:t>
      </w:r>
      <w:r w:rsidR="00E24115">
        <w:t>-0</w:t>
      </w:r>
      <w:r w:rsidR="00CB5F85">
        <w:t>1</w:t>
      </w:r>
    </w:p>
    <w:p w14:paraId="24932D21" w14:textId="77777777" w:rsidR="00871123" w:rsidRPr="00C6243E" w:rsidRDefault="00871123" w:rsidP="00CA50C3"/>
    <w:p w14:paraId="3D3714F1" w14:textId="796E79B3" w:rsidR="00871123" w:rsidRPr="00C6243E" w:rsidRDefault="00871123" w:rsidP="00081306">
      <w:pPr>
        <w:pStyle w:val="eTRMHeading3"/>
        <w:tabs>
          <w:tab w:val="left" w:pos="5335"/>
        </w:tabs>
        <w:spacing w:before="20" w:after="20"/>
        <w:rPr>
          <w:rFonts w:cs="Calibri Light"/>
        </w:rPr>
      </w:pPr>
      <w:bookmarkStart w:id="6" w:name="_Toc486490843"/>
      <w:bookmarkStart w:id="7" w:name="_Toc486580916"/>
      <w:bookmarkStart w:id="8" w:name="_Toc75963022"/>
      <w:r w:rsidRPr="00C6243E">
        <w:rPr>
          <w:rFonts w:cs="Calibri Light"/>
        </w:rPr>
        <w:t>Effective Date</w:t>
      </w:r>
      <w:bookmarkEnd w:id="6"/>
      <w:bookmarkEnd w:id="7"/>
      <w:bookmarkEnd w:id="8"/>
      <w:r w:rsidR="00081306">
        <w:rPr>
          <w:rFonts w:cs="Calibri Light"/>
        </w:rPr>
        <w:tab/>
      </w:r>
    </w:p>
    <w:p w14:paraId="052B461C" w14:textId="09B80443" w:rsidR="00871123" w:rsidRPr="00C6243E" w:rsidRDefault="000F41B8" w:rsidP="00CA50C3">
      <w:r>
        <w:t>January 1</w:t>
      </w:r>
      <w:r w:rsidRPr="00BF14AA">
        <w:rPr>
          <w:vertAlign w:val="superscript"/>
        </w:rPr>
        <w:t>st</w:t>
      </w:r>
      <w:r>
        <w:t>, 202</w:t>
      </w:r>
      <w:r w:rsidR="00101027">
        <w:t>2</w:t>
      </w:r>
    </w:p>
    <w:p w14:paraId="682D4A81" w14:textId="77777777" w:rsidR="00871123" w:rsidRPr="00C6243E" w:rsidRDefault="00871123" w:rsidP="00CA50C3"/>
    <w:p w14:paraId="3178518D" w14:textId="53979B84" w:rsidR="00E70CBD" w:rsidRPr="00C6243E" w:rsidRDefault="00E70CBD" w:rsidP="00462BB6">
      <w:pPr>
        <w:pStyle w:val="eTRMHeading3"/>
        <w:rPr>
          <w:rFonts w:cs="Calibri Light"/>
        </w:rPr>
      </w:pPr>
      <w:bookmarkStart w:id="9" w:name="_Toc486490847"/>
      <w:bookmarkStart w:id="10" w:name="_Toc486580918"/>
      <w:bookmarkStart w:id="11" w:name="_Toc75963023"/>
      <w:r w:rsidRPr="006049F9">
        <w:rPr>
          <w:rFonts w:cs="Calibri Light"/>
        </w:rPr>
        <w:t>Technology Summary</w:t>
      </w:r>
      <w:bookmarkEnd w:id="9"/>
      <w:bookmarkEnd w:id="10"/>
      <w:bookmarkEnd w:id="11"/>
      <w:r w:rsidRPr="006049F9">
        <w:rPr>
          <w:rFonts w:cs="Calibri Light"/>
        </w:rPr>
        <w:t xml:space="preserve"> </w:t>
      </w:r>
    </w:p>
    <w:p w14:paraId="7BCE816B" w14:textId="049533A9" w:rsidR="00E24115" w:rsidRDefault="00E24115" w:rsidP="00E24115">
      <w:pPr>
        <w:pStyle w:val="NoSpacing"/>
        <w:rPr>
          <w:rStyle w:val="SubtleEmphasis"/>
          <w:rFonts w:ascii="Calibri Light" w:hAnsi="Calibri Light" w:cs="Calibri Light"/>
          <w:i w:val="0"/>
          <w:color w:val="auto"/>
        </w:rPr>
      </w:pPr>
      <w:r w:rsidRPr="00E24115">
        <w:rPr>
          <w:rStyle w:val="SubtleEmphasis"/>
          <w:rFonts w:ascii="Calibri Light" w:hAnsi="Calibri Light" w:cs="Calibri Light"/>
          <w:i w:val="0"/>
          <w:color w:val="auto"/>
        </w:rPr>
        <w:t>Domestic water heaters are pressure vessels that transfer heat to water.</w:t>
      </w:r>
      <w:r>
        <w:rPr>
          <w:rStyle w:val="SubtleEmphasis"/>
          <w:rFonts w:ascii="Calibri Light" w:hAnsi="Calibri Light" w:cs="Calibri Light"/>
          <w:i w:val="0"/>
          <w:color w:val="auto"/>
        </w:rPr>
        <w:t xml:space="preserve"> </w:t>
      </w:r>
      <w:r w:rsidRPr="00E24115">
        <w:rPr>
          <w:rStyle w:val="SubtleEmphasis"/>
          <w:rFonts w:ascii="Calibri Light" w:hAnsi="Calibri Light" w:cs="Calibri Light"/>
          <w:i w:val="0"/>
          <w:color w:val="auto"/>
        </w:rPr>
        <w:t>The heater may heat the domestic water using a heat exchanger that works like an instantaneous water heater with an integral tank and heat exchanger. Heat pump water heaters use a direct expansion (DX) heat pump to transfer heat to the water. Heat pump water heaters achieve higher efficiency compared to electric-resistance or natural gas water heaters</w:t>
      </w:r>
      <w:r>
        <w:rPr>
          <w:rStyle w:val="SubtleEmphasis"/>
          <w:rFonts w:ascii="Calibri Light" w:hAnsi="Calibri Light" w:cs="Calibri Light"/>
          <w:i w:val="0"/>
          <w:color w:val="auto"/>
        </w:rPr>
        <w:t xml:space="preserve"> and</w:t>
      </w:r>
      <w:r w:rsidRPr="00E24115">
        <w:rPr>
          <w:rStyle w:val="SubtleEmphasis"/>
          <w:rFonts w:ascii="Calibri Light" w:hAnsi="Calibri Light" w:cs="Calibri Light"/>
          <w:i w:val="0"/>
          <w:color w:val="auto"/>
        </w:rPr>
        <w:t xml:space="preserve"> are typically equipped with supplemental electric-resistance elements for periods of high demand.</w:t>
      </w:r>
    </w:p>
    <w:p w14:paraId="6AEB85B3" w14:textId="687523C7" w:rsidR="0077469C" w:rsidRDefault="0077469C" w:rsidP="00E24115">
      <w:pPr>
        <w:pStyle w:val="NoSpacing"/>
        <w:rPr>
          <w:rStyle w:val="SubtleEmphasis"/>
          <w:rFonts w:ascii="Calibri Light" w:hAnsi="Calibri Light" w:cs="Calibri Light"/>
          <w:i w:val="0"/>
          <w:color w:val="auto"/>
        </w:rPr>
      </w:pPr>
    </w:p>
    <w:p w14:paraId="4B225941" w14:textId="600A9A24" w:rsidR="0048391F" w:rsidRDefault="0077469C"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Besides </w:t>
      </w:r>
      <w:r w:rsidR="0048391F">
        <w:rPr>
          <w:rStyle w:val="SubtleEmphasis"/>
          <w:rFonts w:ascii="Calibri Light" w:hAnsi="Calibri Light" w:cs="Calibri Light"/>
          <w:i w:val="0"/>
          <w:color w:val="auto"/>
        </w:rPr>
        <w:t xml:space="preserve">single unit </w:t>
      </w:r>
      <w:r>
        <w:rPr>
          <w:rStyle w:val="SubtleEmphasis"/>
          <w:rFonts w:ascii="Calibri Light" w:hAnsi="Calibri Light" w:cs="Calibri Light"/>
          <w:i w:val="0"/>
          <w:color w:val="auto"/>
        </w:rPr>
        <w:t xml:space="preserve">storage heat pump water heaters, multifamily, commercial, and industrial buildings can also use central hot water heating systems. </w:t>
      </w:r>
      <w:r w:rsidR="0048391F">
        <w:rPr>
          <w:rStyle w:val="SubtleEmphasis"/>
          <w:rFonts w:ascii="Calibri Light" w:hAnsi="Calibri Light" w:cs="Calibri Light"/>
          <w:i w:val="0"/>
          <w:color w:val="auto"/>
        </w:rPr>
        <w:t>These central systems come in three general varieties</w:t>
      </w:r>
      <w:r w:rsidR="003A0268">
        <w:rPr>
          <w:rStyle w:val="SubtleEmphasis"/>
          <w:rFonts w:ascii="Calibri Light" w:hAnsi="Calibri Light" w:cs="Calibri Light"/>
          <w:i w:val="0"/>
          <w:color w:val="auto"/>
        </w:rPr>
        <w:t xml:space="preserve">: </w:t>
      </w:r>
      <w:r w:rsidR="0048391F">
        <w:rPr>
          <w:rStyle w:val="SubtleEmphasis"/>
          <w:rFonts w:ascii="Calibri Light" w:hAnsi="Calibri Light" w:cs="Calibri Light"/>
          <w:i w:val="0"/>
          <w:color w:val="auto"/>
        </w:rPr>
        <w:t xml:space="preserve">integrated heat pump </w:t>
      </w:r>
      <w:r w:rsidR="003A0268">
        <w:rPr>
          <w:rStyle w:val="SubtleEmphasis"/>
          <w:rFonts w:ascii="Calibri Light" w:hAnsi="Calibri Light" w:cs="Calibri Light"/>
          <w:i w:val="0"/>
          <w:color w:val="auto"/>
        </w:rPr>
        <w:t>with</w:t>
      </w:r>
      <w:r w:rsidR="0048391F">
        <w:rPr>
          <w:rStyle w:val="SubtleEmphasis"/>
          <w:rFonts w:ascii="Calibri Light" w:hAnsi="Calibri Light" w:cs="Calibri Light"/>
          <w:i w:val="0"/>
          <w:color w:val="auto"/>
        </w:rPr>
        <w:t xml:space="preserve"> tanks, split heat pump </w:t>
      </w:r>
      <w:r w:rsidR="003A0268">
        <w:rPr>
          <w:rStyle w:val="SubtleEmphasis"/>
          <w:rFonts w:ascii="Calibri Light" w:hAnsi="Calibri Light" w:cs="Calibri Light"/>
          <w:i w:val="0"/>
          <w:color w:val="auto"/>
        </w:rPr>
        <w:t>with</w:t>
      </w:r>
      <w:r w:rsidR="0048391F">
        <w:rPr>
          <w:rStyle w:val="SubtleEmphasis"/>
          <w:rFonts w:ascii="Calibri Light" w:hAnsi="Calibri Light" w:cs="Calibri Light"/>
          <w:i w:val="0"/>
          <w:color w:val="auto"/>
        </w:rPr>
        <w:t xml:space="preserve"> tanks, and </w:t>
      </w:r>
      <w:r w:rsidR="003A0268">
        <w:rPr>
          <w:rStyle w:val="SubtleEmphasis"/>
          <w:rFonts w:ascii="Calibri Light" w:hAnsi="Calibri Light" w:cs="Calibri Light"/>
          <w:i w:val="0"/>
          <w:color w:val="auto"/>
        </w:rPr>
        <w:t>standalone</w:t>
      </w:r>
      <w:r w:rsidR="0048391F">
        <w:rPr>
          <w:rStyle w:val="SubtleEmphasis"/>
          <w:rFonts w:ascii="Calibri Light" w:hAnsi="Calibri Light" w:cs="Calibri Light"/>
          <w:i w:val="0"/>
          <w:color w:val="auto"/>
        </w:rPr>
        <w:t xml:space="preserve"> heat pumps.</w:t>
      </w:r>
      <w:r w:rsidR="00475071">
        <w:rPr>
          <w:rStyle w:val="FootnoteReference"/>
          <w:rFonts w:ascii="Calibri Light" w:hAnsi="Calibri Light" w:cs="Calibri Light"/>
          <w:iCs/>
        </w:rPr>
        <w:footnoteReference w:id="1"/>
      </w:r>
      <w:r w:rsidR="0048391F">
        <w:rPr>
          <w:rStyle w:val="SubtleEmphasis"/>
          <w:rFonts w:ascii="Calibri Light" w:hAnsi="Calibri Light" w:cs="Calibri Light"/>
          <w:i w:val="0"/>
          <w:color w:val="auto"/>
        </w:rPr>
        <w:t xml:space="preserve"> The integrated heat pump </w:t>
      </w:r>
      <w:r w:rsidR="003A0268">
        <w:rPr>
          <w:rStyle w:val="SubtleEmphasis"/>
          <w:rFonts w:ascii="Calibri Light" w:hAnsi="Calibri Light" w:cs="Calibri Light"/>
          <w:i w:val="0"/>
          <w:color w:val="auto"/>
        </w:rPr>
        <w:t>and</w:t>
      </w:r>
      <w:r w:rsidR="0048391F">
        <w:rPr>
          <w:rStyle w:val="SubtleEmphasis"/>
          <w:rFonts w:ascii="Calibri Light" w:hAnsi="Calibri Light" w:cs="Calibri Light"/>
          <w:i w:val="0"/>
          <w:color w:val="auto"/>
        </w:rPr>
        <w:t xml:space="preserve"> tank systems are the most simple and available system types. They can be installed alone or as a cluster to supply a central system. The split heat pump </w:t>
      </w:r>
      <w:r w:rsidR="003A0268">
        <w:rPr>
          <w:rStyle w:val="SubtleEmphasis"/>
          <w:rFonts w:ascii="Calibri Light" w:hAnsi="Calibri Light" w:cs="Calibri Light"/>
          <w:i w:val="0"/>
          <w:color w:val="auto"/>
        </w:rPr>
        <w:t>and</w:t>
      </w:r>
      <w:r w:rsidR="0048391F">
        <w:rPr>
          <w:rStyle w:val="SubtleEmphasis"/>
          <w:rFonts w:ascii="Calibri Light" w:hAnsi="Calibri Light" w:cs="Calibri Light"/>
          <w:i w:val="0"/>
          <w:color w:val="auto"/>
        </w:rPr>
        <w:t xml:space="preserve"> tank systems have separated heat pump and tank systems which aid in flexibility during installation. The standalone heat pump systems are currently the largest types of systems available and do not come with tank, but tanks are generally specified separately based on design requirements. </w:t>
      </w:r>
    </w:p>
    <w:p w14:paraId="0C7FAA52" w14:textId="77777777" w:rsidR="0048391F" w:rsidRDefault="0048391F" w:rsidP="00E24115">
      <w:pPr>
        <w:pStyle w:val="NoSpacing"/>
        <w:rPr>
          <w:rStyle w:val="SubtleEmphasis"/>
          <w:rFonts w:ascii="Calibri Light" w:hAnsi="Calibri Light" w:cs="Calibri Light"/>
          <w:i w:val="0"/>
          <w:color w:val="auto"/>
        </w:rPr>
      </w:pPr>
    </w:p>
    <w:p w14:paraId="70EA7DF4" w14:textId="545D9604" w:rsidR="0077469C" w:rsidRDefault="0048391F"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Central</w:t>
      </w:r>
      <w:r w:rsidR="0077469C">
        <w:rPr>
          <w:rStyle w:val="SubtleEmphasis"/>
          <w:rFonts w:ascii="Calibri Light" w:hAnsi="Calibri Light" w:cs="Calibri Light"/>
          <w:i w:val="0"/>
          <w:color w:val="auto"/>
        </w:rPr>
        <w:t xml:space="preserve"> systems can include various components </w:t>
      </w:r>
      <w:r w:rsidR="003A0268">
        <w:rPr>
          <w:rStyle w:val="SubtleEmphasis"/>
          <w:rFonts w:ascii="Calibri Light" w:hAnsi="Calibri Light" w:cs="Calibri Light"/>
          <w:i w:val="0"/>
          <w:color w:val="auto"/>
        </w:rPr>
        <w:t>including</w:t>
      </w:r>
      <w:r w:rsidR="0077469C">
        <w:rPr>
          <w:rStyle w:val="SubtleEmphasis"/>
          <w:rFonts w:ascii="Calibri Light" w:hAnsi="Calibri Light" w:cs="Calibri Light"/>
          <w:i w:val="0"/>
          <w:color w:val="auto"/>
        </w:rPr>
        <w:t xml:space="preserve"> several water heaters, storage tanks, expansion tanks, mixing valves, circulation or recirculation pumps, heat exchangers, and electric resistance back-up heaters.</w:t>
      </w:r>
      <w:r w:rsidR="00475071">
        <w:rPr>
          <w:rStyle w:val="FootnoteReference"/>
          <w:rFonts w:ascii="Calibri Light" w:hAnsi="Calibri Light" w:cs="Calibri Light"/>
          <w:iCs/>
        </w:rPr>
        <w:footnoteReference w:id="2"/>
      </w:r>
      <w:r w:rsidR="0077469C">
        <w:rPr>
          <w:rStyle w:val="SubtleEmphasis"/>
          <w:rFonts w:ascii="Calibri Light" w:hAnsi="Calibri Light" w:cs="Calibri Light"/>
          <w:i w:val="0"/>
          <w:color w:val="auto"/>
        </w:rPr>
        <w:t xml:space="preserve"> Natural gas central domestic hot water systems often have larger capacity heating equipment than the heat pumps replacing them, which create</w:t>
      </w:r>
      <w:r w:rsidR="003A0268">
        <w:rPr>
          <w:rStyle w:val="SubtleEmphasis"/>
          <w:rFonts w:ascii="Calibri Light" w:hAnsi="Calibri Light" w:cs="Calibri Light"/>
          <w:i w:val="0"/>
          <w:color w:val="auto"/>
        </w:rPr>
        <w:t>s</w:t>
      </w:r>
      <w:r w:rsidR="0077469C">
        <w:rPr>
          <w:rStyle w:val="SubtleEmphasis"/>
          <w:rFonts w:ascii="Calibri Light" w:hAnsi="Calibri Light" w:cs="Calibri Light"/>
          <w:i w:val="0"/>
          <w:color w:val="auto"/>
        </w:rPr>
        <w:t xml:space="preserve"> situations where a single natural gas heater is replaced with more than one heat pump heater. Th</w:t>
      </w:r>
      <w:r w:rsidR="00475071">
        <w:rPr>
          <w:rStyle w:val="SubtleEmphasis"/>
          <w:rFonts w:ascii="Calibri Light" w:hAnsi="Calibri Light" w:cs="Calibri Light"/>
          <w:i w:val="0"/>
          <w:color w:val="auto"/>
        </w:rPr>
        <w:t>ese</w:t>
      </w:r>
      <w:r w:rsidR="0077469C">
        <w:rPr>
          <w:rStyle w:val="SubtleEmphasis"/>
          <w:rFonts w:ascii="Calibri Light" w:hAnsi="Calibri Light" w:cs="Calibri Light"/>
          <w:i w:val="0"/>
          <w:color w:val="auto"/>
        </w:rPr>
        <w:t xml:space="preserve"> situations may require additional updates to the plumbing systems that are not required in </w:t>
      </w:r>
      <w:r w:rsidR="003A0268">
        <w:rPr>
          <w:rStyle w:val="SubtleEmphasis"/>
          <w:rFonts w:ascii="Calibri Light" w:hAnsi="Calibri Light" w:cs="Calibri Light"/>
          <w:i w:val="0"/>
          <w:color w:val="auto"/>
        </w:rPr>
        <w:t>one-to-one</w:t>
      </w:r>
      <w:r w:rsidR="0077469C">
        <w:rPr>
          <w:rStyle w:val="SubtleEmphasis"/>
          <w:rFonts w:ascii="Calibri Light" w:hAnsi="Calibri Light" w:cs="Calibri Light"/>
          <w:i w:val="0"/>
          <w:color w:val="auto"/>
        </w:rPr>
        <w:t xml:space="preserve"> replacements. </w:t>
      </w:r>
    </w:p>
    <w:p w14:paraId="228C057D" w14:textId="70BB5FCD" w:rsidR="002F4DF6" w:rsidRDefault="002F4DF6" w:rsidP="00E24115">
      <w:pPr>
        <w:pStyle w:val="NoSpacing"/>
        <w:rPr>
          <w:rStyle w:val="SubtleEmphasis"/>
          <w:rFonts w:ascii="Calibri Light" w:hAnsi="Calibri Light" w:cs="Calibri Light"/>
          <w:i w:val="0"/>
          <w:color w:val="auto"/>
        </w:rPr>
      </w:pPr>
    </w:p>
    <w:p w14:paraId="5F57420B" w14:textId="2DD95B02" w:rsidR="002F4DF6" w:rsidRDefault="002F4DF6" w:rsidP="00E24115">
      <w:pPr>
        <w:pStyle w:val="NoSpacing"/>
        <w:rPr>
          <w:rStyle w:val="SubtleEmphasis"/>
          <w:rFonts w:ascii="Calibri Light" w:hAnsi="Calibri Light" w:cs="Calibri Light"/>
          <w:i w:val="0"/>
          <w:color w:val="auto"/>
        </w:rPr>
      </w:pPr>
      <w:r w:rsidRPr="002F4DF6">
        <w:rPr>
          <w:rStyle w:val="SubtleEmphasis"/>
          <w:rFonts w:ascii="Calibri Light" w:hAnsi="Calibri Light" w:cs="Calibri Light"/>
          <w:i w:val="0"/>
          <w:color w:val="auto"/>
        </w:rPr>
        <w:lastRenderedPageBreak/>
        <w:t xml:space="preserve">The most significant barrier to a water heater retrofit is the </w:t>
      </w:r>
      <w:r w:rsidR="00C9793C">
        <w:rPr>
          <w:rStyle w:val="SubtleEmphasis"/>
          <w:rFonts w:ascii="Calibri Light" w:hAnsi="Calibri Light" w:cs="Calibri Light"/>
          <w:i w:val="0"/>
          <w:color w:val="auto"/>
        </w:rPr>
        <w:t>typical</w:t>
      </w:r>
      <w:r w:rsidR="00C9793C"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nature of water heater replacement</w:t>
      </w:r>
      <w:r w:rsidR="00C9793C">
        <w:rPr>
          <w:rStyle w:val="SubtleEmphasis"/>
          <w:rFonts w:ascii="Calibri Light" w:hAnsi="Calibri Light" w:cs="Calibri Light"/>
          <w:i w:val="0"/>
          <w:color w:val="auto"/>
        </w:rPr>
        <w:t>s</w:t>
      </w:r>
      <w:r w:rsidRPr="002F4DF6">
        <w:rPr>
          <w:rStyle w:val="SubtleEmphasis"/>
          <w:rFonts w:ascii="Calibri Light" w:hAnsi="Calibri Light" w:cs="Calibri Light"/>
          <w:i w:val="0"/>
          <w:color w:val="auto"/>
        </w:rPr>
        <w:t>. Approximately 37% of consumers replace their water heaters due to the sudden failure of their existing water heater</w:t>
      </w:r>
      <w:r>
        <w:rPr>
          <w:rStyle w:val="FootnoteReference"/>
          <w:rFonts w:ascii="Calibri Light" w:hAnsi="Calibri Light" w:cs="Calibri Light"/>
          <w:iCs/>
        </w:rPr>
        <w:footnoteReference w:id="3"/>
      </w:r>
      <w:r w:rsidRPr="002F4DF6">
        <w:rPr>
          <w:rStyle w:val="SubtleEmphasis"/>
          <w:rFonts w:ascii="Calibri Light" w:hAnsi="Calibri Light" w:cs="Calibri Light"/>
          <w:i w:val="0"/>
          <w:color w:val="auto"/>
        </w:rPr>
        <w:t>.</w:t>
      </w:r>
      <w:r>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 xml:space="preserve">When a water heater fails, most consumers will purchase a replacement that is the cheapest and most readily available model that is also easy to install. These prevailing attitudes do not encourage consumers to find more advanced, energy-efficient </w:t>
      </w:r>
      <w:r w:rsidR="00AC633C">
        <w:rPr>
          <w:rStyle w:val="SubtleEmphasis"/>
          <w:rFonts w:ascii="Calibri Light" w:hAnsi="Calibri Light" w:cs="Calibri Light"/>
          <w:i w:val="0"/>
          <w:color w:val="auto"/>
        </w:rPr>
        <w:t>models</w:t>
      </w:r>
      <w:r w:rsidR="00AC633C"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that are available.</w:t>
      </w:r>
      <w:r w:rsidR="00AA142E">
        <w:rPr>
          <w:rStyle w:val="SubtleEmphasis"/>
          <w:rFonts w:ascii="Calibri Light" w:hAnsi="Calibri Light" w:cs="Calibri Light"/>
          <w:i w:val="0"/>
          <w:color w:val="auto"/>
        </w:rPr>
        <w:t xml:space="preserve"> </w:t>
      </w:r>
    </w:p>
    <w:p w14:paraId="782689C4" w14:textId="5EC101F1" w:rsidR="00AA142E" w:rsidRDefault="00AA142E" w:rsidP="00E24115">
      <w:pPr>
        <w:pStyle w:val="NoSpacing"/>
        <w:rPr>
          <w:rStyle w:val="SubtleEmphasis"/>
          <w:rFonts w:ascii="Calibri Light" w:hAnsi="Calibri Light" w:cs="Calibri Light"/>
          <w:i w:val="0"/>
          <w:color w:val="auto"/>
        </w:rPr>
      </w:pPr>
    </w:p>
    <w:p w14:paraId="026D9C6C" w14:textId="77777777" w:rsidR="00AC633C" w:rsidRDefault="00AC633C" w:rsidP="00AC633C">
      <w:r>
        <w:t>Definitions of key terms are as follows:</w:t>
      </w:r>
    </w:p>
    <w:p w14:paraId="4216983A" w14:textId="77777777" w:rsidR="00AC633C" w:rsidRPr="008A2254" w:rsidRDefault="00AC633C" w:rsidP="00AC633C">
      <w:pPr>
        <w:pStyle w:val="ListParagraph"/>
        <w:numPr>
          <w:ilvl w:val="0"/>
          <w:numId w:val="39"/>
        </w:numPr>
        <w:ind w:left="720"/>
        <w:rPr>
          <w:rFonts w:cs="Calibri Light"/>
          <w:szCs w:val="22"/>
        </w:rPr>
      </w:pPr>
      <w:r w:rsidRPr="008A2254">
        <w:rPr>
          <w:rStyle w:val="Emphasis"/>
          <w:rFonts w:cs="Calibri Light"/>
          <w:i w:val="0"/>
          <w:iCs w:val="0"/>
          <w:color w:val="292929"/>
          <w:szCs w:val="22"/>
        </w:rPr>
        <w:t>Instantaneous water heater</w:t>
      </w:r>
      <w:r w:rsidRPr="008A2254">
        <w:rPr>
          <w:rFonts w:cs="Calibri Light"/>
          <w:szCs w:val="22"/>
        </w:rPr>
        <w:t> (a “tankless water heater”): eliminates energy lost to standby operation by only heating when flow sensor is activated. An instantaneous water heater is more efficient than a traditional storage water heater.</w:t>
      </w:r>
      <w:r>
        <w:rPr>
          <w:rStyle w:val="FootnoteReference"/>
          <w:rFonts w:cs="Calibri Light"/>
          <w:szCs w:val="22"/>
        </w:rPr>
        <w:footnoteReference w:id="4"/>
      </w:r>
      <w:r w:rsidRPr="008A2254">
        <w:rPr>
          <w:rFonts w:cs="Calibri Light"/>
          <w:szCs w:val="22"/>
        </w:rPr>
        <w:t xml:space="preserve">  </w:t>
      </w:r>
    </w:p>
    <w:p w14:paraId="77DABD5D" w14:textId="77777777" w:rsidR="00AC633C" w:rsidRPr="008A2254" w:rsidRDefault="00AC633C" w:rsidP="00AC633C">
      <w:pPr>
        <w:pStyle w:val="ListParagraph"/>
        <w:numPr>
          <w:ilvl w:val="0"/>
          <w:numId w:val="39"/>
        </w:numPr>
        <w:ind w:left="720"/>
        <w:rPr>
          <w:rFonts w:cs="Calibri Light"/>
          <w:szCs w:val="22"/>
        </w:rPr>
      </w:pPr>
      <w:r w:rsidRPr="008A2254">
        <w:rPr>
          <w:rStyle w:val="Emphasis"/>
          <w:rFonts w:cs="Calibri Light"/>
          <w:i w:val="0"/>
          <w:iCs w:val="0"/>
          <w:color w:val="292929"/>
          <w:szCs w:val="22"/>
        </w:rPr>
        <w:t>Storage water heater</w:t>
      </w:r>
      <w:r w:rsidRPr="008A2254">
        <w:rPr>
          <w:rFonts w:cs="Calibri Light"/>
          <w:szCs w:val="22"/>
        </w:rPr>
        <w:t>: utilizes a tank of water that is heated by a burner at the bottom. Efficient models have better insulation, heat traps, and secondary heat exchangers at the top of the tank.</w:t>
      </w:r>
      <w:r>
        <w:rPr>
          <w:rStyle w:val="FootnoteReference"/>
          <w:rFonts w:cs="Calibri Light"/>
          <w:szCs w:val="22"/>
        </w:rPr>
        <w:footnoteReference w:id="5"/>
      </w:r>
      <w:r w:rsidRPr="008A2254">
        <w:rPr>
          <w:rFonts w:cs="Calibri Light"/>
          <w:szCs w:val="22"/>
        </w:rPr>
        <w:t xml:space="preserve">  </w:t>
      </w:r>
    </w:p>
    <w:p w14:paraId="1D9F96E4" w14:textId="77777777" w:rsidR="00AC633C" w:rsidRPr="008A2254" w:rsidRDefault="00AC633C" w:rsidP="00AC633C">
      <w:pPr>
        <w:pStyle w:val="ListParagraph"/>
        <w:numPr>
          <w:ilvl w:val="0"/>
          <w:numId w:val="39"/>
        </w:numPr>
        <w:ind w:left="720"/>
        <w:rPr>
          <w:rFonts w:cs="Calibri Light"/>
          <w:szCs w:val="22"/>
        </w:rPr>
      </w:pPr>
      <w:r w:rsidRPr="008A2254">
        <w:rPr>
          <w:rStyle w:val="Emphasis"/>
          <w:rFonts w:cs="Calibri Light"/>
          <w:i w:val="0"/>
          <w:iCs w:val="0"/>
          <w:color w:val="292929"/>
          <w:szCs w:val="22"/>
        </w:rPr>
        <w:t>Draw pattern</w:t>
      </w:r>
      <w:r w:rsidRPr="008A2254">
        <w:rPr>
          <w:rFonts w:cs="Calibri Light"/>
          <w:szCs w:val="22"/>
        </w:rPr>
        <w:t>: categorizes hot water first-hour rating and maximum flow parameters for water heaters.</w:t>
      </w:r>
      <w:r>
        <w:rPr>
          <w:rStyle w:val="FootnoteReference"/>
          <w:rFonts w:cs="Calibri Light"/>
          <w:szCs w:val="22"/>
        </w:rPr>
        <w:footnoteReference w:id="6"/>
      </w:r>
      <w:r w:rsidRPr="008A2254">
        <w:rPr>
          <w:rFonts w:cs="Calibri Light"/>
          <w:szCs w:val="22"/>
        </w:rPr>
        <w:t>  See Code Requirements for draw pattern derivation. </w:t>
      </w:r>
    </w:p>
    <w:p w14:paraId="0E6C7748" w14:textId="76FA9B7A" w:rsidR="00AC633C" w:rsidRDefault="00AC633C" w:rsidP="00AC633C">
      <w:pPr>
        <w:pStyle w:val="ListParagraph"/>
        <w:numPr>
          <w:ilvl w:val="0"/>
          <w:numId w:val="39"/>
        </w:numPr>
        <w:ind w:left="720"/>
        <w:rPr>
          <w:rFonts w:cs="Calibri Light"/>
          <w:szCs w:val="22"/>
        </w:rPr>
      </w:pPr>
      <w:r w:rsidRPr="008A2254">
        <w:rPr>
          <w:rStyle w:val="Emphasis"/>
          <w:rFonts w:cs="Calibri Light"/>
          <w:i w:val="0"/>
          <w:iCs w:val="0"/>
          <w:color w:val="292929"/>
          <w:szCs w:val="22"/>
        </w:rPr>
        <w:t>Uniform energy factor (UEF)</w:t>
      </w:r>
      <w:r w:rsidRPr="008A2254">
        <w:rPr>
          <w:rFonts w:cs="Calibri Light"/>
          <w:szCs w:val="22"/>
        </w:rPr>
        <w:t>: an efficiency metric that is normalized based on draw pattern and taken over a 24-hour period. UEF represents the amount of energy delivered per normalized energy consumption.</w:t>
      </w:r>
      <w:r>
        <w:rPr>
          <w:rStyle w:val="FootnoteReference"/>
          <w:rFonts w:cs="Calibri Light"/>
          <w:szCs w:val="22"/>
        </w:rPr>
        <w:footnoteReference w:id="7"/>
      </w:r>
      <w:r w:rsidRPr="008A2254">
        <w:rPr>
          <w:rFonts w:cs="Calibri Light"/>
          <w:szCs w:val="22"/>
        </w:rPr>
        <w:t xml:space="preserve">  </w:t>
      </w:r>
    </w:p>
    <w:p w14:paraId="5944DB10" w14:textId="05854522" w:rsidR="00077905" w:rsidRPr="00477EBC" w:rsidRDefault="00077905" w:rsidP="00BF14AA">
      <w:pPr>
        <w:pStyle w:val="ListParagraph"/>
        <w:numPr>
          <w:ilvl w:val="0"/>
          <w:numId w:val="39"/>
        </w:numPr>
        <w:ind w:left="720"/>
        <w:rPr>
          <w:rFonts w:cs="Calibri Light"/>
          <w:szCs w:val="22"/>
        </w:rPr>
      </w:pPr>
      <w:r>
        <w:rPr>
          <w:rFonts w:cs="Calibri Light"/>
          <w:szCs w:val="22"/>
        </w:rPr>
        <w:t>Coefficient of Performance (COP)</w:t>
      </w:r>
      <w:r w:rsidRPr="008A2254">
        <w:rPr>
          <w:rFonts w:cs="Calibri Light"/>
          <w:szCs w:val="22"/>
        </w:rPr>
        <w:t xml:space="preserve">: an efficiency metric </w:t>
      </w:r>
      <w:r w:rsidR="00CB42EC">
        <w:rPr>
          <w:rFonts w:cs="Calibri Light"/>
          <w:szCs w:val="22"/>
        </w:rPr>
        <w:t>representing the</w:t>
      </w:r>
      <w:r w:rsidR="00E54654">
        <w:rPr>
          <w:rFonts w:cs="Calibri Light"/>
          <w:szCs w:val="22"/>
        </w:rPr>
        <w:t xml:space="preserve"> </w:t>
      </w:r>
      <w:r>
        <w:rPr>
          <w:rFonts w:cs="Calibri Light"/>
          <w:szCs w:val="22"/>
        </w:rPr>
        <w:t xml:space="preserve">net heat delivered by the water heater divided by total electrical energy consumed, when both are in the same units. </w:t>
      </w:r>
      <w:r>
        <w:rPr>
          <w:rStyle w:val="FootnoteReference"/>
          <w:rFonts w:cs="Calibri Light"/>
          <w:szCs w:val="22"/>
        </w:rPr>
        <w:footnoteReference w:id="8"/>
      </w:r>
    </w:p>
    <w:p w14:paraId="072B8671" w14:textId="77777777" w:rsidR="00077905" w:rsidRPr="008A2254" w:rsidRDefault="00077905" w:rsidP="00BF14AA">
      <w:pPr>
        <w:pStyle w:val="ListParagraph"/>
        <w:rPr>
          <w:rFonts w:cs="Calibri Light"/>
          <w:szCs w:val="22"/>
        </w:rPr>
      </w:pPr>
    </w:p>
    <w:p w14:paraId="7446454B" w14:textId="617A8ACC" w:rsidR="007D230B" w:rsidRPr="00F11AB9" w:rsidRDefault="007D230B" w:rsidP="00F11AB9">
      <w:pPr>
        <w:pStyle w:val="eTRMHeading3"/>
      </w:pPr>
      <w:bookmarkStart w:id="12" w:name="_Toc486490848"/>
      <w:bookmarkStart w:id="13" w:name="_Toc486580919"/>
      <w:bookmarkStart w:id="14" w:name="_Toc75963024"/>
      <w:r w:rsidRPr="00F11AB9">
        <w:t>Measure Case Description</w:t>
      </w:r>
      <w:bookmarkEnd w:id="12"/>
      <w:bookmarkEnd w:id="13"/>
      <w:bookmarkEnd w:id="14"/>
    </w:p>
    <w:p w14:paraId="6EA2C9FA" w14:textId="1C6CFA2F" w:rsidR="00E24115" w:rsidRDefault="00AA142E"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This measure includes</w:t>
      </w:r>
      <w:r w:rsidR="00E24115" w:rsidRPr="00E24115">
        <w:rPr>
          <w:rStyle w:val="SubtleEmphasis"/>
          <w:rFonts w:ascii="Calibri Light" w:hAnsi="Calibri Light" w:cs="Calibri Light"/>
          <w:i w:val="0"/>
          <w:color w:val="auto"/>
        </w:rPr>
        <w:t xml:space="preserve"> </w:t>
      </w:r>
      <w:r w:rsidR="00647853">
        <w:rPr>
          <w:rStyle w:val="SubtleEmphasis"/>
          <w:rFonts w:ascii="Calibri Light" w:hAnsi="Calibri Light" w:cs="Calibri Light"/>
          <w:i w:val="0"/>
          <w:color w:val="auto"/>
        </w:rPr>
        <w:t xml:space="preserve">large </w:t>
      </w:r>
      <w:r w:rsidR="00B704B3">
        <w:rPr>
          <w:rStyle w:val="SubtleEmphasis"/>
          <w:rFonts w:ascii="Calibri Light" w:hAnsi="Calibri Light" w:cs="Calibri Light"/>
          <w:i w:val="0"/>
          <w:color w:val="auto"/>
        </w:rPr>
        <w:t>efficient</w:t>
      </w:r>
      <w:r w:rsidR="004F62E5">
        <w:rPr>
          <w:rStyle w:val="SubtleEmphasis"/>
          <w:rFonts w:ascii="Calibri Light" w:hAnsi="Calibri Light" w:cs="Calibri Light"/>
          <w:i w:val="0"/>
          <w:color w:val="auto"/>
        </w:rPr>
        <w:t xml:space="preserve"> </w:t>
      </w:r>
      <w:r w:rsidR="00E24115" w:rsidRPr="00E24115">
        <w:rPr>
          <w:rStyle w:val="SubtleEmphasis"/>
          <w:rFonts w:ascii="Calibri Light" w:hAnsi="Calibri Light" w:cs="Calibri Light"/>
          <w:i w:val="0"/>
          <w:color w:val="auto"/>
        </w:rPr>
        <w:t>heat pump water</w:t>
      </w:r>
      <w:r w:rsidR="0065233B">
        <w:rPr>
          <w:rStyle w:val="SubtleEmphasis"/>
          <w:rFonts w:ascii="Calibri Light" w:hAnsi="Calibri Light" w:cs="Calibri Light"/>
          <w:i w:val="0"/>
          <w:color w:val="auto"/>
        </w:rPr>
        <w:t xml:space="preserve"> </w:t>
      </w:r>
      <w:r w:rsidR="00F61EA0">
        <w:rPr>
          <w:rStyle w:val="SubtleEmphasis"/>
          <w:rFonts w:ascii="Calibri Light" w:hAnsi="Calibri Light" w:cs="Calibri Light"/>
          <w:i w:val="0"/>
          <w:color w:val="auto"/>
        </w:rPr>
        <w:t>heaters</w:t>
      </w:r>
      <w:r w:rsidR="00475071">
        <w:rPr>
          <w:rStyle w:val="SubtleEmphasis"/>
          <w:rFonts w:ascii="Calibri Light" w:hAnsi="Calibri Light" w:cs="Calibri Light"/>
          <w:i w:val="0"/>
          <w:color w:val="auto"/>
        </w:rPr>
        <w:t xml:space="preserve"> or central water heating systems</w:t>
      </w:r>
      <w:r w:rsidR="00E7554D">
        <w:rPr>
          <w:rStyle w:val="SubtleEmphasis"/>
          <w:rFonts w:ascii="Calibri Light" w:hAnsi="Calibri Light" w:cs="Calibri Light"/>
          <w:i w:val="0"/>
          <w:color w:val="auto"/>
        </w:rPr>
        <w:t xml:space="preserve"> with storage volumes ≥75 gallons</w:t>
      </w:r>
      <w:r w:rsidR="00F61EA0">
        <w:rPr>
          <w:rStyle w:val="SubtleEmphasis"/>
          <w:rFonts w:ascii="Calibri Light" w:hAnsi="Calibri Light" w:cs="Calibri Light"/>
          <w:i w:val="0"/>
          <w:color w:val="auto"/>
        </w:rPr>
        <w:t>.</w:t>
      </w:r>
      <w:r w:rsidR="00E24115" w:rsidRPr="00E24115">
        <w:rPr>
          <w:rStyle w:val="SubtleEmphasis"/>
          <w:rFonts w:ascii="Calibri Light" w:hAnsi="Calibri Light" w:cs="Calibri Light"/>
          <w:i w:val="0"/>
          <w:color w:val="auto"/>
        </w:rPr>
        <w:t xml:space="preserve"> Efficiency requirements </w:t>
      </w:r>
      <w:r w:rsidR="00475071">
        <w:rPr>
          <w:rStyle w:val="SubtleEmphasis"/>
          <w:rFonts w:ascii="Calibri Light" w:hAnsi="Calibri Light" w:cs="Calibri Light"/>
          <w:i w:val="0"/>
          <w:color w:val="auto"/>
        </w:rPr>
        <w:t>for water heaters</w:t>
      </w:r>
      <w:r w:rsidR="00E7554D">
        <w:rPr>
          <w:rStyle w:val="SubtleEmphasis"/>
          <w:rFonts w:ascii="Calibri Light" w:hAnsi="Calibri Light" w:cs="Calibri Light"/>
          <w:i w:val="0"/>
          <w:color w:val="auto"/>
        </w:rPr>
        <w:t xml:space="preserve"> less than 100 gallons</w:t>
      </w:r>
      <w:r w:rsidR="00475071">
        <w:rPr>
          <w:rStyle w:val="SubtleEmphasis"/>
          <w:rFonts w:ascii="Calibri Light" w:hAnsi="Calibri Light" w:cs="Calibri Light"/>
          <w:i w:val="0"/>
          <w:color w:val="auto"/>
        </w:rPr>
        <w:t xml:space="preserve"> </w:t>
      </w:r>
      <w:r w:rsidR="00E24115" w:rsidRPr="00E24115">
        <w:rPr>
          <w:rStyle w:val="SubtleEmphasis"/>
          <w:rFonts w:ascii="Calibri Light" w:hAnsi="Calibri Light" w:cs="Calibri Light"/>
          <w:i w:val="0"/>
          <w:color w:val="auto"/>
        </w:rPr>
        <w:t xml:space="preserve">use the </w:t>
      </w:r>
      <w:r w:rsidR="00AC633C">
        <w:rPr>
          <w:rStyle w:val="SubtleEmphasis"/>
          <w:rFonts w:ascii="Calibri Light" w:hAnsi="Calibri Light" w:cs="Calibri Light"/>
          <w:i w:val="0"/>
          <w:color w:val="auto"/>
        </w:rPr>
        <w:t>u</w:t>
      </w:r>
      <w:r w:rsidR="00E24115" w:rsidRPr="00E24115">
        <w:rPr>
          <w:rStyle w:val="SubtleEmphasis"/>
          <w:rFonts w:ascii="Calibri Light" w:hAnsi="Calibri Light" w:cs="Calibri Light"/>
          <w:i w:val="0"/>
          <w:color w:val="auto"/>
        </w:rPr>
        <w:t xml:space="preserve">niform </w:t>
      </w:r>
      <w:r w:rsidR="00AC633C">
        <w:rPr>
          <w:rStyle w:val="SubtleEmphasis"/>
          <w:rFonts w:ascii="Calibri Light" w:hAnsi="Calibri Light" w:cs="Calibri Light"/>
          <w:i w:val="0"/>
          <w:color w:val="auto"/>
        </w:rPr>
        <w:t>e</w:t>
      </w:r>
      <w:r w:rsidR="00E24115" w:rsidRPr="00E24115">
        <w:rPr>
          <w:rStyle w:val="SubtleEmphasis"/>
          <w:rFonts w:ascii="Calibri Light" w:hAnsi="Calibri Light" w:cs="Calibri Light"/>
          <w:i w:val="0"/>
          <w:color w:val="auto"/>
        </w:rPr>
        <w:t xml:space="preserve">nergy </w:t>
      </w:r>
      <w:r w:rsidR="00AC633C">
        <w:rPr>
          <w:rStyle w:val="SubtleEmphasis"/>
          <w:rFonts w:ascii="Calibri Light" w:hAnsi="Calibri Light" w:cs="Calibri Light"/>
          <w:i w:val="0"/>
          <w:color w:val="auto"/>
        </w:rPr>
        <w:t>f</w:t>
      </w:r>
      <w:r w:rsidR="00E24115" w:rsidRPr="00E24115">
        <w:rPr>
          <w:rStyle w:val="SubtleEmphasis"/>
          <w:rFonts w:ascii="Calibri Light" w:hAnsi="Calibri Light" w:cs="Calibri Light"/>
          <w:i w:val="0"/>
          <w:color w:val="auto"/>
        </w:rPr>
        <w:t>actor (UEF) metric</w:t>
      </w:r>
      <w:r w:rsidR="002B7788">
        <w:rPr>
          <w:rStyle w:val="SubtleEmphasis"/>
          <w:rFonts w:ascii="Calibri Light" w:hAnsi="Calibri Light" w:cs="Calibri Light"/>
          <w:i w:val="0"/>
          <w:color w:val="auto"/>
        </w:rPr>
        <w:t xml:space="preserve">. </w:t>
      </w:r>
      <w:r w:rsidR="00E24115" w:rsidRPr="00E24115">
        <w:rPr>
          <w:rStyle w:val="SubtleEmphasis"/>
          <w:rFonts w:ascii="Calibri Light" w:hAnsi="Calibri Light" w:cs="Calibri Light"/>
          <w:i w:val="0"/>
          <w:color w:val="auto"/>
        </w:rPr>
        <w:t>The minimum qualifying measure efficiencies exceed the California Title 20 and Code of Federal Regulations standards (see Code Requirements).</w:t>
      </w:r>
      <w:r w:rsidR="00183874">
        <w:rPr>
          <w:rStyle w:val="SubtleEmphasis"/>
          <w:rFonts w:ascii="Calibri Light" w:hAnsi="Calibri Light" w:cs="Calibri Light"/>
          <w:i w:val="0"/>
          <w:color w:val="auto"/>
        </w:rPr>
        <w:t xml:space="preserve">  </w:t>
      </w:r>
      <w:r w:rsidR="00E24115" w:rsidRPr="00E24115">
        <w:rPr>
          <w:rStyle w:val="SubtleEmphasis"/>
          <w:rFonts w:ascii="Calibri Light" w:hAnsi="Calibri Light" w:cs="Calibri Light"/>
          <w:i w:val="0"/>
          <w:color w:val="auto"/>
        </w:rPr>
        <w:t xml:space="preserve"> </w:t>
      </w:r>
    </w:p>
    <w:p w14:paraId="1723B5F3" w14:textId="77777777" w:rsidR="00E43AC6" w:rsidRDefault="00E43AC6" w:rsidP="00E24115">
      <w:pPr>
        <w:pStyle w:val="NoSpacing"/>
        <w:rPr>
          <w:rStyle w:val="SubtleEmphasis"/>
          <w:rFonts w:ascii="Calibri Light" w:hAnsi="Calibri Light" w:cs="Calibri Light"/>
          <w:i w:val="0"/>
          <w:color w:val="auto"/>
        </w:rPr>
      </w:pPr>
    </w:p>
    <w:p w14:paraId="1E919DA1" w14:textId="29E55698" w:rsidR="0096071C" w:rsidRDefault="0096071C"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Larger heat pump water heaters are rated by Coefficient of Performance (COP).</w:t>
      </w:r>
      <w:r w:rsidR="003814FB">
        <w:rPr>
          <w:rStyle w:val="SubtleEmphasis"/>
          <w:rFonts w:ascii="Calibri Light" w:hAnsi="Calibri Light" w:cs="Calibri Light"/>
          <w:i w:val="0"/>
          <w:color w:val="auto"/>
        </w:rPr>
        <w:t xml:space="preserve"> Larger gas-fired water heaters are rated by thermal efficiency (Et).</w:t>
      </w:r>
    </w:p>
    <w:p w14:paraId="16E1D636" w14:textId="77777777" w:rsidR="0096071C" w:rsidRDefault="0096071C" w:rsidP="00E24115">
      <w:pPr>
        <w:pStyle w:val="NoSpacing"/>
        <w:rPr>
          <w:rStyle w:val="SubtleEmphasis"/>
          <w:rFonts w:ascii="Calibri Light" w:hAnsi="Calibri Light" w:cs="Calibri Light"/>
          <w:i w:val="0"/>
          <w:color w:val="auto"/>
        </w:rPr>
      </w:pPr>
    </w:p>
    <w:p w14:paraId="522B2B32" w14:textId="5358F5FD" w:rsidR="00E43AC6" w:rsidRDefault="00E43AC6"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The measure case heat pump water heater equipment is be classified with following characteristics. </w:t>
      </w:r>
    </w:p>
    <w:p w14:paraId="1ABA46C2" w14:textId="77777777" w:rsidR="00AC633C" w:rsidRDefault="00AC633C" w:rsidP="00AC633C">
      <w:pPr>
        <w:pStyle w:val="Caption"/>
        <w:rPr>
          <w:rStyle w:val="SubtleEmphasis"/>
          <w:rFonts w:cs="Calibri Light"/>
          <w:i w:val="0"/>
          <w:color w:val="000000"/>
          <w14:textFill>
            <w14:solidFill>
              <w14:srgbClr w14:val="000000">
                <w14:lumMod w14:val="50000"/>
              </w14:srgbClr>
            </w14:solidFill>
          </w14:textFill>
        </w:rPr>
      </w:pPr>
      <w:r>
        <w:rPr>
          <w:rStyle w:val="SubtleEmphasis"/>
          <w:rFonts w:cs="Calibri Light"/>
          <w:i w:val="0"/>
          <w:color w:val="000000"/>
          <w14:textFill>
            <w14:solidFill>
              <w14:srgbClr w14:val="000000">
                <w14:lumMod w14:val="50000"/>
              </w14:srgbClr>
            </w14:solidFill>
          </w14:textFill>
        </w:rPr>
        <w:lastRenderedPageBreak/>
        <w:t>Measure Case Specification</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90"/>
        <w:gridCol w:w="2520"/>
        <w:gridCol w:w="3240"/>
      </w:tblGrid>
      <w:tr w:rsidR="00E43AC6" w:rsidRPr="004E7434" w14:paraId="5ADD756B" w14:textId="77777777" w:rsidTr="00B71673">
        <w:tc>
          <w:tcPr>
            <w:tcW w:w="3690" w:type="dxa"/>
            <w:shd w:val="clear" w:color="auto" w:fill="F2F2F2" w:themeFill="background1" w:themeFillShade="F2"/>
            <w:vAlign w:val="bottom"/>
          </w:tcPr>
          <w:p w14:paraId="0DFD8593" w14:textId="050A9EB5" w:rsidR="00E43AC6" w:rsidRPr="004E7434" w:rsidRDefault="00B71673" w:rsidP="003239A8">
            <w:pPr>
              <w:keepNext/>
              <w:keepLines/>
              <w:spacing w:before="20" w:after="20"/>
              <w:rPr>
                <w:b/>
                <w:sz w:val="20"/>
                <w:szCs w:val="20"/>
              </w:rPr>
            </w:pPr>
            <w:r w:rsidRPr="004E7434">
              <w:rPr>
                <w:b/>
                <w:sz w:val="20"/>
                <w:szCs w:val="20"/>
              </w:rPr>
              <w:t>Equipment Type</w:t>
            </w:r>
          </w:p>
        </w:tc>
        <w:tc>
          <w:tcPr>
            <w:tcW w:w="2520" w:type="dxa"/>
            <w:shd w:val="clear" w:color="auto" w:fill="F2F2F2" w:themeFill="background1" w:themeFillShade="F2"/>
            <w:vAlign w:val="bottom"/>
          </w:tcPr>
          <w:p w14:paraId="51FA025D" w14:textId="474565B4" w:rsidR="00E43AC6" w:rsidRPr="004E7434" w:rsidRDefault="00B71673" w:rsidP="003239A8">
            <w:pPr>
              <w:keepNext/>
              <w:keepLines/>
              <w:spacing w:before="20" w:after="20"/>
              <w:jc w:val="center"/>
              <w:rPr>
                <w:b/>
                <w:sz w:val="20"/>
                <w:szCs w:val="20"/>
              </w:rPr>
            </w:pPr>
            <w:r w:rsidRPr="004E7434">
              <w:rPr>
                <w:b/>
                <w:sz w:val="20"/>
                <w:szCs w:val="20"/>
              </w:rPr>
              <w:t>Storage Capacity (gallons)</w:t>
            </w:r>
          </w:p>
        </w:tc>
        <w:tc>
          <w:tcPr>
            <w:tcW w:w="3240" w:type="dxa"/>
            <w:shd w:val="clear" w:color="auto" w:fill="F2F2F2" w:themeFill="background1" w:themeFillShade="F2"/>
            <w:vAlign w:val="bottom"/>
          </w:tcPr>
          <w:p w14:paraId="7F3978D5" w14:textId="2645EE21" w:rsidR="00E43AC6" w:rsidRPr="004E7434" w:rsidRDefault="00D06E68" w:rsidP="003239A8">
            <w:pPr>
              <w:keepNext/>
              <w:keepLines/>
              <w:spacing w:before="20" w:after="20"/>
              <w:jc w:val="center"/>
              <w:rPr>
                <w:b/>
                <w:sz w:val="20"/>
                <w:szCs w:val="20"/>
              </w:rPr>
            </w:pPr>
            <w:r>
              <w:rPr>
                <w:b/>
                <w:sz w:val="20"/>
                <w:szCs w:val="20"/>
              </w:rPr>
              <w:t xml:space="preserve">Minimum </w:t>
            </w:r>
            <w:r w:rsidR="003B63C5">
              <w:rPr>
                <w:b/>
                <w:sz w:val="20"/>
                <w:szCs w:val="20"/>
              </w:rPr>
              <w:t>Measure</w:t>
            </w:r>
            <w:r w:rsidR="00E7554D" w:rsidRPr="004E7434">
              <w:rPr>
                <w:b/>
                <w:sz w:val="20"/>
                <w:szCs w:val="20"/>
              </w:rPr>
              <w:t xml:space="preserve"> </w:t>
            </w:r>
            <w:r>
              <w:rPr>
                <w:b/>
                <w:sz w:val="20"/>
                <w:szCs w:val="20"/>
              </w:rPr>
              <w:t>Efficiency</w:t>
            </w:r>
          </w:p>
        </w:tc>
      </w:tr>
      <w:tr w:rsidR="004F62E5" w:rsidRPr="004E7434" w14:paraId="461D0DC0" w14:textId="77777777" w:rsidTr="00B71673">
        <w:trPr>
          <w:cantSplit/>
          <w:trHeight w:val="20"/>
        </w:trPr>
        <w:tc>
          <w:tcPr>
            <w:tcW w:w="3690" w:type="dxa"/>
            <w:shd w:val="clear" w:color="auto" w:fill="auto"/>
            <w:vAlign w:val="center"/>
          </w:tcPr>
          <w:p w14:paraId="7CEE7564" w14:textId="49507DB2" w:rsidR="004F62E5" w:rsidRPr="00CA50C3" w:rsidRDefault="004F62E5" w:rsidP="00B71673">
            <w:pPr>
              <w:pStyle w:val="Default"/>
              <w:rPr>
                <w:sz w:val="20"/>
                <w:szCs w:val="20"/>
              </w:rPr>
            </w:pPr>
            <w:r w:rsidRPr="00CA50C3">
              <w:rPr>
                <w:sz w:val="20"/>
                <w:szCs w:val="20"/>
              </w:rPr>
              <w:t>Heat Pump Water Heater</w:t>
            </w:r>
          </w:p>
        </w:tc>
        <w:tc>
          <w:tcPr>
            <w:tcW w:w="2520" w:type="dxa"/>
            <w:shd w:val="clear" w:color="auto" w:fill="auto"/>
          </w:tcPr>
          <w:p w14:paraId="631A7044" w14:textId="644C411B" w:rsidR="004F62E5" w:rsidRPr="00CA50C3" w:rsidRDefault="00A15651" w:rsidP="00B71673">
            <w:pPr>
              <w:pStyle w:val="Default"/>
              <w:jc w:val="center"/>
              <w:rPr>
                <w:sz w:val="20"/>
                <w:szCs w:val="20"/>
              </w:rPr>
            </w:pPr>
            <w:r>
              <w:rPr>
                <w:sz w:val="20"/>
                <w:szCs w:val="20"/>
              </w:rPr>
              <w:t>75</w:t>
            </w:r>
            <w:r w:rsidR="00AC633C" w:rsidRPr="00CA50C3">
              <w:rPr>
                <w:sz w:val="20"/>
                <w:szCs w:val="20"/>
              </w:rPr>
              <w:t xml:space="preserve"> </w:t>
            </w:r>
            <w:r w:rsidR="004B685B" w:rsidRPr="00CA50C3">
              <w:rPr>
                <w:sz w:val="20"/>
                <w:szCs w:val="20"/>
              </w:rPr>
              <w:t>≤ to &lt;</w:t>
            </w:r>
            <w:r w:rsidR="00AC633C" w:rsidRPr="00CA50C3">
              <w:rPr>
                <w:sz w:val="20"/>
                <w:szCs w:val="20"/>
              </w:rPr>
              <w:t xml:space="preserve"> </w:t>
            </w:r>
            <w:r w:rsidR="006159C4" w:rsidRPr="00CA50C3">
              <w:rPr>
                <w:sz w:val="20"/>
                <w:szCs w:val="20"/>
              </w:rPr>
              <w:t>100</w:t>
            </w:r>
          </w:p>
        </w:tc>
        <w:tc>
          <w:tcPr>
            <w:tcW w:w="3240" w:type="dxa"/>
            <w:shd w:val="clear" w:color="auto" w:fill="auto"/>
            <w:vAlign w:val="center"/>
          </w:tcPr>
          <w:p w14:paraId="0851D31F" w14:textId="3A6C15AA" w:rsidR="004F62E5" w:rsidRPr="00CA50C3" w:rsidRDefault="006159C4" w:rsidP="00B71673">
            <w:pPr>
              <w:pStyle w:val="Default"/>
              <w:jc w:val="center"/>
              <w:rPr>
                <w:sz w:val="20"/>
                <w:szCs w:val="20"/>
              </w:rPr>
            </w:pPr>
            <w:r w:rsidRPr="00CA50C3">
              <w:rPr>
                <w:sz w:val="20"/>
                <w:szCs w:val="20"/>
              </w:rPr>
              <w:t xml:space="preserve">2.94 </w:t>
            </w:r>
            <w:r w:rsidR="00E75122">
              <w:rPr>
                <w:sz w:val="20"/>
                <w:szCs w:val="20"/>
              </w:rPr>
              <w:t>UEF</w:t>
            </w:r>
          </w:p>
        </w:tc>
      </w:tr>
      <w:tr w:rsidR="006159C4" w:rsidRPr="004E7434" w14:paraId="5C110D17" w14:textId="77777777" w:rsidTr="00B71673">
        <w:trPr>
          <w:cantSplit/>
          <w:trHeight w:val="20"/>
        </w:trPr>
        <w:tc>
          <w:tcPr>
            <w:tcW w:w="3690" w:type="dxa"/>
            <w:shd w:val="clear" w:color="auto" w:fill="auto"/>
            <w:vAlign w:val="center"/>
          </w:tcPr>
          <w:p w14:paraId="2D0C29A8" w14:textId="7FD579D4" w:rsidR="006159C4" w:rsidRPr="00CA50C3" w:rsidRDefault="006159C4" w:rsidP="006159C4">
            <w:pPr>
              <w:pStyle w:val="Default"/>
              <w:rPr>
                <w:sz w:val="20"/>
                <w:szCs w:val="20"/>
              </w:rPr>
            </w:pPr>
            <w:r w:rsidRPr="00CA50C3">
              <w:rPr>
                <w:sz w:val="20"/>
                <w:szCs w:val="20"/>
              </w:rPr>
              <w:t>Heat Pump Water Heater</w:t>
            </w:r>
          </w:p>
        </w:tc>
        <w:tc>
          <w:tcPr>
            <w:tcW w:w="2520" w:type="dxa"/>
            <w:shd w:val="clear" w:color="auto" w:fill="auto"/>
          </w:tcPr>
          <w:p w14:paraId="46A6D52B" w14:textId="2A1A8DF6" w:rsidR="006159C4" w:rsidRPr="00CA50C3" w:rsidRDefault="009A6BD9" w:rsidP="006159C4">
            <w:pPr>
              <w:pStyle w:val="Default"/>
              <w:jc w:val="center"/>
              <w:rPr>
                <w:sz w:val="20"/>
                <w:szCs w:val="20"/>
              </w:rPr>
            </w:pPr>
            <w:r>
              <w:rPr>
                <w:sz w:val="20"/>
                <w:szCs w:val="20"/>
              </w:rPr>
              <w:t>≥</w:t>
            </w:r>
            <w:r w:rsidR="006159C4" w:rsidRPr="00CA50C3">
              <w:rPr>
                <w:sz w:val="20"/>
                <w:szCs w:val="20"/>
              </w:rPr>
              <w:t>100</w:t>
            </w:r>
          </w:p>
        </w:tc>
        <w:tc>
          <w:tcPr>
            <w:tcW w:w="3240" w:type="dxa"/>
            <w:shd w:val="clear" w:color="auto" w:fill="auto"/>
            <w:vAlign w:val="center"/>
          </w:tcPr>
          <w:p w14:paraId="094CA2DF" w14:textId="212F0B58" w:rsidR="006159C4" w:rsidRPr="00CA50C3" w:rsidRDefault="006159C4" w:rsidP="006159C4">
            <w:pPr>
              <w:pStyle w:val="Default"/>
              <w:jc w:val="center"/>
              <w:rPr>
                <w:sz w:val="20"/>
                <w:szCs w:val="20"/>
              </w:rPr>
            </w:pPr>
            <w:r w:rsidRPr="00CA50C3">
              <w:rPr>
                <w:sz w:val="20"/>
                <w:szCs w:val="20"/>
              </w:rPr>
              <w:t>4.2 COP</w:t>
            </w:r>
          </w:p>
        </w:tc>
      </w:tr>
    </w:tbl>
    <w:p w14:paraId="1422F18B" w14:textId="1B991D11" w:rsidR="00E43AC6" w:rsidRDefault="00E43AC6" w:rsidP="00E24115">
      <w:pPr>
        <w:pStyle w:val="NoSpacing"/>
        <w:rPr>
          <w:rStyle w:val="SubtleEmphasis"/>
          <w:rFonts w:ascii="Calibri Light" w:hAnsi="Calibri Light" w:cs="Calibri Light"/>
          <w:i w:val="0"/>
          <w:color w:val="auto"/>
        </w:rPr>
      </w:pPr>
    </w:p>
    <w:p w14:paraId="5BFCD829" w14:textId="2FA7DC36" w:rsidR="00E43AC6" w:rsidRDefault="00B71673" w:rsidP="00CA50C3">
      <w:pPr>
        <w:rPr>
          <w:rStyle w:val="SubtleEmphasis"/>
          <w:rFonts w:cs="Calibri Light"/>
          <w:i w:val="0"/>
          <w:color w:val="auto"/>
        </w:rPr>
      </w:pPr>
      <w:r>
        <w:rPr>
          <w:rStyle w:val="SubtleEmphasis"/>
          <w:rFonts w:cs="Calibri Light"/>
          <w:i w:val="0"/>
          <w:color w:val="auto"/>
        </w:rPr>
        <w:t xml:space="preserve">As this is a fuel substitution measure, the </w:t>
      </w:r>
      <w:r w:rsidR="00E43AC6">
        <w:rPr>
          <w:rStyle w:val="SubtleEmphasis"/>
          <w:rFonts w:cs="Calibri Light"/>
          <w:i w:val="0"/>
          <w:color w:val="auto"/>
        </w:rPr>
        <w:t xml:space="preserve">offerings include the replacement of specific existing </w:t>
      </w:r>
      <w:r w:rsidR="00AC633C">
        <w:rPr>
          <w:rStyle w:val="SubtleEmphasis"/>
          <w:rFonts w:cs="Calibri Light"/>
          <w:i w:val="0"/>
          <w:color w:val="auto"/>
        </w:rPr>
        <w:t xml:space="preserve">base </w:t>
      </w:r>
      <w:r w:rsidR="00E43AC6">
        <w:rPr>
          <w:rStyle w:val="SubtleEmphasis"/>
          <w:rFonts w:cs="Calibri Light"/>
          <w:i w:val="0"/>
          <w:color w:val="auto"/>
        </w:rPr>
        <w:t xml:space="preserve">case natural gas </w:t>
      </w:r>
      <w:r>
        <w:rPr>
          <w:rStyle w:val="SubtleEmphasis"/>
          <w:rFonts w:cs="Calibri Light"/>
          <w:i w:val="0"/>
          <w:color w:val="auto"/>
        </w:rPr>
        <w:t>water heaters</w:t>
      </w:r>
      <w:r w:rsidR="00E43AC6">
        <w:rPr>
          <w:rStyle w:val="SubtleEmphasis"/>
          <w:rFonts w:cs="Calibri Light"/>
          <w:i w:val="0"/>
          <w:color w:val="auto"/>
        </w:rPr>
        <w:t xml:space="preserve"> with the measure case equipment specified above. </w:t>
      </w:r>
    </w:p>
    <w:p w14:paraId="075F3D11" w14:textId="77777777" w:rsidR="00E24115" w:rsidRPr="00E24115" w:rsidRDefault="00E24115" w:rsidP="00CA50C3">
      <w:pPr>
        <w:rPr>
          <w:rStyle w:val="SubtleEmphasis"/>
          <w:rFonts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13"/>
        <w:gridCol w:w="3954"/>
        <w:gridCol w:w="4283"/>
      </w:tblGrid>
      <w:tr w:rsidR="00E43AC6" w:rsidRPr="004E7434" w14:paraId="389F57BC" w14:textId="77777777" w:rsidTr="00AC018F">
        <w:tc>
          <w:tcPr>
            <w:tcW w:w="1213" w:type="dxa"/>
            <w:shd w:val="clear" w:color="auto" w:fill="F2F2F2" w:themeFill="background1" w:themeFillShade="F2"/>
            <w:vAlign w:val="bottom"/>
          </w:tcPr>
          <w:p w14:paraId="58BFCAB6" w14:textId="1089656D" w:rsidR="00E43AC6" w:rsidRPr="004E7434" w:rsidRDefault="00E43AC6" w:rsidP="003239A8">
            <w:pPr>
              <w:keepNext/>
              <w:keepLines/>
              <w:spacing w:before="20" w:after="20"/>
              <w:rPr>
                <w:b/>
                <w:sz w:val="20"/>
                <w:szCs w:val="20"/>
              </w:rPr>
            </w:pPr>
            <w:r w:rsidRPr="004E7434">
              <w:rPr>
                <w:b/>
                <w:sz w:val="20"/>
                <w:szCs w:val="20"/>
              </w:rPr>
              <w:t>SW Offering ID</w:t>
            </w:r>
          </w:p>
        </w:tc>
        <w:tc>
          <w:tcPr>
            <w:tcW w:w="3954" w:type="dxa"/>
            <w:shd w:val="clear" w:color="auto" w:fill="F2F2F2" w:themeFill="background1" w:themeFillShade="F2"/>
            <w:vAlign w:val="bottom"/>
          </w:tcPr>
          <w:p w14:paraId="50D09BA8" w14:textId="2E443E32" w:rsidR="00E43AC6" w:rsidRPr="004E7434" w:rsidRDefault="00E43AC6" w:rsidP="003239A8">
            <w:pPr>
              <w:keepNext/>
              <w:keepLines/>
              <w:spacing w:before="20" w:after="20"/>
              <w:jc w:val="center"/>
              <w:rPr>
                <w:b/>
                <w:sz w:val="20"/>
                <w:szCs w:val="20"/>
              </w:rPr>
            </w:pPr>
            <w:r w:rsidRPr="00E23DA2">
              <w:rPr>
                <w:b/>
                <w:sz w:val="20"/>
                <w:szCs w:val="20"/>
              </w:rPr>
              <w:t>Measure Case Description</w:t>
            </w:r>
          </w:p>
        </w:tc>
        <w:tc>
          <w:tcPr>
            <w:tcW w:w="4283" w:type="dxa"/>
            <w:shd w:val="clear" w:color="auto" w:fill="F2F2F2" w:themeFill="background1" w:themeFillShade="F2"/>
            <w:vAlign w:val="bottom"/>
          </w:tcPr>
          <w:p w14:paraId="6DF05951" w14:textId="41269B75" w:rsidR="00E43AC6" w:rsidRPr="004E7434" w:rsidRDefault="00E43AC6" w:rsidP="003239A8">
            <w:pPr>
              <w:keepNext/>
              <w:keepLines/>
              <w:spacing w:before="20" w:after="20"/>
              <w:jc w:val="center"/>
              <w:rPr>
                <w:b/>
                <w:sz w:val="20"/>
                <w:szCs w:val="20"/>
              </w:rPr>
            </w:pPr>
            <w:r w:rsidRPr="00E23DA2">
              <w:rPr>
                <w:b/>
                <w:sz w:val="20"/>
                <w:szCs w:val="20"/>
              </w:rPr>
              <w:t>Base Case Description</w:t>
            </w:r>
          </w:p>
        </w:tc>
      </w:tr>
      <w:tr w:rsidR="006159C4" w:rsidRPr="004E7434" w14:paraId="22DD3E27" w14:textId="77777777" w:rsidTr="00AC018F">
        <w:trPr>
          <w:cantSplit/>
          <w:trHeight w:val="20"/>
        </w:trPr>
        <w:tc>
          <w:tcPr>
            <w:tcW w:w="1213" w:type="dxa"/>
            <w:shd w:val="clear" w:color="auto" w:fill="auto"/>
          </w:tcPr>
          <w:p w14:paraId="53F5A2EF" w14:textId="2845FC4E" w:rsidR="006159C4" w:rsidRPr="00CA50C3" w:rsidRDefault="006159C4" w:rsidP="006159C4">
            <w:pPr>
              <w:pStyle w:val="Default"/>
              <w:rPr>
                <w:sz w:val="20"/>
                <w:szCs w:val="20"/>
              </w:rPr>
            </w:pPr>
            <w:r w:rsidRPr="00CA50C3">
              <w:rPr>
                <w:sz w:val="20"/>
                <w:szCs w:val="20"/>
              </w:rPr>
              <w:t>SWWH028A</w:t>
            </w:r>
          </w:p>
        </w:tc>
        <w:tc>
          <w:tcPr>
            <w:tcW w:w="3954" w:type="dxa"/>
            <w:shd w:val="clear" w:color="auto" w:fill="auto"/>
          </w:tcPr>
          <w:p w14:paraId="11788A49" w14:textId="77D33A87" w:rsidR="006159C4" w:rsidRPr="00CA50C3" w:rsidRDefault="006159C4" w:rsidP="006159C4">
            <w:pPr>
              <w:pStyle w:val="Default"/>
              <w:rPr>
                <w:sz w:val="20"/>
                <w:szCs w:val="20"/>
              </w:rPr>
            </w:pPr>
            <w:r w:rsidRPr="00CA50C3">
              <w:rPr>
                <w:sz w:val="20"/>
                <w:szCs w:val="20"/>
              </w:rPr>
              <w:t xml:space="preserve">Multi-Family Residential Heat Pump Water Heater, </w:t>
            </w:r>
            <w:r w:rsidR="00A15651">
              <w:rPr>
                <w:sz w:val="20"/>
                <w:szCs w:val="20"/>
              </w:rPr>
              <w:t>75</w:t>
            </w:r>
            <w:r w:rsidRPr="00CA50C3">
              <w:rPr>
                <w:sz w:val="20"/>
                <w:szCs w:val="20"/>
              </w:rPr>
              <w:t xml:space="preserve">≤ to &lt;100 Gal, UEF=2.94 </w:t>
            </w:r>
          </w:p>
        </w:tc>
        <w:tc>
          <w:tcPr>
            <w:tcW w:w="4283" w:type="dxa"/>
            <w:shd w:val="clear" w:color="auto" w:fill="auto"/>
          </w:tcPr>
          <w:p w14:paraId="585DD5BB" w14:textId="381CBB76" w:rsidR="006159C4" w:rsidRPr="00CA50C3" w:rsidRDefault="006159C4" w:rsidP="006159C4">
            <w:pPr>
              <w:pStyle w:val="Default"/>
              <w:rPr>
                <w:sz w:val="20"/>
                <w:szCs w:val="20"/>
              </w:rPr>
            </w:pPr>
            <w:r w:rsidRPr="00CA50C3">
              <w:rPr>
                <w:sz w:val="20"/>
                <w:szCs w:val="20"/>
              </w:rPr>
              <w:t>Storage Natural Gas Water Heater, 80 Gal, Et = 0.81</w:t>
            </w:r>
          </w:p>
        </w:tc>
      </w:tr>
      <w:tr w:rsidR="006159C4" w:rsidRPr="004E7434" w14:paraId="3FC8686F" w14:textId="77777777" w:rsidTr="00AC018F">
        <w:trPr>
          <w:cantSplit/>
          <w:trHeight w:val="20"/>
        </w:trPr>
        <w:tc>
          <w:tcPr>
            <w:tcW w:w="1213" w:type="dxa"/>
            <w:shd w:val="clear" w:color="auto" w:fill="auto"/>
          </w:tcPr>
          <w:p w14:paraId="1CA62221" w14:textId="7AF02BA8" w:rsidR="006159C4" w:rsidRPr="00CA50C3" w:rsidRDefault="006159C4" w:rsidP="006159C4">
            <w:pPr>
              <w:pStyle w:val="Default"/>
              <w:rPr>
                <w:sz w:val="20"/>
                <w:szCs w:val="20"/>
              </w:rPr>
            </w:pPr>
            <w:r w:rsidRPr="00CA50C3">
              <w:rPr>
                <w:sz w:val="20"/>
                <w:szCs w:val="20"/>
              </w:rPr>
              <w:t>SWWH028B</w:t>
            </w:r>
          </w:p>
        </w:tc>
        <w:tc>
          <w:tcPr>
            <w:tcW w:w="3954" w:type="dxa"/>
            <w:shd w:val="clear" w:color="auto" w:fill="auto"/>
          </w:tcPr>
          <w:p w14:paraId="2C781C2A" w14:textId="7F671C7D" w:rsidR="006159C4" w:rsidRPr="00CA50C3" w:rsidRDefault="006159C4" w:rsidP="006159C4">
            <w:pPr>
              <w:pStyle w:val="Default"/>
              <w:rPr>
                <w:sz w:val="20"/>
                <w:szCs w:val="20"/>
              </w:rPr>
            </w:pPr>
            <w:r w:rsidRPr="00CA50C3">
              <w:rPr>
                <w:sz w:val="20"/>
                <w:szCs w:val="20"/>
              </w:rPr>
              <w:t xml:space="preserve">Multi-Family Residential Heat Pump Water Heater, </w:t>
            </w:r>
            <w:r w:rsidR="00EB1EA0">
              <w:rPr>
                <w:sz w:val="20"/>
                <w:szCs w:val="20"/>
              </w:rPr>
              <w:t>≥100 Gal</w:t>
            </w:r>
            <w:r w:rsidRPr="00CA50C3">
              <w:rPr>
                <w:sz w:val="20"/>
                <w:szCs w:val="20"/>
              </w:rPr>
              <w:t xml:space="preserve">, COP=4.2 </w:t>
            </w:r>
          </w:p>
        </w:tc>
        <w:tc>
          <w:tcPr>
            <w:tcW w:w="4283" w:type="dxa"/>
            <w:shd w:val="clear" w:color="auto" w:fill="auto"/>
          </w:tcPr>
          <w:p w14:paraId="16DD3860" w14:textId="23A99234" w:rsidR="006159C4" w:rsidRPr="00CA50C3" w:rsidRDefault="006159C4" w:rsidP="006159C4">
            <w:pPr>
              <w:pStyle w:val="Default"/>
              <w:rPr>
                <w:sz w:val="20"/>
                <w:szCs w:val="20"/>
              </w:rPr>
            </w:pPr>
            <w:r w:rsidRPr="00CA50C3">
              <w:rPr>
                <w:sz w:val="20"/>
                <w:szCs w:val="20"/>
              </w:rPr>
              <w:t>Storage Natural Gas Water Heater, 100 Gal, Et =0.80</w:t>
            </w:r>
          </w:p>
        </w:tc>
      </w:tr>
      <w:tr w:rsidR="006159C4" w:rsidRPr="004E7434" w14:paraId="33FA261A" w14:textId="77777777" w:rsidTr="00AC018F">
        <w:trPr>
          <w:cantSplit/>
          <w:trHeight w:val="20"/>
        </w:trPr>
        <w:tc>
          <w:tcPr>
            <w:tcW w:w="1213" w:type="dxa"/>
            <w:shd w:val="clear" w:color="auto" w:fill="auto"/>
          </w:tcPr>
          <w:p w14:paraId="065B2E96" w14:textId="2B868C46" w:rsidR="006159C4" w:rsidRPr="00CA50C3" w:rsidRDefault="006159C4" w:rsidP="006159C4">
            <w:pPr>
              <w:pStyle w:val="Default"/>
              <w:rPr>
                <w:sz w:val="20"/>
                <w:szCs w:val="20"/>
              </w:rPr>
            </w:pPr>
            <w:r w:rsidRPr="00CA50C3">
              <w:rPr>
                <w:sz w:val="20"/>
                <w:szCs w:val="20"/>
              </w:rPr>
              <w:t>SWWH028C</w:t>
            </w:r>
          </w:p>
        </w:tc>
        <w:tc>
          <w:tcPr>
            <w:tcW w:w="3954" w:type="dxa"/>
            <w:shd w:val="clear" w:color="auto" w:fill="auto"/>
          </w:tcPr>
          <w:p w14:paraId="7316F62C" w14:textId="76039128" w:rsidR="006159C4" w:rsidRPr="00CA50C3" w:rsidRDefault="006159C4" w:rsidP="006159C4">
            <w:pPr>
              <w:pStyle w:val="Default"/>
              <w:rPr>
                <w:sz w:val="20"/>
                <w:szCs w:val="20"/>
              </w:rPr>
            </w:pPr>
            <w:r w:rsidRPr="00CA50C3">
              <w:rPr>
                <w:sz w:val="20"/>
                <w:szCs w:val="20"/>
              </w:rPr>
              <w:t xml:space="preserve">Multi-Family Residential Heat Pump Water Heater, </w:t>
            </w:r>
            <w:r w:rsidR="00EB1EA0">
              <w:rPr>
                <w:sz w:val="20"/>
                <w:szCs w:val="20"/>
              </w:rPr>
              <w:t>≥100 Gal</w:t>
            </w:r>
            <w:r w:rsidRPr="00CA50C3">
              <w:rPr>
                <w:sz w:val="20"/>
                <w:szCs w:val="20"/>
              </w:rPr>
              <w:t xml:space="preserve">, COP=4.2 </w:t>
            </w:r>
          </w:p>
        </w:tc>
        <w:tc>
          <w:tcPr>
            <w:tcW w:w="4283" w:type="dxa"/>
            <w:shd w:val="clear" w:color="auto" w:fill="auto"/>
          </w:tcPr>
          <w:p w14:paraId="52EEF357" w14:textId="297D2A74" w:rsidR="006159C4" w:rsidRPr="00CA50C3" w:rsidRDefault="006159C4" w:rsidP="006159C4">
            <w:pPr>
              <w:pStyle w:val="Default"/>
              <w:rPr>
                <w:sz w:val="20"/>
                <w:szCs w:val="20"/>
              </w:rPr>
            </w:pPr>
            <w:r w:rsidRPr="00CA50C3">
              <w:rPr>
                <w:sz w:val="20"/>
                <w:szCs w:val="20"/>
              </w:rPr>
              <w:t>Instantaneous Natural Gas Water Heater, 76 to 200 kBtuh, Et =0.83</w:t>
            </w:r>
          </w:p>
        </w:tc>
      </w:tr>
      <w:tr w:rsidR="006159C4" w:rsidRPr="004E7434" w14:paraId="6D74085D" w14:textId="77777777" w:rsidTr="00AC018F">
        <w:trPr>
          <w:cantSplit/>
          <w:trHeight w:val="20"/>
        </w:trPr>
        <w:tc>
          <w:tcPr>
            <w:tcW w:w="1213" w:type="dxa"/>
            <w:shd w:val="clear" w:color="auto" w:fill="auto"/>
          </w:tcPr>
          <w:p w14:paraId="1E947097" w14:textId="1A9F1208" w:rsidR="006159C4" w:rsidRPr="00CA50C3" w:rsidRDefault="006159C4" w:rsidP="006159C4">
            <w:pPr>
              <w:pStyle w:val="Default"/>
              <w:rPr>
                <w:sz w:val="20"/>
                <w:szCs w:val="20"/>
              </w:rPr>
            </w:pPr>
            <w:r w:rsidRPr="00CA50C3">
              <w:rPr>
                <w:sz w:val="20"/>
                <w:szCs w:val="20"/>
              </w:rPr>
              <w:t>SWWH028D</w:t>
            </w:r>
          </w:p>
        </w:tc>
        <w:tc>
          <w:tcPr>
            <w:tcW w:w="3954" w:type="dxa"/>
            <w:shd w:val="clear" w:color="auto" w:fill="auto"/>
          </w:tcPr>
          <w:p w14:paraId="3FB00CB9" w14:textId="6E47CFC7" w:rsidR="006159C4" w:rsidRPr="00CA50C3" w:rsidRDefault="006159C4" w:rsidP="006159C4">
            <w:pPr>
              <w:pStyle w:val="Default"/>
              <w:rPr>
                <w:sz w:val="20"/>
                <w:szCs w:val="20"/>
              </w:rPr>
            </w:pPr>
            <w:r w:rsidRPr="00CA50C3">
              <w:rPr>
                <w:sz w:val="20"/>
                <w:szCs w:val="20"/>
              </w:rPr>
              <w:t xml:space="preserve">Multi-Family Residential Heat Pump Water Heater, </w:t>
            </w:r>
            <w:r w:rsidR="00EB1EA0">
              <w:rPr>
                <w:sz w:val="20"/>
                <w:szCs w:val="20"/>
              </w:rPr>
              <w:t>≥100 Gal</w:t>
            </w:r>
            <w:r w:rsidRPr="00CA50C3">
              <w:rPr>
                <w:sz w:val="20"/>
                <w:szCs w:val="20"/>
              </w:rPr>
              <w:t xml:space="preserve">, COP=4.2 </w:t>
            </w:r>
          </w:p>
        </w:tc>
        <w:tc>
          <w:tcPr>
            <w:tcW w:w="4283" w:type="dxa"/>
            <w:shd w:val="clear" w:color="auto" w:fill="auto"/>
          </w:tcPr>
          <w:p w14:paraId="5FE4F411" w14:textId="014B8657" w:rsidR="006159C4" w:rsidRPr="00CA50C3" w:rsidRDefault="006159C4" w:rsidP="006159C4">
            <w:pPr>
              <w:pStyle w:val="Default"/>
              <w:rPr>
                <w:sz w:val="20"/>
                <w:szCs w:val="20"/>
              </w:rPr>
            </w:pPr>
            <w:r w:rsidRPr="00CA50C3">
              <w:rPr>
                <w:sz w:val="20"/>
                <w:szCs w:val="20"/>
              </w:rPr>
              <w:t>Instantaneous Natural Gas Water Heater, &gt; 200 kBtuh, Et =0.83</w:t>
            </w:r>
          </w:p>
        </w:tc>
      </w:tr>
      <w:tr w:rsidR="006159C4" w:rsidRPr="004E7434" w14:paraId="655DEC55" w14:textId="77777777" w:rsidTr="00AC018F">
        <w:trPr>
          <w:cantSplit/>
          <w:trHeight w:val="20"/>
        </w:trPr>
        <w:tc>
          <w:tcPr>
            <w:tcW w:w="1213" w:type="dxa"/>
            <w:shd w:val="clear" w:color="auto" w:fill="auto"/>
          </w:tcPr>
          <w:p w14:paraId="0C80C3FA" w14:textId="30A0C3AF" w:rsidR="006159C4" w:rsidRPr="00CA50C3" w:rsidRDefault="006159C4" w:rsidP="006159C4">
            <w:pPr>
              <w:pStyle w:val="Default"/>
              <w:rPr>
                <w:sz w:val="20"/>
                <w:szCs w:val="20"/>
              </w:rPr>
            </w:pPr>
            <w:r w:rsidRPr="00CA50C3">
              <w:rPr>
                <w:sz w:val="20"/>
                <w:szCs w:val="20"/>
              </w:rPr>
              <w:t>SWWH028E</w:t>
            </w:r>
          </w:p>
        </w:tc>
        <w:tc>
          <w:tcPr>
            <w:tcW w:w="3954" w:type="dxa"/>
            <w:shd w:val="clear" w:color="auto" w:fill="auto"/>
          </w:tcPr>
          <w:p w14:paraId="42EB0FD5" w14:textId="5BEFBA45" w:rsidR="006159C4" w:rsidRPr="00CA50C3" w:rsidRDefault="006159C4" w:rsidP="006159C4">
            <w:pPr>
              <w:pStyle w:val="Default"/>
              <w:rPr>
                <w:sz w:val="20"/>
                <w:szCs w:val="20"/>
              </w:rPr>
            </w:pPr>
            <w:r w:rsidRPr="00CA50C3">
              <w:rPr>
                <w:sz w:val="20"/>
                <w:szCs w:val="20"/>
              </w:rPr>
              <w:t xml:space="preserve">Commercial Heat Pump Water Heater, </w:t>
            </w:r>
            <w:r w:rsidR="00A15651">
              <w:rPr>
                <w:sz w:val="20"/>
                <w:szCs w:val="20"/>
              </w:rPr>
              <w:t>75</w:t>
            </w:r>
            <w:r w:rsidRPr="00CA50C3">
              <w:rPr>
                <w:sz w:val="20"/>
                <w:szCs w:val="20"/>
              </w:rPr>
              <w:t>≤ to &lt;100 Gal, UEF=2.94</w:t>
            </w:r>
          </w:p>
        </w:tc>
        <w:tc>
          <w:tcPr>
            <w:tcW w:w="4283" w:type="dxa"/>
            <w:shd w:val="clear" w:color="auto" w:fill="auto"/>
          </w:tcPr>
          <w:p w14:paraId="4ECB3931" w14:textId="48C7E5A4" w:rsidR="006159C4" w:rsidRPr="00CA50C3" w:rsidRDefault="006159C4" w:rsidP="006159C4">
            <w:pPr>
              <w:pStyle w:val="Default"/>
              <w:rPr>
                <w:sz w:val="20"/>
                <w:szCs w:val="20"/>
              </w:rPr>
            </w:pPr>
            <w:r w:rsidRPr="00CA50C3">
              <w:rPr>
                <w:sz w:val="20"/>
                <w:szCs w:val="20"/>
              </w:rPr>
              <w:t>Storage Natural Gas Water Heater, 80 Gal, Et = 0.81</w:t>
            </w:r>
          </w:p>
        </w:tc>
      </w:tr>
      <w:tr w:rsidR="006159C4" w:rsidRPr="004E7434" w14:paraId="71BE74E7" w14:textId="77777777" w:rsidTr="00AC018F">
        <w:trPr>
          <w:cantSplit/>
          <w:trHeight w:val="20"/>
        </w:trPr>
        <w:tc>
          <w:tcPr>
            <w:tcW w:w="1213" w:type="dxa"/>
            <w:shd w:val="clear" w:color="auto" w:fill="auto"/>
          </w:tcPr>
          <w:p w14:paraId="280986A2" w14:textId="227FD223" w:rsidR="006159C4" w:rsidRPr="00CA50C3" w:rsidRDefault="006159C4" w:rsidP="006159C4">
            <w:pPr>
              <w:pStyle w:val="Default"/>
              <w:rPr>
                <w:sz w:val="20"/>
                <w:szCs w:val="20"/>
              </w:rPr>
            </w:pPr>
            <w:r w:rsidRPr="00CA50C3">
              <w:rPr>
                <w:sz w:val="20"/>
                <w:szCs w:val="20"/>
              </w:rPr>
              <w:t>SWWH028F</w:t>
            </w:r>
          </w:p>
        </w:tc>
        <w:tc>
          <w:tcPr>
            <w:tcW w:w="3954" w:type="dxa"/>
            <w:shd w:val="clear" w:color="auto" w:fill="auto"/>
          </w:tcPr>
          <w:p w14:paraId="107EC7CD" w14:textId="6885F191" w:rsidR="006159C4" w:rsidRPr="00CA50C3" w:rsidRDefault="006159C4" w:rsidP="006159C4">
            <w:pPr>
              <w:pStyle w:val="Default"/>
              <w:rPr>
                <w:sz w:val="20"/>
                <w:szCs w:val="20"/>
              </w:rPr>
            </w:pPr>
            <w:r w:rsidRPr="00CA50C3">
              <w:rPr>
                <w:sz w:val="20"/>
                <w:szCs w:val="20"/>
              </w:rPr>
              <w:t xml:space="preserve">Commercial Heat Pump Water Heater, </w:t>
            </w:r>
            <w:r w:rsidR="00EB1EA0">
              <w:rPr>
                <w:sz w:val="20"/>
                <w:szCs w:val="20"/>
              </w:rPr>
              <w:t>≥</w:t>
            </w:r>
            <w:r w:rsidRPr="00CA50C3">
              <w:rPr>
                <w:sz w:val="20"/>
                <w:szCs w:val="20"/>
              </w:rPr>
              <w:t>100</w:t>
            </w:r>
            <w:r w:rsidR="00EB1EA0">
              <w:rPr>
                <w:sz w:val="20"/>
                <w:szCs w:val="20"/>
              </w:rPr>
              <w:t xml:space="preserve"> Gal, </w:t>
            </w:r>
            <w:r w:rsidRPr="00CA50C3">
              <w:rPr>
                <w:sz w:val="20"/>
                <w:szCs w:val="20"/>
              </w:rPr>
              <w:t>COP=4.2</w:t>
            </w:r>
          </w:p>
        </w:tc>
        <w:tc>
          <w:tcPr>
            <w:tcW w:w="4283" w:type="dxa"/>
            <w:shd w:val="clear" w:color="auto" w:fill="auto"/>
          </w:tcPr>
          <w:p w14:paraId="6AC3B9DE" w14:textId="37C1A95C" w:rsidR="006159C4" w:rsidRPr="00CA50C3" w:rsidRDefault="006159C4" w:rsidP="006159C4">
            <w:pPr>
              <w:pStyle w:val="Default"/>
              <w:rPr>
                <w:sz w:val="20"/>
                <w:szCs w:val="20"/>
              </w:rPr>
            </w:pPr>
            <w:r w:rsidRPr="00CA50C3">
              <w:rPr>
                <w:sz w:val="20"/>
                <w:szCs w:val="20"/>
              </w:rPr>
              <w:t>Storage Natural Gas Water Heater, 100 Gal, Et =0.80</w:t>
            </w:r>
          </w:p>
        </w:tc>
      </w:tr>
      <w:tr w:rsidR="006159C4" w:rsidRPr="004E7434" w14:paraId="3190F0CD" w14:textId="77777777" w:rsidTr="00AC018F">
        <w:trPr>
          <w:cantSplit/>
          <w:trHeight w:val="20"/>
        </w:trPr>
        <w:tc>
          <w:tcPr>
            <w:tcW w:w="1213" w:type="dxa"/>
            <w:shd w:val="clear" w:color="auto" w:fill="auto"/>
          </w:tcPr>
          <w:p w14:paraId="02A4F954" w14:textId="1CAD6015" w:rsidR="006159C4" w:rsidRPr="00CA50C3" w:rsidRDefault="006159C4" w:rsidP="006159C4">
            <w:pPr>
              <w:pStyle w:val="Default"/>
              <w:rPr>
                <w:sz w:val="20"/>
                <w:szCs w:val="20"/>
              </w:rPr>
            </w:pPr>
            <w:r w:rsidRPr="00CA50C3">
              <w:rPr>
                <w:sz w:val="20"/>
                <w:szCs w:val="20"/>
              </w:rPr>
              <w:t>SWWH028G</w:t>
            </w:r>
          </w:p>
        </w:tc>
        <w:tc>
          <w:tcPr>
            <w:tcW w:w="3954" w:type="dxa"/>
            <w:shd w:val="clear" w:color="auto" w:fill="auto"/>
          </w:tcPr>
          <w:p w14:paraId="0DFDB302" w14:textId="5E88299F" w:rsidR="006159C4" w:rsidRPr="00CA50C3" w:rsidRDefault="006159C4" w:rsidP="006159C4">
            <w:pPr>
              <w:pStyle w:val="Default"/>
              <w:rPr>
                <w:sz w:val="20"/>
                <w:szCs w:val="20"/>
              </w:rPr>
            </w:pPr>
            <w:r w:rsidRPr="00CA50C3">
              <w:rPr>
                <w:sz w:val="20"/>
                <w:szCs w:val="20"/>
              </w:rPr>
              <w:t xml:space="preserve">Commercial Heat Pump Water Heater, </w:t>
            </w:r>
            <w:r w:rsidR="00EB1EA0">
              <w:rPr>
                <w:sz w:val="20"/>
                <w:szCs w:val="20"/>
              </w:rPr>
              <w:t>≥100 Gal</w:t>
            </w:r>
            <w:r w:rsidRPr="00CA50C3">
              <w:rPr>
                <w:sz w:val="20"/>
                <w:szCs w:val="20"/>
              </w:rPr>
              <w:t>, COP=4.2</w:t>
            </w:r>
          </w:p>
        </w:tc>
        <w:tc>
          <w:tcPr>
            <w:tcW w:w="4283" w:type="dxa"/>
            <w:shd w:val="clear" w:color="auto" w:fill="auto"/>
          </w:tcPr>
          <w:p w14:paraId="58C8FCA3" w14:textId="1B8AEDAA" w:rsidR="006159C4" w:rsidRPr="00CA50C3" w:rsidRDefault="006159C4" w:rsidP="006159C4">
            <w:pPr>
              <w:pStyle w:val="Default"/>
              <w:rPr>
                <w:sz w:val="20"/>
                <w:szCs w:val="20"/>
              </w:rPr>
            </w:pPr>
            <w:r w:rsidRPr="00CA50C3">
              <w:rPr>
                <w:sz w:val="20"/>
                <w:szCs w:val="20"/>
              </w:rPr>
              <w:t>Instantaneous Natural Gas Water Heater, 76 to 200 kBtuh, Et =0.83</w:t>
            </w:r>
          </w:p>
        </w:tc>
      </w:tr>
      <w:tr w:rsidR="006159C4" w:rsidRPr="004E7434" w14:paraId="4B8E4A3B" w14:textId="77777777" w:rsidTr="00AC018F">
        <w:trPr>
          <w:cantSplit/>
          <w:trHeight w:val="20"/>
        </w:trPr>
        <w:tc>
          <w:tcPr>
            <w:tcW w:w="1213" w:type="dxa"/>
            <w:shd w:val="clear" w:color="auto" w:fill="auto"/>
          </w:tcPr>
          <w:p w14:paraId="5CA93CB1" w14:textId="424BD787" w:rsidR="006159C4" w:rsidRPr="00CA50C3" w:rsidRDefault="006159C4" w:rsidP="006159C4">
            <w:pPr>
              <w:pStyle w:val="Default"/>
              <w:rPr>
                <w:sz w:val="20"/>
                <w:szCs w:val="20"/>
              </w:rPr>
            </w:pPr>
            <w:r w:rsidRPr="00CA50C3">
              <w:rPr>
                <w:sz w:val="20"/>
                <w:szCs w:val="20"/>
              </w:rPr>
              <w:t>SWWH028H</w:t>
            </w:r>
          </w:p>
        </w:tc>
        <w:tc>
          <w:tcPr>
            <w:tcW w:w="3954" w:type="dxa"/>
            <w:shd w:val="clear" w:color="auto" w:fill="auto"/>
          </w:tcPr>
          <w:p w14:paraId="638A42B1" w14:textId="2A556B12" w:rsidR="006159C4" w:rsidRPr="00CA50C3" w:rsidRDefault="006159C4" w:rsidP="006159C4">
            <w:pPr>
              <w:pStyle w:val="Default"/>
              <w:rPr>
                <w:sz w:val="20"/>
                <w:szCs w:val="20"/>
              </w:rPr>
            </w:pPr>
            <w:r w:rsidRPr="00CA50C3">
              <w:rPr>
                <w:sz w:val="20"/>
                <w:szCs w:val="20"/>
              </w:rPr>
              <w:t xml:space="preserve">Commercial Heat Pump Water Heater, </w:t>
            </w:r>
            <w:r w:rsidR="00EB1EA0">
              <w:rPr>
                <w:sz w:val="20"/>
                <w:szCs w:val="20"/>
              </w:rPr>
              <w:t>≥100 Gal</w:t>
            </w:r>
            <w:r w:rsidRPr="00CA50C3">
              <w:rPr>
                <w:sz w:val="20"/>
                <w:szCs w:val="20"/>
              </w:rPr>
              <w:t>, COP=4.2</w:t>
            </w:r>
          </w:p>
        </w:tc>
        <w:tc>
          <w:tcPr>
            <w:tcW w:w="4283" w:type="dxa"/>
            <w:shd w:val="clear" w:color="auto" w:fill="auto"/>
          </w:tcPr>
          <w:p w14:paraId="4A2D6BD3" w14:textId="3BCC51EC" w:rsidR="006159C4" w:rsidRPr="00CA50C3" w:rsidRDefault="006159C4" w:rsidP="006159C4">
            <w:pPr>
              <w:pStyle w:val="Default"/>
              <w:rPr>
                <w:sz w:val="20"/>
                <w:szCs w:val="20"/>
              </w:rPr>
            </w:pPr>
            <w:r w:rsidRPr="00CA50C3">
              <w:rPr>
                <w:sz w:val="20"/>
                <w:szCs w:val="20"/>
              </w:rPr>
              <w:t>Instantaneous Natural Gas Water Heater, &gt; 200 kBtuh, Et =0.83</w:t>
            </w:r>
          </w:p>
        </w:tc>
      </w:tr>
      <w:tr w:rsidR="00AC018F" w:rsidRPr="00CA50C3" w14:paraId="637A5E9F" w14:textId="77777777" w:rsidTr="00AC018F">
        <w:trPr>
          <w:cantSplit/>
          <w:trHeight w:val="20"/>
        </w:trPr>
        <w:tc>
          <w:tcPr>
            <w:tcW w:w="12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5825870" w14:textId="77777777" w:rsidR="00AC018F" w:rsidRDefault="00AC018F" w:rsidP="0096071C">
            <w:pPr>
              <w:pStyle w:val="Default"/>
              <w:rPr>
                <w:sz w:val="20"/>
                <w:szCs w:val="20"/>
              </w:rPr>
            </w:pPr>
            <w:r w:rsidRPr="00CA50C3">
              <w:rPr>
                <w:sz w:val="20"/>
                <w:szCs w:val="20"/>
              </w:rPr>
              <w:t>SWWH028</w:t>
            </w:r>
            <w:r>
              <w:rPr>
                <w:sz w:val="20"/>
                <w:szCs w:val="20"/>
              </w:rPr>
              <w:t>I</w:t>
            </w:r>
          </w:p>
          <w:p w14:paraId="11D885CF" w14:textId="582B0597" w:rsidR="00AC018F" w:rsidRPr="00CA50C3" w:rsidRDefault="00AC018F" w:rsidP="0096071C">
            <w:pPr>
              <w:pStyle w:val="Default"/>
              <w:rPr>
                <w:sz w:val="20"/>
                <w:szCs w:val="20"/>
              </w:rPr>
            </w:pPr>
          </w:p>
        </w:tc>
        <w:tc>
          <w:tcPr>
            <w:tcW w:w="39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A922267" w14:textId="5DE758F2" w:rsidR="00AC018F" w:rsidRPr="00CA50C3" w:rsidRDefault="002A6C3D" w:rsidP="0096071C">
            <w:pPr>
              <w:pStyle w:val="Default"/>
              <w:rPr>
                <w:sz w:val="20"/>
                <w:szCs w:val="20"/>
              </w:rPr>
            </w:pPr>
            <w:r>
              <w:rPr>
                <w:sz w:val="20"/>
                <w:szCs w:val="20"/>
              </w:rPr>
              <w:t>Industrial</w:t>
            </w:r>
            <w:r w:rsidRPr="00CA50C3">
              <w:rPr>
                <w:sz w:val="20"/>
                <w:szCs w:val="20"/>
              </w:rPr>
              <w:t xml:space="preserve"> </w:t>
            </w:r>
            <w:r w:rsidR="00AC018F" w:rsidRPr="00CA50C3">
              <w:rPr>
                <w:sz w:val="20"/>
                <w:szCs w:val="20"/>
              </w:rPr>
              <w:t xml:space="preserve">Heat Pump Water Heater, </w:t>
            </w:r>
            <w:r w:rsidR="00AC018F">
              <w:rPr>
                <w:sz w:val="20"/>
                <w:szCs w:val="20"/>
              </w:rPr>
              <w:t>75</w:t>
            </w:r>
            <w:r w:rsidR="00AC018F" w:rsidRPr="00CA50C3">
              <w:rPr>
                <w:sz w:val="20"/>
                <w:szCs w:val="20"/>
              </w:rPr>
              <w:t>≤ to &lt;100 Gal, UEF=2.94</w:t>
            </w:r>
          </w:p>
        </w:tc>
        <w:tc>
          <w:tcPr>
            <w:tcW w:w="42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133E98D8" w14:textId="77777777" w:rsidR="00AC018F" w:rsidRPr="00CA50C3" w:rsidRDefault="00AC018F" w:rsidP="0096071C">
            <w:pPr>
              <w:pStyle w:val="Default"/>
              <w:rPr>
                <w:sz w:val="20"/>
                <w:szCs w:val="20"/>
              </w:rPr>
            </w:pPr>
            <w:r w:rsidRPr="00CA50C3">
              <w:rPr>
                <w:sz w:val="20"/>
                <w:szCs w:val="20"/>
              </w:rPr>
              <w:t>Storage Natural Gas Water Heater, 80 Gal, Et = 0.81</w:t>
            </w:r>
          </w:p>
        </w:tc>
      </w:tr>
      <w:tr w:rsidR="00AC018F" w:rsidRPr="00CA50C3" w14:paraId="17933D1E" w14:textId="77777777" w:rsidTr="00AC018F">
        <w:trPr>
          <w:cantSplit/>
          <w:trHeight w:val="20"/>
        </w:trPr>
        <w:tc>
          <w:tcPr>
            <w:tcW w:w="12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88CF6E4" w14:textId="0994B70C" w:rsidR="00AC018F" w:rsidRPr="00CA50C3" w:rsidRDefault="00AC018F" w:rsidP="0096071C">
            <w:pPr>
              <w:pStyle w:val="Default"/>
              <w:rPr>
                <w:sz w:val="20"/>
                <w:szCs w:val="20"/>
              </w:rPr>
            </w:pPr>
            <w:r w:rsidRPr="00CA50C3">
              <w:rPr>
                <w:sz w:val="20"/>
                <w:szCs w:val="20"/>
              </w:rPr>
              <w:t>SWWH028</w:t>
            </w:r>
            <w:r>
              <w:rPr>
                <w:sz w:val="20"/>
                <w:szCs w:val="20"/>
              </w:rPr>
              <w:t>J</w:t>
            </w:r>
          </w:p>
        </w:tc>
        <w:tc>
          <w:tcPr>
            <w:tcW w:w="39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2E86FB5" w14:textId="1E610F86" w:rsidR="00AC018F" w:rsidRPr="00CA50C3" w:rsidRDefault="002A6C3D" w:rsidP="0096071C">
            <w:pPr>
              <w:pStyle w:val="Default"/>
              <w:rPr>
                <w:sz w:val="20"/>
                <w:szCs w:val="20"/>
              </w:rPr>
            </w:pPr>
            <w:r>
              <w:rPr>
                <w:sz w:val="20"/>
                <w:szCs w:val="20"/>
              </w:rPr>
              <w:t>Industrial</w:t>
            </w:r>
            <w:r w:rsidR="00AC018F" w:rsidRPr="00CA50C3">
              <w:rPr>
                <w:sz w:val="20"/>
                <w:szCs w:val="20"/>
              </w:rPr>
              <w:t xml:space="preserve"> Heat Pump Water Heater, </w:t>
            </w:r>
            <w:r w:rsidR="00EB1EA0">
              <w:rPr>
                <w:sz w:val="20"/>
                <w:szCs w:val="20"/>
              </w:rPr>
              <w:t>≥100 Gal</w:t>
            </w:r>
            <w:r w:rsidR="00AC018F" w:rsidRPr="00CA50C3">
              <w:rPr>
                <w:sz w:val="20"/>
                <w:szCs w:val="20"/>
              </w:rPr>
              <w:t>, COP=4.2</w:t>
            </w:r>
          </w:p>
        </w:tc>
        <w:tc>
          <w:tcPr>
            <w:tcW w:w="42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A12354B" w14:textId="77777777" w:rsidR="00AC018F" w:rsidRPr="00CA50C3" w:rsidRDefault="00AC018F" w:rsidP="0096071C">
            <w:pPr>
              <w:pStyle w:val="Default"/>
              <w:rPr>
                <w:sz w:val="20"/>
                <w:szCs w:val="20"/>
              </w:rPr>
            </w:pPr>
            <w:r w:rsidRPr="00CA50C3">
              <w:rPr>
                <w:sz w:val="20"/>
                <w:szCs w:val="20"/>
              </w:rPr>
              <w:t>Storage Natural Gas Water Heater, 100 Gal, Et =0.80</w:t>
            </w:r>
          </w:p>
        </w:tc>
      </w:tr>
      <w:tr w:rsidR="00AC018F" w:rsidRPr="00CA50C3" w14:paraId="68256411" w14:textId="77777777" w:rsidTr="00AC018F">
        <w:trPr>
          <w:cantSplit/>
          <w:trHeight w:val="20"/>
        </w:trPr>
        <w:tc>
          <w:tcPr>
            <w:tcW w:w="12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69C5B3A" w14:textId="723A9D9E" w:rsidR="00AC018F" w:rsidRPr="00CA50C3" w:rsidRDefault="00AC018F" w:rsidP="0096071C">
            <w:pPr>
              <w:pStyle w:val="Default"/>
              <w:rPr>
                <w:sz w:val="20"/>
                <w:szCs w:val="20"/>
              </w:rPr>
            </w:pPr>
            <w:r w:rsidRPr="00CA50C3">
              <w:rPr>
                <w:sz w:val="20"/>
                <w:szCs w:val="20"/>
              </w:rPr>
              <w:t>SWWH028</w:t>
            </w:r>
            <w:r>
              <w:rPr>
                <w:sz w:val="20"/>
                <w:szCs w:val="20"/>
              </w:rPr>
              <w:t>K</w:t>
            </w:r>
          </w:p>
        </w:tc>
        <w:tc>
          <w:tcPr>
            <w:tcW w:w="39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76483CE" w14:textId="5D32D328" w:rsidR="00AC018F" w:rsidRPr="00CA50C3" w:rsidRDefault="002A6C3D" w:rsidP="0096071C">
            <w:pPr>
              <w:pStyle w:val="Default"/>
              <w:rPr>
                <w:sz w:val="20"/>
                <w:szCs w:val="20"/>
              </w:rPr>
            </w:pPr>
            <w:r>
              <w:rPr>
                <w:sz w:val="20"/>
                <w:szCs w:val="20"/>
              </w:rPr>
              <w:t>Industrial</w:t>
            </w:r>
            <w:r w:rsidR="00AC018F" w:rsidRPr="00CA50C3">
              <w:rPr>
                <w:sz w:val="20"/>
                <w:szCs w:val="20"/>
              </w:rPr>
              <w:t xml:space="preserve"> Heat Pump Water Heater, </w:t>
            </w:r>
            <w:r w:rsidR="00EB1EA0">
              <w:rPr>
                <w:sz w:val="20"/>
                <w:szCs w:val="20"/>
              </w:rPr>
              <w:t>≥100 Gal</w:t>
            </w:r>
            <w:r w:rsidR="00AC018F" w:rsidRPr="00CA50C3">
              <w:rPr>
                <w:sz w:val="20"/>
                <w:szCs w:val="20"/>
              </w:rPr>
              <w:t>, COP=4.2</w:t>
            </w:r>
          </w:p>
        </w:tc>
        <w:tc>
          <w:tcPr>
            <w:tcW w:w="42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6215778" w14:textId="77777777" w:rsidR="00AC018F" w:rsidRPr="00CA50C3" w:rsidRDefault="00AC018F" w:rsidP="0096071C">
            <w:pPr>
              <w:pStyle w:val="Default"/>
              <w:rPr>
                <w:sz w:val="20"/>
                <w:szCs w:val="20"/>
              </w:rPr>
            </w:pPr>
            <w:r w:rsidRPr="00CA50C3">
              <w:rPr>
                <w:sz w:val="20"/>
                <w:szCs w:val="20"/>
              </w:rPr>
              <w:t>Instantaneous Natural Gas Water Heater, 76 to 200 kBtuh, Et =0.83</w:t>
            </w:r>
          </w:p>
        </w:tc>
      </w:tr>
      <w:tr w:rsidR="00AC018F" w:rsidRPr="00CA50C3" w14:paraId="1ED6F270" w14:textId="77777777" w:rsidTr="00AC018F">
        <w:trPr>
          <w:cantSplit/>
          <w:trHeight w:val="20"/>
        </w:trPr>
        <w:tc>
          <w:tcPr>
            <w:tcW w:w="12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D7CD955" w14:textId="7D9AF729" w:rsidR="00AC018F" w:rsidRPr="00CA50C3" w:rsidRDefault="00AC018F" w:rsidP="0096071C">
            <w:pPr>
              <w:pStyle w:val="Default"/>
              <w:rPr>
                <w:sz w:val="20"/>
                <w:szCs w:val="20"/>
              </w:rPr>
            </w:pPr>
            <w:r w:rsidRPr="00CA50C3">
              <w:rPr>
                <w:sz w:val="20"/>
                <w:szCs w:val="20"/>
              </w:rPr>
              <w:t>SWWH028</w:t>
            </w:r>
            <w:r>
              <w:rPr>
                <w:sz w:val="20"/>
                <w:szCs w:val="20"/>
              </w:rPr>
              <w:t>L</w:t>
            </w:r>
          </w:p>
        </w:tc>
        <w:tc>
          <w:tcPr>
            <w:tcW w:w="395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39AA8711" w14:textId="36CFC379" w:rsidR="00AC018F" w:rsidRPr="00CA50C3" w:rsidRDefault="002A6C3D" w:rsidP="0096071C">
            <w:pPr>
              <w:pStyle w:val="Default"/>
              <w:rPr>
                <w:sz w:val="20"/>
                <w:szCs w:val="20"/>
              </w:rPr>
            </w:pPr>
            <w:r>
              <w:rPr>
                <w:sz w:val="20"/>
                <w:szCs w:val="20"/>
              </w:rPr>
              <w:t>Industrial</w:t>
            </w:r>
            <w:r w:rsidR="00AC018F" w:rsidRPr="00CA50C3">
              <w:rPr>
                <w:sz w:val="20"/>
                <w:szCs w:val="20"/>
              </w:rPr>
              <w:t xml:space="preserve"> Heat Pump Water Heater, </w:t>
            </w:r>
            <w:r w:rsidR="00EB1EA0">
              <w:rPr>
                <w:sz w:val="20"/>
                <w:szCs w:val="20"/>
              </w:rPr>
              <w:t>≥100 Gal</w:t>
            </w:r>
            <w:r w:rsidR="00AC018F" w:rsidRPr="00CA50C3">
              <w:rPr>
                <w:sz w:val="20"/>
                <w:szCs w:val="20"/>
              </w:rPr>
              <w:t>, COP=4.2</w:t>
            </w:r>
          </w:p>
        </w:tc>
        <w:tc>
          <w:tcPr>
            <w:tcW w:w="42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E0C744F" w14:textId="77777777" w:rsidR="00AC018F" w:rsidRPr="00CA50C3" w:rsidRDefault="00AC018F" w:rsidP="0096071C">
            <w:pPr>
              <w:pStyle w:val="Default"/>
              <w:rPr>
                <w:sz w:val="20"/>
                <w:szCs w:val="20"/>
              </w:rPr>
            </w:pPr>
            <w:r w:rsidRPr="00CA50C3">
              <w:rPr>
                <w:sz w:val="20"/>
                <w:szCs w:val="20"/>
              </w:rPr>
              <w:t>Instantaneous Natural Gas Water Heater, &gt; 200 kBtuh, Et =0.83</w:t>
            </w:r>
          </w:p>
        </w:tc>
      </w:tr>
    </w:tbl>
    <w:p w14:paraId="3DE64B97" w14:textId="77777777" w:rsidR="007534BC" w:rsidRDefault="007534BC" w:rsidP="008E0906">
      <w:pPr>
        <w:rPr>
          <w:rFonts w:cs="Calibri Light"/>
        </w:rPr>
      </w:pPr>
    </w:p>
    <w:p w14:paraId="0C24C3D3" w14:textId="2C6785D6" w:rsidR="00E70CBD" w:rsidRPr="00C6243E" w:rsidRDefault="00E70CBD" w:rsidP="00462BB6">
      <w:pPr>
        <w:pStyle w:val="eTRMHeading3"/>
        <w:rPr>
          <w:rFonts w:cs="Calibri Light"/>
        </w:rPr>
      </w:pPr>
      <w:bookmarkStart w:id="15" w:name="_Toc486490849"/>
      <w:bookmarkStart w:id="16" w:name="_Toc486580920"/>
      <w:bookmarkStart w:id="17" w:name="_Toc75963025"/>
      <w:r w:rsidRPr="00C6243E">
        <w:rPr>
          <w:rFonts w:cs="Calibri Light"/>
        </w:rPr>
        <w:t>Base Case Description</w:t>
      </w:r>
      <w:bookmarkEnd w:id="15"/>
      <w:bookmarkEnd w:id="16"/>
      <w:bookmarkEnd w:id="17"/>
      <w:r w:rsidRPr="00C6243E">
        <w:rPr>
          <w:rFonts w:cs="Calibri Light"/>
        </w:rPr>
        <w:t xml:space="preserve"> </w:t>
      </w:r>
    </w:p>
    <w:p w14:paraId="7DA93F44" w14:textId="1DB855AB" w:rsidR="00E24115" w:rsidRDefault="00E24115" w:rsidP="00CA50C3">
      <w:pPr>
        <w:rPr>
          <w:rStyle w:val="SubtleEmphasis"/>
          <w:rFonts w:eastAsiaTheme="majorEastAsia" w:cs="Calibri Light"/>
          <w:i w:val="0"/>
          <w:caps/>
          <w:color w:val="auto"/>
          <w:w w:val="102"/>
          <w:sz w:val="24"/>
          <w:szCs w:val="30"/>
        </w:rPr>
      </w:pPr>
      <w:r w:rsidRPr="00E24115">
        <w:rPr>
          <w:rStyle w:val="SubtleEmphasis"/>
          <w:rFonts w:cs="Calibri Light"/>
          <w:i w:val="0"/>
          <w:color w:val="auto"/>
        </w:rPr>
        <w:t xml:space="preserve">The base case </w:t>
      </w:r>
      <w:r w:rsidR="00AC633C">
        <w:rPr>
          <w:rStyle w:val="SubtleEmphasis"/>
          <w:rFonts w:cs="Calibri Light"/>
          <w:i w:val="0"/>
          <w:color w:val="auto"/>
        </w:rPr>
        <w:t>is defined as a</w:t>
      </w:r>
      <w:r w:rsidR="00647853">
        <w:rPr>
          <w:rStyle w:val="SubtleEmphasis"/>
          <w:rFonts w:cs="Calibri Light"/>
          <w:i w:val="0"/>
          <w:color w:val="auto"/>
        </w:rPr>
        <w:t xml:space="preserve"> </w:t>
      </w:r>
      <w:r w:rsidRPr="00E24115">
        <w:rPr>
          <w:rStyle w:val="SubtleEmphasis"/>
          <w:rFonts w:cs="Calibri Light"/>
          <w:i w:val="0"/>
          <w:color w:val="auto"/>
        </w:rPr>
        <w:t>natural gas domestic hot water heater</w:t>
      </w:r>
      <w:r w:rsidR="00AC633C">
        <w:rPr>
          <w:rStyle w:val="SubtleEmphasis"/>
          <w:rFonts w:cs="Calibri Light"/>
          <w:i w:val="0"/>
          <w:color w:val="auto"/>
        </w:rPr>
        <w:t>.</w:t>
      </w:r>
      <w:r w:rsidRPr="00E24115">
        <w:rPr>
          <w:rStyle w:val="SubtleEmphasis"/>
          <w:rFonts w:cs="Calibri Light"/>
          <w:i w:val="0"/>
          <w:color w:val="auto"/>
        </w:rPr>
        <w:t xml:space="preserve"> </w:t>
      </w:r>
      <w:r w:rsidR="00C03663">
        <w:rPr>
          <w:rStyle w:val="SubtleEmphasis"/>
          <w:rFonts w:cs="Calibri Light"/>
          <w:i w:val="0"/>
          <w:color w:val="auto"/>
        </w:rPr>
        <w:t>The measure assumes that the existing case and standard case baselines are the same.</w:t>
      </w:r>
    </w:p>
    <w:p w14:paraId="69F9C84E" w14:textId="77777777" w:rsidR="00AC633C" w:rsidRPr="00E24115" w:rsidRDefault="00AC633C" w:rsidP="00AC633C">
      <w:pPr>
        <w:pStyle w:val="Caption"/>
        <w:rPr>
          <w:rStyle w:val="SubtleEmphasis"/>
          <w:rFonts w:cs="Calibri Light"/>
          <w:i w:val="0"/>
          <w:color w:val="000000"/>
          <w14:textFill>
            <w14:solidFill>
              <w14:srgbClr w14:val="000000">
                <w14:lumMod w14:val="50000"/>
              </w14:srgbClr>
            </w14:solidFill>
          </w14:textFill>
        </w:rPr>
      </w:pPr>
      <w:r>
        <w:rPr>
          <w:rStyle w:val="SubtleEmphasis"/>
          <w:rFonts w:cs="Calibri Light"/>
          <w:i w:val="0"/>
          <w:color w:val="000000"/>
          <w14:textFill>
            <w14:solidFill>
              <w14:srgbClr w14:val="000000">
                <w14:lumMod w14:val="50000"/>
              </w14:srgbClr>
            </w14:solidFill>
          </w14:textFill>
        </w:rPr>
        <w:t>Base Case Specification</w:t>
      </w:r>
    </w:p>
    <w:tbl>
      <w:tblPr>
        <w:tblW w:w="863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63"/>
        <w:gridCol w:w="3131"/>
        <w:gridCol w:w="1943"/>
      </w:tblGrid>
      <w:tr w:rsidR="00E54654" w:rsidRPr="004E7434" w14:paraId="43EF6858" w14:textId="77777777" w:rsidTr="00CA4C6F">
        <w:trPr>
          <w:trHeight w:val="298"/>
        </w:trPr>
        <w:tc>
          <w:tcPr>
            <w:tcW w:w="3563" w:type="dxa"/>
            <w:shd w:val="clear" w:color="auto" w:fill="F2F2F2" w:themeFill="background1" w:themeFillShade="F2"/>
            <w:vAlign w:val="bottom"/>
          </w:tcPr>
          <w:p w14:paraId="0635DA0C" w14:textId="77777777" w:rsidR="00E54654" w:rsidRPr="004E7434" w:rsidRDefault="00E54654" w:rsidP="00B71673">
            <w:pPr>
              <w:keepNext/>
              <w:keepLines/>
              <w:spacing w:before="20" w:after="20"/>
              <w:rPr>
                <w:b/>
                <w:sz w:val="20"/>
                <w:szCs w:val="20"/>
              </w:rPr>
            </w:pPr>
            <w:r w:rsidRPr="004E7434">
              <w:rPr>
                <w:b/>
                <w:sz w:val="20"/>
                <w:szCs w:val="20"/>
              </w:rPr>
              <w:t>Equipment Type</w:t>
            </w:r>
          </w:p>
        </w:tc>
        <w:tc>
          <w:tcPr>
            <w:tcW w:w="3131" w:type="dxa"/>
            <w:shd w:val="clear" w:color="auto" w:fill="F2F2F2" w:themeFill="background1" w:themeFillShade="F2"/>
            <w:vAlign w:val="bottom"/>
          </w:tcPr>
          <w:p w14:paraId="5AFAC4B7" w14:textId="7529A5D3" w:rsidR="00E54654" w:rsidRPr="004E7434" w:rsidRDefault="00E54654" w:rsidP="00B71673">
            <w:pPr>
              <w:keepNext/>
              <w:keepLines/>
              <w:spacing w:before="20" w:after="20"/>
              <w:jc w:val="center"/>
              <w:rPr>
                <w:b/>
                <w:sz w:val="20"/>
                <w:szCs w:val="20"/>
              </w:rPr>
            </w:pPr>
            <w:r w:rsidRPr="004E7434">
              <w:rPr>
                <w:b/>
                <w:sz w:val="20"/>
                <w:szCs w:val="20"/>
              </w:rPr>
              <w:t>Storage Capacity (gallons)</w:t>
            </w:r>
          </w:p>
        </w:tc>
        <w:tc>
          <w:tcPr>
            <w:tcW w:w="1943" w:type="dxa"/>
            <w:shd w:val="clear" w:color="auto" w:fill="F2F2F2" w:themeFill="background1" w:themeFillShade="F2"/>
            <w:vAlign w:val="bottom"/>
          </w:tcPr>
          <w:p w14:paraId="61598FD2" w14:textId="036A508F" w:rsidR="00E54654" w:rsidRPr="004E7434" w:rsidRDefault="00E54654" w:rsidP="00B71673">
            <w:pPr>
              <w:keepNext/>
              <w:keepLines/>
              <w:spacing w:before="20" w:after="20"/>
              <w:jc w:val="center"/>
              <w:rPr>
                <w:b/>
                <w:sz w:val="20"/>
                <w:szCs w:val="20"/>
              </w:rPr>
            </w:pPr>
            <w:r w:rsidRPr="004E7434">
              <w:rPr>
                <w:b/>
                <w:sz w:val="20"/>
                <w:szCs w:val="20"/>
              </w:rPr>
              <w:t>Et.</w:t>
            </w:r>
          </w:p>
        </w:tc>
      </w:tr>
      <w:tr w:rsidR="00E54654" w:rsidRPr="004E7434" w14:paraId="53676D11" w14:textId="77777777" w:rsidTr="00CA4C6F">
        <w:trPr>
          <w:cantSplit/>
          <w:trHeight w:val="17"/>
        </w:trPr>
        <w:tc>
          <w:tcPr>
            <w:tcW w:w="3563" w:type="dxa"/>
            <w:vMerge w:val="restart"/>
            <w:shd w:val="clear" w:color="auto" w:fill="auto"/>
            <w:vAlign w:val="center"/>
          </w:tcPr>
          <w:p w14:paraId="5282D7E0" w14:textId="43BB3F63" w:rsidR="00E54654" w:rsidRPr="00CA50C3" w:rsidRDefault="00E54654" w:rsidP="009963E8">
            <w:pPr>
              <w:pStyle w:val="Default"/>
              <w:rPr>
                <w:sz w:val="20"/>
                <w:szCs w:val="20"/>
              </w:rPr>
            </w:pPr>
            <w:r w:rsidRPr="00CA50C3">
              <w:rPr>
                <w:sz w:val="20"/>
                <w:szCs w:val="20"/>
              </w:rPr>
              <w:t>Storage Natural Gas Water Heater</w:t>
            </w:r>
          </w:p>
        </w:tc>
        <w:tc>
          <w:tcPr>
            <w:tcW w:w="3131" w:type="dxa"/>
            <w:shd w:val="clear" w:color="auto" w:fill="auto"/>
          </w:tcPr>
          <w:p w14:paraId="00A09966" w14:textId="29C0888E" w:rsidR="00E54654" w:rsidRPr="00CA50C3" w:rsidRDefault="00E54654" w:rsidP="00055914">
            <w:pPr>
              <w:pStyle w:val="Default"/>
              <w:jc w:val="center"/>
              <w:rPr>
                <w:sz w:val="20"/>
                <w:szCs w:val="20"/>
              </w:rPr>
            </w:pPr>
            <w:r w:rsidRPr="00CA50C3">
              <w:rPr>
                <w:sz w:val="20"/>
                <w:szCs w:val="20"/>
              </w:rPr>
              <w:t>80</w:t>
            </w:r>
          </w:p>
        </w:tc>
        <w:tc>
          <w:tcPr>
            <w:tcW w:w="1943" w:type="dxa"/>
            <w:shd w:val="clear" w:color="auto" w:fill="auto"/>
          </w:tcPr>
          <w:p w14:paraId="2C299C8C" w14:textId="637BEE0F" w:rsidR="00E54654" w:rsidRPr="00CA50C3" w:rsidRDefault="00E54654" w:rsidP="00055914">
            <w:pPr>
              <w:pStyle w:val="Default"/>
              <w:jc w:val="center"/>
              <w:rPr>
                <w:sz w:val="20"/>
                <w:szCs w:val="20"/>
              </w:rPr>
            </w:pPr>
            <w:r w:rsidRPr="00CA50C3">
              <w:rPr>
                <w:sz w:val="20"/>
                <w:szCs w:val="20"/>
              </w:rPr>
              <w:t>0.81</w:t>
            </w:r>
          </w:p>
        </w:tc>
      </w:tr>
      <w:tr w:rsidR="00E54654" w:rsidRPr="004E7434" w14:paraId="4EFEDD56" w14:textId="77777777" w:rsidTr="00CA4C6F">
        <w:trPr>
          <w:cantSplit/>
          <w:trHeight w:val="17"/>
        </w:trPr>
        <w:tc>
          <w:tcPr>
            <w:tcW w:w="3563" w:type="dxa"/>
            <w:vMerge/>
            <w:shd w:val="clear" w:color="auto" w:fill="auto"/>
            <w:vAlign w:val="center"/>
          </w:tcPr>
          <w:p w14:paraId="41D01216" w14:textId="63771462" w:rsidR="00E54654" w:rsidRPr="00CA50C3" w:rsidRDefault="00E54654" w:rsidP="009963E8">
            <w:pPr>
              <w:pStyle w:val="Default"/>
              <w:rPr>
                <w:sz w:val="20"/>
                <w:szCs w:val="20"/>
              </w:rPr>
            </w:pPr>
          </w:p>
        </w:tc>
        <w:tc>
          <w:tcPr>
            <w:tcW w:w="3131" w:type="dxa"/>
            <w:shd w:val="clear" w:color="auto" w:fill="auto"/>
          </w:tcPr>
          <w:p w14:paraId="66529D2C" w14:textId="5F166476" w:rsidR="00E54654" w:rsidRPr="00CA50C3" w:rsidRDefault="00E54654" w:rsidP="00055914">
            <w:pPr>
              <w:pStyle w:val="Default"/>
              <w:jc w:val="center"/>
              <w:rPr>
                <w:sz w:val="20"/>
                <w:szCs w:val="20"/>
              </w:rPr>
            </w:pPr>
            <w:r w:rsidRPr="00CA50C3">
              <w:rPr>
                <w:sz w:val="20"/>
                <w:szCs w:val="20"/>
              </w:rPr>
              <w:t>100</w:t>
            </w:r>
          </w:p>
        </w:tc>
        <w:tc>
          <w:tcPr>
            <w:tcW w:w="1943" w:type="dxa"/>
            <w:shd w:val="clear" w:color="auto" w:fill="auto"/>
          </w:tcPr>
          <w:p w14:paraId="0A649042" w14:textId="7918E565" w:rsidR="00E54654" w:rsidRPr="00CA50C3" w:rsidRDefault="00E54654" w:rsidP="00055914">
            <w:pPr>
              <w:pStyle w:val="Default"/>
              <w:jc w:val="center"/>
              <w:rPr>
                <w:sz w:val="20"/>
                <w:szCs w:val="20"/>
              </w:rPr>
            </w:pPr>
            <w:r w:rsidRPr="00CA50C3">
              <w:rPr>
                <w:sz w:val="20"/>
                <w:szCs w:val="20"/>
              </w:rPr>
              <w:t>0.80</w:t>
            </w:r>
          </w:p>
        </w:tc>
      </w:tr>
      <w:tr w:rsidR="00E54654" w:rsidRPr="004E7434" w14:paraId="22B3E8CF" w14:textId="77777777" w:rsidTr="00CA4C6F">
        <w:trPr>
          <w:cantSplit/>
          <w:trHeight w:val="17"/>
        </w:trPr>
        <w:tc>
          <w:tcPr>
            <w:tcW w:w="3563" w:type="dxa"/>
            <w:vMerge w:val="restart"/>
            <w:shd w:val="clear" w:color="auto" w:fill="auto"/>
            <w:vAlign w:val="center"/>
          </w:tcPr>
          <w:p w14:paraId="2F28BE96" w14:textId="4D03CA26" w:rsidR="00E54654" w:rsidRPr="00CA50C3" w:rsidRDefault="00E54654" w:rsidP="009963E8">
            <w:pPr>
              <w:pStyle w:val="Default"/>
              <w:rPr>
                <w:sz w:val="20"/>
                <w:szCs w:val="20"/>
              </w:rPr>
            </w:pPr>
            <w:r w:rsidRPr="00CA50C3">
              <w:rPr>
                <w:sz w:val="20"/>
                <w:szCs w:val="20"/>
              </w:rPr>
              <w:t>Instantaneous Natural Gas Water Heater</w:t>
            </w:r>
          </w:p>
        </w:tc>
        <w:tc>
          <w:tcPr>
            <w:tcW w:w="31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F34E863" w14:textId="1CF1AC01" w:rsidR="00E54654" w:rsidRPr="00CA50C3" w:rsidRDefault="00E54654" w:rsidP="00055914">
            <w:pPr>
              <w:pStyle w:val="Default"/>
              <w:jc w:val="center"/>
              <w:rPr>
                <w:sz w:val="20"/>
                <w:szCs w:val="20"/>
              </w:rPr>
            </w:pPr>
            <w:r w:rsidRPr="00CA50C3">
              <w:rPr>
                <w:sz w:val="20"/>
                <w:szCs w:val="20"/>
              </w:rPr>
              <w:t>N/A</w:t>
            </w:r>
          </w:p>
        </w:tc>
        <w:tc>
          <w:tcPr>
            <w:tcW w:w="19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7BC3D449" w14:textId="49B1B028" w:rsidR="00E54654" w:rsidRPr="00CA50C3" w:rsidRDefault="00E54654" w:rsidP="00055914">
            <w:pPr>
              <w:pStyle w:val="Default"/>
              <w:jc w:val="center"/>
              <w:rPr>
                <w:sz w:val="20"/>
                <w:szCs w:val="20"/>
              </w:rPr>
            </w:pPr>
            <w:r w:rsidRPr="00CA50C3">
              <w:rPr>
                <w:sz w:val="20"/>
                <w:szCs w:val="20"/>
              </w:rPr>
              <w:t>0.83</w:t>
            </w:r>
          </w:p>
        </w:tc>
      </w:tr>
      <w:tr w:rsidR="00E54654" w:rsidRPr="004E7434" w14:paraId="5974A614" w14:textId="77777777" w:rsidTr="00CA4C6F">
        <w:trPr>
          <w:cantSplit/>
          <w:trHeight w:val="17"/>
        </w:trPr>
        <w:tc>
          <w:tcPr>
            <w:tcW w:w="3563" w:type="dxa"/>
            <w:vMerge/>
            <w:shd w:val="clear" w:color="auto" w:fill="auto"/>
            <w:vAlign w:val="center"/>
          </w:tcPr>
          <w:p w14:paraId="6AF72370" w14:textId="77777777" w:rsidR="00E54654" w:rsidRPr="00CA50C3" w:rsidRDefault="00E54654" w:rsidP="009963E8">
            <w:pPr>
              <w:pStyle w:val="Default"/>
              <w:rPr>
                <w:sz w:val="20"/>
                <w:szCs w:val="20"/>
              </w:rPr>
            </w:pPr>
          </w:p>
        </w:tc>
        <w:tc>
          <w:tcPr>
            <w:tcW w:w="313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6EF6BB1F" w14:textId="48B946A0" w:rsidR="00E54654" w:rsidRPr="00CA50C3" w:rsidRDefault="00E54654" w:rsidP="00055914">
            <w:pPr>
              <w:pStyle w:val="Default"/>
              <w:jc w:val="center"/>
              <w:rPr>
                <w:sz w:val="20"/>
                <w:szCs w:val="20"/>
              </w:rPr>
            </w:pPr>
            <w:r w:rsidRPr="00CA50C3">
              <w:rPr>
                <w:sz w:val="20"/>
                <w:szCs w:val="20"/>
              </w:rPr>
              <w:t>N/A</w:t>
            </w:r>
          </w:p>
        </w:tc>
        <w:tc>
          <w:tcPr>
            <w:tcW w:w="194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0A7584CF" w14:textId="10713504" w:rsidR="00E54654" w:rsidRPr="00CA50C3" w:rsidRDefault="00E54654" w:rsidP="00055914">
            <w:pPr>
              <w:pStyle w:val="Default"/>
              <w:jc w:val="center"/>
              <w:rPr>
                <w:sz w:val="20"/>
                <w:szCs w:val="20"/>
              </w:rPr>
            </w:pPr>
            <w:r w:rsidRPr="00CA50C3">
              <w:rPr>
                <w:sz w:val="20"/>
                <w:szCs w:val="20"/>
              </w:rPr>
              <w:t>0.83</w:t>
            </w:r>
          </w:p>
        </w:tc>
      </w:tr>
    </w:tbl>
    <w:p w14:paraId="138BDC54" w14:textId="77777777" w:rsidR="00A84B03" w:rsidRPr="00C6243E" w:rsidRDefault="00A84B03" w:rsidP="002942B0">
      <w:pPr>
        <w:rPr>
          <w:rFonts w:cs="Calibri Light"/>
          <w:szCs w:val="20"/>
        </w:rPr>
      </w:pPr>
    </w:p>
    <w:p w14:paraId="77902F52" w14:textId="375D97F7" w:rsidR="007D230B" w:rsidRPr="00C6243E" w:rsidRDefault="007D230B" w:rsidP="004F705B">
      <w:pPr>
        <w:pStyle w:val="eTRMHeading3"/>
        <w:rPr>
          <w:rFonts w:cs="Calibri Light"/>
        </w:rPr>
      </w:pPr>
      <w:bookmarkStart w:id="18" w:name="_Toc486490850"/>
      <w:bookmarkStart w:id="19" w:name="_Toc486580921"/>
      <w:bookmarkStart w:id="20" w:name="_Toc75963026"/>
      <w:r w:rsidRPr="00C6243E">
        <w:rPr>
          <w:rFonts w:cs="Calibri Light"/>
        </w:rPr>
        <w:t>Code Requirements</w:t>
      </w:r>
      <w:bookmarkEnd w:id="18"/>
      <w:bookmarkEnd w:id="19"/>
      <w:bookmarkEnd w:id="20"/>
    </w:p>
    <w:p w14:paraId="79B65740" w14:textId="017B90A3" w:rsidR="0065233B" w:rsidRDefault="00D40FF7" w:rsidP="00E4008C">
      <w:pPr>
        <w:rPr>
          <w:rFonts w:cs="Calibri Light"/>
        </w:rPr>
      </w:pPr>
      <w:r>
        <w:rPr>
          <w:rFonts w:cs="Calibri Light"/>
        </w:rPr>
        <w:t>This measure is governed by the</w:t>
      </w:r>
      <w:r w:rsidR="0065233B">
        <w:rPr>
          <w:rFonts w:cs="Calibri Light"/>
        </w:rPr>
        <w:t xml:space="preserve"> California Building Energy Efficiency Standards (Title 24), California Appliance Efficiency Regulations (Title 20), and Federal Standards.</w:t>
      </w:r>
      <w:r>
        <w:rPr>
          <w:rFonts w:cs="Calibri Light"/>
        </w:rPr>
        <w:t xml:space="preserve"> Title 24 adopts the Title 20 requirements.</w:t>
      </w:r>
    </w:p>
    <w:p w14:paraId="71E7FEFC" w14:textId="5F43AD12" w:rsidR="00A660EF" w:rsidRDefault="00A660EF" w:rsidP="00992F8C">
      <w:pPr>
        <w:rPr>
          <w:rFonts w:cs="Calibri Light"/>
        </w:rPr>
      </w:pPr>
    </w:p>
    <w:p w14:paraId="425381ED" w14:textId="4AF4E7CA" w:rsidR="0065233B" w:rsidRDefault="00D40FF7" w:rsidP="00992F8C">
      <w:pPr>
        <w:rPr>
          <w:rFonts w:cs="Calibri Light"/>
          <w:b/>
        </w:rPr>
      </w:pPr>
      <w:r>
        <w:rPr>
          <w:rFonts w:cs="Calibri Light"/>
          <w:b/>
        </w:rPr>
        <w:t>Applicable State and Federal Codes and Standards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10"/>
        <w:gridCol w:w="2335"/>
        <w:gridCol w:w="2705"/>
      </w:tblGrid>
      <w:tr w:rsidR="0065233B" w:rsidRPr="004E7434" w14:paraId="66653740" w14:textId="77777777" w:rsidTr="00F3134F">
        <w:tc>
          <w:tcPr>
            <w:tcW w:w="4410" w:type="dxa"/>
            <w:shd w:val="clear" w:color="auto" w:fill="F2F2F2" w:themeFill="background1" w:themeFillShade="F2"/>
            <w:vAlign w:val="bottom"/>
          </w:tcPr>
          <w:p w14:paraId="454D4904" w14:textId="77777777" w:rsidR="0065233B" w:rsidRPr="004E7434" w:rsidRDefault="0065233B" w:rsidP="00112455">
            <w:pPr>
              <w:keepNext/>
              <w:keepLines/>
              <w:spacing w:before="20" w:after="20"/>
              <w:rPr>
                <w:b/>
                <w:sz w:val="20"/>
                <w:szCs w:val="20"/>
              </w:rPr>
            </w:pPr>
            <w:r w:rsidRPr="004E7434">
              <w:rPr>
                <w:b/>
                <w:sz w:val="20"/>
                <w:szCs w:val="20"/>
              </w:rPr>
              <w:t>Code</w:t>
            </w:r>
          </w:p>
        </w:tc>
        <w:tc>
          <w:tcPr>
            <w:tcW w:w="2335" w:type="dxa"/>
            <w:shd w:val="clear" w:color="auto" w:fill="F2F2F2" w:themeFill="background1" w:themeFillShade="F2"/>
            <w:vAlign w:val="bottom"/>
          </w:tcPr>
          <w:p w14:paraId="40F6E782" w14:textId="77777777" w:rsidR="0065233B" w:rsidRPr="004E7434" w:rsidRDefault="0065233B" w:rsidP="00112455">
            <w:pPr>
              <w:keepNext/>
              <w:keepLines/>
              <w:spacing w:before="20" w:after="20"/>
              <w:jc w:val="center"/>
              <w:rPr>
                <w:b/>
                <w:sz w:val="20"/>
                <w:szCs w:val="20"/>
              </w:rPr>
            </w:pPr>
            <w:r w:rsidRPr="00E23DA2">
              <w:rPr>
                <w:b/>
                <w:sz w:val="20"/>
                <w:szCs w:val="20"/>
              </w:rPr>
              <w:t>Code Reference</w:t>
            </w:r>
          </w:p>
        </w:tc>
        <w:tc>
          <w:tcPr>
            <w:tcW w:w="2705" w:type="dxa"/>
            <w:shd w:val="clear" w:color="auto" w:fill="F2F2F2" w:themeFill="background1" w:themeFillShade="F2"/>
            <w:vAlign w:val="bottom"/>
          </w:tcPr>
          <w:p w14:paraId="5B1C43E3" w14:textId="77777777" w:rsidR="0065233B" w:rsidRPr="004E7434" w:rsidRDefault="0065233B" w:rsidP="00112455">
            <w:pPr>
              <w:keepNext/>
              <w:keepLines/>
              <w:spacing w:before="20" w:after="20"/>
              <w:jc w:val="center"/>
              <w:rPr>
                <w:b/>
                <w:sz w:val="20"/>
                <w:szCs w:val="20"/>
              </w:rPr>
            </w:pPr>
            <w:r w:rsidRPr="00E23DA2">
              <w:rPr>
                <w:b/>
                <w:sz w:val="20"/>
                <w:szCs w:val="20"/>
              </w:rPr>
              <w:t>Effective Date</w:t>
            </w:r>
          </w:p>
        </w:tc>
      </w:tr>
      <w:tr w:rsidR="00F3134F" w:rsidRPr="004E7434" w14:paraId="3E7D151F" w14:textId="77777777" w:rsidTr="00F3134F">
        <w:trPr>
          <w:cantSplit/>
          <w:trHeight w:val="20"/>
        </w:trPr>
        <w:tc>
          <w:tcPr>
            <w:tcW w:w="4410" w:type="dxa"/>
            <w:shd w:val="clear" w:color="auto" w:fill="auto"/>
            <w:vAlign w:val="center"/>
          </w:tcPr>
          <w:p w14:paraId="54057FA5" w14:textId="2C8D472A" w:rsidR="00F3134F" w:rsidRPr="00CA50C3" w:rsidRDefault="00F3134F" w:rsidP="00F3134F">
            <w:pPr>
              <w:pStyle w:val="Default"/>
              <w:rPr>
                <w:sz w:val="20"/>
                <w:szCs w:val="20"/>
              </w:rPr>
            </w:pPr>
            <w:r w:rsidRPr="00CA50C3">
              <w:rPr>
                <w:sz w:val="20"/>
                <w:szCs w:val="20"/>
              </w:rPr>
              <w:t xml:space="preserve">CA Appliance Efficiency Regulations – Title 20 (2019) </w:t>
            </w:r>
          </w:p>
        </w:tc>
        <w:tc>
          <w:tcPr>
            <w:tcW w:w="2335" w:type="dxa"/>
            <w:shd w:val="clear" w:color="auto" w:fill="auto"/>
            <w:vAlign w:val="center"/>
          </w:tcPr>
          <w:p w14:paraId="71FEBE45" w14:textId="07358751" w:rsidR="00F3134F" w:rsidRPr="00CA50C3" w:rsidRDefault="00F3134F" w:rsidP="00F3134F">
            <w:pPr>
              <w:pStyle w:val="Default"/>
              <w:rPr>
                <w:sz w:val="20"/>
                <w:szCs w:val="20"/>
              </w:rPr>
            </w:pPr>
            <w:r w:rsidRPr="00CA50C3">
              <w:rPr>
                <w:sz w:val="20"/>
                <w:szCs w:val="20"/>
              </w:rPr>
              <w:t>Section 1605.1(f)(</w:t>
            </w:r>
            <w:r w:rsidR="00E21895" w:rsidRPr="00CA50C3">
              <w:rPr>
                <w:sz w:val="20"/>
                <w:szCs w:val="20"/>
              </w:rPr>
              <w:t>1</w:t>
            </w:r>
            <w:r w:rsidRPr="00CA50C3">
              <w:rPr>
                <w:sz w:val="20"/>
                <w:szCs w:val="20"/>
              </w:rPr>
              <w:t xml:space="preserve">) </w:t>
            </w:r>
          </w:p>
        </w:tc>
        <w:tc>
          <w:tcPr>
            <w:tcW w:w="2705" w:type="dxa"/>
            <w:shd w:val="clear" w:color="auto" w:fill="auto"/>
            <w:vAlign w:val="center"/>
          </w:tcPr>
          <w:p w14:paraId="54D65B65" w14:textId="607C8FA0" w:rsidR="00F3134F" w:rsidRPr="00CA50C3" w:rsidRDefault="00F3134F" w:rsidP="00F3134F">
            <w:pPr>
              <w:pStyle w:val="Default"/>
              <w:rPr>
                <w:sz w:val="20"/>
                <w:szCs w:val="20"/>
              </w:rPr>
            </w:pPr>
            <w:r w:rsidRPr="00CA50C3">
              <w:rPr>
                <w:sz w:val="20"/>
                <w:szCs w:val="20"/>
              </w:rPr>
              <w:t xml:space="preserve">January 1, 2019 </w:t>
            </w:r>
          </w:p>
        </w:tc>
      </w:tr>
      <w:tr w:rsidR="0065233B" w:rsidRPr="004E7434" w14:paraId="6524AB13" w14:textId="77777777" w:rsidTr="00F3134F">
        <w:trPr>
          <w:cantSplit/>
          <w:trHeight w:val="20"/>
        </w:trPr>
        <w:tc>
          <w:tcPr>
            <w:tcW w:w="4410" w:type="dxa"/>
            <w:shd w:val="clear" w:color="auto" w:fill="auto"/>
            <w:vAlign w:val="center"/>
          </w:tcPr>
          <w:p w14:paraId="1D28F5F0" w14:textId="77777777" w:rsidR="0065233B" w:rsidRPr="00CA50C3" w:rsidRDefault="0065233B" w:rsidP="00112455">
            <w:pPr>
              <w:pStyle w:val="Default"/>
              <w:rPr>
                <w:sz w:val="20"/>
                <w:szCs w:val="20"/>
              </w:rPr>
            </w:pPr>
            <w:r w:rsidRPr="00CA50C3">
              <w:rPr>
                <w:sz w:val="20"/>
                <w:szCs w:val="20"/>
              </w:rPr>
              <w:t xml:space="preserve">CA Building Energy Efficiency Standards – Title 24 (2019) </w:t>
            </w:r>
          </w:p>
        </w:tc>
        <w:tc>
          <w:tcPr>
            <w:tcW w:w="2335" w:type="dxa"/>
            <w:shd w:val="clear" w:color="auto" w:fill="auto"/>
            <w:vAlign w:val="center"/>
          </w:tcPr>
          <w:p w14:paraId="476FBC4C" w14:textId="77777777" w:rsidR="0065233B" w:rsidRPr="00CA50C3" w:rsidRDefault="0065233B" w:rsidP="00112455">
            <w:pPr>
              <w:pStyle w:val="Default"/>
              <w:rPr>
                <w:sz w:val="20"/>
                <w:szCs w:val="20"/>
              </w:rPr>
            </w:pPr>
            <w:r w:rsidRPr="00CA50C3">
              <w:rPr>
                <w:sz w:val="20"/>
                <w:szCs w:val="20"/>
              </w:rPr>
              <w:t xml:space="preserve">Section 110.1 </w:t>
            </w:r>
          </w:p>
        </w:tc>
        <w:tc>
          <w:tcPr>
            <w:tcW w:w="2705" w:type="dxa"/>
            <w:shd w:val="clear" w:color="auto" w:fill="auto"/>
            <w:vAlign w:val="center"/>
          </w:tcPr>
          <w:p w14:paraId="24978DB9" w14:textId="77777777" w:rsidR="0065233B" w:rsidRPr="00CA50C3" w:rsidRDefault="0065233B" w:rsidP="00112455">
            <w:pPr>
              <w:pStyle w:val="Default"/>
              <w:rPr>
                <w:sz w:val="20"/>
                <w:szCs w:val="20"/>
              </w:rPr>
            </w:pPr>
            <w:r w:rsidRPr="00CA50C3">
              <w:rPr>
                <w:sz w:val="20"/>
                <w:szCs w:val="20"/>
              </w:rPr>
              <w:t xml:space="preserve">January 1, 2020 </w:t>
            </w:r>
          </w:p>
        </w:tc>
      </w:tr>
      <w:tr w:rsidR="0065233B" w:rsidRPr="004E7434" w14:paraId="44858E23" w14:textId="77777777" w:rsidTr="00F3134F">
        <w:trPr>
          <w:cantSplit/>
          <w:trHeight w:val="20"/>
        </w:trPr>
        <w:tc>
          <w:tcPr>
            <w:tcW w:w="4410" w:type="dxa"/>
            <w:shd w:val="clear" w:color="auto" w:fill="auto"/>
            <w:vAlign w:val="center"/>
          </w:tcPr>
          <w:p w14:paraId="4AC3F2EF" w14:textId="77777777" w:rsidR="0065233B" w:rsidRPr="00CA50C3" w:rsidRDefault="0065233B" w:rsidP="00112455">
            <w:pPr>
              <w:pStyle w:val="Default"/>
              <w:rPr>
                <w:sz w:val="20"/>
                <w:szCs w:val="20"/>
              </w:rPr>
            </w:pPr>
            <w:r w:rsidRPr="00CA50C3">
              <w:rPr>
                <w:sz w:val="20"/>
                <w:szCs w:val="20"/>
              </w:rPr>
              <w:t xml:space="preserve">Federal Standards – Code of Federal Regulations </w:t>
            </w:r>
          </w:p>
        </w:tc>
        <w:tc>
          <w:tcPr>
            <w:tcW w:w="2335" w:type="dxa"/>
            <w:shd w:val="clear" w:color="auto" w:fill="auto"/>
            <w:vAlign w:val="center"/>
          </w:tcPr>
          <w:p w14:paraId="5A4B9E67" w14:textId="77777777" w:rsidR="0065233B" w:rsidRPr="00CA50C3" w:rsidRDefault="0065233B" w:rsidP="00112455">
            <w:pPr>
              <w:pStyle w:val="Default"/>
              <w:rPr>
                <w:sz w:val="20"/>
                <w:szCs w:val="20"/>
              </w:rPr>
            </w:pPr>
            <w:r w:rsidRPr="00CA50C3">
              <w:rPr>
                <w:sz w:val="20"/>
                <w:szCs w:val="20"/>
              </w:rPr>
              <w:t xml:space="preserve">10 CFR 430.32(d) </w:t>
            </w:r>
          </w:p>
        </w:tc>
        <w:tc>
          <w:tcPr>
            <w:tcW w:w="2705" w:type="dxa"/>
            <w:shd w:val="clear" w:color="auto" w:fill="auto"/>
            <w:vAlign w:val="center"/>
          </w:tcPr>
          <w:p w14:paraId="2208BE9F" w14:textId="77777777" w:rsidR="0065233B" w:rsidRPr="00CA50C3" w:rsidRDefault="0065233B" w:rsidP="00112455">
            <w:pPr>
              <w:pStyle w:val="Default"/>
              <w:rPr>
                <w:sz w:val="20"/>
                <w:szCs w:val="20"/>
              </w:rPr>
            </w:pPr>
            <w:r w:rsidRPr="00CA50C3">
              <w:rPr>
                <w:sz w:val="20"/>
                <w:szCs w:val="20"/>
              </w:rPr>
              <w:t xml:space="preserve">December 29, 2016 </w:t>
            </w:r>
          </w:p>
        </w:tc>
      </w:tr>
      <w:tr w:rsidR="00F3134F" w:rsidRPr="004E7434" w14:paraId="1767DC2A" w14:textId="77777777" w:rsidTr="00F3134F">
        <w:trPr>
          <w:cantSplit/>
          <w:trHeight w:val="20"/>
        </w:trPr>
        <w:tc>
          <w:tcPr>
            <w:tcW w:w="4410" w:type="dxa"/>
            <w:shd w:val="clear" w:color="auto" w:fill="auto"/>
            <w:vAlign w:val="center"/>
          </w:tcPr>
          <w:p w14:paraId="7858A5BC" w14:textId="7C583B3B" w:rsidR="00F3134F" w:rsidRPr="00CA50C3" w:rsidRDefault="00F3134F" w:rsidP="00112455">
            <w:pPr>
              <w:pStyle w:val="Default"/>
              <w:rPr>
                <w:sz w:val="20"/>
                <w:szCs w:val="20"/>
              </w:rPr>
            </w:pPr>
            <w:r w:rsidRPr="00CA50C3">
              <w:rPr>
                <w:sz w:val="20"/>
                <w:szCs w:val="20"/>
              </w:rPr>
              <w:t>Federal Standards – Code of Federal Regulations</w:t>
            </w:r>
          </w:p>
        </w:tc>
        <w:tc>
          <w:tcPr>
            <w:tcW w:w="2335" w:type="dxa"/>
            <w:shd w:val="clear" w:color="auto" w:fill="auto"/>
            <w:vAlign w:val="center"/>
          </w:tcPr>
          <w:p w14:paraId="7BDB16C1" w14:textId="6011C5B7" w:rsidR="00F3134F" w:rsidRPr="00CA50C3" w:rsidRDefault="00F3134F" w:rsidP="00112455">
            <w:pPr>
              <w:pStyle w:val="Default"/>
              <w:rPr>
                <w:sz w:val="20"/>
                <w:szCs w:val="20"/>
              </w:rPr>
            </w:pPr>
            <w:r w:rsidRPr="00CA50C3">
              <w:rPr>
                <w:sz w:val="20"/>
                <w:szCs w:val="20"/>
              </w:rPr>
              <w:t>10 CFR 430 Subpart B, Appendix E, Section 5.4.1</w:t>
            </w:r>
          </w:p>
        </w:tc>
        <w:tc>
          <w:tcPr>
            <w:tcW w:w="2705" w:type="dxa"/>
            <w:shd w:val="clear" w:color="auto" w:fill="auto"/>
            <w:vAlign w:val="center"/>
          </w:tcPr>
          <w:p w14:paraId="1F04D4E3" w14:textId="1A190482" w:rsidR="00F3134F" w:rsidRPr="00CA50C3" w:rsidRDefault="00F3134F" w:rsidP="00112455">
            <w:pPr>
              <w:pStyle w:val="Default"/>
              <w:rPr>
                <w:sz w:val="20"/>
                <w:szCs w:val="20"/>
              </w:rPr>
            </w:pPr>
            <w:r w:rsidRPr="00CA50C3">
              <w:rPr>
                <w:sz w:val="20"/>
                <w:szCs w:val="20"/>
              </w:rPr>
              <w:t>December 29, 2016</w:t>
            </w:r>
          </w:p>
        </w:tc>
      </w:tr>
    </w:tbl>
    <w:p w14:paraId="6CB7B9B1" w14:textId="01083B64" w:rsidR="002A10CE" w:rsidRDefault="002A10CE">
      <w:pPr>
        <w:spacing w:before="0" w:after="0" w:line="240" w:lineRule="auto"/>
        <w:rPr>
          <w:u w:val="single"/>
        </w:rPr>
      </w:pPr>
      <w:bookmarkStart w:id="21" w:name="_Toc486490851"/>
      <w:bookmarkStart w:id="22" w:name="_Toc486580922"/>
    </w:p>
    <w:p w14:paraId="7AA95A71" w14:textId="71D9A274" w:rsidR="00D40FF7" w:rsidRDefault="00D40FF7" w:rsidP="00D40FF7">
      <w:pPr>
        <w:rPr>
          <w:rFonts w:ascii="Times New Roman" w:hAnsi="Times New Roman"/>
          <w:sz w:val="24"/>
        </w:rPr>
      </w:pPr>
      <w:r w:rsidRPr="005352A3">
        <w:rPr>
          <w:rStyle w:val="Strong"/>
          <w:rFonts w:cs="Calibri Light"/>
        </w:rPr>
        <w:t>Code of Federal Regulations.</w:t>
      </w:r>
      <w:r>
        <w:t> In December 2016 the U.S. Department of Energy (DOE) issued a Final Ruling in Docket No. EERE-2015-BT-TP-0007 that established a new efficiency rating for all residential and some commercial water heating technologies are rated.</w:t>
      </w:r>
      <w:r>
        <w:rPr>
          <w:rStyle w:val="FootnoteReference"/>
        </w:rPr>
        <w:footnoteReference w:id="9"/>
      </w:r>
      <w:r>
        <w:t xml:space="preserve"> All water heaters within the scope of the ruling will no longer be rated with the energy Factor (EF), thermal efficiency (TE), or standby loss ratings; the Uniform Energy Factor (UEF) is the new metric for the energy efficiency of water heaters. A UEF rating is determined by assigning a water heater into one of four different categories of hot water usage and then evaluating its performance based on that usage.</w:t>
      </w:r>
      <w:r>
        <w:rPr>
          <w:rStyle w:val="FootnoteReference"/>
        </w:rPr>
        <w:footnoteReference w:id="10"/>
      </w:r>
      <w:r>
        <w:t> </w:t>
      </w:r>
      <w:r w:rsidRPr="005352A3">
        <w:t>The four categories are based on draw pattern – very small, low, medium, and high.</w:t>
      </w:r>
      <w:r>
        <w:t xml:space="preserve"> This allows water heaters to be compared more easily between different types (i.e., storage and tankless), as long as units are compared within the same bin.</w:t>
      </w:r>
    </w:p>
    <w:p w14:paraId="4DFFA064" w14:textId="77777777" w:rsidR="00D40FF7" w:rsidRDefault="00D40FF7" w:rsidP="00D40FF7">
      <w:r>
        <w:t>With this final ruling, the DOE established a mathematical conversion between the values determined using the ER, TE, and SL test procedures and the values determined using the uniform efficiency descriptor test procedure. The DOE used the conversion factors to derive minimum energy performance standards based on UEF. The standards denominated in UEF are neither more nor less stringent than the EF-denominated standards for consumer water heaters and for commercial water-heating equipment based on the TE and SL metrics.</w:t>
      </w:r>
    </w:p>
    <w:p w14:paraId="62B8FDCF" w14:textId="77777777" w:rsidR="00D40FF7" w:rsidRDefault="00D40FF7" w:rsidP="00D40FF7">
      <w:r>
        <w:t>Appendix E Section 5.4 defines the draw patterns definition using the first-hour rated and maximum GPM ratings.</w:t>
      </w:r>
    </w:p>
    <w:p w14:paraId="6DEDD419" w14:textId="77777777" w:rsidR="00D40FF7" w:rsidRDefault="00D40FF7" w:rsidP="00D40FF7">
      <w:pPr>
        <w:pStyle w:val="Caption"/>
      </w:pPr>
      <w:r>
        <w:lastRenderedPageBreak/>
        <w:t>Draw Pattern To Be Used Based on First-Hour Rating</w:t>
      </w:r>
    </w:p>
    <w:tbl>
      <w:tblPr>
        <w:tblStyle w:val="TableGrid1"/>
        <w:tblW w:w="68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16"/>
        <w:gridCol w:w="1728"/>
        <w:gridCol w:w="3061"/>
      </w:tblGrid>
      <w:tr w:rsidR="00D40FF7" w:rsidRPr="00D72722" w14:paraId="1A9E8150" w14:textId="77777777" w:rsidTr="00CA50C3">
        <w:tc>
          <w:tcPr>
            <w:tcW w:w="2016" w:type="dxa"/>
            <w:shd w:val="clear" w:color="auto" w:fill="F2F2F2" w:themeFill="background1" w:themeFillShade="F2"/>
            <w:hideMark/>
          </w:tcPr>
          <w:p w14:paraId="57EEC47B" w14:textId="77777777" w:rsidR="00D40FF7" w:rsidRPr="00D72722" w:rsidRDefault="00D40FF7" w:rsidP="00CA50C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FIRST-HOUR RATING</w:t>
            </w:r>
            <w:r w:rsidRPr="00D72722">
              <w:rPr>
                <w:rFonts w:ascii="Calibri Light" w:hAnsi="Calibri Light" w:cs="Calibri Light"/>
                <w:b/>
                <w:bCs/>
                <w:caps/>
              </w:rPr>
              <w:br/>
              <w:t>GREATER THAN OR EQUAL TO:</w:t>
            </w:r>
          </w:p>
        </w:tc>
        <w:tc>
          <w:tcPr>
            <w:tcW w:w="1728" w:type="dxa"/>
            <w:shd w:val="clear" w:color="auto" w:fill="F2F2F2" w:themeFill="background1" w:themeFillShade="F2"/>
            <w:hideMark/>
          </w:tcPr>
          <w:p w14:paraId="7DF49732" w14:textId="77777777" w:rsidR="00D40FF7" w:rsidRPr="00D72722" w:rsidRDefault="00D40FF7" w:rsidP="00CA50C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 AND FIRST-HOUR RATING LESS THAN:</w:t>
            </w:r>
          </w:p>
        </w:tc>
        <w:tc>
          <w:tcPr>
            <w:tcW w:w="3061" w:type="dxa"/>
            <w:shd w:val="clear" w:color="auto" w:fill="F2F2F2" w:themeFill="background1" w:themeFillShade="F2"/>
            <w:hideMark/>
          </w:tcPr>
          <w:p w14:paraId="2B594450" w14:textId="77777777" w:rsidR="00D40FF7" w:rsidRPr="00D72722" w:rsidRDefault="00D40FF7" w:rsidP="00CA50C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DRAW PATTERN TO BE USED IN SIMULATED-USE TEST</w:t>
            </w:r>
          </w:p>
        </w:tc>
      </w:tr>
      <w:tr w:rsidR="00D40FF7" w:rsidRPr="00DA0926" w14:paraId="4D9AF70E" w14:textId="77777777" w:rsidTr="00CA50C3">
        <w:tc>
          <w:tcPr>
            <w:tcW w:w="2016" w:type="dxa"/>
            <w:hideMark/>
          </w:tcPr>
          <w:p w14:paraId="4DD3A225"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0 gallons</w:t>
            </w:r>
          </w:p>
        </w:tc>
        <w:tc>
          <w:tcPr>
            <w:tcW w:w="1728" w:type="dxa"/>
            <w:hideMark/>
          </w:tcPr>
          <w:p w14:paraId="4B00353D"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18 gallons</w:t>
            </w:r>
          </w:p>
        </w:tc>
        <w:tc>
          <w:tcPr>
            <w:tcW w:w="3061" w:type="dxa"/>
            <w:hideMark/>
          </w:tcPr>
          <w:p w14:paraId="62075028"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Very-small-Usage (Table III.1).</w:t>
            </w:r>
          </w:p>
        </w:tc>
      </w:tr>
      <w:tr w:rsidR="00D40FF7" w:rsidRPr="00DA0926" w14:paraId="05CF2195" w14:textId="77777777" w:rsidTr="00CA50C3">
        <w:tc>
          <w:tcPr>
            <w:tcW w:w="2016" w:type="dxa"/>
            <w:hideMark/>
          </w:tcPr>
          <w:p w14:paraId="4D04BCD6"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18 gallons</w:t>
            </w:r>
          </w:p>
        </w:tc>
        <w:tc>
          <w:tcPr>
            <w:tcW w:w="1728" w:type="dxa"/>
            <w:hideMark/>
          </w:tcPr>
          <w:p w14:paraId="49CD3509"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51 gallons</w:t>
            </w:r>
          </w:p>
        </w:tc>
        <w:tc>
          <w:tcPr>
            <w:tcW w:w="3061" w:type="dxa"/>
            <w:hideMark/>
          </w:tcPr>
          <w:p w14:paraId="60786532"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Low-Usage (Table III.2).</w:t>
            </w:r>
          </w:p>
        </w:tc>
      </w:tr>
      <w:tr w:rsidR="00D40FF7" w:rsidRPr="00DA0926" w14:paraId="61B0E06A" w14:textId="77777777" w:rsidTr="00CA50C3">
        <w:tc>
          <w:tcPr>
            <w:tcW w:w="2016" w:type="dxa"/>
            <w:hideMark/>
          </w:tcPr>
          <w:p w14:paraId="7648129D"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51 gallons</w:t>
            </w:r>
          </w:p>
        </w:tc>
        <w:tc>
          <w:tcPr>
            <w:tcW w:w="1728" w:type="dxa"/>
            <w:hideMark/>
          </w:tcPr>
          <w:p w14:paraId="45FF07CC"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75 gallons</w:t>
            </w:r>
          </w:p>
        </w:tc>
        <w:tc>
          <w:tcPr>
            <w:tcW w:w="3061" w:type="dxa"/>
            <w:hideMark/>
          </w:tcPr>
          <w:p w14:paraId="63DAF333"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Medium-Usage (Table III.2).</w:t>
            </w:r>
          </w:p>
        </w:tc>
      </w:tr>
      <w:tr w:rsidR="00D40FF7" w:rsidRPr="00DA0926" w14:paraId="049DF6A7" w14:textId="77777777" w:rsidTr="00CA50C3">
        <w:tc>
          <w:tcPr>
            <w:tcW w:w="2016" w:type="dxa"/>
            <w:hideMark/>
          </w:tcPr>
          <w:p w14:paraId="599E2A22"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75 gallons</w:t>
            </w:r>
          </w:p>
        </w:tc>
        <w:tc>
          <w:tcPr>
            <w:tcW w:w="1728" w:type="dxa"/>
            <w:hideMark/>
          </w:tcPr>
          <w:p w14:paraId="23C33C36"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No upper limit</w:t>
            </w:r>
          </w:p>
        </w:tc>
        <w:tc>
          <w:tcPr>
            <w:tcW w:w="3061" w:type="dxa"/>
            <w:hideMark/>
          </w:tcPr>
          <w:p w14:paraId="13E99FA3"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High-Usage (Table III.4).</w:t>
            </w:r>
          </w:p>
        </w:tc>
      </w:tr>
    </w:tbl>
    <w:p w14:paraId="3B0C0E41" w14:textId="77777777" w:rsidR="00D40FF7" w:rsidRDefault="00D40FF7" w:rsidP="00D40FF7">
      <w:pPr>
        <w:pStyle w:val="Caption"/>
      </w:pPr>
      <w:r>
        <w:t>Draw Pattern To Be Used Based on Maximum GPM Rating</w:t>
      </w:r>
    </w:p>
    <w:tbl>
      <w:tblPr>
        <w:tblStyle w:val="TableGrid1"/>
        <w:tblW w:w="68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5"/>
        <w:gridCol w:w="1800"/>
        <w:gridCol w:w="3060"/>
      </w:tblGrid>
      <w:tr w:rsidR="00D40FF7" w:rsidRPr="00D72722" w14:paraId="571BDB33" w14:textId="77777777" w:rsidTr="00CA50C3">
        <w:tc>
          <w:tcPr>
            <w:tcW w:w="1975" w:type="dxa"/>
            <w:shd w:val="clear" w:color="auto" w:fill="F2F2F2" w:themeFill="background1" w:themeFillShade="F2"/>
            <w:hideMark/>
          </w:tcPr>
          <w:p w14:paraId="588BA62F" w14:textId="77777777" w:rsidR="00D40FF7" w:rsidRPr="00D72722" w:rsidRDefault="00D40FF7" w:rsidP="00CA50C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MAXIMUM GPM RATING</w:t>
            </w:r>
            <w:r>
              <w:rPr>
                <w:rFonts w:ascii="Calibri Light" w:hAnsi="Calibri Light" w:cs="Calibri Light"/>
                <w:b/>
                <w:bCs/>
              </w:rPr>
              <w:t xml:space="preserve"> </w:t>
            </w:r>
            <w:r w:rsidRPr="00D72722">
              <w:rPr>
                <w:rFonts w:ascii="Calibri Light" w:hAnsi="Calibri Light" w:cs="Calibri Light"/>
                <w:b/>
                <w:bCs/>
              </w:rPr>
              <w:t>GREATER THAN OR EQUAL TO:</w:t>
            </w:r>
          </w:p>
        </w:tc>
        <w:tc>
          <w:tcPr>
            <w:tcW w:w="1800" w:type="dxa"/>
            <w:shd w:val="clear" w:color="auto" w:fill="F2F2F2" w:themeFill="background1" w:themeFillShade="F2"/>
            <w:hideMark/>
          </w:tcPr>
          <w:p w14:paraId="0073395C" w14:textId="77777777" w:rsidR="00D40FF7" w:rsidRPr="00D72722" w:rsidRDefault="00D40FF7" w:rsidP="00CA50C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AND MAXIMUM GPM RATING</w:t>
            </w:r>
            <w:r>
              <w:rPr>
                <w:rFonts w:ascii="Calibri Light" w:hAnsi="Calibri Light" w:cs="Calibri Light"/>
                <w:b/>
                <w:bCs/>
              </w:rPr>
              <w:t xml:space="preserve"> </w:t>
            </w:r>
            <w:r w:rsidRPr="00D72722">
              <w:rPr>
                <w:rFonts w:ascii="Calibri Light" w:hAnsi="Calibri Light" w:cs="Calibri Light"/>
                <w:b/>
                <w:bCs/>
              </w:rPr>
              <w:t>LESS THAN:</w:t>
            </w:r>
          </w:p>
        </w:tc>
        <w:tc>
          <w:tcPr>
            <w:tcW w:w="3060" w:type="dxa"/>
            <w:shd w:val="clear" w:color="auto" w:fill="F2F2F2" w:themeFill="background1" w:themeFillShade="F2"/>
            <w:hideMark/>
          </w:tcPr>
          <w:p w14:paraId="5F6C418E" w14:textId="77777777" w:rsidR="00D40FF7" w:rsidRPr="00D72722" w:rsidRDefault="00D40FF7" w:rsidP="00CA50C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DRAW PATTERN TO BE USED IN</w:t>
            </w:r>
            <w:r w:rsidRPr="00D72722">
              <w:rPr>
                <w:rFonts w:ascii="Calibri Light" w:hAnsi="Calibri Light" w:cs="Calibri Light"/>
                <w:b/>
                <w:bCs/>
              </w:rPr>
              <w:br/>
              <w:t>SIMULATED-USE TEST</w:t>
            </w:r>
          </w:p>
        </w:tc>
      </w:tr>
      <w:tr w:rsidR="00D40FF7" w:rsidRPr="00D72722" w14:paraId="0D979D68" w14:textId="77777777" w:rsidTr="00CA50C3">
        <w:tc>
          <w:tcPr>
            <w:tcW w:w="1975" w:type="dxa"/>
            <w:hideMark/>
          </w:tcPr>
          <w:p w14:paraId="62B50712"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0 gallons/minute</w:t>
            </w:r>
          </w:p>
        </w:tc>
        <w:tc>
          <w:tcPr>
            <w:tcW w:w="1800" w:type="dxa"/>
            <w:hideMark/>
          </w:tcPr>
          <w:p w14:paraId="55DD2BAF"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1.7 gallons/minute</w:t>
            </w:r>
          </w:p>
        </w:tc>
        <w:tc>
          <w:tcPr>
            <w:tcW w:w="3060" w:type="dxa"/>
            <w:hideMark/>
          </w:tcPr>
          <w:p w14:paraId="20E1B2DD"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Very-small-Usage (Table III.1).</w:t>
            </w:r>
          </w:p>
        </w:tc>
      </w:tr>
      <w:tr w:rsidR="00D40FF7" w:rsidRPr="00D72722" w14:paraId="6DC58A93" w14:textId="77777777" w:rsidTr="00CA50C3">
        <w:tc>
          <w:tcPr>
            <w:tcW w:w="1975" w:type="dxa"/>
            <w:hideMark/>
          </w:tcPr>
          <w:p w14:paraId="0C7E5F73"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1.7 gallons/minute</w:t>
            </w:r>
          </w:p>
        </w:tc>
        <w:tc>
          <w:tcPr>
            <w:tcW w:w="1800" w:type="dxa"/>
            <w:hideMark/>
          </w:tcPr>
          <w:p w14:paraId="672068E3"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2.8 gallons/minute</w:t>
            </w:r>
          </w:p>
        </w:tc>
        <w:tc>
          <w:tcPr>
            <w:tcW w:w="3060" w:type="dxa"/>
            <w:hideMark/>
          </w:tcPr>
          <w:p w14:paraId="6164A973"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Low-Usage (Table III.2).</w:t>
            </w:r>
          </w:p>
        </w:tc>
      </w:tr>
      <w:tr w:rsidR="00D40FF7" w:rsidRPr="00D72722" w14:paraId="17BC972E" w14:textId="77777777" w:rsidTr="00CA50C3">
        <w:tc>
          <w:tcPr>
            <w:tcW w:w="1975" w:type="dxa"/>
            <w:hideMark/>
          </w:tcPr>
          <w:p w14:paraId="4E621586"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2.8 gallons/minute</w:t>
            </w:r>
          </w:p>
        </w:tc>
        <w:tc>
          <w:tcPr>
            <w:tcW w:w="1800" w:type="dxa"/>
            <w:hideMark/>
          </w:tcPr>
          <w:p w14:paraId="23E093B7"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4 gallons/minute</w:t>
            </w:r>
          </w:p>
        </w:tc>
        <w:tc>
          <w:tcPr>
            <w:tcW w:w="3060" w:type="dxa"/>
            <w:hideMark/>
          </w:tcPr>
          <w:p w14:paraId="798FABBE"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Medium-Usage (Table III.2).</w:t>
            </w:r>
          </w:p>
        </w:tc>
      </w:tr>
      <w:tr w:rsidR="00D40FF7" w:rsidRPr="00D72722" w14:paraId="1D4C7517" w14:textId="77777777" w:rsidTr="00CA50C3">
        <w:tc>
          <w:tcPr>
            <w:tcW w:w="1975" w:type="dxa"/>
            <w:hideMark/>
          </w:tcPr>
          <w:p w14:paraId="39007CA1"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4 gallons/minute</w:t>
            </w:r>
          </w:p>
        </w:tc>
        <w:tc>
          <w:tcPr>
            <w:tcW w:w="1800" w:type="dxa"/>
            <w:hideMark/>
          </w:tcPr>
          <w:p w14:paraId="62B9F9D0"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No upper limit</w:t>
            </w:r>
          </w:p>
        </w:tc>
        <w:tc>
          <w:tcPr>
            <w:tcW w:w="3060" w:type="dxa"/>
            <w:hideMark/>
          </w:tcPr>
          <w:p w14:paraId="13B18BCA" w14:textId="77777777" w:rsidR="00D40FF7" w:rsidRPr="00D72722" w:rsidRDefault="00D40FF7" w:rsidP="00CA50C3">
            <w:pPr>
              <w:pStyle w:val="NormalWeb"/>
              <w:spacing w:before="0" w:beforeAutospacing="0" w:after="0" w:afterAutospacing="0"/>
              <w:rPr>
                <w:rFonts w:ascii="Calibri Light" w:hAnsi="Calibri Light" w:cs="Calibri Light"/>
              </w:rPr>
            </w:pPr>
            <w:r w:rsidRPr="00D72722">
              <w:rPr>
                <w:rFonts w:ascii="Calibri Light" w:hAnsi="Calibri Light" w:cs="Calibri Light"/>
              </w:rPr>
              <w:t>High-Usage (Table III.4).</w:t>
            </w:r>
          </w:p>
        </w:tc>
      </w:tr>
    </w:tbl>
    <w:p w14:paraId="33DB2F10" w14:textId="77777777" w:rsidR="00D40FF7" w:rsidRDefault="00D40FF7">
      <w:pPr>
        <w:spacing w:before="0" w:after="0" w:line="240" w:lineRule="auto"/>
        <w:rPr>
          <w:u w:val="single"/>
        </w:rPr>
      </w:pPr>
    </w:p>
    <w:p w14:paraId="6ADC60CF" w14:textId="2610CD97" w:rsidR="002A10CE" w:rsidRPr="002A10CE" w:rsidRDefault="002A10CE" w:rsidP="002A10CE">
      <w:pPr>
        <w:rPr>
          <w:b/>
        </w:rPr>
      </w:pPr>
      <w:r w:rsidRPr="002A10CE">
        <w:rPr>
          <w:b/>
        </w:rPr>
        <w:t>Title 20 1605.1(f)(</w:t>
      </w:r>
      <w:r w:rsidR="00F3134F">
        <w:rPr>
          <w:b/>
        </w:rPr>
        <w:t>1</w:t>
      </w:r>
      <w:r w:rsidRPr="002A10CE">
        <w:rPr>
          <w:b/>
        </w:rPr>
        <w:t>)</w:t>
      </w:r>
      <w:r>
        <w:rPr>
          <w:b/>
        </w:rPr>
        <w:t xml:space="preserve"> California Minimum Energy Factor Requirements for Water Heaters</w:t>
      </w:r>
    </w:p>
    <w:p w14:paraId="4844D45E" w14:textId="613B1C98" w:rsidR="0065233B" w:rsidRDefault="00F3134F" w:rsidP="0065233B">
      <w:r>
        <w:rPr>
          <w:noProof/>
        </w:rPr>
        <w:lastRenderedPageBreak/>
        <w:drawing>
          <wp:inline distT="0" distB="0" distL="0" distR="0" wp14:anchorId="33C4D680" wp14:editId="31ABB20B">
            <wp:extent cx="5943600" cy="51314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5131435"/>
                    </a:xfrm>
                    <a:prstGeom prst="rect">
                      <a:avLst/>
                    </a:prstGeom>
                  </pic:spPr>
                </pic:pic>
              </a:graphicData>
            </a:graphic>
          </wp:inline>
        </w:drawing>
      </w:r>
    </w:p>
    <w:p w14:paraId="16988094" w14:textId="77777777" w:rsidR="00F3134F" w:rsidRDefault="00F3134F" w:rsidP="002A10CE">
      <w:pPr>
        <w:rPr>
          <w:b/>
        </w:rPr>
      </w:pPr>
    </w:p>
    <w:p w14:paraId="05C1B694" w14:textId="7914A4D8" w:rsidR="002A10CE" w:rsidRPr="002A10CE" w:rsidRDefault="002A10CE" w:rsidP="002A10CE">
      <w:pPr>
        <w:rPr>
          <w:b/>
        </w:rPr>
      </w:pPr>
      <w:r w:rsidRPr="002A10CE">
        <w:rPr>
          <w:b/>
        </w:rPr>
        <w:t xml:space="preserve">Federal </w:t>
      </w:r>
      <w:r w:rsidRPr="002A10CE">
        <w:rPr>
          <w:b/>
          <w:szCs w:val="22"/>
        </w:rPr>
        <w:t>Standard 10 CFR 430.32(d)</w:t>
      </w:r>
      <w:r>
        <w:rPr>
          <w:b/>
          <w:szCs w:val="22"/>
        </w:rPr>
        <w:t xml:space="preserve"> Minimum Energy Factor Requirements for Water Heaters</w:t>
      </w:r>
    </w:p>
    <w:p w14:paraId="2F5E8FDB" w14:textId="16C83C52" w:rsidR="00F76F02" w:rsidRDefault="00F3134F" w:rsidP="0065233B">
      <w:r w:rsidRPr="00084B93">
        <w:rPr>
          <w:noProof/>
        </w:rPr>
        <w:lastRenderedPageBreak/>
        <w:drawing>
          <wp:inline distT="0" distB="0" distL="0" distR="0" wp14:anchorId="1ABEE1FE" wp14:editId="27F09CB3">
            <wp:extent cx="5695950" cy="46577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95950" cy="4657725"/>
                    </a:xfrm>
                    <a:prstGeom prst="rect">
                      <a:avLst/>
                    </a:prstGeom>
                    <a:noFill/>
                    <a:ln>
                      <a:noFill/>
                    </a:ln>
                  </pic:spPr>
                </pic:pic>
              </a:graphicData>
            </a:graphic>
          </wp:inline>
        </w:drawing>
      </w:r>
    </w:p>
    <w:p w14:paraId="57AA1C75" w14:textId="7354C9A2" w:rsidR="00F76F02" w:rsidRDefault="00F76F02" w:rsidP="0065233B"/>
    <w:p w14:paraId="511077D7" w14:textId="3C2CD7AC" w:rsidR="002A10CE" w:rsidRPr="00F3134F" w:rsidRDefault="002A10CE" w:rsidP="0065233B">
      <w:pPr>
        <w:rPr>
          <w:b/>
        </w:rPr>
      </w:pPr>
    </w:p>
    <w:p w14:paraId="6D937F8F" w14:textId="3BC2385D" w:rsidR="007D230B" w:rsidRPr="00C6243E" w:rsidRDefault="007D230B" w:rsidP="00462BB6">
      <w:pPr>
        <w:pStyle w:val="eTRMHeading3"/>
        <w:rPr>
          <w:rFonts w:cs="Calibri Light"/>
        </w:rPr>
      </w:pPr>
      <w:bookmarkStart w:id="23" w:name="_Toc75963027"/>
      <w:r w:rsidRPr="00C6243E">
        <w:rPr>
          <w:rFonts w:cs="Calibri Light"/>
        </w:rPr>
        <w:t>Normalizing Unit</w:t>
      </w:r>
      <w:bookmarkEnd w:id="21"/>
      <w:bookmarkEnd w:id="22"/>
      <w:bookmarkEnd w:id="23"/>
    </w:p>
    <w:p w14:paraId="4E918F81" w14:textId="38A21E40" w:rsidR="008B0CF9" w:rsidRPr="00C6243E" w:rsidRDefault="004E14BE" w:rsidP="00486585">
      <w:pPr>
        <w:rPr>
          <w:rFonts w:cs="Calibri Light"/>
        </w:rPr>
      </w:pPr>
      <w:r>
        <w:rPr>
          <w:rFonts w:cs="Calibri Light"/>
        </w:rPr>
        <w:t xml:space="preserve">Heat pump water heater </w:t>
      </w:r>
      <w:r w:rsidR="00C811E1">
        <w:rPr>
          <w:rFonts w:cs="Calibri Light"/>
        </w:rPr>
        <w:t>input</w:t>
      </w:r>
      <w:r>
        <w:rPr>
          <w:rFonts w:cs="Calibri Light"/>
        </w:rPr>
        <w:t xml:space="preserve"> capacity in kBtu/h (Cap-kBtuh)</w:t>
      </w:r>
      <w:r w:rsidR="003A0268">
        <w:rPr>
          <w:rFonts w:cs="Calibri Light"/>
        </w:rPr>
        <w:t xml:space="preserve">. </w:t>
      </w:r>
    </w:p>
    <w:p w14:paraId="413B19C3" w14:textId="77777777" w:rsidR="00906427" w:rsidRDefault="00906427" w:rsidP="00F61EA0">
      <w:bookmarkStart w:id="24" w:name="_Toc486490852"/>
      <w:bookmarkStart w:id="25" w:name="_Toc486580923"/>
      <w:bookmarkStart w:id="26" w:name="_Hlk515365299"/>
      <w:bookmarkStart w:id="27" w:name="_Hlk515878271"/>
    </w:p>
    <w:p w14:paraId="135815C6" w14:textId="232B5E33" w:rsidR="007D230B" w:rsidRDefault="007D230B" w:rsidP="00462BB6">
      <w:pPr>
        <w:pStyle w:val="eTRMHeading3"/>
        <w:rPr>
          <w:rFonts w:cs="Calibri Light"/>
        </w:rPr>
      </w:pPr>
      <w:bookmarkStart w:id="28" w:name="_Toc75963028"/>
      <w:r w:rsidRPr="00C6243E">
        <w:rPr>
          <w:rFonts w:cs="Calibri Light"/>
        </w:rPr>
        <w:t>Program Requirements</w:t>
      </w:r>
      <w:bookmarkEnd w:id="24"/>
      <w:bookmarkEnd w:id="25"/>
      <w:bookmarkEnd w:id="28"/>
      <w:r w:rsidRPr="00C6243E">
        <w:rPr>
          <w:rFonts w:cs="Calibri Light"/>
        </w:rPr>
        <w:t xml:space="preserve"> </w:t>
      </w:r>
    </w:p>
    <w:p w14:paraId="5BBC4D3F" w14:textId="77777777" w:rsidR="008B0000" w:rsidRDefault="008B0000" w:rsidP="008B0000">
      <w:pPr>
        <w:pStyle w:val="eTRMHeading5"/>
        <w:keepNext/>
      </w:pPr>
      <w:r>
        <w:t>Fuel Substitution Test</w:t>
      </w:r>
    </w:p>
    <w:p w14:paraId="61EC6298" w14:textId="3E6F4781" w:rsidR="008B0000" w:rsidRDefault="008B0000" w:rsidP="008B0000">
      <w:pPr>
        <w:pStyle w:val="xetrmbulletedtext"/>
        <w:ind w:left="0" w:firstLine="0"/>
      </w:pPr>
      <w:r>
        <w:t>Per CPUC Decision 19-08-009 Rulemaking 13-11-005 “Decision Modifying the Energy Efficiency Three-Prong Test Related to Fuel Substitution”, for all fuel substitution measures, the measure must ‘not increase total source energy consumption when compared with the baseline comparison measure available utilizing the original fuel’.</w:t>
      </w:r>
      <w:r w:rsidRPr="008B0000">
        <w:rPr>
          <w:rStyle w:val="FootnoteReference"/>
        </w:rPr>
        <w:t xml:space="preserve"> </w:t>
      </w:r>
      <w:r>
        <w:rPr>
          <w:rStyle w:val="FootnoteReference"/>
        </w:rPr>
        <w:footnoteReference w:id="11"/>
      </w:r>
      <w:r>
        <w:t xml:space="preserve"> Also, the measure ‘must not adversely impact the environment </w:t>
      </w:r>
      <w:r>
        <w:lastRenderedPageBreak/>
        <w:t xml:space="preserve">compared to the baseline measure utilizing the original fuel. Fuel substitution calculations were conducted using CPUC’s “Fuel Substitution Calculator” to confirm the measures in this </w:t>
      </w:r>
      <w:r w:rsidR="005E6CA6">
        <w:t>measure package</w:t>
      </w:r>
      <w:r w:rsidR="005E6CA6" w:rsidDel="005E6CA6">
        <w:t xml:space="preserve"> </w:t>
      </w:r>
      <w:r>
        <w:t>pass Parts One and Two of the Fuel Substitution Test</w:t>
      </w:r>
      <w:r w:rsidR="00D40FF7">
        <w:t>.</w:t>
      </w:r>
      <w:r>
        <w:rPr>
          <w:rStyle w:val="FootnoteReference"/>
          <w:b/>
          <w:sz w:val="20"/>
        </w:rPr>
        <w:footnoteReference w:id="12"/>
      </w:r>
      <w:r>
        <w:t xml:space="preserve"> </w:t>
      </w:r>
    </w:p>
    <w:p w14:paraId="7151CD12" w14:textId="77777777" w:rsidR="008B0000" w:rsidRPr="00C6243E" w:rsidRDefault="008B0000" w:rsidP="00462BB6">
      <w:pPr>
        <w:pStyle w:val="eTRMHeading3"/>
        <w:rPr>
          <w:rFonts w:cs="Calibri Light"/>
        </w:rPr>
      </w:pPr>
    </w:p>
    <w:p w14:paraId="35480ECB" w14:textId="77777777" w:rsidR="009E57DF" w:rsidRPr="00C6243E" w:rsidRDefault="000229F1" w:rsidP="00E50B9E">
      <w:pPr>
        <w:pStyle w:val="eTRMHeading5"/>
        <w:keepNext/>
        <w:keepLines/>
        <w:rPr>
          <w:rFonts w:cs="Calibri Light"/>
        </w:rPr>
      </w:pPr>
      <w:bookmarkStart w:id="29" w:name="_Hlk516047641"/>
      <w:r w:rsidRPr="00C6243E">
        <w:rPr>
          <w:rFonts w:cs="Calibri Light"/>
        </w:rPr>
        <w:t xml:space="preserve">Measure </w:t>
      </w:r>
      <w:r w:rsidR="003E50CF" w:rsidRPr="00C6243E">
        <w:rPr>
          <w:rFonts w:cs="Calibri Light"/>
        </w:rPr>
        <w:t>Implementation Eligibility</w:t>
      </w:r>
    </w:p>
    <w:p w14:paraId="2EF25B44" w14:textId="77777777" w:rsidR="004B0FA7" w:rsidRDefault="004B0FA7" w:rsidP="004B0FA7">
      <w:bookmarkStart w:id="30" w:name="_Hlk527543844"/>
      <w:bookmarkStart w:id="31" w:name="_Hlk526859582"/>
      <w:bookmarkEnd w:id="26"/>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30"/>
    </w:p>
    <w:bookmarkEnd w:id="31"/>
    <w:p w14:paraId="64E2F14F" w14:textId="297E2A65" w:rsidR="004E15AF" w:rsidRDefault="004E15AF" w:rsidP="004E15AF">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682D2E7E" w14:textId="285D94C1" w:rsidR="00646C6C" w:rsidRDefault="00646C6C" w:rsidP="004E15AF">
      <w:pPr>
        <w:rPr>
          <w:i/>
        </w:rPr>
      </w:pPr>
    </w:p>
    <w:p w14:paraId="2920890E" w14:textId="439E5F72" w:rsidR="00646C6C" w:rsidRPr="00CC4643" w:rsidRDefault="00646C6C" w:rsidP="004E15AF">
      <w:pPr>
        <w:rPr>
          <w:i/>
        </w:rPr>
      </w:pPr>
      <w:r>
        <w:rPr>
          <w:i/>
        </w:rPr>
        <w:t xml:space="preserve">Measure implementation must comply with all local and state requirements including but not limited to Energy Standards and NEC. </w:t>
      </w:r>
    </w:p>
    <w:p w14:paraId="080FA776" w14:textId="77777777" w:rsidR="00D40FF7" w:rsidRPr="00C6243E" w:rsidRDefault="00D40FF7" w:rsidP="00D40FF7">
      <w:pPr>
        <w:pStyle w:val="Caption"/>
      </w:pPr>
      <w:r w:rsidRPr="00C6243E">
        <w:lastRenderedPageBreak/>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D40FF7" w14:paraId="45C7B00F"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4FDAA490" w14:textId="77777777" w:rsidR="001B426F" w:rsidRPr="00CA50C3" w:rsidRDefault="001B426F" w:rsidP="001B426F">
            <w:pPr>
              <w:keepNext/>
              <w:spacing w:before="0" w:after="0"/>
              <w:rPr>
                <w:rFonts w:cs="Calibri Light"/>
                <w:b/>
                <w:bCs/>
                <w:szCs w:val="22"/>
              </w:rPr>
            </w:pPr>
            <w:r w:rsidRPr="00CA50C3">
              <w:rPr>
                <w:rFonts w:cs="Calibri Light"/>
                <w:b/>
                <w:bCs/>
                <w:szCs w:val="22"/>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11E80274" w14:textId="77777777" w:rsidR="001B426F" w:rsidRPr="00CA50C3" w:rsidRDefault="001B426F" w:rsidP="001B426F">
            <w:pPr>
              <w:keepNext/>
              <w:spacing w:before="0" w:after="0"/>
              <w:rPr>
                <w:rFonts w:cs="Calibri Light"/>
                <w:b/>
                <w:bCs/>
                <w:szCs w:val="22"/>
              </w:rPr>
            </w:pPr>
            <w:r w:rsidRPr="00CA50C3">
              <w:rPr>
                <w:rFonts w:cs="Calibri Light"/>
                <w:b/>
                <w:bCs/>
                <w:szCs w:val="22"/>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CB2E353" w14:textId="77777777" w:rsidR="001B426F" w:rsidRPr="00CA50C3" w:rsidRDefault="001B426F" w:rsidP="001B426F">
            <w:pPr>
              <w:keepNext/>
              <w:spacing w:before="0" w:after="0"/>
              <w:rPr>
                <w:rFonts w:cs="Calibri Light"/>
                <w:b/>
                <w:bCs/>
                <w:szCs w:val="22"/>
              </w:rPr>
            </w:pPr>
            <w:r w:rsidRPr="00CA50C3">
              <w:rPr>
                <w:rFonts w:cs="Calibri Light"/>
                <w:b/>
                <w:bCs/>
                <w:szCs w:val="22"/>
              </w:rPr>
              <w:t>Sector</w:t>
            </w:r>
          </w:p>
        </w:tc>
      </w:tr>
      <w:tr w:rsidR="000D7D80" w:rsidRPr="00D40FF7" w14:paraId="0BD0EEAD" w14:textId="77777777" w:rsidTr="00112455">
        <w:trPr>
          <w:trHeight w:val="290"/>
        </w:trPr>
        <w:tc>
          <w:tcPr>
            <w:tcW w:w="3024" w:type="dxa"/>
            <w:noWrap/>
            <w:tcMar>
              <w:top w:w="0" w:type="dxa"/>
              <w:left w:w="108" w:type="dxa"/>
              <w:bottom w:w="0" w:type="dxa"/>
              <w:right w:w="108" w:type="dxa"/>
            </w:tcMar>
          </w:tcPr>
          <w:p w14:paraId="18B9FF2D" w14:textId="2D8FC160" w:rsidR="000D7D80" w:rsidRPr="00CA50C3" w:rsidRDefault="000E4F6D" w:rsidP="000D7D80">
            <w:pPr>
              <w:keepNext/>
              <w:spacing w:before="0" w:after="0"/>
              <w:rPr>
                <w:rFonts w:cs="Calibri Light"/>
                <w:color w:val="000000"/>
                <w:szCs w:val="22"/>
              </w:rPr>
            </w:pPr>
            <w:r w:rsidRPr="00CA50C3">
              <w:rPr>
                <w:szCs w:val="22"/>
              </w:rPr>
              <w:t>Normal Replacement</w:t>
            </w:r>
          </w:p>
        </w:tc>
        <w:tc>
          <w:tcPr>
            <w:tcW w:w="3024" w:type="dxa"/>
            <w:noWrap/>
            <w:tcMar>
              <w:top w:w="0" w:type="dxa"/>
              <w:left w:w="108" w:type="dxa"/>
              <w:bottom w:w="0" w:type="dxa"/>
              <w:right w:w="108" w:type="dxa"/>
            </w:tcMar>
          </w:tcPr>
          <w:p w14:paraId="327F1F04" w14:textId="50F53780" w:rsidR="000D7D80" w:rsidRPr="00CA50C3" w:rsidRDefault="000D7D80" w:rsidP="000D7D80">
            <w:pPr>
              <w:keepNext/>
              <w:spacing w:before="0" w:after="0"/>
              <w:rPr>
                <w:rFonts w:cs="Calibri Light"/>
                <w:color w:val="000000"/>
                <w:szCs w:val="22"/>
              </w:rPr>
            </w:pPr>
            <w:r w:rsidRPr="00CA50C3">
              <w:rPr>
                <w:szCs w:val="22"/>
              </w:rPr>
              <w:t>DnDeemed</w:t>
            </w:r>
          </w:p>
        </w:tc>
        <w:tc>
          <w:tcPr>
            <w:tcW w:w="3024" w:type="dxa"/>
            <w:noWrap/>
            <w:tcMar>
              <w:top w:w="0" w:type="dxa"/>
              <w:left w:w="108" w:type="dxa"/>
              <w:bottom w:w="0" w:type="dxa"/>
              <w:right w:w="108" w:type="dxa"/>
            </w:tcMar>
          </w:tcPr>
          <w:p w14:paraId="51D5A2BC" w14:textId="4E0E3D4D" w:rsidR="000D7D80" w:rsidRPr="00CA50C3" w:rsidRDefault="00D40FF7" w:rsidP="000D7D80">
            <w:pPr>
              <w:keepNext/>
              <w:spacing w:before="0" w:after="0"/>
              <w:rPr>
                <w:rFonts w:cs="Calibri Light"/>
                <w:color w:val="000000"/>
                <w:szCs w:val="22"/>
              </w:rPr>
            </w:pPr>
            <w:r>
              <w:rPr>
                <w:rFonts w:cs="Calibri Light"/>
                <w:color w:val="000000"/>
                <w:szCs w:val="22"/>
              </w:rPr>
              <w:t>Com</w:t>
            </w:r>
          </w:p>
        </w:tc>
      </w:tr>
      <w:tr w:rsidR="004840DD" w:rsidRPr="00D40FF7" w14:paraId="0119AFA3" w14:textId="77777777" w:rsidTr="00112455">
        <w:trPr>
          <w:trHeight w:val="290"/>
        </w:trPr>
        <w:tc>
          <w:tcPr>
            <w:tcW w:w="3024" w:type="dxa"/>
            <w:noWrap/>
            <w:tcMar>
              <w:top w:w="0" w:type="dxa"/>
              <w:left w:w="108" w:type="dxa"/>
              <w:bottom w:w="0" w:type="dxa"/>
              <w:right w:w="108" w:type="dxa"/>
            </w:tcMar>
          </w:tcPr>
          <w:p w14:paraId="2B422933" w14:textId="03105987" w:rsidR="004840DD" w:rsidRPr="00CA50C3" w:rsidRDefault="004840DD" w:rsidP="004840DD">
            <w:pPr>
              <w:keepNext/>
              <w:spacing w:before="0" w:after="0"/>
              <w:rPr>
                <w:szCs w:val="22"/>
              </w:rPr>
            </w:pPr>
            <w:r w:rsidRPr="00CA50C3">
              <w:rPr>
                <w:szCs w:val="22"/>
              </w:rPr>
              <w:t>Normal Replacement</w:t>
            </w:r>
          </w:p>
        </w:tc>
        <w:tc>
          <w:tcPr>
            <w:tcW w:w="3024" w:type="dxa"/>
            <w:noWrap/>
            <w:tcMar>
              <w:top w:w="0" w:type="dxa"/>
              <w:left w:w="108" w:type="dxa"/>
              <w:bottom w:w="0" w:type="dxa"/>
              <w:right w:w="108" w:type="dxa"/>
            </w:tcMar>
          </w:tcPr>
          <w:p w14:paraId="2433453F" w14:textId="25472F5D" w:rsidR="004840DD" w:rsidRPr="00CA50C3" w:rsidRDefault="004840DD" w:rsidP="004840DD">
            <w:pPr>
              <w:keepNext/>
              <w:spacing w:before="0" w:after="0"/>
              <w:rPr>
                <w:szCs w:val="22"/>
              </w:rPr>
            </w:pPr>
            <w:r w:rsidRPr="00CA50C3">
              <w:rPr>
                <w:szCs w:val="22"/>
              </w:rPr>
              <w:t>DnDeemed</w:t>
            </w:r>
          </w:p>
        </w:tc>
        <w:tc>
          <w:tcPr>
            <w:tcW w:w="3024" w:type="dxa"/>
            <w:noWrap/>
            <w:tcMar>
              <w:top w:w="0" w:type="dxa"/>
              <w:left w:w="108" w:type="dxa"/>
              <w:bottom w:w="0" w:type="dxa"/>
              <w:right w:w="108" w:type="dxa"/>
            </w:tcMar>
          </w:tcPr>
          <w:p w14:paraId="5DF452CF" w14:textId="4061038D" w:rsidR="004840DD" w:rsidRPr="00842240" w:rsidRDefault="004840DD" w:rsidP="004840DD">
            <w:pPr>
              <w:keepNext/>
              <w:spacing w:before="0" w:after="0"/>
              <w:rPr>
                <w:rFonts w:cs="Calibri Light"/>
                <w:color w:val="000000"/>
                <w:szCs w:val="22"/>
              </w:rPr>
            </w:pPr>
            <w:r>
              <w:rPr>
                <w:rFonts w:cs="Calibri Light"/>
                <w:color w:val="000000"/>
                <w:szCs w:val="22"/>
              </w:rPr>
              <w:t>Ind</w:t>
            </w:r>
          </w:p>
        </w:tc>
      </w:tr>
      <w:tr w:rsidR="004840DD" w:rsidRPr="00D40FF7" w14:paraId="3F744FAA" w14:textId="77777777" w:rsidTr="00112455">
        <w:trPr>
          <w:trHeight w:val="290"/>
        </w:trPr>
        <w:tc>
          <w:tcPr>
            <w:tcW w:w="3024" w:type="dxa"/>
            <w:noWrap/>
            <w:tcMar>
              <w:top w:w="0" w:type="dxa"/>
              <w:left w:w="108" w:type="dxa"/>
              <w:bottom w:w="0" w:type="dxa"/>
              <w:right w:w="108" w:type="dxa"/>
            </w:tcMar>
          </w:tcPr>
          <w:p w14:paraId="5A8A8C4C" w14:textId="36F0D9C8" w:rsidR="004840DD" w:rsidRPr="00CA50C3" w:rsidRDefault="004840DD" w:rsidP="004840DD">
            <w:pPr>
              <w:keepNext/>
              <w:spacing w:before="0" w:after="0"/>
              <w:rPr>
                <w:szCs w:val="22"/>
              </w:rPr>
            </w:pPr>
            <w:r w:rsidRPr="00CA50C3">
              <w:rPr>
                <w:szCs w:val="22"/>
              </w:rPr>
              <w:t>Normal Replacement</w:t>
            </w:r>
          </w:p>
        </w:tc>
        <w:tc>
          <w:tcPr>
            <w:tcW w:w="3024" w:type="dxa"/>
            <w:noWrap/>
            <w:tcMar>
              <w:top w:w="0" w:type="dxa"/>
              <w:left w:w="108" w:type="dxa"/>
              <w:bottom w:w="0" w:type="dxa"/>
              <w:right w:w="108" w:type="dxa"/>
            </w:tcMar>
          </w:tcPr>
          <w:p w14:paraId="10353327" w14:textId="50DF93B7" w:rsidR="004840DD" w:rsidRPr="00CA50C3" w:rsidRDefault="004840DD" w:rsidP="004840DD">
            <w:pPr>
              <w:keepNext/>
              <w:spacing w:before="0" w:after="0"/>
              <w:rPr>
                <w:szCs w:val="22"/>
              </w:rPr>
            </w:pPr>
            <w:r w:rsidRPr="00CA50C3">
              <w:rPr>
                <w:szCs w:val="22"/>
              </w:rPr>
              <w:t>DnDeemed</w:t>
            </w:r>
          </w:p>
        </w:tc>
        <w:tc>
          <w:tcPr>
            <w:tcW w:w="3024" w:type="dxa"/>
            <w:noWrap/>
            <w:tcMar>
              <w:top w:w="0" w:type="dxa"/>
              <w:left w:w="108" w:type="dxa"/>
              <w:bottom w:w="0" w:type="dxa"/>
              <w:right w:w="108" w:type="dxa"/>
            </w:tcMar>
          </w:tcPr>
          <w:p w14:paraId="63F81617" w14:textId="15566AE0" w:rsidR="004840DD" w:rsidRPr="00842240" w:rsidRDefault="004840DD" w:rsidP="004840DD">
            <w:pPr>
              <w:keepNext/>
              <w:spacing w:before="0" w:after="0"/>
              <w:rPr>
                <w:rFonts w:cs="Calibri Light"/>
                <w:color w:val="000000"/>
                <w:szCs w:val="22"/>
              </w:rPr>
            </w:pPr>
            <w:r>
              <w:rPr>
                <w:rFonts w:cs="Calibri Light"/>
                <w:color w:val="000000"/>
                <w:szCs w:val="22"/>
              </w:rPr>
              <w:t>Res</w:t>
            </w:r>
          </w:p>
        </w:tc>
      </w:tr>
      <w:tr w:rsidR="00D40FF7" w:rsidRPr="00D40FF7" w14:paraId="33CC95DC" w14:textId="77777777" w:rsidTr="00112455">
        <w:trPr>
          <w:trHeight w:val="290"/>
        </w:trPr>
        <w:tc>
          <w:tcPr>
            <w:tcW w:w="3024" w:type="dxa"/>
            <w:noWrap/>
            <w:tcMar>
              <w:top w:w="0" w:type="dxa"/>
              <w:left w:w="108" w:type="dxa"/>
              <w:bottom w:w="0" w:type="dxa"/>
              <w:right w:w="108" w:type="dxa"/>
            </w:tcMar>
          </w:tcPr>
          <w:p w14:paraId="6961174C" w14:textId="3101F87D" w:rsidR="00D40FF7" w:rsidRPr="00CA50C3" w:rsidRDefault="00D40FF7" w:rsidP="00D40FF7">
            <w:pPr>
              <w:keepNext/>
              <w:spacing w:before="0" w:after="0"/>
              <w:rPr>
                <w:rFonts w:cs="Calibri Light"/>
                <w:color w:val="000000"/>
                <w:szCs w:val="22"/>
              </w:rPr>
            </w:pPr>
            <w:r w:rsidRPr="00CA50C3">
              <w:rPr>
                <w:szCs w:val="22"/>
              </w:rPr>
              <w:t>Normal Replacement</w:t>
            </w:r>
          </w:p>
        </w:tc>
        <w:tc>
          <w:tcPr>
            <w:tcW w:w="3024" w:type="dxa"/>
            <w:noWrap/>
            <w:tcMar>
              <w:top w:w="0" w:type="dxa"/>
              <w:left w:w="108" w:type="dxa"/>
              <w:bottom w:w="0" w:type="dxa"/>
              <w:right w:w="108" w:type="dxa"/>
            </w:tcMar>
          </w:tcPr>
          <w:p w14:paraId="4CC79E24" w14:textId="6A5EFC25" w:rsidR="00D40FF7" w:rsidRPr="00CA50C3" w:rsidRDefault="00D40FF7" w:rsidP="00D40FF7">
            <w:pPr>
              <w:keepNext/>
              <w:spacing w:before="0" w:after="0"/>
              <w:rPr>
                <w:rFonts w:cs="Calibri Light"/>
                <w:color w:val="000000"/>
                <w:szCs w:val="22"/>
              </w:rPr>
            </w:pPr>
            <w:r w:rsidRPr="00CA50C3">
              <w:rPr>
                <w:szCs w:val="22"/>
              </w:rPr>
              <w:t>DnDeemDI</w:t>
            </w:r>
          </w:p>
        </w:tc>
        <w:tc>
          <w:tcPr>
            <w:tcW w:w="3024" w:type="dxa"/>
            <w:noWrap/>
            <w:tcMar>
              <w:top w:w="0" w:type="dxa"/>
              <w:left w:w="108" w:type="dxa"/>
              <w:bottom w:w="0" w:type="dxa"/>
              <w:right w:w="108" w:type="dxa"/>
            </w:tcMar>
          </w:tcPr>
          <w:p w14:paraId="210ABB9F" w14:textId="61A03158" w:rsidR="00D40FF7" w:rsidRPr="00CA50C3" w:rsidRDefault="00D40FF7" w:rsidP="00D40FF7">
            <w:pPr>
              <w:keepNext/>
              <w:spacing w:before="0" w:after="0"/>
              <w:rPr>
                <w:rFonts w:cs="Calibri Light"/>
                <w:color w:val="000000"/>
                <w:szCs w:val="22"/>
              </w:rPr>
            </w:pPr>
            <w:r w:rsidRPr="00842240">
              <w:rPr>
                <w:rFonts w:cs="Calibri Light"/>
                <w:color w:val="000000"/>
                <w:szCs w:val="22"/>
              </w:rPr>
              <w:t>Com</w:t>
            </w:r>
          </w:p>
        </w:tc>
      </w:tr>
      <w:tr w:rsidR="004840DD" w:rsidRPr="00D40FF7" w14:paraId="19C364A2" w14:textId="77777777" w:rsidTr="00112455">
        <w:trPr>
          <w:trHeight w:val="290"/>
        </w:trPr>
        <w:tc>
          <w:tcPr>
            <w:tcW w:w="3024" w:type="dxa"/>
            <w:noWrap/>
            <w:tcMar>
              <w:top w:w="0" w:type="dxa"/>
              <w:left w:w="108" w:type="dxa"/>
              <w:bottom w:w="0" w:type="dxa"/>
              <w:right w:w="108" w:type="dxa"/>
            </w:tcMar>
          </w:tcPr>
          <w:p w14:paraId="5D1F8BE6" w14:textId="23EE61FB" w:rsidR="004840DD" w:rsidRPr="00CA50C3" w:rsidRDefault="004840DD" w:rsidP="004840DD">
            <w:pPr>
              <w:keepNext/>
              <w:spacing w:before="0" w:after="0"/>
              <w:rPr>
                <w:szCs w:val="22"/>
              </w:rPr>
            </w:pPr>
            <w:r w:rsidRPr="00CA50C3">
              <w:rPr>
                <w:szCs w:val="22"/>
              </w:rPr>
              <w:t>Normal Replacement</w:t>
            </w:r>
          </w:p>
        </w:tc>
        <w:tc>
          <w:tcPr>
            <w:tcW w:w="3024" w:type="dxa"/>
            <w:noWrap/>
            <w:tcMar>
              <w:top w:w="0" w:type="dxa"/>
              <w:left w:w="108" w:type="dxa"/>
              <w:bottom w:w="0" w:type="dxa"/>
              <w:right w:w="108" w:type="dxa"/>
            </w:tcMar>
          </w:tcPr>
          <w:p w14:paraId="1E46F1AA" w14:textId="0B319EF9" w:rsidR="004840DD" w:rsidRPr="00CA50C3" w:rsidRDefault="004840DD" w:rsidP="004840DD">
            <w:pPr>
              <w:keepNext/>
              <w:spacing w:before="0" w:after="0"/>
              <w:rPr>
                <w:szCs w:val="22"/>
              </w:rPr>
            </w:pPr>
            <w:r w:rsidRPr="00CA50C3">
              <w:rPr>
                <w:szCs w:val="22"/>
              </w:rPr>
              <w:t>DnDeemDI</w:t>
            </w:r>
          </w:p>
        </w:tc>
        <w:tc>
          <w:tcPr>
            <w:tcW w:w="3024" w:type="dxa"/>
            <w:noWrap/>
            <w:tcMar>
              <w:top w:w="0" w:type="dxa"/>
              <w:left w:w="108" w:type="dxa"/>
              <w:bottom w:w="0" w:type="dxa"/>
              <w:right w:w="108" w:type="dxa"/>
            </w:tcMar>
          </w:tcPr>
          <w:p w14:paraId="22B1CAF2" w14:textId="0CE9D04A" w:rsidR="004840DD" w:rsidRPr="00842240" w:rsidRDefault="004840DD" w:rsidP="004840DD">
            <w:pPr>
              <w:keepNext/>
              <w:spacing w:before="0" w:after="0"/>
              <w:rPr>
                <w:rFonts w:cs="Calibri Light"/>
                <w:color w:val="000000"/>
                <w:szCs w:val="22"/>
              </w:rPr>
            </w:pPr>
            <w:r>
              <w:rPr>
                <w:rFonts w:cs="Calibri Light"/>
                <w:color w:val="000000"/>
                <w:szCs w:val="22"/>
              </w:rPr>
              <w:t>Ind</w:t>
            </w:r>
          </w:p>
        </w:tc>
      </w:tr>
      <w:tr w:rsidR="004840DD" w:rsidRPr="00D40FF7" w14:paraId="775C8871" w14:textId="77777777" w:rsidTr="00112455">
        <w:trPr>
          <w:trHeight w:val="290"/>
        </w:trPr>
        <w:tc>
          <w:tcPr>
            <w:tcW w:w="3024" w:type="dxa"/>
            <w:noWrap/>
            <w:tcMar>
              <w:top w:w="0" w:type="dxa"/>
              <w:left w:w="108" w:type="dxa"/>
              <w:bottom w:w="0" w:type="dxa"/>
              <w:right w:w="108" w:type="dxa"/>
            </w:tcMar>
          </w:tcPr>
          <w:p w14:paraId="6288968F" w14:textId="09AC6032" w:rsidR="004840DD" w:rsidRPr="00CA50C3" w:rsidRDefault="004840DD" w:rsidP="004840DD">
            <w:pPr>
              <w:keepNext/>
              <w:spacing w:before="0" w:after="0"/>
              <w:rPr>
                <w:szCs w:val="22"/>
              </w:rPr>
            </w:pPr>
            <w:r w:rsidRPr="00CA50C3">
              <w:rPr>
                <w:szCs w:val="22"/>
              </w:rPr>
              <w:t>Normal Replacement</w:t>
            </w:r>
          </w:p>
        </w:tc>
        <w:tc>
          <w:tcPr>
            <w:tcW w:w="3024" w:type="dxa"/>
            <w:noWrap/>
            <w:tcMar>
              <w:top w:w="0" w:type="dxa"/>
              <w:left w:w="108" w:type="dxa"/>
              <w:bottom w:w="0" w:type="dxa"/>
              <w:right w:w="108" w:type="dxa"/>
            </w:tcMar>
          </w:tcPr>
          <w:p w14:paraId="2D04C471" w14:textId="34F3184F" w:rsidR="004840DD" w:rsidRPr="00CA50C3" w:rsidRDefault="004840DD" w:rsidP="004840DD">
            <w:pPr>
              <w:keepNext/>
              <w:spacing w:before="0" w:after="0"/>
              <w:rPr>
                <w:szCs w:val="22"/>
              </w:rPr>
            </w:pPr>
            <w:r w:rsidRPr="00CA50C3">
              <w:rPr>
                <w:szCs w:val="22"/>
              </w:rPr>
              <w:t>DnDeemDI</w:t>
            </w:r>
          </w:p>
        </w:tc>
        <w:tc>
          <w:tcPr>
            <w:tcW w:w="3024" w:type="dxa"/>
            <w:noWrap/>
            <w:tcMar>
              <w:top w:w="0" w:type="dxa"/>
              <w:left w:w="108" w:type="dxa"/>
              <w:bottom w:w="0" w:type="dxa"/>
              <w:right w:w="108" w:type="dxa"/>
            </w:tcMar>
          </w:tcPr>
          <w:p w14:paraId="2AF0EA62" w14:textId="58E7A662" w:rsidR="004840DD" w:rsidRPr="00842240" w:rsidRDefault="004840DD" w:rsidP="004840DD">
            <w:pPr>
              <w:keepNext/>
              <w:spacing w:before="0" w:after="0"/>
              <w:rPr>
                <w:rFonts w:cs="Calibri Light"/>
                <w:color w:val="000000"/>
                <w:szCs w:val="22"/>
              </w:rPr>
            </w:pPr>
            <w:r>
              <w:rPr>
                <w:rFonts w:cs="Calibri Light"/>
                <w:color w:val="000000"/>
                <w:szCs w:val="22"/>
              </w:rPr>
              <w:t>Res</w:t>
            </w:r>
          </w:p>
        </w:tc>
      </w:tr>
      <w:tr w:rsidR="00D40FF7" w:rsidRPr="00D40FF7" w14:paraId="39166737" w14:textId="77777777" w:rsidTr="00112455">
        <w:trPr>
          <w:trHeight w:val="290"/>
        </w:trPr>
        <w:tc>
          <w:tcPr>
            <w:tcW w:w="3024" w:type="dxa"/>
            <w:noWrap/>
            <w:tcMar>
              <w:top w:w="0" w:type="dxa"/>
              <w:left w:w="108" w:type="dxa"/>
              <w:bottom w:w="0" w:type="dxa"/>
              <w:right w:w="108" w:type="dxa"/>
            </w:tcMar>
          </w:tcPr>
          <w:p w14:paraId="4A9DDD42" w14:textId="1AECD1F6" w:rsidR="00D40FF7" w:rsidRPr="00CA50C3" w:rsidRDefault="00D40FF7" w:rsidP="00D40FF7">
            <w:pPr>
              <w:keepNext/>
              <w:spacing w:before="0" w:after="0"/>
              <w:rPr>
                <w:rFonts w:cs="Calibri Light"/>
                <w:color w:val="000000"/>
                <w:szCs w:val="22"/>
              </w:rPr>
            </w:pPr>
            <w:r w:rsidRPr="00CA50C3">
              <w:rPr>
                <w:szCs w:val="22"/>
              </w:rPr>
              <w:t>Normal Replacement</w:t>
            </w:r>
          </w:p>
        </w:tc>
        <w:tc>
          <w:tcPr>
            <w:tcW w:w="3024" w:type="dxa"/>
            <w:noWrap/>
            <w:tcMar>
              <w:top w:w="0" w:type="dxa"/>
              <w:left w:w="108" w:type="dxa"/>
              <w:bottom w:w="0" w:type="dxa"/>
              <w:right w:w="108" w:type="dxa"/>
            </w:tcMar>
          </w:tcPr>
          <w:p w14:paraId="253DF9A1" w14:textId="58FBFEB1" w:rsidR="00D40FF7" w:rsidRPr="00CA50C3" w:rsidRDefault="00D40FF7" w:rsidP="00D40FF7">
            <w:pPr>
              <w:keepNext/>
              <w:spacing w:before="0" w:after="0"/>
              <w:rPr>
                <w:rFonts w:cs="Calibri Light"/>
                <w:color w:val="000000"/>
                <w:szCs w:val="22"/>
              </w:rPr>
            </w:pPr>
            <w:r w:rsidRPr="00CA50C3">
              <w:rPr>
                <w:szCs w:val="22"/>
              </w:rPr>
              <w:t>UpDeemed</w:t>
            </w:r>
          </w:p>
        </w:tc>
        <w:tc>
          <w:tcPr>
            <w:tcW w:w="3024" w:type="dxa"/>
            <w:noWrap/>
            <w:tcMar>
              <w:top w:w="0" w:type="dxa"/>
              <w:left w:w="108" w:type="dxa"/>
              <w:bottom w:w="0" w:type="dxa"/>
              <w:right w:w="108" w:type="dxa"/>
            </w:tcMar>
          </w:tcPr>
          <w:p w14:paraId="559E685C" w14:textId="4D6B9808" w:rsidR="00D40FF7" w:rsidRPr="00CA50C3" w:rsidRDefault="00D40FF7" w:rsidP="00D40FF7">
            <w:pPr>
              <w:keepNext/>
              <w:spacing w:before="0" w:after="0"/>
              <w:rPr>
                <w:rFonts w:cs="Calibri Light"/>
                <w:color w:val="000000"/>
                <w:szCs w:val="22"/>
              </w:rPr>
            </w:pPr>
            <w:r w:rsidRPr="00842240">
              <w:rPr>
                <w:rFonts w:cs="Calibri Light"/>
                <w:color w:val="000000"/>
                <w:szCs w:val="22"/>
              </w:rPr>
              <w:t>Com</w:t>
            </w:r>
          </w:p>
        </w:tc>
      </w:tr>
      <w:tr w:rsidR="004840DD" w:rsidRPr="00D40FF7" w14:paraId="354472E3" w14:textId="77777777" w:rsidTr="00112455">
        <w:trPr>
          <w:trHeight w:val="290"/>
        </w:trPr>
        <w:tc>
          <w:tcPr>
            <w:tcW w:w="3024" w:type="dxa"/>
            <w:noWrap/>
            <w:tcMar>
              <w:top w:w="0" w:type="dxa"/>
              <w:left w:w="108" w:type="dxa"/>
              <w:bottom w:w="0" w:type="dxa"/>
              <w:right w:w="108" w:type="dxa"/>
            </w:tcMar>
          </w:tcPr>
          <w:p w14:paraId="3A63B842" w14:textId="46A4655D" w:rsidR="004840DD" w:rsidRPr="00CA50C3" w:rsidRDefault="004840DD" w:rsidP="004840DD">
            <w:pPr>
              <w:keepNext/>
              <w:spacing w:before="0" w:after="0"/>
              <w:rPr>
                <w:szCs w:val="22"/>
              </w:rPr>
            </w:pPr>
            <w:r w:rsidRPr="00CA50C3">
              <w:rPr>
                <w:szCs w:val="22"/>
              </w:rPr>
              <w:t>Normal Replacement</w:t>
            </w:r>
          </w:p>
        </w:tc>
        <w:tc>
          <w:tcPr>
            <w:tcW w:w="3024" w:type="dxa"/>
            <w:noWrap/>
            <w:tcMar>
              <w:top w:w="0" w:type="dxa"/>
              <w:left w:w="108" w:type="dxa"/>
              <w:bottom w:w="0" w:type="dxa"/>
              <w:right w:w="108" w:type="dxa"/>
            </w:tcMar>
          </w:tcPr>
          <w:p w14:paraId="1EA0840F" w14:textId="2BD18C9C" w:rsidR="004840DD" w:rsidRPr="00CA50C3" w:rsidRDefault="004840DD" w:rsidP="004840DD">
            <w:pPr>
              <w:keepNext/>
              <w:spacing w:before="0" w:after="0"/>
              <w:rPr>
                <w:szCs w:val="22"/>
              </w:rPr>
            </w:pPr>
            <w:r w:rsidRPr="00CA50C3">
              <w:rPr>
                <w:szCs w:val="22"/>
              </w:rPr>
              <w:t>UpDeemed</w:t>
            </w:r>
          </w:p>
        </w:tc>
        <w:tc>
          <w:tcPr>
            <w:tcW w:w="3024" w:type="dxa"/>
            <w:noWrap/>
            <w:tcMar>
              <w:top w:w="0" w:type="dxa"/>
              <w:left w:w="108" w:type="dxa"/>
              <w:bottom w:w="0" w:type="dxa"/>
              <w:right w:w="108" w:type="dxa"/>
            </w:tcMar>
          </w:tcPr>
          <w:p w14:paraId="0EF70340" w14:textId="1CF6B4AE" w:rsidR="004840DD" w:rsidRPr="00842240" w:rsidRDefault="004840DD" w:rsidP="004840DD">
            <w:pPr>
              <w:keepNext/>
              <w:spacing w:before="0" w:after="0"/>
              <w:rPr>
                <w:rFonts w:cs="Calibri Light"/>
                <w:color w:val="000000"/>
                <w:szCs w:val="22"/>
              </w:rPr>
            </w:pPr>
            <w:r>
              <w:rPr>
                <w:rFonts w:cs="Calibri Light"/>
                <w:color w:val="000000"/>
                <w:szCs w:val="22"/>
              </w:rPr>
              <w:t>Ind</w:t>
            </w:r>
          </w:p>
        </w:tc>
      </w:tr>
      <w:tr w:rsidR="004840DD" w:rsidRPr="00D40FF7" w14:paraId="1EEC1D20" w14:textId="77777777" w:rsidTr="00112455">
        <w:trPr>
          <w:trHeight w:val="290"/>
        </w:trPr>
        <w:tc>
          <w:tcPr>
            <w:tcW w:w="3024" w:type="dxa"/>
            <w:noWrap/>
            <w:tcMar>
              <w:top w:w="0" w:type="dxa"/>
              <w:left w:w="108" w:type="dxa"/>
              <w:bottom w:w="0" w:type="dxa"/>
              <w:right w:w="108" w:type="dxa"/>
            </w:tcMar>
          </w:tcPr>
          <w:p w14:paraId="6369C5DB" w14:textId="210BFEC3" w:rsidR="004840DD" w:rsidRPr="00CA50C3" w:rsidRDefault="004840DD" w:rsidP="004840DD">
            <w:pPr>
              <w:keepNext/>
              <w:spacing w:before="0" w:after="0"/>
              <w:rPr>
                <w:szCs w:val="22"/>
              </w:rPr>
            </w:pPr>
            <w:r w:rsidRPr="00CA50C3">
              <w:rPr>
                <w:szCs w:val="22"/>
              </w:rPr>
              <w:t>Normal Replacement</w:t>
            </w:r>
          </w:p>
        </w:tc>
        <w:tc>
          <w:tcPr>
            <w:tcW w:w="3024" w:type="dxa"/>
            <w:noWrap/>
            <w:tcMar>
              <w:top w:w="0" w:type="dxa"/>
              <w:left w:w="108" w:type="dxa"/>
              <w:bottom w:w="0" w:type="dxa"/>
              <w:right w:w="108" w:type="dxa"/>
            </w:tcMar>
          </w:tcPr>
          <w:p w14:paraId="6BD8592B" w14:textId="64393A42" w:rsidR="004840DD" w:rsidRPr="00CA50C3" w:rsidRDefault="004840DD" w:rsidP="004840DD">
            <w:pPr>
              <w:keepNext/>
              <w:spacing w:before="0" w:after="0"/>
              <w:rPr>
                <w:szCs w:val="22"/>
              </w:rPr>
            </w:pPr>
            <w:r w:rsidRPr="00CA50C3">
              <w:rPr>
                <w:szCs w:val="22"/>
              </w:rPr>
              <w:t>UpDeemed</w:t>
            </w:r>
          </w:p>
        </w:tc>
        <w:tc>
          <w:tcPr>
            <w:tcW w:w="3024" w:type="dxa"/>
            <w:noWrap/>
            <w:tcMar>
              <w:top w:w="0" w:type="dxa"/>
              <w:left w:w="108" w:type="dxa"/>
              <w:bottom w:w="0" w:type="dxa"/>
              <w:right w:w="108" w:type="dxa"/>
            </w:tcMar>
          </w:tcPr>
          <w:p w14:paraId="65E1B510" w14:textId="459FDDAC" w:rsidR="004840DD" w:rsidRPr="00842240" w:rsidRDefault="004840DD" w:rsidP="004840DD">
            <w:pPr>
              <w:keepNext/>
              <w:spacing w:before="0" w:after="0"/>
              <w:rPr>
                <w:rFonts w:cs="Calibri Light"/>
                <w:color w:val="000000"/>
                <w:szCs w:val="22"/>
              </w:rPr>
            </w:pPr>
            <w:r>
              <w:rPr>
                <w:rFonts w:cs="Calibri Light"/>
                <w:color w:val="000000"/>
                <w:szCs w:val="22"/>
              </w:rPr>
              <w:t>Res</w:t>
            </w:r>
          </w:p>
        </w:tc>
      </w:tr>
      <w:tr w:rsidR="00D40FF7" w:rsidRPr="00D40FF7" w14:paraId="49EC66ED" w14:textId="77777777" w:rsidTr="00112455">
        <w:trPr>
          <w:trHeight w:val="290"/>
        </w:trPr>
        <w:tc>
          <w:tcPr>
            <w:tcW w:w="3024" w:type="dxa"/>
            <w:noWrap/>
            <w:tcMar>
              <w:top w:w="0" w:type="dxa"/>
              <w:left w:w="108" w:type="dxa"/>
              <w:bottom w:w="0" w:type="dxa"/>
              <w:right w:w="108" w:type="dxa"/>
            </w:tcMar>
          </w:tcPr>
          <w:p w14:paraId="6119DC66" w14:textId="6D342E31" w:rsidR="00D40FF7" w:rsidRPr="00CA50C3" w:rsidRDefault="00D40FF7" w:rsidP="00D40FF7">
            <w:pPr>
              <w:keepNext/>
              <w:spacing w:before="0" w:after="0"/>
              <w:rPr>
                <w:szCs w:val="22"/>
              </w:rPr>
            </w:pPr>
            <w:r w:rsidRPr="00CA50C3">
              <w:rPr>
                <w:szCs w:val="22"/>
              </w:rPr>
              <w:t>New Construction</w:t>
            </w:r>
          </w:p>
        </w:tc>
        <w:tc>
          <w:tcPr>
            <w:tcW w:w="3024" w:type="dxa"/>
            <w:noWrap/>
            <w:tcMar>
              <w:top w:w="0" w:type="dxa"/>
              <w:left w:w="108" w:type="dxa"/>
              <w:bottom w:w="0" w:type="dxa"/>
              <w:right w:w="108" w:type="dxa"/>
            </w:tcMar>
          </w:tcPr>
          <w:p w14:paraId="382914E4" w14:textId="4C7C7B3F" w:rsidR="00D40FF7" w:rsidRPr="00CA50C3" w:rsidRDefault="00D40FF7" w:rsidP="00D40FF7">
            <w:pPr>
              <w:keepNext/>
              <w:spacing w:before="0" w:after="0"/>
              <w:rPr>
                <w:szCs w:val="22"/>
              </w:rPr>
            </w:pPr>
            <w:r w:rsidRPr="00CA50C3">
              <w:rPr>
                <w:szCs w:val="22"/>
              </w:rPr>
              <w:t>DnDeemed</w:t>
            </w:r>
          </w:p>
        </w:tc>
        <w:tc>
          <w:tcPr>
            <w:tcW w:w="3024" w:type="dxa"/>
            <w:noWrap/>
            <w:tcMar>
              <w:top w:w="0" w:type="dxa"/>
              <w:left w:w="108" w:type="dxa"/>
              <w:bottom w:w="0" w:type="dxa"/>
              <w:right w:w="108" w:type="dxa"/>
            </w:tcMar>
          </w:tcPr>
          <w:p w14:paraId="1B132E85" w14:textId="25EF02DD" w:rsidR="00D40FF7" w:rsidRPr="00CA50C3" w:rsidRDefault="00D40FF7" w:rsidP="00D40FF7">
            <w:pPr>
              <w:keepNext/>
              <w:spacing w:before="0" w:after="0"/>
              <w:rPr>
                <w:szCs w:val="22"/>
              </w:rPr>
            </w:pPr>
            <w:r w:rsidRPr="00842240">
              <w:rPr>
                <w:rFonts w:cs="Calibri Light"/>
                <w:color w:val="000000"/>
                <w:szCs w:val="22"/>
              </w:rPr>
              <w:t>Com</w:t>
            </w:r>
          </w:p>
        </w:tc>
      </w:tr>
      <w:tr w:rsidR="004840DD" w:rsidRPr="00D40FF7" w14:paraId="16996CE5" w14:textId="77777777" w:rsidTr="00112455">
        <w:trPr>
          <w:trHeight w:val="290"/>
        </w:trPr>
        <w:tc>
          <w:tcPr>
            <w:tcW w:w="3024" w:type="dxa"/>
            <w:noWrap/>
            <w:tcMar>
              <w:top w:w="0" w:type="dxa"/>
              <w:left w:w="108" w:type="dxa"/>
              <w:bottom w:w="0" w:type="dxa"/>
              <w:right w:w="108" w:type="dxa"/>
            </w:tcMar>
          </w:tcPr>
          <w:p w14:paraId="5792F917" w14:textId="4BA891B9" w:rsidR="004840DD" w:rsidRPr="00CA50C3" w:rsidRDefault="004840DD" w:rsidP="004840DD">
            <w:pPr>
              <w:keepNext/>
              <w:spacing w:before="0" w:after="0"/>
              <w:rPr>
                <w:szCs w:val="22"/>
              </w:rPr>
            </w:pPr>
            <w:r w:rsidRPr="00CA50C3">
              <w:rPr>
                <w:szCs w:val="22"/>
              </w:rPr>
              <w:t>New Construction</w:t>
            </w:r>
          </w:p>
        </w:tc>
        <w:tc>
          <w:tcPr>
            <w:tcW w:w="3024" w:type="dxa"/>
            <w:noWrap/>
            <w:tcMar>
              <w:top w:w="0" w:type="dxa"/>
              <w:left w:w="108" w:type="dxa"/>
              <w:bottom w:w="0" w:type="dxa"/>
              <w:right w:w="108" w:type="dxa"/>
            </w:tcMar>
          </w:tcPr>
          <w:p w14:paraId="3C6AD32E" w14:textId="1CEB3628" w:rsidR="004840DD" w:rsidRPr="00CA50C3" w:rsidRDefault="004840DD" w:rsidP="004840DD">
            <w:pPr>
              <w:keepNext/>
              <w:spacing w:before="0" w:after="0"/>
              <w:rPr>
                <w:szCs w:val="22"/>
              </w:rPr>
            </w:pPr>
            <w:r w:rsidRPr="00CA50C3">
              <w:rPr>
                <w:szCs w:val="22"/>
              </w:rPr>
              <w:t>DnDeemed</w:t>
            </w:r>
          </w:p>
        </w:tc>
        <w:tc>
          <w:tcPr>
            <w:tcW w:w="3024" w:type="dxa"/>
            <w:noWrap/>
            <w:tcMar>
              <w:top w:w="0" w:type="dxa"/>
              <w:left w:w="108" w:type="dxa"/>
              <w:bottom w:w="0" w:type="dxa"/>
              <w:right w:w="108" w:type="dxa"/>
            </w:tcMar>
          </w:tcPr>
          <w:p w14:paraId="69344DCC" w14:textId="259C9077" w:rsidR="004840DD" w:rsidRPr="00842240" w:rsidRDefault="004840DD" w:rsidP="004840DD">
            <w:pPr>
              <w:keepNext/>
              <w:spacing w:before="0" w:after="0"/>
              <w:rPr>
                <w:rFonts w:cs="Calibri Light"/>
                <w:color w:val="000000"/>
                <w:szCs w:val="22"/>
              </w:rPr>
            </w:pPr>
            <w:r>
              <w:rPr>
                <w:rFonts w:cs="Calibri Light"/>
                <w:color w:val="000000"/>
                <w:szCs w:val="22"/>
              </w:rPr>
              <w:t>Ind</w:t>
            </w:r>
          </w:p>
        </w:tc>
      </w:tr>
      <w:tr w:rsidR="004840DD" w:rsidRPr="00D40FF7" w14:paraId="5307F493" w14:textId="77777777" w:rsidTr="00112455">
        <w:trPr>
          <w:trHeight w:val="290"/>
        </w:trPr>
        <w:tc>
          <w:tcPr>
            <w:tcW w:w="3024" w:type="dxa"/>
            <w:noWrap/>
            <w:tcMar>
              <w:top w:w="0" w:type="dxa"/>
              <w:left w:w="108" w:type="dxa"/>
              <w:bottom w:w="0" w:type="dxa"/>
              <w:right w:w="108" w:type="dxa"/>
            </w:tcMar>
          </w:tcPr>
          <w:p w14:paraId="6A523F7F" w14:textId="06896F1B" w:rsidR="004840DD" w:rsidRPr="00CA50C3" w:rsidRDefault="004840DD" w:rsidP="004840DD">
            <w:pPr>
              <w:keepNext/>
              <w:spacing w:before="0" w:after="0"/>
              <w:rPr>
                <w:szCs w:val="22"/>
              </w:rPr>
            </w:pPr>
            <w:r w:rsidRPr="00CA50C3">
              <w:rPr>
                <w:szCs w:val="22"/>
              </w:rPr>
              <w:t>New Construction</w:t>
            </w:r>
          </w:p>
        </w:tc>
        <w:tc>
          <w:tcPr>
            <w:tcW w:w="3024" w:type="dxa"/>
            <w:noWrap/>
            <w:tcMar>
              <w:top w:w="0" w:type="dxa"/>
              <w:left w:w="108" w:type="dxa"/>
              <w:bottom w:w="0" w:type="dxa"/>
              <w:right w:w="108" w:type="dxa"/>
            </w:tcMar>
          </w:tcPr>
          <w:p w14:paraId="705AD322" w14:textId="617818BA" w:rsidR="004840DD" w:rsidRPr="00CA50C3" w:rsidRDefault="004840DD" w:rsidP="004840DD">
            <w:pPr>
              <w:keepNext/>
              <w:spacing w:before="0" w:after="0"/>
              <w:rPr>
                <w:szCs w:val="22"/>
              </w:rPr>
            </w:pPr>
            <w:r w:rsidRPr="00CA50C3">
              <w:rPr>
                <w:szCs w:val="22"/>
              </w:rPr>
              <w:t>DnDeemed</w:t>
            </w:r>
          </w:p>
        </w:tc>
        <w:tc>
          <w:tcPr>
            <w:tcW w:w="3024" w:type="dxa"/>
            <w:noWrap/>
            <w:tcMar>
              <w:top w:w="0" w:type="dxa"/>
              <w:left w:w="108" w:type="dxa"/>
              <w:bottom w:w="0" w:type="dxa"/>
              <w:right w:w="108" w:type="dxa"/>
            </w:tcMar>
          </w:tcPr>
          <w:p w14:paraId="6762C40C" w14:textId="444DAEA9" w:rsidR="004840DD" w:rsidRPr="00842240" w:rsidRDefault="004840DD" w:rsidP="004840DD">
            <w:pPr>
              <w:keepNext/>
              <w:spacing w:before="0" w:after="0"/>
              <w:rPr>
                <w:rFonts w:cs="Calibri Light"/>
                <w:color w:val="000000"/>
                <w:szCs w:val="22"/>
              </w:rPr>
            </w:pPr>
            <w:r>
              <w:rPr>
                <w:rFonts w:cs="Calibri Light"/>
                <w:color w:val="000000"/>
                <w:szCs w:val="22"/>
              </w:rPr>
              <w:t>Res</w:t>
            </w:r>
          </w:p>
        </w:tc>
      </w:tr>
      <w:tr w:rsidR="00D40FF7" w:rsidRPr="00D40FF7" w14:paraId="336498F7" w14:textId="77777777" w:rsidTr="00112455">
        <w:trPr>
          <w:trHeight w:val="290"/>
        </w:trPr>
        <w:tc>
          <w:tcPr>
            <w:tcW w:w="3024" w:type="dxa"/>
            <w:noWrap/>
            <w:tcMar>
              <w:top w:w="0" w:type="dxa"/>
              <w:left w:w="108" w:type="dxa"/>
              <w:bottom w:w="0" w:type="dxa"/>
              <w:right w:w="108" w:type="dxa"/>
            </w:tcMar>
          </w:tcPr>
          <w:p w14:paraId="0D357E4C" w14:textId="612522CA" w:rsidR="00D40FF7" w:rsidRPr="00CA50C3" w:rsidRDefault="00D40FF7" w:rsidP="00D40FF7">
            <w:pPr>
              <w:keepNext/>
              <w:spacing w:before="0" w:after="0"/>
              <w:rPr>
                <w:szCs w:val="22"/>
              </w:rPr>
            </w:pPr>
            <w:r w:rsidRPr="00CA50C3">
              <w:rPr>
                <w:szCs w:val="22"/>
              </w:rPr>
              <w:t>New Construction</w:t>
            </w:r>
          </w:p>
        </w:tc>
        <w:tc>
          <w:tcPr>
            <w:tcW w:w="3024" w:type="dxa"/>
            <w:noWrap/>
            <w:tcMar>
              <w:top w:w="0" w:type="dxa"/>
              <w:left w:w="108" w:type="dxa"/>
              <w:bottom w:w="0" w:type="dxa"/>
              <w:right w:w="108" w:type="dxa"/>
            </w:tcMar>
          </w:tcPr>
          <w:p w14:paraId="583AE82C" w14:textId="7B504029" w:rsidR="00D40FF7" w:rsidRPr="00CA50C3" w:rsidRDefault="00D40FF7" w:rsidP="00D40FF7">
            <w:pPr>
              <w:keepNext/>
              <w:spacing w:before="0" w:after="0"/>
              <w:rPr>
                <w:szCs w:val="22"/>
              </w:rPr>
            </w:pPr>
            <w:r w:rsidRPr="00CA50C3">
              <w:rPr>
                <w:szCs w:val="22"/>
              </w:rPr>
              <w:t>DnDeemDI</w:t>
            </w:r>
          </w:p>
        </w:tc>
        <w:tc>
          <w:tcPr>
            <w:tcW w:w="3024" w:type="dxa"/>
            <w:noWrap/>
            <w:tcMar>
              <w:top w:w="0" w:type="dxa"/>
              <w:left w:w="108" w:type="dxa"/>
              <w:bottom w:w="0" w:type="dxa"/>
              <w:right w:w="108" w:type="dxa"/>
            </w:tcMar>
          </w:tcPr>
          <w:p w14:paraId="66E9D386" w14:textId="03E61EC8" w:rsidR="00D40FF7" w:rsidRPr="00CA50C3" w:rsidRDefault="00D40FF7" w:rsidP="00D40FF7">
            <w:pPr>
              <w:keepNext/>
              <w:spacing w:before="0" w:after="0"/>
              <w:rPr>
                <w:szCs w:val="22"/>
              </w:rPr>
            </w:pPr>
            <w:r w:rsidRPr="00842240">
              <w:rPr>
                <w:rFonts w:cs="Calibri Light"/>
                <w:color w:val="000000"/>
                <w:szCs w:val="22"/>
              </w:rPr>
              <w:t>Com</w:t>
            </w:r>
          </w:p>
        </w:tc>
      </w:tr>
      <w:tr w:rsidR="004840DD" w:rsidRPr="00D40FF7" w14:paraId="6603121B" w14:textId="77777777" w:rsidTr="00112455">
        <w:trPr>
          <w:trHeight w:val="290"/>
        </w:trPr>
        <w:tc>
          <w:tcPr>
            <w:tcW w:w="3024" w:type="dxa"/>
            <w:noWrap/>
            <w:tcMar>
              <w:top w:w="0" w:type="dxa"/>
              <w:left w:w="108" w:type="dxa"/>
              <w:bottom w:w="0" w:type="dxa"/>
              <w:right w:w="108" w:type="dxa"/>
            </w:tcMar>
          </w:tcPr>
          <w:p w14:paraId="2123CE5B" w14:textId="56BC7EB5" w:rsidR="004840DD" w:rsidRPr="00CA50C3" w:rsidRDefault="004840DD" w:rsidP="004840DD">
            <w:pPr>
              <w:keepNext/>
              <w:spacing w:before="0" w:after="0"/>
              <w:rPr>
                <w:szCs w:val="22"/>
              </w:rPr>
            </w:pPr>
            <w:r w:rsidRPr="00CA50C3">
              <w:rPr>
                <w:szCs w:val="22"/>
              </w:rPr>
              <w:t>New Construction</w:t>
            </w:r>
          </w:p>
        </w:tc>
        <w:tc>
          <w:tcPr>
            <w:tcW w:w="3024" w:type="dxa"/>
            <w:noWrap/>
            <w:tcMar>
              <w:top w:w="0" w:type="dxa"/>
              <w:left w:w="108" w:type="dxa"/>
              <w:bottom w:w="0" w:type="dxa"/>
              <w:right w:w="108" w:type="dxa"/>
            </w:tcMar>
          </w:tcPr>
          <w:p w14:paraId="75B03F43" w14:textId="1855CB49" w:rsidR="004840DD" w:rsidRPr="00CA50C3" w:rsidRDefault="004840DD" w:rsidP="004840DD">
            <w:pPr>
              <w:keepNext/>
              <w:spacing w:before="0" w:after="0"/>
              <w:rPr>
                <w:szCs w:val="22"/>
              </w:rPr>
            </w:pPr>
            <w:r w:rsidRPr="00CA50C3">
              <w:rPr>
                <w:szCs w:val="22"/>
              </w:rPr>
              <w:t>DnDeemDI</w:t>
            </w:r>
          </w:p>
        </w:tc>
        <w:tc>
          <w:tcPr>
            <w:tcW w:w="3024" w:type="dxa"/>
            <w:noWrap/>
            <w:tcMar>
              <w:top w:w="0" w:type="dxa"/>
              <w:left w:w="108" w:type="dxa"/>
              <w:bottom w:w="0" w:type="dxa"/>
              <w:right w:w="108" w:type="dxa"/>
            </w:tcMar>
          </w:tcPr>
          <w:p w14:paraId="0577F51D" w14:textId="30A62CE1" w:rsidR="004840DD" w:rsidRPr="00842240" w:rsidRDefault="004840DD" w:rsidP="004840DD">
            <w:pPr>
              <w:keepNext/>
              <w:spacing w:before="0" w:after="0"/>
              <w:rPr>
                <w:rFonts w:cs="Calibri Light"/>
                <w:color w:val="000000"/>
                <w:szCs w:val="22"/>
              </w:rPr>
            </w:pPr>
            <w:r>
              <w:rPr>
                <w:rFonts w:cs="Calibri Light"/>
                <w:color w:val="000000"/>
                <w:szCs w:val="22"/>
              </w:rPr>
              <w:t>Ind</w:t>
            </w:r>
          </w:p>
        </w:tc>
      </w:tr>
      <w:tr w:rsidR="004840DD" w:rsidRPr="00D40FF7" w14:paraId="536C9772" w14:textId="77777777" w:rsidTr="00112455">
        <w:trPr>
          <w:trHeight w:val="290"/>
        </w:trPr>
        <w:tc>
          <w:tcPr>
            <w:tcW w:w="3024" w:type="dxa"/>
            <w:noWrap/>
            <w:tcMar>
              <w:top w:w="0" w:type="dxa"/>
              <w:left w:w="108" w:type="dxa"/>
              <w:bottom w:w="0" w:type="dxa"/>
              <w:right w:w="108" w:type="dxa"/>
            </w:tcMar>
          </w:tcPr>
          <w:p w14:paraId="6E8ABC27" w14:textId="2E6467B8" w:rsidR="004840DD" w:rsidRPr="00CA50C3" w:rsidRDefault="004840DD" w:rsidP="004840DD">
            <w:pPr>
              <w:keepNext/>
              <w:spacing w:before="0" w:after="0"/>
              <w:rPr>
                <w:szCs w:val="22"/>
              </w:rPr>
            </w:pPr>
            <w:r w:rsidRPr="00CA50C3">
              <w:rPr>
                <w:szCs w:val="22"/>
              </w:rPr>
              <w:t>New Construction</w:t>
            </w:r>
          </w:p>
        </w:tc>
        <w:tc>
          <w:tcPr>
            <w:tcW w:w="3024" w:type="dxa"/>
            <w:noWrap/>
            <w:tcMar>
              <w:top w:w="0" w:type="dxa"/>
              <w:left w:w="108" w:type="dxa"/>
              <w:bottom w:w="0" w:type="dxa"/>
              <w:right w:w="108" w:type="dxa"/>
            </w:tcMar>
          </w:tcPr>
          <w:p w14:paraId="5B610832" w14:textId="5CEBBA29" w:rsidR="004840DD" w:rsidRPr="00CA50C3" w:rsidRDefault="004840DD" w:rsidP="004840DD">
            <w:pPr>
              <w:keepNext/>
              <w:spacing w:before="0" w:after="0"/>
              <w:rPr>
                <w:szCs w:val="22"/>
              </w:rPr>
            </w:pPr>
            <w:r w:rsidRPr="00CA50C3">
              <w:rPr>
                <w:szCs w:val="22"/>
              </w:rPr>
              <w:t>DnDeemDI</w:t>
            </w:r>
          </w:p>
        </w:tc>
        <w:tc>
          <w:tcPr>
            <w:tcW w:w="3024" w:type="dxa"/>
            <w:noWrap/>
            <w:tcMar>
              <w:top w:w="0" w:type="dxa"/>
              <w:left w:w="108" w:type="dxa"/>
              <w:bottom w:w="0" w:type="dxa"/>
              <w:right w:w="108" w:type="dxa"/>
            </w:tcMar>
          </w:tcPr>
          <w:p w14:paraId="348452E3" w14:textId="0A36654B" w:rsidR="004840DD" w:rsidRPr="00842240" w:rsidRDefault="004840DD" w:rsidP="004840DD">
            <w:pPr>
              <w:keepNext/>
              <w:spacing w:before="0" w:after="0"/>
              <w:rPr>
                <w:rFonts w:cs="Calibri Light"/>
                <w:color w:val="000000"/>
                <w:szCs w:val="22"/>
              </w:rPr>
            </w:pPr>
            <w:r>
              <w:rPr>
                <w:rFonts w:cs="Calibri Light"/>
                <w:color w:val="000000"/>
                <w:szCs w:val="22"/>
              </w:rPr>
              <w:t>Res</w:t>
            </w:r>
          </w:p>
        </w:tc>
      </w:tr>
      <w:tr w:rsidR="00D40FF7" w:rsidRPr="00D40FF7" w14:paraId="2CBC6779" w14:textId="77777777" w:rsidTr="00112455">
        <w:trPr>
          <w:trHeight w:val="290"/>
        </w:trPr>
        <w:tc>
          <w:tcPr>
            <w:tcW w:w="3024" w:type="dxa"/>
            <w:noWrap/>
            <w:tcMar>
              <w:top w:w="0" w:type="dxa"/>
              <w:left w:w="108" w:type="dxa"/>
              <w:bottom w:w="0" w:type="dxa"/>
              <w:right w:w="108" w:type="dxa"/>
            </w:tcMar>
          </w:tcPr>
          <w:p w14:paraId="2B8281FF" w14:textId="29566857" w:rsidR="00D40FF7" w:rsidRPr="00CA50C3" w:rsidRDefault="00D40FF7" w:rsidP="00D40FF7">
            <w:pPr>
              <w:keepNext/>
              <w:spacing w:before="0" w:after="0"/>
              <w:rPr>
                <w:rFonts w:cs="Calibri Light"/>
                <w:color w:val="000000"/>
                <w:szCs w:val="22"/>
              </w:rPr>
            </w:pPr>
            <w:r w:rsidRPr="00CA50C3">
              <w:rPr>
                <w:szCs w:val="22"/>
              </w:rPr>
              <w:t>Accelerated Replacement</w:t>
            </w:r>
          </w:p>
        </w:tc>
        <w:tc>
          <w:tcPr>
            <w:tcW w:w="3024" w:type="dxa"/>
            <w:noWrap/>
            <w:tcMar>
              <w:top w:w="0" w:type="dxa"/>
              <w:left w:w="108" w:type="dxa"/>
              <w:bottom w:w="0" w:type="dxa"/>
              <w:right w:w="108" w:type="dxa"/>
            </w:tcMar>
          </w:tcPr>
          <w:p w14:paraId="48C1E562" w14:textId="5666B1AD" w:rsidR="00D40FF7" w:rsidRPr="00CA50C3" w:rsidRDefault="00D40FF7" w:rsidP="00D40FF7">
            <w:pPr>
              <w:keepNext/>
              <w:spacing w:before="0" w:after="0"/>
              <w:rPr>
                <w:rFonts w:cs="Calibri Light"/>
                <w:color w:val="000000"/>
                <w:szCs w:val="22"/>
              </w:rPr>
            </w:pPr>
            <w:r w:rsidRPr="00CA50C3">
              <w:rPr>
                <w:szCs w:val="22"/>
              </w:rPr>
              <w:t>DnDeemed</w:t>
            </w:r>
          </w:p>
        </w:tc>
        <w:tc>
          <w:tcPr>
            <w:tcW w:w="3024" w:type="dxa"/>
            <w:noWrap/>
            <w:tcMar>
              <w:top w:w="0" w:type="dxa"/>
              <w:left w:w="108" w:type="dxa"/>
              <w:bottom w:w="0" w:type="dxa"/>
              <w:right w:w="108" w:type="dxa"/>
            </w:tcMar>
          </w:tcPr>
          <w:p w14:paraId="5189C0F5" w14:textId="25584F3E" w:rsidR="00D40FF7" w:rsidRPr="00CA50C3" w:rsidRDefault="00D40FF7" w:rsidP="00D40FF7">
            <w:pPr>
              <w:keepNext/>
              <w:spacing w:before="0" w:after="0"/>
              <w:rPr>
                <w:rFonts w:cs="Calibri Light"/>
                <w:color w:val="000000"/>
                <w:szCs w:val="22"/>
              </w:rPr>
            </w:pPr>
            <w:r w:rsidRPr="00842240">
              <w:rPr>
                <w:rFonts w:cs="Calibri Light"/>
                <w:color w:val="000000"/>
                <w:szCs w:val="22"/>
              </w:rPr>
              <w:t>Com</w:t>
            </w:r>
          </w:p>
        </w:tc>
      </w:tr>
      <w:tr w:rsidR="004840DD" w:rsidRPr="00D40FF7" w14:paraId="66EEBC5D" w14:textId="77777777" w:rsidTr="00112455">
        <w:trPr>
          <w:trHeight w:val="290"/>
        </w:trPr>
        <w:tc>
          <w:tcPr>
            <w:tcW w:w="3024" w:type="dxa"/>
            <w:noWrap/>
            <w:tcMar>
              <w:top w:w="0" w:type="dxa"/>
              <w:left w:w="108" w:type="dxa"/>
              <w:bottom w:w="0" w:type="dxa"/>
              <w:right w:w="108" w:type="dxa"/>
            </w:tcMar>
          </w:tcPr>
          <w:p w14:paraId="17BDC61D" w14:textId="49ABEB40" w:rsidR="004840DD" w:rsidRPr="00CA50C3" w:rsidRDefault="004840DD" w:rsidP="004840DD">
            <w:pPr>
              <w:keepNext/>
              <w:spacing w:before="0" w:after="0"/>
              <w:rPr>
                <w:szCs w:val="22"/>
              </w:rPr>
            </w:pPr>
            <w:r w:rsidRPr="00CA50C3">
              <w:rPr>
                <w:szCs w:val="22"/>
              </w:rPr>
              <w:t>Accelerated Replacement</w:t>
            </w:r>
          </w:p>
        </w:tc>
        <w:tc>
          <w:tcPr>
            <w:tcW w:w="3024" w:type="dxa"/>
            <w:noWrap/>
            <w:tcMar>
              <w:top w:w="0" w:type="dxa"/>
              <w:left w:w="108" w:type="dxa"/>
              <w:bottom w:w="0" w:type="dxa"/>
              <w:right w:w="108" w:type="dxa"/>
            </w:tcMar>
          </w:tcPr>
          <w:p w14:paraId="66661296" w14:textId="636CD316" w:rsidR="004840DD" w:rsidRPr="00CA50C3" w:rsidRDefault="004840DD" w:rsidP="004840DD">
            <w:pPr>
              <w:keepNext/>
              <w:spacing w:before="0" w:after="0"/>
              <w:rPr>
                <w:szCs w:val="22"/>
              </w:rPr>
            </w:pPr>
            <w:r w:rsidRPr="00CA50C3">
              <w:rPr>
                <w:szCs w:val="22"/>
              </w:rPr>
              <w:t>DnDeemed</w:t>
            </w:r>
          </w:p>
        </w:tc>
        <w:tc>
          <w:tcPr>
            <w:tcW w:w="3024" w:type="dxa"/>
            <w:noWrap/>
            <w:tcMar>
              <w:top w:w="0" w:type="dxa"/>
              <w:left w:w="108" w:type="dxa"/>
              <w:bottom w:w="0" w:type="dxa"/>
              <w:right w:w="108" w:type="dxa"/>
            </w:tcMar>
          </w:tcPr>
          <w:p w14:paraId="74E3EC57" w14:textId="650D6C56" w:rsidR="004840DD" w:rsidRPr="00842240" w:rsidRDefault="004840DD" w:rsidP="004840DD">
            <w:pPr>
              <w:keepNext/>
              <w:spacing w:before="0" w:after="0"/>
              <w:rPr>
                <w:rFonts w:cs="Calibri Light"/>
                <w:color w:val="000000"/>
                <w:szCs w:val="22"/>
              </w:rPr>
            </w:pPr>
            <w:r>
              <w:rPr>
                <w:rFonts w:cs="Calibri Light"/>
                <w:color w:val="000000"/>
                <w:szCs w:val="22"/>
              </w:rPr>
              <w:t>Ind</w:t>
            </w:r>
          </w:p>
        </w:tc>
      </w:tr>
      <w:tr w:rsidR="004840DD" w:rsidRPr="00D40FF7" w14:paraId="6EFBC002" w14:textId="77777777" w:rsidTr="00112455">
        <w:trPr>
          <w:trHeight w:val="290"/>
        </w:trPr>
        <w:tc>
          <w:tcPr>
            <w:tcW w:w="3024" w:type="dxa"/>
            <w:noWrap/>
            <w:tcMar>
              <w:top w:w="0" w:type="dxa"/>
              <w:left w:w="108" w:type="dxa"/>
              <w:bottom w:w="0" w:type="dxa"/>
              <w:right w:w="108" w:type="dxa"/>
            </w:tcMar>
          </w:tcPr>
          <w:p w14:paraId="045C6568" w14:textId="60EACEDA" w:rsidR="004840DD" w:rsidRPr="00CA50C3" w:rsidRDefault="004840DD" w:rsidP="004840DD">
            <w:pPr>
              <w:keepNext/>
              <w:spacing w:before="0" w:after="0"/>
              <w:rPr>
                <w:szCs w:val="22"/>
              </w:rPr>
            </w:pPr>
            <w:r w:rsidRPr="00CA50C3">
              <w:rPr>
                <w:szCs w:val="22"/>
              </w:rPr>
              <w:t>Accelerated Replacement</w:t>
            </w:r>
          </w:p>
        </w:tc>
        <w:tc>
          <w:tcPr>
            <w:tcW w:w="3024" w:type="dxa"/>
            <w:noWrap/>
            <w:tcMar>
              <w:top w:w="0" w:type="dxa"/>
              <w:left w:w="108" w:type="dxa"/>
              <w:bottom w:w="0" w:type="dxa"/>
              <w:right w:w="108" w:type="dxa"/>
            </w:tcMar>
          </w:tcPr>
          <w:p w14:paraId="67AB02F2" w14:textId="2B0E7590" w:rsidR="004840DD" w:rsidRPr="00CA50C3" w:rsidRDefault="004840DD" w:rsidP="004840DD">
            <w:pPr>
              <w:keepNext/>
              <w:spacing w:before="0" w:after="0"/>
              <w:rPr>
                <w:szCs w:val="22"/>
              </w:rPr>
            </w:pPr>
            <w:r w:rsidRPr="00CA50C3">
              <w:rPr>
                <w:szCs w:val="22"/>
              </w:rPr>
              <w:t>DnDeemed</w:t>
            </w:r>
          </w:p>
        </w:tc>
        <w:tc>
          <w:tcPr>
            <w:tcW w:w="3024" w:type="dxa"/>
            <w:noWrap/>
            <w:tcMar>
              <w:top w:w="0" w:type="dxa"/>
              <w:left w:w="108" w:type="dxa"/>
              <w:bottom w:w="0" w:type="dxa"/>
              <w:right w:w="108" w:type="dxa"/>
            </w:tcMar>
          </w:tcPr>
          <w:p w14:paraId="269CF8A6" w14:textId="45F8436A" w:rsidR="004840DD" w:rsidRPr="00842240" w:rsidRDefault="004840DD" w:rsidP="004840DD">
            <w:pPr>
              <w:keepNext/>
              <w:spacing w:before="0" w:after="0"/>
              <w:rPr>
                <w:rFonts w:cs="Calibri Light"/>
                <w:color w:val="000000"/>
                <w:szCs w:val="22"/>
              </w:rPr>
            </w:pPr>
            <w:r>
              <w:rPr>
                <w:rFonts w:cs="Calibri Light"/>
                <w:color w:val="000000"/>
                <w:szCs w:val="22"/>
              </w:rPr>
              <w:t>Res</w:t>
            </w:r>
          </w:p>
        </w:tc>
      </w:tr>
      <w:tr w:rsidR="00D40FF7" w:rsidRPr="00D40FF7" w14:paraId="07234CBE" w14:textId="77777777" w:rsidTr="00112455">
        <w:trPr>
          <w:trHeight w:val="290"/>
        </w:trPr>
        <w:tc>
          <w:tcPr>
            <w:tcW w:w="3024" w:type="dxa"/>
            <w:noWrap/>
            <w:tcMar>
              <w:top w:w="0" w:type="dxa"/>
              <w:left w:w="108" w:type="dxa"/>
              <w:bottom w:w="0" w:type="dxa"/>
              <w:right w:w="108" w:type="dxa"/>
            </w:tcMar>
          </w:tcPr>
          <w:p w14:paraId="3BCC4EEB" w14:textId="72EDA72C" w:rsidR="00D40FF7" w:rsidRPr="00CA50C3" w:rsidRDefault="00D40FF7" w:rsidP="00D40FF7">
            <w:pPr>
              <w:keepNext/>
              <w:spacing w:before="0" w:after="0"/>
              <w:rPr>
                <w:szCs w:val="22"/>
              </w:rPr>
            </w:pPr>
            <w:r w:rsidRPr="00CA50C3">
              <w:rPr>
                <w:szCs w:val="22"/>
              </w:rPr>
              <w:t>Accelerated Replacement</w:t>
            </w:r>
          </w:p>
        </w:tc>
        <w:tc>
          <w:tcPr>
            <w:tcW w:w="3024" w:type="dxa"/>
            <w:noWrap/>
            <w:tcMar>
              <w:top w:w="0" w:type="dxa"/>
              <w:left w:w="108" w:type="dxa"/>
              <w:bottom w:w="0" w:type="dxa"/>
              <w:right w:w="108" w:type="dxa"/>
            </w:tcMar>
          </w:tcPr>
          <w:p w14:paraId="27FC5EAC" w14:textId="3CBB30D6" w:rsidR="00D40FF7" w:rsidRPr="00CA50C3" w:rsidRDefault="00D40FF7" w:rsidP="00D40FF7">
            <w:pPr>
              <w:keepNext/>
              <w:spacing w:before="0" w:after="0"/>
              <w:rPr>
                <w:szCs w:val="22"/>
              </w:rPr>
            </w:pPr>
            <w:r w:rsidRPr="00CA50C3">
              <w:rPr>
                <w:szCs w:val="22"/>
              </w:rPr>
              <w:t>DnDeemDI</w:t>
            </w:r>
          </w:p>
        </w:tc>
        <w:tc>
          <w:tcPr>
            <w:tcW w:w="3024" w:type="dxa"/>
            <w:noWrap/>
            <w:tcMar>
              <w:top w:w="0" w:type="dxa"/>
              <w:left w:w="108" w:type="dxa"/>
              <w:bottom w:w="0" w:type="dxa"/>
              <w:right w:w="108" w:type="dxa"/>
            </w:tcMar>
          </w:tcPr>
          <w:p w14:paraId="17C8A309" w14:textId="2B7B3DC5" w:rsidR="00D40FF7" w:rsidRPr="00CA50C3" w:rsidRDefault="00D40FF7" w:rsidP="00D40FF7">
            <w:pPr>
              <w:keepNext/>
              <w:spacing w:before="0" w:after="0"/>
              <w:rPr>
                <w:szCs w:val="22"/>
              </w:rPr>
            </w:pPr>
            <w:r w:rsidRPr="00842240">
              <w:rPr>
                <w:rFonts w:cs="Calibri Light"/>
                <w:color w:val="000000"/>
                <w:szCs w:val="22"/>
              </w:rPr>
              <w:t>Com</w:t>
            </w:r>
          </w:p>
        </w:tc>
      </w:tr>
      <w:tr w:rsidR="004840DD" w:rsidRPr="00D40FF7" w14:paraId="3585A83F" w14:textId="77777777" w:rsidTr="00112455">
        <w:trPr>
          <w:trHeight w:val="290"/>
        </w:trPr>
        <w:tc>
          <w:tcPr>
            <w:tcW w:w="3024" w:type="dxa"/>
            <w:noWrap/>
            <w:tcMar>
              <w:top w:w="0" w:type="dxa"/>
              <w:left w:w="108" w:type="dxa"/>
              <w:bottom w:w="0" w:type="dxa"/>
              <w:right w:w="108" w:type="dxa"/>
            </w:tcMar>
          </w:tcPr>
          <w:p w14:paraId="1635E354" w14:textId="0141E05F" w:rsidR="004840DD" w:rsidRPr="00CA50C3" w:rsidRDefault="004840DD" w:rsidP="004840DD">
            <w:pPr>
              <w:keepNext/>
              <w:spacing w:before="0" w:after="0"/>
              <w:rPr>
                <w:szCs w:val="22"/>
              </w:rPr>
            </w:pPr>
            <w:r w:rsidRPr="00CA50C3">
              <w:rPr>
                <w:szCs w:val="22"/>
              </w:rPr>
              <w:t>Accelerated Replacement</w:t>
            </w:r>
          </w:p>
        </w:tc>
        <w:tc>
          <w:tcPr>
            <w:tcW w:w="3024" w:type="dxa"/>
            <w:noWrap/>
            <w:tcMar>
              <w:top w:w="0" w:type="dxa"/>
              <w:left w:w="108" w:type="dxa"/>
              <w:bottom w:w="0" w:type="dxa"/>
              <w:right w:w="108" w:type="dxa"/>
            </w:tcMar>
          </w:tcPr>
          <w:p w14:paraId="2C5EC7E3" w14:textId="574940B3" w:rsidR="004840DD" w:rsidRPr="00CA50C3" w:rsidRDefault="004840DD" w:rsidP="004840DD">
            <w:pPr>
              <w:keepNext/>
              <w:spacing w:before="0" w:after="0"/>
              <w:rPr>
                <w:szCs w:val="22"/>
              </w:rPr>
            </w:pPr>
            <w:r w:rsidRPr="00CA50C3">
              <w:rPr>
                <w:szCs w:val="22"/>
              </w:rPr>
              <w:t>DnDeemDI</w:t>
            </w:r>
          </w:p>
        </w:tc>
        <w:tc>
          <w:tcPr>
            <w:tcW w:w="3024" w:type="dxa"/>
            <w:noWrap/>
            <w:tcMar>
              <w:top w:w="0" w:type="dxa"/>
              <w:left w:w="108" w:type="dxa"/>
              <w:bottom w:w="0" w:type="dxa"/>
              <w:right w:w="108" w:type="dxa"/>
            </w:tcMar>
          </w:tcPr>
          <w:p w14:paraId="4B27160C" w14:textId="52BAC1EE" w:rsidR="004840DD" w:rsidRPr="00842240" w:rsidRDefault="004840DD" w:rsidP="004840DD">
            <w:pPr>
              <w:keepNext/>
              <w:spacing w:before="0" w:after="0"/>
              <w:rPr>
                <w:rFonts w:cs="Calibri Light"/>
                <w:color w:val="000000"/>
                <w:szCs w:val="22"/>
              </w:rPr>
            </w:pPr>
            <w:r>
              <w:rPr>
                <w:rFonts w:cs="Calibri Light"/>
                <w:color w:val="000000"/>
                <w:szCs w:val="22"/>
              </w:rPr>
              <w:t>Ind</w:t>
            </w:r>
          </w:p>
        </w:tc>
      </w:tr>
      <w:tr w:rsidR="004840DD" w:rsidRPr="00D40FF7" w14:paraId="35205E0D" w14:textId="77777777" w:rsidTr="00112455">
        <w:trPr>
          <w:trHeight w:val="290"/>
        </w:trPr>
        <w:tc>
          <w:tcPr>
            <w:tcW w:w="3024" w:type="dxa"/>
            <w:noWrap/>
            <w:tcMar>
              <w:top w:w="0" w:type="dxa"/>
              <w:left w:w="108" w:type="dxa"/>
              <w:bottom w:w="0" w:type="dxa"/>
              <w:right w:w="108" w:type="dxa"/>
            </w:tcMar>
          </w:tcPr>
          <w:p w14:paraId="188C2A9C" w14:textId="304408F8" w:rsidR="004840DD" w:rsidRPr="00CA50C3" w:rsidRDefault="004840DD" w:rsidP="004840DD">
            <w:pPr>
              <w:keepNext/>
              <w:spacing w:before="0" w:after="0"/>
              <w:rPr>
                <w:szCs w:val="22"/>
              </w:rPr>
            </w:pPr>
            <w:r w:rsidRPr="00CA50C3">
              <w:rPr>
                <w:szCs w:val="22"/>
              </w:rPr>
              <w:t>Accelerated Replacement</w:t>
            </w:r>
          </w:p>
        </w:tc>
        <w:tc>
          <w:tcPr>
            <w:tcW w:w="3024" w:type="dxa"/>
            <w:noWrap/>
            <w:tcMar>
              <w:top w:w="0" w:type="dxa"/>
              <w:left w:w="108" w:type="dxa"/>
              <w:bottom w:w="0" w:type="dxa"/>
              <w:right w:w="108" w:type="dxa"/>
            </w:tcMar>
          </w:tcPr>
          <w:p w14:paraId="544B6DE6" w14:textId="3D18CD4A" w:rsidR="004840DD" w:rsidRPr="00CA50C3" w:rsidRDefault="004840DD" w:rsidP="004840DD">
            <w:pPr>
              <w:keepNext/>
              <w:spacing w:before="0" w:after="0"/>
              <w:rPr>
                <w:szCs w:val="22"/>
              </w:rPr>
            </w:pPr>
            <w:r w:rsidRPr="00CA50C3">
              <w:rPr>
                <w:szCs w:val="22"/>
              </w:rPr>
              <w:t>DnDeemDI</w:t>
            </w:r>
          </w:p>
        </w:tc>
        <w:tc>
          <w:tcPr>
            <w:tcW w:w="3024" w:type="dxa"/>
            <w:noWrap/>
            <w:tcMar>
              <w:top w:w="0" w:type="dxa"/>
              <w:left w:w="108" w:type="dxa"/>
              <w:bottom w:w="0" w:type="dxa"/>
              <w:right w:w="108" w:type="dxa"/>
            </w:tcMar>
          </w:tcPr>
          <w:p w14:paraId="6CC3F87A" w14:textId="030B3C21" w:rsidR="004840DD" w:rsidRPr="00842240" w:rsidRDefault="004840DD" w:rsidP="004840DD">
            <w:pPr>
              <w:keepNext/>
              <w:spacing w:before="0" w:after="0"/>
              <w:rPr>
                <w:rFonts w:cs="Calibri Light"/>
                <w:color w:val="000000"/>
                <w:szCs w:val="22"/>
              </w:rPr>
            </w:pPr>
            <w:r>
              <w:rPr>
                <w:rFonts w:cs="Calibri Light"/>
                <w:color w:val="000000"/>
                <w:szCs w:val="22"/>
              </w:rPr>
              <w:t>Res</w:t>
            </w:r>
          </w:p>
        </w:tc>
      </w:tr>
    </w:tbl>
    <w:p w14:paraId="73062DDC" w14:textId="77777777" w:rsidR="00D40FF7" w:rsidRDefault="00D40FF7" w:rsidP="004E15AF">
      <w:pPr>
        <w:rPr>
          <w:i/>
          <w:color w:val="5F5F5F"/>
        </w:rPr>
      </w:pPr>
    </w:p>
    <w:p w14:paraId="3063B124" w14:textId="038DD3E2" w:rsidR="004E15AF" w:rsidRPr="00BF14AA" w:rsidRDefault="004E15AF" w:rsidP="004E15AF">
      <w:pPr>
        <w:rPr>
          <w:b/>
          <w:bCs/>
        </w:rPr>
      </w:pPr>
      <w:r w:rsidRPr="00BF14AA">
        <w:rPr>
          <w:b/>
          <w:bCs/>
          <w:i/>
          <w:color w:val="5F5F5F"/>
        </w:rPr>
        <w:t>Required Documentation for Normal Replacement in Upstream and Mid-Stream Delivery</w:t>
      </w:r>
    </w:p>
    <w:p w14:paraId="2EE4EC83" w14:textId="013C3AA1" w:rsidR="0096734B" w:rsidRDefault="00D24095" w:rsidP="00D24095">
      <w:r>
        <w:t>For upstream/</w:t>
      </w:r>
      <w:r w:rsidR="00D40FF7">
        <w:t>midstream</w:t>
      </w:r>
      <w:r w:rsidR="004E15AF">
        <w:t xml:space="preserve"> </w:t>
      </w:r>
      <w:r>
        <w:t xml:space="preserve">delivery </w:t>
      </w:r>
      <w:r w:rsidR="00D40FF7">
        <w:t>types</w:t>
      </w:r>
      <w:r>
        <w:t xml:space="preserve">, the participant baselines </w:t>
      </w:r>
      <w:r w:rsidR="00D40FF7">
        <w:t xml:space="preserve">and spillover effects </w:t>
      </w:r>
      <w:r>
        <w:t xml:space="preserve">are unknown. </w:t>
      </w:r>
      <w:r w:rsidR="00D40FF7">
        <w:t>Furthermore, t</w:t>
      </w:r>
      <w:r>
        <w:t>he manufacturer</w:t>
      </w:r>
      <w:r w:rsidR="00D40FF7">
        <w:t>(s)</w:t>
      </w:r>
      <w:r>
        <w:t xml:space="preserve"> </w:t>
      </w:r>
      <w:r w:rsidR="00D40FF7">
        <w:t xml:space="preserve">and </w:t>
      </w:r>
      <w:r>
        <w:t>distributor</w:t>
      </w:r>
      <w:r w:rsidR="00D40FF7">
        <w:t>(s)</w:t>
      </w:r>
      <w:r>
        <w:t xml:space="preserve"> </w:t>
      </w:r>
      <w:r w:rsidR="00D40FF7">
        <w:t xml:space="preserve">do not </w:t>
      </w:r>
      <w:r>
        <w:t xml:space="preserve">know </w:t>
      </w:r>
      <w:r w:rsidR="00D40FF7">
        <w:t xml:space="preserve">if </w:t>
      </w:r>
      <w:r>
        <w:t xml:space="preserve">the purchased measure is replacing a gas or an electric baseline appliance. Claimed savings for these delivery types will be adjusted using the ratio of baseline gas appliance to total baseline appliances. </w:t>
      </w:r>
      <w:r w:rsidR="004B0FA7">
        <w:t xml:space="preserve">These ratios will be determined from the CPUC sponsored saturation studies. </w:t>
      </w:r>
      <w:r>
        <w:t xml:space="preserve">The implementer shall survey 10% of </w:t>
      </w:r>
      <w:r w:rsidRPr="004E15AF">
        <w:t xml:space="preserve">the </w:t>
      </w:r>
      <w:r w:rsidR="00D40FF7">
        <w:t>midstream</w:t>
      </w:r>
      <w:r w:rsidRPr="004E15AF">
        <w:t xml:space="preserve"> </w:t>
      </w:r>
      <w:r>
        <w:t xml:space="preserve">installations, to determine actual gas/electric baseline proportions, and </w:t>
      </w:r>
      <w:r w:rsidR="005641EF">
        <w:t xml:space="preserve">the program administrator shall </w:t>
      </w:r>
      <w:r>
        <w:t>adjust claimed savings based upon these survey results.</w:t>
      </w:r>
      <w:r w:rsidR="0096734B">
        <w:t xml:space="preserve"> This survey will be conducted monthly, by e-mail. </w:t>
      </w:r>
      <w:r w:rsidR="00D40FF7">
        <w:t>A s</w:t>
      </w:r>
      <w:r w:rsidR="0096734B">
        <w:t>ample survey question is as follows:</w:t>
      </w:r>
    </w:p>
    <w:p w14:paraId="2F61D16E" w14:textId="11F6B943" w:rsidR="0096734B" w:rsidRDefault="0096734B" w:rsidP="00770248">
      <w:pPr>
        <w:spacing w:before="0" w:after="0" w:line="240" w:lineRule="auto"/>
      </w:pPr>
      <w:r>
        <w:t xml:space="preserve">“What was the fuel source of the equipment you </w:t>
      </w:r>
      <w:r w:rsidRPr="0096734B">
        <w:rPr>
          <w:u w:val="single"/>
        </w:rPr>
        <w:t>replaced</w:t>
      </w:r>
      <w:r>
        <w:t>?”</w:t>
      </w:r>
    </w:p>
    <w:p w14:paraId="56AC27AD" w14:textId="77777777" w:rsidR="0096734B" w:rsidRDefault="0096734B" w:rsidP="0096734B">
      <w:pPr>
        <w:pStyle w:val="ListParagraph"/>
        <w:numPr>
          <w:ilvl w:val="0"/>
          <w:numId w:val="37"/>
        </w:numPr>
        <w:spacing w:before="0" w:after="160" w:line="259" w:lineRule="auto"/>
      </w:pPr>
      <w:r>
        <w:t xml:space="preserve">Gas </w:t>
      </w:r>
    </w:p>
    <w:p w14:paraId="257AF2F6" w14:textId="77777777" w:rsidR="0096734B" w:rsidRDefault="0096734B" w:rsidP="0096734B">
      <w:pPr>
        <w:pStyle w:val="ListParagraph"/>
        <w:numPr>
          <w:ilvl w:val="0"/>
          <w:numId w:val="37"/>
        </w:numPr>
        <w:spacing w:before="0" w:after="160" w:line="259" w:lineRule="auto"/>
      </w:pPr>
      <w:r>
        <w:t>Electric</w:t>
      </w:r>
    </w:p>
    <w:p w14:paraId="78C79C68" w14:textId="77777777" w:rsidR="0096734B" w:rsidRDefault="0096734B" w:rsidP="0096734B">
      <w:pPr>
        <w:pStyle w:val="ListParagraph"/>
        <w:numPr>
          <w:ilvl w:val="0"/>
          <w:numId w:val="37"/>
        </w:numPr>
        <w:spacing w:before="0" w:after="160" w:line="259" w:lineRule="auto"/>
      </w:pPr>
      <w:r>
        <w:t>I don’t know/I’m not sure</w:t>
      </w:r>
    </w:p>
    <w:p w14:paraId="746C576E" w14:textId="144328B5" w:rsidR="004E15AF" w:rsidRDefault="004E15AF" w:rsidP="00770248">
      <w:r>
        <w:t xml:space="preserve">In addition, for </w:t>
      </w:r>
      <w:r w:rsidR="00D40FF7">
        <w:t>midstream</w:t>
      </w:r>
      <w:r w:rsidRPr="002751E9">
        <w:t xml:space="preserve"> delivery method</w:t>
      </w:r>
      <w:r>
        <w:t>, the implementer should provide the retailer or distribution location where the product was sold,</w:t>
      </w:r>
      <w:r w:rsidR="005E6CA6">
        <w:t xml:space="preserve"> rated efficiency,</w:t>
      </w:r>
      <w:r>
        <w:t xml:space="preserve"> rated capacity, and proposed </w:t>
      </w:r>
      <w:r w:rsidR="001B2CC8">
        <w:t xml:space="preserve">commercial </w:t>
      </w:r>
      <w:r>
        <w:t xml:space="preserve">building type </w:t>
      </w:r>
      <w:r w:rsidR="00D40FF7">
        <w:t xml:space="preserve">in which </w:t>
      </w:r>
      <w:r>
        <w:t>the product will be installed</w:t>
      </w:r>
      <w:r w:rsidR="001B2CC8">
        <w:t>.</w:t>
      </w:r>
    </w:p>
    <w:p w14:paraId="36E8A1F0" w14:textId="7EA1D913" w:rsidR="00770248" w:rsidRDefault="00554939" w:rsidP="00770248">
      <w:r>
        <w:t xml:space="preserve">The above </w:t>
      </w:r>
      <w:r w:rsidR="00770248">
        <w:t xml:space="preserve">survey will not be </w:t>
      </w:r>
      <w:r w:rsidR="00D40FF7">
        <w:t xml:space="preserve">administered </w:t>
      </w:r>
      <w:r w:rsidR="00770248">
        <w:t xml:space="preserve">for upstream delivery </w:t>
      </w:r>
      <w:r w:rsidR="00D40FF7">
        <w:t>types</w:t>
      </w:r>
      <w:r w:rsidR="00770248">
        <w:t>.</w:t>
      </w:r>
    </w:p>
    <w:p w14:paraId="0DBDBE98" w14:textId="641A5FCC" w:rsidR="00543BB0" w:rsidRDefault="00543BB0" w:rsidP="00770248">
      <w:r>
        <w:lastRenderedPageBreak/>
        <w:t>Additionally, per direction from Resolution E-5152,</w:t>
      </w:r>
      <w:r w:rsidR="00A82B4C">
        <w:rPr>
          <w:rStyle w:val="FootnoteReference"/>
        </w:rPr>
        <w:footnoteReference w:id="13"/>
      </w:r>
      <w:r>
        <w:t xml:space="preserve"> the following data must be collected for upstream and midstream programs: </w:t>
      </w:r>
    </w:p>
    <w:p w14:paraId="70068DC2" w14:textId="62AE47D9" w:rsidR="00543BB0" w:rsidRDefault="00543BB0" w:rsidP="00BF14AA">
      <w:pPr>
        <w:pStyle w:val="ListParagraph"/>
        <w:numPr>
          <w:ilvl w:val="0"/>
          <w:numId w:val="48"/>
        </w:numPr>
      </w:pPr>
      <w:r>
        <w:t xml:space="preserve">SiteID – A unique identifier for the installed location of the incentivized equipment </w:t>
      </w:r>
    </w:p>
    <w:p w14:paraId="46793E7E" w14:textId="54BF7E31" w:rsidR="00543BB0" w:rsidRDefault="00543BB0" w:rsidP="00BF14AA">
      <w:pPr>
        <w:pStyle w:val="ListParagraph"/>
        <w:numPr>
          <w:ilvl w:val="0"/>
          <w:numId w:val="48"/>
        </w:numPr>
      </w:pPr>
      <w:r>
        <w:t xml:space="preserve">EquipmentID - A unique identifier for each unit of incentivized equipment on the site </w:t>
      </w:r>
    </w:p>
    <w:p w14:paraId="345F3AB8" w14:textId="55A2788F" w:rsidR="00543BB0" w:rsidRDefault="00543BB0" w:rsidP="00BF14AA">
      <w:pPr>
        <w:pStyle w:val="ListParagraph"/>
        <w:numPr>
          <w:ilvl w:val="0"/>
          <w:numId w:val="48"/>
        </w:numPr>
      </w:pPr>
      <w:r>
        <w:t>Measure Size category – General size or capacity range specific to each measure type</w:t>
      </w:r>
    </w:p>
    <w:p w14:paraId="445C819B" w14:textId="2B30CF7C" w:rsidR="00543BB0" w:rsidRDefault="00543BB0" w:rsidP="00BF14AA">
      <w:pPr>
        <w:pStyle w:val="ListParagraph"/>
        <w:numPr>
          <w:ilvl w:val="0"/>
          <w:numId w:val="48"/>
        </w:numPr>
      </w:pPr>
      <w:r>
        <w:t>Equipment manufacturer – Manufacturer of the incentivized equipment</w:t>
      </w:r>
    </w:p>
    <w:p w14:paraId="2BE4EC34" w14:textId="68E54521" w:rsidR="00543BB0" w:rsidRDefault="00543BB0" w:rsidP="00BF14AA">
      <w:pPr>
        <w:pStyle w:val="ListParagraph"/>
        <w:numPr>
          <w:ilvl w:val="0"/>
          <w:numId w:val="48"/>
        </w:numPr>
      </w:pPr>
      <w:r>
        <w:t>Equipment model number – Manufacturer number that can be used to lookup size, features, performance, etc. for the incentivized equipment</w:t>
      </w:r>
    </w:p>
    <w:p w14:paraId="08465904" w14:textId="31E169DC" w:rsidR="00543BB0" w:rsidRDefault="00543BB0" w:rsidP="00BF14AA">
      <w:pPr>
        <w:pStyle w:val="ListParagraph"/>
        <w:numPr>
          <w:ilvl w:val="0"/>
          <w:numId w:val="48"/>
        </w:numPr>
      </w:pPr>
      <w:r>
        <w:t>Rated capacity – Actual size, capacity, load rating, etc. for the incentivized equipment</w:t>
      </w:r>
    </w:p>
    <w:p w14:paraId="0DD1A4EE" w14:textId="558C1D11" w:rsidR="00543BB0" w:rsidRDefault="00543BB0" w:rsidP="00BF14AA">
      <w:pPr>
        <w:pStyle w:val="ListParagraph"/>
        <w:numPr>
          <w:ilvl w:val="0"/>
          <w:numId w:val="48"/>
        </w:numPr>
      </w:pPr>
      <w:r>
        <w:t>Rated efficiency unit (EfficUnit) – The engineering unit basis for the efficiency or performance rating, e.g., Unit Energy Factor (UEF) or Coefficient of Performance (COP)</w:t>
      </w:r>
    </w:p>
    <w:p w14:paraId="3EB0F3F6" w14:textId="08C34350" w:rsidR="00543BB0" w:rsidRDefault="00543BB0" w:rsidP="00BF14AA">
      <w:pPr>
        <w:pStyle w:val="ListParagraph"/>
        <w:numPr>
          <w:ilvl w:val="0"/>
          <w:numId w:val="48"/>
        </w:numPr>
      </w:pPr>
      <w:r>
        <w:t>Rated efficiency (ref. EfficUnit) – Efficiency or performance rating value for the Rated efficiency unit basis</w:t>
      </w:r>
    </w:p>
    <w:p w14:paraId="258BF25F" w14:textId="21767389" w:rsidR="00543BB0" w:rsidRDefault="00543BB0" w:rsidP="00BF14AA">
      <w:pPr>
        <w:pStyle w:val="ListParagraph"/>
        <w:numPr>
          <w:ilvl w:val="0"/>
          <w:numId w:val="48"/>
        </w:numPr>
      </w:pPr>
      <w:r>
        <w:t xml:space="preserve">Quantity per sales transaction, project, or site – Total units of incentivized equipment located at the site or project </w:t>
      </w:r>
    </w:p>
    <w:p w14:paraId="6B0B4F08" w14:textId="6735AC13" w:rsidR="00D24095" w:rsidRDefault="00D24095" w:rsidP="00D24095"/>
    <w:p w14:paraId="2772659C" w14:textId="2C402E0C" w:rsidR="004E15AF" w:rsidRDefault="004E15AF" w:rsidP="004E15AF">
      <w:r w:rsidRPr="00CF19BB">
        <w:rPr>
          <w:i/>
          <w:color w:val="5F5F5F"/>
        </w:rPr>
        <w:t xml:space="preserve">Required Documentation for </w:t>
      </w:r>
      <w:r>
        <w:rPr>
          <w:i/>
          <w:color w:val="5F5F5F"/>
        </w:rPr>
        <w:t>Norma</w:t>
      </w:r>
      <w:r w:rsidR="00B86DB8">
        <w:rPr>
          <w:i/>
          <w:color w:val="5F5F5F"/>
        </w:rPr>
        <w:t>l Replacement, New Construction,</w:t>
      </w:r>
      <w:r>
        <w:rPr>
          <w:i/>
          <w:color w:val="5F5F5F"/>
        </w:rPr>
        <w:t xml:space="preserve"> and </w:t>
      </w:r>
      <w:r w:rsidRPr="00CF19BB">
        <w:rPr>
          <w:i/>
          <w:color w:val="5F5F5F"/>
        </w:rPr>
        <w:t>Accelerated Replacement</w:t>
      </w:r>
      <w:r>
        <w:rPr>
          <w:i/>
          <w:color w:val="5F5F5F"/>
        </w:rPr>
        <w:t xml:space="preserve"> in Downstream and Direct Install Delivery</w:t>
      </w:r>
    </w:p>
    <w:p w14:paraId="6AB0E0A5" w14:textId="4606D557" w:rsidR="004E15AF" w:rsidRDefault="004E15AF" w:rsidP="004E15AF">
      <w:r>
        <w:t>For downstream deemed and downstream direct-install delivery types, in addition to the standard information such as building type, climate zone, and capacity of the units, the following data must</w:t>
      </w:r>
      <w:r w:rsidR="002315DC">
        <w:t xml:space="preserve"> </w:t>
      </w:r>
      <w:r>
        <w:t>be submitted with each project application by the project developer</w:t>
      </w:r>
      <w:r w:rsidR="00554939">
        <w:t>/implementer</w:t>
      </w:r>
      <w:r>
        <w:t xml:space="preserve">: </w:t>
      </w:r>
    </w:p>
    <w:p w14:paraId="1EA70504" w14:textId="22119CA6" w:rsidR="004E15AF" w:rsidRDefault="004E15AF" w:rsidP="004E15AF">
      <w:pPr>
        <w:pStyle w:val="eTRMBulletedText"/>
        <w:numPr>
          <w:ilvl w:val="0"/>
          <w:numId w:val="38"/>
        </w:numPr>
        <w:ind w:left="720"/>
      </w:pPr>
      <w:r>
        <w:t xml:space="preserve">What is the existing fuel type for </w:t>
      </w:r>
      <w:r w:rsidR="005E6CA6">
        <w:t xml:space="preserve">domestic hot water </w:t>
      </w:r>
      <w:r>
        <w:t>heating?</w:t>
      </w:r>
    </w:p>
    <w:p w14:paraId="08783396" w14:textId="77777777" w:rsidR="004E15AF" w:rsidRDefault="004E15AF" w:rsidP="004E15AF">
      <w:pPr>
        <w:pStyle w:val="eTRMBulletedText"/>
        <w:numPr>
          <w:ilvl w:val="0"/>
          <w:numId w:val="38"/>
        </w:numPr>
        <w:ind w:left="720"/>
      </w:pPr>
      <w:r>
        <w:t xml:space="preserve">Did the site require any electric infrastructure upgrades for the proposed electrification measure? If yes, provide the itemized invoices with infrastructure upgrade costs. </w:t>
      </w:r>
    </w:p>
    <w:p w14:paraId="065FBFC3" w14:textId="77777777" w:rsidR="004E15AF" w:rsidRDefault="004E15AF" w:rsidP="004E15AF">
      <w:pPr>
        <w:pStyle w:val="eTRMBulletedText"/>
        <w:numPr>
          <w:ilvl w:val="0"/>
          <w:numId w:val="38"/>
        </w:numPr>
        <w:ind w:left="720"/>
      </w:pPr>
      <w:r>
        <w:t xml:space="preserve">Did the owner install any other electrification measures at this site? If yes, list the measures and provide the itemized invoices with infrastructure upgrade costs (if any). </w:t>
      </w:r>
    </w:p>
    <w:p w14:paraId="35FB49DC" w14:textId="77777777" w:rsidR="003C48E1" w:rsidRDefault="003C48E1" w:rsidP="00CA50C3"/>
    <w:p w14:paraId="34318EA9" w14:textId="77777777" w:rsidR="003C48E1" w:rsidRDefault="003C48E1" w:rsidP="003C48E1">
      <w:pPr>
        <w:keepNext/>
        <w:spacing w:before="0" w:after="0" w:line="0" w:lineRule="atLeast"/>
        <w:rPr>
          <w:i/>
          <w:color w:val="5F5F5F"/>
        </w:rPr>
      </w:pPr>
      <w:r w:rsidRPr="001519B0">
        <w:rPr>
          <w:i/>
          <w:color w:val="5F5F5F"/>
        </w:rPr>
        <w:t xml:space="preserve">Required Documentation for </w:t>
      </w:r>
      <w:r>
        <w:rPr>
          <w:i/>
          <w:color w:val="5F5F5F"/>
        </w:rPr>
        <w:t>Accelerated Replacement</w:t>
      </w:r>
    </w:p>
    <w:p w14:paraId="5AD34771" w14:textId="77777777" w:rsidR="003814FB" w:rsidRDefault="003814FB" w:rsidP="003C48E1">
      <w:pPr>
        <w:spacing w:before="0" w:after="0" w:line="0" w:lineRule="atLeast"/>
      </w:pPr>
    </w:p>
    <w:p w14:paraId="23557E02" w14:textId="4485C494" w:rsidR="003C48E1" w:rsidRDefault="003C48E1" w:rsidP="003C48E1">
      <w:pPr>
        <w:spacing w:before="0" w:after="0" w:line="0" w:lineRule="atLeast"/>
      </w:pPr>
      <w:r>
        <w:t xml:space="preserve">Preponderance </w:t>
      </w:r>
      <w:r w:rsidR="009612B9">
        <w:t>o</w:t>
      </w:r>
      <w:r w:rsidR="002315DC">
        <w:t xml:space="preserve">f Evidence </w:t>
      </w:r>
      <w:r>
        <w:t xml:space="preserve">(POE) must be documented. Notably, programs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21CFDAE2" w14:textId="77777777" w:rsidR="003C48E1" w:rsidRDefault="003C48E1" w:rsidP="00543462">
      <w:pPr>
        <w:pStyle w:val="eTRMBulletedText"/>
      </w:pPr>
      <w:r>
        <w:t>Customer/site information</w:t>
      </w:r>
    </w:p>
    <w:p w14:paraId="3E0CE6DE" w14:textId="77777777" w:rsidR="003C48E1" w:rsidRDefault="003C48E1" w:rsidP="00543462">
      <w:pPr>
        <w:pStyle w:val="eTRMBulletedText"/>
      </w:pPr>
      <w:r>
        <w:t>Specifications of existing equipment</w:t>
      </w:r>
    </w:p>
    <w:p w14:paraId="1001B987" w14:textId="77777777" w:rsidR="003C48E1" w:rsidRDefault="003C48E1" w:rsidP="00543462">
      <w:pPr>
        <w:pStyle w:val="eTRMBulletedText"/>
      </w:pPr>
      <w:r>
        <w:t>Proof that water heater is still operating as intended</w:t>
      </w:r>
    </w:p>
    <w:p w14:paraId="2D373295" w14:textId="77777777" w:rsidR="003C48E1" w:rsidRDefault="003C48E1" w:rsidP="00543462">
      <w:pPr>
        <w:pStyle w:val="eTRMBulletedText"/>
      </w:pPr>
      <w:r>
        <w:t>Existing water heater nameplate data with manufacturer date to confirm remaining useful life</w:t>
      </w:r>
    </w:p>
    <w:p w14:paraId="399C3CFF" w14:textId="77777777" w:rsidR="003C48E1" w:rsidRDefault="003C48E1" w:rsidP="00543462">
      <w:pPr>
        <w:pStyle w:val="eTRMBulletedText"/>
      </w:pPr>
      <w:r>
        <w:lastRenderedPageBreak/>
        <w:t>Replacement water heater information</w:t>
      </w:r>
    </w:p>
    <w:p w14:paraId="39DCC553" w14:textId="265A5DC6" w:rsidR="003C48E1" w:rsidRDefault="003C48E1" w:rsidP="003C48E1">
      <w:r>
        <w:t>To document POE, the POE survey, or similar, should be completed.</w:t>
      </w:r>
      <w:r w:rsidR="00D40FF7" w:rsidRPr="00D40FF7">
        <w:rPr>
          <w:rStyle w:val="FootnoteReference"/>
        </w:rPr>
        <w:t xml:space="preserve"> </w:t>
      </w:r>
      <w:r w:rsidR="00D40FF7">
        <w:rPr>
          <w:rStyle w:val="FootnoteReference"/>
        </w:rPr>
        <w:footnoteReference w:id="14"/>
      </w:r>
    </w:p>
    <w:p w14:paraId="0E0871FE" w14:textId="77777777" w:rsidR="0056664D" w:rsidRDefault="0056664D" w:rsidP="0056664D">
      <w:pPr>
        <w:keepNext/>
        <w:spacing w:before="0" w:after="0" w:line="0" w:lineRule="atLeast"/>
        <w:rPr>
          <w:i/>
          <w:color w:val="5F5F5F"/>
        </w:rPr>
      </w:pPr>
    </w:p>
    <w:p w14:paraId="4C269D4A" w14:textId="3A3D68E5" w:rsidR="0056664D" w:rsidRDefault="0056664D" w:rsidP="0056664D">
      <w:pPr>
        <w:keepNext/>
        <w:spacing w:before="0" w:after="0" w:line="0" w:lineRule="atLeast"/>
        <w:rPr>
          <w:i/>
          <w:color w:val="5F5F5F"/>
        </w:rPr>
      </w:pPr>
      <w:r w:rsidRPr="001519B0">
        <w:rPr>
          <w:i/>
          <w:color w:val="5F5F5F"/>
        </w:rPr>
        <w:t xml:space="preserve">Required Documentation for </w:t>
      </w:r>
      <w:r>
        <w:rPr>
          <w:i/>
          <w:color w:val="5F5F5F"/>
        </w:rPr>
        <w:t>Downstream Deemed and Direct Install</w:t>
      </w:r>
    </w:p>
    <w:p w14:paraId="6E133DF0" w14:textId="34097AA2" w:rsidR="0056664D" w:rsidRPr="0056664D" w:rsidRDefault="005E6CA6" w:rsidP="0056664D">
      <w:pPr>
        <w:rPr>
          <w:rFonts w:cs="Calibri Light"/>
        </w:rPr>
      </w:pPr>
      <w:r w:rsidRPr="005E6CA6">
        <w:rPr>
          <w:rFonts w:cs="Calibri Light"/>
        </w:rPr>
        <w:t>In order to validate measure eligibility requirements, Downstream and DI programs require additional data collection beyond that required for other delivery channels, e.g.</w:t>
      </w:r>
      <w:r w:rsidR="001B7CFA">
        <w:rPr>
          <w:rFonts w:cs="Calibri Light"/>
        </w:rPr>
        <w:t xml:space="preserve">, </w:t>
      </w:r>
      <w:r w:rsidRPr="005E6CA6">
        <w:rPr>
          <w:rFonts w:cs="Calibri Light"/>
        </w:rPr>
        <w:t>Midstream/Upstream</w:t>
      </w:r>
      <w:r>
        <w:rPr>
          <w:rFonts w:cs="Calibri Light"/>
        </w:rPr>
        <w:t>:</w:t>
      </w:r>
    </w:p>
    <w:p w14:paraId="733C07F6" w14:textId="0ADE0B5B" w:rsidR="0056664D" w:rsidRPr="00EB1EA0" w:rsidRDefault="0056664D" w:rsidP="00BF14AA">
      <w:pPr>
        <w:pStyle w:val="ListParagraph"/>
        <w:numPr>
          <w:ilvl w:val="0"/>
          <w:numId w:val="44"/>
        </w:numPr>
        <w:rPr>
          <w:rFonts w:cs="Calibri Light"/>
        </w:rPr>
      </w:pPr>
      <w:r w:rsidRPr="00EB1EA0">
        <w:rPr>
          <w:rFonts w:cs="Calibri Light"/>
        </w:rPr>
        <w:t>Heat pump water heater</w:t>
      </w:r>
      <w:r>
        <w:rPr>
          <w:rFonts w:cs="Calibri Light"/>
        </w:rPr>
        <w:t xml:space="preserve"> system</w:t>
      </w:r>
      <w:r w:rsidRPr="00EB1EA0">
        <w:rPr>
          <w:rFonts w:cs="Calibri Light"/>
        </w:rPr>
        <w:t xml:space="preserve"> </w:t>
      </w:r>
      <w:r w:rsidR="008B29FB">
        <w:rPr>
          <w:rFonts w:cs="Calibri Light"/>
        </w:rPr>
        <w:t xml:space="preserve">efficiency - </w:t>
      </w:r>
      <w:r w:rsidRPr="00EB1EA0">
        <w:rPr>
          <w:rFonts w:cs="Calibri Light"/>
        </w:rPr>
        <w:t>UEF or COP</w:t>
      </w:r>
    </w:p>
    <w:p w14:paraId="610A583C" w14:textId="40CE1F22" w:rsidR="0056664D" w:rsidRPr="00EB1EA0" w:rsidRDefault="0056664D" w:rsidP="00BF14AA">
      <w:pPr>
        <w:pStyle w:val="ListParagraph"/>
        <w:numPr>
          <w:ilvl w:val="0"/>
          <w:numId w:val="44"/>
        </w:numPr>
        <w:rPr>
          <w:rFonts w:cs="Calibri Light"/>
        </w:rPr>
      </w:pPr>
      <w:r w:rsidRPr="00EB1EA0">
        <w:rPr>
          <w:rFonts w:cs="Calibri Light"/>
        </w:rPr>
        <w:t xml:space="preserve">First-hour rating (FHR) or maximum GPM of the heat pump water heater </w:t>
      </w:r>
    </w:p>
    <w:p w14:paraId="64E7D6FA" w14:textId="489D9D3A" w:rsidR="0056664D" w:rsidRPr="00EB1EA0" w:rsidRDefault="0056664D" w:rsidP="00BF14AA">
      <w:pPr>
        <w:pStyle w:val="ListParagraph"/>
        <w:numPr>
          <w:ilvl w:val="0"/>
          <w:numId w:val="44"/>
        </w:numPr>
        <w:rPr>
          <w:rFonts w:cs="Calibri Light"/>
        </w:rPr>
      </w:pPr>
      <w:r w:rsidRPr="00EB1EA0">
        <w:rPr>
          <w:rFonts w:cs="Calibri Light"/>
        </w:rPr>
        <w:t xml:space="preserve">Installed location (conditioned, unconditioned space) </w:t>
      </w:r>
    </w:p>
    <w:p w14:paraId="2D2F2537" w14:textId="25A72028" w:rsidR="0056664D" w:rsidRPr="00EB1EA0" w:rsidRDefault="0056664D" w:rsidP="00BF14AA">
      <w:pPr>
        <w:pStyle w:val="ListParagraph"/>
        <w:numPr>
          <w:ilvl w:val="0"/>
          <w:numId w:val="44"/>
        </w:numPr>
        <w:rPr>
          <w:rFonts w:cs="Calibri Light"/>
        </w:rPr>
      </w:pPr>
      <w:r w:rsidRPr="00EB1EA0">
        <w:rPr>
          <w:rFonts w:cs="Calibri Light"/>
        </w:rPr>
        <w:t>For installations in conditioned space, the building heating and cooling type (e.g., Packaged AC with gas furnace, packaged heat pump, central plant CHW/HW)</w:t>
      </w:r>
    </w:p>
    <w:p w14:paraId="04B37425" w14:textId="0F8849F0" w:rsidR="0056664D" w:rsidRPr="00EB1EA0" w:rsidRDefault="0056664D" w:rsidP="00BF14AA">
      <w:pPr>
        <w:pStyle w:val="ListParagraph"/>
        <w:numPr>
          <w:ilvl w:val="0"/>
          <w:numId w:val="44"/>
        </w:numPr>
        <w:rPr>
          <w:rFonts w:cs="Calibri Light"/>
        </w:rPr>
      </w:pPr>
      <w:r w:rsidRPr="00EB1EA0">
        <w:rPr>
          <w:rFonts w:cs="Calibri Light"/>
        </w:rPr>
        <w:t>Is heat pump water heater exhaust ducted to outside or unconditioned space? (Yes/no)</w:t>
      </w:r>
    </w:p>
    <w:p w14:paraId="30C4353D" w14:textId="6AB26E0B" w:rsidR="001B7CFA" w:rsidRPr="00EB1EA0" w:rsidRDefault="0056664D" w:rsidP="00BF14AA">
      <w:pPr>
        <w:pStyle w:val="ListParagraph"/>
        <w:numPr>
          <w:ilvl w:val="0"/>
          <w:numId w:val="44"/>
        </w:numPr>
        <w:rPr>
          <w:rFonts w:cs="Calibri Light"/>
        </w:rPr>
      </w:pPr>
      <w:r w:rsidRPr="00EB1EA0">
        <w:rPr>
          <w:rFonts w:cs="Calibri Light"/>
        </w:rPr>
        <w:t>Is heat pump water heater intake ducted to outside or unconditioned space? (Yes/no)</w:t>
      </w:r>
    </w:p>
    <w:p w14:paraId="2A8267F8" w14:textId="67DB53A8" w:rsidR="0056664D" w:rsidRDefault="0056664D" w:rsidP="00BF14AA">
      <w:pPr>
        <w:pStyle w:val="ListParagraph"/>
      </w:pPr>
    </w:p>
    <w:bookmarkEnd w:id="27"/>
    <w:bookmarkEnd w:id="29"/>
    <w:p w14:paraId="65D6BE44" w14:textId="77777777" w:rsidR="00AA46AF" w:rsidRPr="00C6243E" w:rsidRDefault="00196649" w:rsidP="00154391">
      <w:pPr>
        <w:pStyle w:val="eTRMHeading5"/>
        <w:rPr>
          <w:rFonts w:cs="Calibri Light"/>
        </w:rPr>
      </w:pPr>
      <w:r w:rsidRPr="00C6243E">
        <w:rPr>
          <w:rFonts w:cs="Calibri Light"/>
        </w:rPr>
        <w:t>Eligible Products</w:t>
      </w:r>
    </w:p>
    <w:p w14:paraId="210B4897" w14:textId="148E166E" w:rsidR="00470F07" w:rsidRPr="00C6243E" w:rsidRDefault="00B97FE0" w:rsidP="00B85656">
      <w:pPr>
        <w:rPr>
          <w:rFonts w:cs="Calibri Light"/>
        </w:rPr>
      </w:pPr>
      <w:r w:rsidRPr="00B97FE0">
        <w:rPr>
          <w:rFonts w:cs="Calibri Light"/>
        </w:rPr>
        <w:t>The heat pump water heater must meet the storage capacity and minimum efficiency requirements set forth in the Measure Case Description.</w:t>
      </w:r>
      <w:r w:rsidR="00F61EA0">
        <w:rPr>
          <w:rFonts w:cs="Calibri Light"/>
        </w:rPr>
        <w:t xml:space="preserve"> Existing </w:t>
      </w:r>
      <w:r w:rsidR="008B29FB">
        <w:rPr>
          <w:rFonts w:cs="Calibri Light"/>
        </w:rPr>
        <w:t xml:space="preserve">gas pipeline servicing base equipment must be disconnected and capped and </w:t>
      </w:r>
      <w:r w:rsidR="00F61EA0">
        <w:rPr>
          <w:rFonts w:cs="Calibri Light"/>
        </w:rPr>
        <w:t>equipment must be disposed.</w:t>
      </w:r>
    </w:p>
    <w:p w14:paraId="27B4DF62" w14:textId="29FF3EF9" w:rsidR="00C616EE" w:rsidRDefault="00C616EE" w:rsidP="00C616EE">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In some cases, heat pump water heaters</w:t>
      </w:r>
      <w:r w:rsidR="009D6132">
        <w:rPr>
          <w:rStyle w:val="SubtleEmphasis"/>
          <w:rFonts w:ascii="Calibri Light" w:hAnsi="Calibri Light" w:cs="Calibri Light"/>
          <w:i w:val="0"/>
          <w:color w:val="auto"/>
        </w:rPr>
        <w:t xml:space="preserve"> systems</w:t>
      </w:r>
      <w:r>
        <w:rPr>
          <w:rStyle w:val="SubtleEmphasis"/>
          <w:rFonts w:ascii="Calibri Light" w:hAnsi="Calibri Light" w:cs="Calibri Light"/>
          <w:i w:val="0"/>
          <w:color w:val="auto"/>
        </w:rPr>
        <w:t xml:space="preserve"> may contain multiple heat pump units. The efficiency of the measure case must be the efficiency of the </w:t>
      </w:r>
      <w:r w:rsidR="001B7CFA">
        <w:rPr>
          <w:rStyle w:val="SubtleEmphasis"/>
          <w:rFonts w:ascii="Calibri Light" w:hAnsi="Calibri Light" w:cs="Calibri Light"/>
          <w:i w:val="0"/>
          <w:color w:val="auto"/>
        </w:rPr>
        <w:t xml:space="preserve">system </w:t>
      </w:r>
      <w:r w:rsidRPr="0046770C">
        <w:rPr>
          <w:rStyle w:val="SubtleEmphasis"/>
          <w:rFonts w:ascii="Calibri Light" w:hAnsi="Calibri Light" w:cs="Calibri Light"/>
          <w:i w:val="0"/>
          <w:color w:val="auto"/>
        </w:rPr>
        <w:t>package unit</w:t>
      </w:r>
      <w:r>
        <w:rPr>
          <w:rStyle w:val="SubtleEmphasis"/>
          <w:rFonts w:ascii="Calibri Light" w:hAnsi="Calibri Light" w:cs="Calibri Light"/>
          <w:i w:val="0"/>
          <w:color w:val="auto"/>
        </w:rPr>
        <w:t xml:space="preserve"> not the efficiency individual heat pumps which make</w:t>
      </w:r>
      <w:r w:rsidR="003A0268">
        <w:rPr>
          <w:rStyle w:val="SubtleEmphasis"/>
          <w:rFonts w:ascii="Calibri Light" w:hAnsi="Calibri Light" w:cs="Calibri Light"/>
          <w:i w:val="0"/>
          <w:color w:val="auto"/>
        </w:rPr>
        <w:t xml:space="preserve"> </w:t>
      </w:r>
      <w:r>
        <w:rPr>
          <w:rStyle w:val="SubtleEmphasis"/>
          <w:rFonts w:ascii="Calibri Light" w:hAnsi="Calibri Light" w:cs="Calibri Light"/>
          <w:i w:val="0"/>
          <w:color w:val="auto"/>
        </w:rPr>
        <w:t>up the unit</w:t>
      </w:r>
      <w:r w:rsidRPr="0046770C">
        <w:rPr>
          <w:rStyle w:val="SubtleEmphasis"/>
          <w:rFonts w:ascii="Calibri Light" w:hAnsi="Calibri Light" w:cs="Calibri Light"/>
          <w:i w:val="0"/>
          <w:color w:val="auto"/>
        </w:rPr>
        <w:t>.</w:t>
      </w:r>
      <w:r>
        <w:rPr>
          <w:rStyle w:val="SubtleEmphasis"/>
          <w:rFonts w:ascii="Calibri Light" w:hAnsi="Calibri Light" w:cs="Calibri Light"/>
          <w:i w:val="0"/>
          <w:color w:val="auto"/>
        </w:rPr>
        <w:t xml:space="preserve"> </w:t>
      </w:r>
      <w:r w:rsidR="009D6132">
        <w:rPr>
          <w:rStyle w:val="SubtleEmphasis"/>
          <w:rFonts w:ascii="Calibri Light" w:hAnsi="Calibri Light" w:cs="Calibri Light"/>
          <w:i w:val="0"/>
          <w:color w:val="auto"/>
        </w:rPr>
        <w:t>Similarl</w:t>
      </w:r>
      <w:r w:rsidR="00464508">
        <w:rPr>
          <w:rStyle w:val="SubtleEmphasis"/>
          <w:rFonts w:ascii="Calibri Light" w:hAnsi="Calibri Light" w:cs="Calibri Light"/>
          <w:i w:val="0"/>
          <w:color w:val="auto"/>
        </w:rPr>
        <w:t xml:space="preserve">y, </w:t>
      </w:r>
      <w:r w:rsidR="00646C6C">
        <w:rPr>
          <w:rStyle w:val="SubtleEmphasis"/>
          <w:rFonts w:ascii="Calibri Light" w:hAnsi="Calibri Light" w:cs="Calibri Light"/>
          <w:i w:val="0"/>
          <w:color w:val="auto"/>
        </w:rPr>
        <w:t xml:space="preserve">the </w:t>
      </w:r>
      <w:r w:rsidR="00464508">
        <w:rPr>
          <w:rStyle w:val="SubtleEmphasis"/>
          <w:rFonts w:ascii="Calibri Light" w:hAnsi="Calibri Light" w:cs="Calibri Light"/>
          <w:i w:val="0"/>
          <w:color w:val="auto"/>
        </w:rPr>
        <w:t xml:space="preserve">output capacity of the system should be used for estimating incentive amounts, not individual units. </w:t>
      </w:r>
    </w:p>
    <w:p w14:paraId="5D039CA4" w14:textId="14922FC1" w:rsidR="00E54654" w:rsidRDefault="00C616EE" w:rsidP="00E54654">
      <w:pPr>
        <w:rPr>
          <w:rFonts w:cs="Calibri Light"/>
        </w:rPr>
      </w:pPr>
      <w:r>
        <w:rPr>
          <w:rFonts w:cs="Calibri Light"/>
        </w:rPr>
        <w:t>Split-</w:t>
      </w:r>
      <w:r w:rsidR="00D417BB">
        <w:rPr>
          <w:rFonts w:cs="Calibri Light"/>
        </w:rPr>
        <w:t xml:space="preserve"> (built-up) </w:t>
      </w:r>
      <w:r>
        <w:rPr>
          <w:rFonts w:cs="Calibri Light"/>
        </w:rPr>
        <w:t>heat pump</w:t>
      </w:r>
      <w:r w:rsidR="00882985">
        <w:rPr>
          <w:rFonts w:cs="Calibri Light"/>
        </w:rPr>
        <w:t xml:space="preserve"> water heater</w:t>
      </w:r>
      <w:r>
        <w:rPr>
          <w:rFonts w:cs="Calibri Light"/>
        </w:rPr>
        <w:t xml:space="preserve"> </w:t>
      </w:r>
      <w:r w:rsidR="00B209F3">
        <w:rPr>
          <w:rFonts w:cs="Calibri Light"/>
        </w:rPr>
        <w:t>systems</w:t>
      </w:r>
      <w:r w:rsidR="00D13F3E">
        <w:rPr>
          <w:rFonts w:cs="Calibri Light"/>
        </w:rPr>
        <w:t xml:space="preserve"> </w:t>
      </w:r>
      <w:r w:rsidR="008765AD">
        <w:rPr>
          <w:rFonts w:cs="Calibri Light"/>
        </w:rPr>
        <w:t xml:space="preserve">under (not exceeding) </w:t>
      </w:r>
      <w:r w:rsidR="00476036">
        <w:rPr>
          <w:rFonts w:cs="Calibri Light"/>
        </w:rPr>
        <w:t>combine</w:t>
      </w:r>
      <w:r w:rsidR="004C0F87">
        <w:rPr>
          <w:rFonts w:cs="Calibri Light"/>
        </w:rPr>
        <w:t>d</w:t>
      </w:r>
      <w:r w:rsidR="00476036">
        <w:rPr>
          <w:rFonts w:cs="Calibri Light"/>
        </w:rPr>
        <w:t xml:space="preserve"> </w:t>
      </w:r>
      <w:r w:rsidR="00A90608">
        <w:rPr>
          <w:rFonts w:cs="Calibri Light"/>
        </w:rPr>
        <w:t xml:space="preserve">system </w:t>
      </w:r>
      <w:r w:rsidR="00476036">
        <w:rPr>
          <w:rFonts w:cs="Calibri Light"/>
        </w:rPr>
        <w:t>rated output</w:t>
      </w:r>
      <w:r w:rsidR="00A90608">
        <w:rPr>
          <w:rFonts w:cs="Calibri Light"/>
        </w:rPr>
        <w:t xml:space="preserve"> capacity </w:t>
      </w:r>
      <w:r w:rsidR="00476036">
        <w:rPr>
          <w:rFonts w:cs="Calibri Light"/>
        </w:rPr>
        <w:t>of 1</w:t>
      </w:r>
      <w:r w:rsidR="001C0277">
        <w:rPr>
          <w:rFonts w:cs="Calibri Light"/>
        </w:rPr>
        <w:t>,</w:t>
      </w:r>
      <w:r w:rsidR="00476036">
        <w:rPr>
          <w:rFonts w:cs="Calibri Light"/>
        </w:rPr>
        <w:t>000 kBtu/h</w:t>
      </w:r>
      <w:r w:rsidR="00E52032">
        <w:rPr>
          <w:rFonts w:cs="Calibri Light"/>
        </w:rPr>
        <w:t xml:space="preserve"> </w:t>
      </w:r>
      <w:r>
        <w:rPr>
          <w:rFonts w:cs="Calibri Light"/>
        </w:rPr>
        <w:t>are eligible.</w:t>
      </w:r>
      <w:r w:rsidR="00A36977">
        <w:rPr>
          <w:rFonts w:cs="Calibri Light"/>
        </w:rPr>
        <w:t xml:space="preserve"> </w:t>
      </w:r>
      <w:r w:rsidR="004C0F87">
        <w:rPr>
          <w:rFonts w:cs="Calibri Light"/>
        </w:rPr>
        <w:t>T</w:t>
      </w:r>
      <w:r w:rsidR="00E54654">
        <w:rPr>
          <w:rFonts w:cs="Calibri Light"/>
        </w:rPr>
        <w:t xml:space="preserve">he COP and full output capacity of the individual heat pumps within the system package shall be used to establish if the equipment meets measure efficiency requirements. The heat pump equipment COP and full </w:t>
      </w:r>
      <w:r w:rsidR="007D797A">
        <w:rPr>
          <w:rFonts w:cs="Calibri Light"/>
        </w:rPr>
        <w:t>output</w:t>
      </w:r>
      <w:r w:rsidR="00E54654">
        <w:rPr>
          <w:rFonts w:cs="Calibri Light"/>
        </w:rPr>
        <w:t xml:space="preserve"> capacity</w:t>
      </w:r>
      <w:r w:rsidR="00AD5BB0">
        <w:rPr>
          <w:rFonts w:cs="Calibri Light"/>
        </w:rPr>
        <w:t xml:space="preserve"> for split systems</w:t>
      </w:r>
      <w:r w:rsidR="00E54654">
        <w:rPr>
          <w:rFonts w:cs="Calibri Light"/>
        </w:rPr>
        <w:t xml:space="preserve"> shall be tested in accordance with </w:t>
      </w:r>
      <w:r w:rsidR="00E54654" w:rsidRPr="00E54654">
        <w:rPr>
          <w:rFonts w:cs="Calibri Light"/>
        </w:rPr>
        <w:t>Appendix E to Subpart G of Part 431 - Uniform Test Method for the Measurement of Energy Efficiency of Commercial Heat Pump Water Heaters</w:t>
      </w:r>
      <w:r w:rsidR="007958F5">
        <w:rPr>
          <w:rFonts w:cs="Calibri Light"/>
        </w:rPr>
        <w:t>.</w:t>
      </w:r>
      <w:r w:rsidR="00281ABF">
        <w:rPr>
          <w:rStyle w:val="FootnoteReference"/>
          <w:rFonts w:cs="Calibri Light"/>
        </w:rPr>
        <w:footnoteReference w:id="15"/>
      </w:r>
    </w:p>
    <w:p w14:paraId="028C7350" w14:textId="77777777" w:rsidR="00AD5BB0" w:rsidRDefault="00AD5BB0" w:rsidP="00401C43">
      <w:pPr>
        <w:pStyle w:val="eTRMHeading5"/>
        <w:rPr>
          <w:rFonts w:cs="Calibri Light"/>
        </w:rPr>
      </w:pPr>
    </w:p>
    <w:p w14:paraId="3780EB7A" w14:textId="766457E2" w:rsidR="007B6A74" w:rsidRPr="00C6243E" w:rsidRDefault="007B6A74" w:rsidP="00401C43">
      <w:pPr>
        <w:pStyle w:val="eTRMHeading5"/>
        <w:rPr>
          <w:rFonts w:cs="Calibri Light"/>
        </w:rPr>
      </w:pPr>
      <w:r w:rsidRPr="00C6243E">
        <w:rPr>
          <w:rFonts w:cs="Calibri Light"/>
        </w:rPr>
        <w:t>Eligible Building Types</w:t>
      </w:r>
      <w:r w:rsidR="00E57AAD" w:rsidRPr="00C6243E">
        <w:rPr>
          <w:rFonts w:cs="Calibri Light"/>
        </w:rPr>
        <w:t xml:space="preserve"> and Vintages</w:t>
      </w:r>
    </w:p>
    <w:p w14:paraId="67D67CD0" w14:textId="4F388799" w:rsidR="00571D95" w:rsidRDefault="001501B3" w:rsidP="00571D95">
      <w:pPr>
        <w:rPr>
          <w:rFonts w:cs="Calibri Light"/>
        </w:rPr>
      </w:pPr>
      <w:r w:rsidRPr="00C6243E">
        <w:rPr>
          <w:rFonts w:cs="Calibri Light"/>
        </w:rPr>
        <w:t xml:space="preserve">This measure is applicable for all </w:t>
      </w:r>
      <w:r w:rsidR="00D40FF7">
        <w:rPr>
          <w:rFonts w:cs="Calibri Light"/>
        </w:rPr>
        <w:t xml:space="preserve">existing </w:t>
      </w:r>
      <w:r w:rsidR="00FD03DD">
        <w:rPr>
          <w:rFonts w:cs="Calibri Light"/>
        </w:rPr>
        <w:t>commerci</w:t>
      </w:r>
      <w:r w:rsidR="0056664D">
        <w:rPr>
          <w:rFonts w:cs="Calibri Light"/>
        </w:rPr>
        <w:t xml:space="preserve">al and industrial building types, </w:t>
      </w:r>
      <w:r w:rsidR="00D40FF7">
        <w:rPr>
          <w:rFonts w:cs="Calibri Light"/>
        </w:rPr>
        <w:t xml:space="preserve">and multifamily residential building type. </w:t>
      </w:r>
    </w:p>
    <w:p w14:paraId="7649E2B9" w14:textId="46B6E4B4" w:rsidR="0056664D" w:rsidRPr="00C6243E" w:rsidRDefault="0056664D" w:rsidP="00571D95">
      <w:pPr>
        <w:rPr>
          <w:rFonts w:cs="Calibri Light"/>
        </w:rPr>
      </w:pPr>
      <w:r>
        <w:rPr>
          <w:rFonts w:cs="Calibri Light"/>
        </w:rPr>
        <w:t xml:space="preserve">For upstream and midstream measures, the weighted Com building type should be used for the commercial measures. As no weighted savings exist for the industrial sector, the conservative savings for the MLI building type shall be used for upstream and midstream measure in that sector. </w:t>
      </w:r>
    </w:p>
    <w:p w14:paraId="2A7F1B12" w14:textId="77777777" w:rsidR="001501B3" w:rsidRPr="00C6243E" w:rsidRDefault="001501B3" w:rsidP="00571D95">
      <w:pPr>
        <w:rPr>
          <w:rFonts w:cs="Calibri Light"/>
        </w:rPr>
      </w:pPr>
    </w:p>
    <w:p w14:paraId="693E3D68" w14:textId="77777777" w:rsidR="007B6A74" w:rsidRPr="00C6243E" w:rsidRDefault="00196649" w:rsidP="00154391">
      <w:pPr>
        <w:pStyle w:val="eTRMHeading5"/>
        <w:rPr>
          <w:rFonts w:cs="Calibri Light"/>
        </w:rPr>
      </w:pPr>
      <w:r w:rsidRPr="00C6243E">
        <w:rPr>
          <w:rFonts w:cs="Calibri Light"/>
        </w:rPr>
        <w:t>Eligible Climate Zones</w:t>
      </w:r>
    </w:p>
    <w:p w14:paraId="13C69DA5" w14:textId="77777777" w:rsidR="00A377A6" w:rsidRPr="00C6243E" w:rsidRDefault="004B6780" w:rsidP="00A377A6">
      <w:pPr>
        <w:rPr>
          <w:rFonts w:cs="Calibri Light"/>
        </w:rPr>
      </w:pPr>
      <w:r w:rsidRPr="00C6243E">
        <w:rPr>
          <w:rFonts w:cs="Calibri Light"/>
        </w:rPr>
        <w:t xml:space="preserve">This measure is applicable </w:t>
      </w:r>
      <w:r w:rsidR="00273571" w:rsidRPr="00C6243E">
        <w:rPr>
          <w:rFonts w:cs="Calibri Light"/>
        </w:rPr>
        <w:t>in</w:t>
      </w:r>
      <w:r w:rsidRPr="00C6243E">
        <w:rPr>
          <w:rFonts w:cs="Calibri Light"/>
        </w:rPr>
        <w:t xml:space="preserve"> </w:t>
      </w:r>
      <w:r w:rsidR="00890F77" w:rsidRPr="00C6243E">
        <w:rPr>
          <w:rFonts w:cs="Calibri Light"/>
        </w:rPr>
        <w:t>all</w:t>
      </w:r>
      <w:r w:rsidRPr="00C6243E">
        <w:rPr>
          <w:rFonts w:cs="Calibri Light"/>
        </w:rPr>
        <w:t xml:space="preserve"> California climate zones</w:t>
      </w:r>
      <w:r w:rsidR="0060378A" w:rsidRPr="00C6243E">
        <w:rPr>
          <w:rFonts w:cs="Calibri Light"/>
        </w:rPr>
        <w:t xml:space="preserve">. </w:t>
      </w:r>
    </w:p>
    <w:p w14:paraId="0D87EB1E" w14:textId="77777777" w:rsidR="00E55091" w:rsidRDefault="00E55091" w:rsidP="007122D7"/>
    <w:p w14:paraId="7BBAB79C" w14:textId="0A6A6CFF" w:rsidR="00E55091" w:rsidRPr="00E55091" w:rsidRDefault="00E55091" w:rsidP="00E55091">
      <w:pPr>
        <w:pStyle w:val="eTRMHeading5"/>
        <w:rPr>
          <w:rFonts w:cs="Calibri Light"/>
        </w:rPr>
      </w:pPr>
      <w:r>
        <w:rPr>
          <w:rFonts w:cs="Calibri Light"/>
        </w:rPr>
        <w:t xml:space="preserve">Incentive </w:t>
      </w:r>
      <w:r w:rsidR="004B0FA7" w:rsidRPr="00411351">
        <w:t>Requirements</w:t>
      </w:r>
    </w:p>
    <w:p w14:paraId="2F1A750C" w14:textId="7BE88234" w:rsidR="009612B9" w:rsidRPr="00C6243E" w:rsidRDefault="004B0FA7" w:rsidP="004B06E3">
      <w:pPr>
        <w:rPr>
          <w:rFonts w:cs="Calibri Light"/>
        </w:rPr>
      </w:pPr>
      <w:r w:rsidRPr="00F87D18">
        <w:t xml:space="preserve">Deployment of the program may require rebates or financial incentives to participants that exceed the Incremental Measure Cost (IMC). Incentives or rebates that exceed the incremental cost for a measure must be justified by individual PAs and/or third-party implemented programs as applicable and for each instance in addendum to </w:t>
      </w:r>
      <w:r w:rsidR="005E6CA6">
        <w:t>measure package</w:t>
      </w:r>
      <w:r w:rsidR="005E6CA6" w:rsidRPr="00F87D18">
        <w:t xml:space="preserve"> </w:t>
      </w:r>
      <w:r w:rsidRPr="00F87D18">
        <w:t>submissions to document program implementation practice prior to program implementation.</w:t>
      </w:r>
    </w:p>
    <w:p w14:paraId="517E7B63" w14:textId="7B28951F" w:rsidR="007D230B" w:rsidRPr="00C6243E" w:rsidRDefault="007D230B" w:rsidP="00462BB6">
      <w:pPr>
        <w:pStyle w:val="eTRMHeading3"/>
        <w:rPr>
          <w:rFonts w:cs="Calibri Light"/>
        </w:rPr>
      </w:pPr>
      <w:bookmarkStart w:id="32" w:name="_Toc486490853"/>
      <w:bookmarkStart w:id="33" w:name="_Toc486580924"/>
      <w:bookmarkStart w:id="34" w:name="_Toc75963029"/>
      <w:r w:rsidRPr="00112455">
        <w:rPr>
          <w:rFonts w:cs="Calibri Light"/>
        </w:rPr>
        <w:t>Program Exclusions</w:t>
      </w:r>
      <w:bookmarkEnd w:id="32"/>
      <w:bookmarkEnd w:id="33"/>
      <w:bookmarkEnd w:id="34"/>
      <w:r w:rsidRPr="00C6243E">
        <w:rPr>
          <w:rFonts w:cs="Calibri Light"/>
        </w:rPr>
        <w:t xml:space="preserve"> </w:t>
      </w:r>
    </w:p>
    <w:p w14:paraId="687FE184" w14:textId="21D7F5E2" w:rsidR="0031400D" w:rsidRDefault="003C48E1" w:rsidP="0031400D">
      <w:bookmarkStart w:id="35" w:name="_Toc486490854"/>
      <w:bookmarkStart w:id="36" w:name="_Toc486580925"/>
      <w:r>
        <w:t xml:space="preserve">This measure is not </w:t>
      </w:r>
      <w:r w:rsidR="00FA3B92">
        <w:t xml:space="preserve">typically </w:t>
      </w:r>
      <w:r>
        <w:t>applicable for new construction installations. However</w:t>
      </w:r>
      <w:r w:rsidR="00FA3B92">
        <w:t xml:space="preserve"> new construction is included in the </w:t>
      </w:r>
      <w:r w:rsidR="005E6CA6">
        <w:t>measure package</w:t>
      </w:r>
      <w:r w:rsidR="005E6CA6" w:rsidDel="005E6CA6">
        <w:t xml:space="preserve"> </w:t>
      </w:r>
      <w:r w:rsidR="00FA3B92">
        <w:t>because</w:t>
      </w:r>
      <w:r>
        <w:t xml:space="preserve"> new services, as defined in </w:t>
      </w:r>
      <w:r w:rsidRPr="00837245">
        <w:rPr>
          <w:i/>
          <w:iCs/>
        </w:rPr>
        <w:t>Fuel Substitution Technical Guidance for Energy Efficiency</w:t>
      </w:r>
      <w:r>
        <w:t>, are eligible.</w:t>
      </w:r>
      <w:r w:rsidRPr="00F85B1C">
        <w:rPr>
          <w:rStyle w:val="FootnoteReference"/>
        </w:rPr>
        <w:t xml:space="preserve"> </w:t>
      </w:r>
      <w:r>
        <w:rPr>
          <w:rStyle w:val="FootnoteReference"/>
        </w:rPr>
        <w:footnoteReference w:id="16"/>
      </w:r>
      <w:r>
        <w:t xml:space="preserve"> </w:t>
      </w:r>
      <w:r w:rsidRPr="009F5F51">
        <w:t xml:space="preserve">New service measures are only eligible for Downstream </w:t>
      </w:r>
      <w:r>
        <w:t xml:space="preserve">and Direct Install </w:t>
      </w:r>
      <w:r w:rsidRPr="009F5F51">
        <w:t>application, when:</w:t>
      </w:r>
    </w:p>
    <w:p w14:paraId="0CFB6A8F" w14:textId="1B97A7C4" w:rsidR="0031400D" w:rsidRDefault="002315DC" w:rsidP="0031400D">
      <w:pPr>
        <w:pStyle w:val="ListParagraph"/>
        <w:numPr>
          <w:ilvl w:val="0"/>
          <w:numId w:val="35"/>
        </w:numPr>
      </w:pPr>
      <w:r>
        <w:t xml:space="preserve">Measures </w:t>
      </w:r>
      <w:r w:rsidR="0031400D">
        <w:t>are installed in new areas of an existing building,</w:t>
      </w:r>
    </w:p>
    <w:p w14:paraId="2433AF1E" w14:textId="240BCB18" w:rsidR="0031400D" w:rsidRDefault="002315DC" w:rsidP="0031400D">
      <w:pPr>
        <w:pStyle w:val="ListParagraph"/>
        <w:numPr>
          <w:ilvl w:val="0"/>
          <w:numId w:val="35"/>
        </w:numPr>
      </w:pPr>
      <w:r>
        <w:t xml:space="preserve">Measures </w:t>
      </w:r>
      <w:r w:rsidR="0031400D">
        <w:t>are installed in a major renovation of an existing building, or</w:t>
      </w:r>
    </w:p>
    <w:p w14:paraId="6DD1CA18" w14:textId="5423FAEB" w:rsidR="0031400D" w:rsidRDefault="002315DC" w:rsidP="0031400D">
      <w:pPr>
        <w:pStyle w:val="ListParagraph"/>
        <w:numPr>
          <w:ilvl w:val="0"/>
          <w:numId w:val="35"/>
        </w:numPr>
      </w:pPr>
      <w:r>
        <w:t xml:space="preserve">Measures </w:t>
      </w:r>
      <w:r w:rsidR="0031400D">
        <w:t>are installed in capacity expansions of existing systems to serve existing and/or new load retrofits that require a new energy service.</w:t>
      </w:r>
    </w:p>
    <w:p w14:paraId="2442DD67" w14:textId="75EE17AB" w:rsidR="0031400D" w:rsidRDefault="0031400D" w:rsidP="0031400D">
      <w:r>
        <w:t xml:space="preserve">These exceptions will follow the same baseline technology requirements as a </w:t>
      </w:r>
      <w:r w:rsidR="002A30A4">
        <w:t>n</w:t>
      </w:r>
      <w:r>
        <w:t xml:space="preserve">ormal </w:t>
      </w:r>
      <w:r w:rsidR="002A30A4">
        <w:t>r</w:t>
      </w:r>
      <w:r>
        <w:t>eplacement measure application type.</w:t>
      </w:r>
    </w:p>
    <w:p w14:paraId="64687F45" w14:textId="3F2C2175" w:rsidR="00281ABF" w:rsidRDefault="00E54654" w:rsidP="0031400D">
      <w:r w:rsidRPr="0038689F">
        <w:t>This measure does not include water heaters used for space conditioning, industrial (process),</w:t>
      </w:r>
      <w:r w:rsidR="00E20884">
        <w:t xml:space="preserve"> and pools and/or spas applications. </w:t>
      </w:r>
    </w:p>
    <w:p w14:paraId="251128D6" w14:textId="4228E1DE" w:rsidR="00281ABF" w:rsidRDefault="00A20E82" w:rsidP="0031400D">
      <w:r>
        <w:t>Light commercial s</w:t>
      </w:r>
      <w:r w:rsidR="00281ABF">
        <w:t xml:space="preserve">ystems with total heat pump output heating capacity greater than 1,000 kBtuh are </w:t>
      </w:r>
      <w:r w:rsidR="00D33427">
        <w:t>NOT</w:t>
      </w:r>
      <w:r w:rsidR="00281ABF">
        <w:t xml:space="preserve"> eligible. </w:t>
      </w:r>
    </w:p>
    <w:p w14:paraId="52C7E9D4" w14:textId="356DE5AE" w:rsidR="005C5E07" w:rsidRPr="00906427" w:rsidRDefault="005C5E07" w:rsidP="00906427">
      <w:pPr>
        <w:rPr>
          <w:rFonts w:cs="Calibri Light"/>
        </w:rPr>
      </w:pPr>
    </w:p>
    <w:p w14:paraId="12218717" w14:textId="77777777" w:rsidR="0060378A" w:rsidRPr="00C6243E" w:rsidRDefault="007D230B" w:rsidP="00462BB6">
      <w:pPr>
        <w:pStyle w:val="eTRMHeading3"/>
        <w:rPr>
          <w:rFonts w:cs="Calibri Light"/>
        </w:rPr>
      </w:pPr>
      <w:bookmarkStart w:id="37" w:name="_Toc75963030"/>
      <w:r w:rsidRPr="00112455">
        <w:rPr>
          <w:rFonts w:cs="Calibri Light"/>
        </w:rPr>
        <w:t>Data Collection Requirements</w:t>
      </w:r>
      <w:bookmarkStart w:id="38" w:name="_Toc486490855"/>
      <w:bookmarkStart w:id="39" w:name="_Toc486580926"/>
      <w:bookmarkEnd w:id="35"/>
      <w:bookmarkEnd w:id="36"/>
      <w:bookmarkEnd w:id="37"/>
    </w:p>
    <w:p w14:paraId="6E200DA7" w14:textId="695769E7" w:rsidR="00AD5BB0" w:rsidRDefault="00AD5BB0" w:rsidP="00B97FE0">
      <w:r>
        <w:t>It is understood that central domestic hot water systems in commercial or multifamily buildings are often built-up systems which consist of one or more heat pumps connected to one or more storage tanks. Efficiencies, capacities, and other operating parameters for these types of systems differ from their individual components and vary based on system configurations and local conditions. New standards and test specifications are being developed by the North</w:t>
      </w:r>
      <w:r w:rsidR="00D66B1E">
        <w:t xml:space="preserve">west </w:t>
      </w:r>
      <w:r>
        <w:t xml:space="preserve">Energy </w:t>
      </w:r>
      <w:r w:rsidR="00D66B1E">
        <w:t xml:space="preserve">Efficiency </w:t>
      </w:r>
      <w:r>
        <w:t xml:space="preserve">Alliance (NEEA) which account for the full system efficiencies for various configurations and regional climate zones. NEEA’s </w:t>
      </w:r>
      <w:r w:rsidRPr="00AD5BB0">
        <w:t xml:space="preserve">Advanced </w:t>
      </w:r>
      <w:r w:rsidRPr="00AD5BB0">
        <w:lastRenderedPageBreak/>
        <w:t>Water Heating Specification Version 8.0</w:t>
      </w:r>
      <w:r w:rsidR="00487322">
        <w:t xml:space="preserve"> is expected to go </w:t>
      </w:r>
      <w:r w:rsidR="00D66B1E">
        <w:t>into effect</w:t>
      </w:r>
      <w:r w:rsidR="00487322">
        <w:t xml:space="preserve"> at the beginning of 2022 and </w:t>
      </w:r>
      <w:r>
        <w:t xml:space="preserve">will also establish efficiency tiers and a qualified product list. </w:t>
      </w:r>
      <w:r w:rsidR="00D66B1E">
        <w:rPr>
          <w:rStyle w:val="FootnoteReference"/>
        </w:rPr>
        <w:footnoteReference w:id="17"/>
      </w:r>
    </w:p>
    <w:p w14:paraId="6FBCCA4E" w14:textId="77777777" w:rsidR="00AD5BB0" w:rsidRDefault="00AD5BB0" w:rsidP="00B97FE0"/>
    <w:p w14:paraId="1CE229BD" w14:textId="2CDA1C76" w:rsidR="00AD5BB0" w:rsidRDefault="00AD5BB0" w:rsidP="00B97FE0">
      <w:r>
        <w:t>In order to understand system efficiencies being installed in the California market, the following additional data</w:t>
      </w:r>
      <w:r w:rsidR="00BF03D1">
        <w:t>, specifically for built-up</w:t>
      </w:r>
      <w:r w:rsidR="00FD2655">
        <w:t xml:space="preserve"> systems, </w:t>
      </w:r>
      <w:r>
        <w:t xml:space="preserve">shall be collected for all </w:t>
      </w:r>
      <w:r w:rsidR="002C73B9">
        <w:t>incentivized</w:t>
      </w:r>
      <w:r w:rsidR="005B1ABB">
        <w:t xml:space="preserve"> measures: </w:t>
      </w:r>
    </w:p>
    <w:p w14:paraId="137AFD0E" w14:textId="6CF8595D" w:rsidR="00487322" w:rsidRDefault="00487322" w:rsidP="00487322">
      <w:pPr>
        <w:pStyle w:val="ListParagraph"/>
        <w:numPr>
          <w:ilvl w:val="0"/>
          <w:numId w:val="49"/>
        </w:numPr>
      </w:pPr>
      <w:r>
        <w:t xml:space="preserve">Total </w:t>
      </w:r>
      <w:r w:rsidR="00E9695F">
        <w:t>number of</w:t>
      </w:r>
      <w:r>
        <w:t xml:space="preserve"> heat pump water heaters in </w:t>
      </w:r>
      <w:r w:rsidR="005B1ABB">
        <w:t xml:space="preserve">the </w:t>
      </w:r>
      <w:r w:rsidR="00144D3A">
        <w:t xml:space="preserve">built-up </w:t>
      </w:r>
      <w:r>
        <w:t>system</w:t>
      </w:r>
    </w:p>
    <w:p w14:paraId="5EFB45C2" w14:textId="3E760A4B" w:rsidR="00487322" w:rsidRDefault="00487322" w:rsidP="00487322">
      <w:pPr>
        <w:pStyle w:val="ListParagraph"/>
        <w:numPr>
          <w:ilvl w:val="0"/>
          <w:numId w:val="49"/>
        </w:numPr>
      </w:pPr>
      <w:r>
        <w:t xml:space="preserve">Total </w:t>
      </w:r>
      <w:r w:rsidR="006B2667">
        <w:t>number</w:t>
      </w:r>
      <w:r w:rsidR="00644AF1">
        <w:t xml:space="preserve"> </w:t>
      </w:r>
      <w:r w:rsidR="00696923">
        <w:t xml:space="preserve">of storage tanks </w:t>
      </w:r>
      <w:r>
        <w:t xml:space="preserve">and </w:t>
      </w:r>
      <w:r w:rsidR="00A31667">
        <w:t>corresponding rated storage capacity</w:t>
      </w:r>
    </w:p>
    <w:p w14:paraId="5470D50E" w14:textId="518A7D0A" w:rsidR="00487322" w:rsidRDefault="00E549FC" w:rsidP="00141105">
      <w:pPr>
        <w:pStyle w:val="ListParagraph"/>
        <w:numPr>
          <w:ilvl w:val="0"/>
          <w:numId w:val="49"/>
        </w:numPr>
      </w:pPr>
      <w:r>
        <w:t>Hydronic s</w:t>
      </w:r>
      <w:r w:rsidR="00A51338">
        <w:t>ystem</w:t>
      </w:r>
      <w:r w:rsidR="00B9213B">
        <w:t xml:space="preserve"> </w:t>
      </w:r>
      <w:r w:rsidR="00A51338">
        <w:t>diagram including</w:t>
      </w:r>
      <w:r w:rsidR="00A3373A">
        <w:t xml:space="preserve"> </w:t>
      </w:r>
      <w:r w:rsidR="00473019">
        <w:t xml:space="preserve">hot water piping configuration and </w:t>
      </w:r>
      <w:r w:rsidR="00080809">
        <w:t>ALL</w:t>
      </w:r>
      <w:r w:rsidR="00A3373A">
        <w:t xml:space="preserve"> hot water heat pump</w:t>
      </w:r>
      <w:r w:rsidR="00E563DB">
        <w:t xml:space="preserve"> </w:t>
      </w:r>
      <w:r w:rsidR="005E311C">
        <w:t xml:space="preserve">heaters and storage in the system. </w:t>
      </w:r>
    </w:p>
    <w:p w14:paraId="14494B63" w14:textId="48EBB775" w:rsidR="00AD5BB0" w:rsidRDefault="005C7C04" w:rsidP="00CA4C6F">
      <w:pPr>
        <w:pStyle w:val="ListParagraph"/>
        <w:numPr>
          <w:ilvl w:val="0"/>
          <w:numId w:val="49"/>
        </w:numPr>
      </w:pPr>
      <w:r>
        <w:t>M</w:t>
      </w:r>
      <w:r w:rsidR="007E7755">
        <w:t xml:space="preserve">anufacturer’s </w:t>
      </w:r>
      <w:r>
        <w:t xml:space="preserve">system </w:t>
      </w:r>
      <w:r w:rsidR="007E7755">
        <w:t>spec</w:t>
      </w:r>
      <w:r>
        <w:t>ification</w:t>
      </w:r>
      <w:r w:rsidR="007E7755">
        <w:t xml:space="preserve"> sheet including</w:t>
      </w:r>
      <w:r>
        <w:t xml:space="preserve"> </w:t>
      </w:r>
      <w:r w:rsidR="001A1D3A">
        <w:t xml:space="preserve">(total </w:t>
      </w:r>
      <w:r w:rsidR="008417B7">
        <w:t>rated</w:t>
      </w:r>
      <w:r w:rsidR="001A1D3A">
        <w:t xml:space="preserve">) </w:t>
      </w:r>
      <w:r w:rsidR="00D63C44">
        <w:t xml:space="preserve">system </w:t>
      </w:r>
      <w:r w:rsidR="00B503EA">
        <w:t>efficiency</w:t>
      </w:r>
      <w:r w:rsidR="004F52A5">
        <w:t xml:space="preserve"> (COP</w:t>
      </w:r>
      <w:r w:rsidR="007B3CE2">
        <w:t>/</w:t>
      </w:r>
      <w:r w:rsidR="008417B7">
        <w:t>SysCOP</w:t>
      </w:r>
      <w:r w:rsidR="004F52A5">
        <w:t>)</w:t>
      </w:r>
      <w:r w:rsidR="00B503EA">
        <w:t xml:space="preserve"> at</w:t>
      </w:r>
      <w:r w:rsidR="004F52A5">
        <w:t xml:space="preserve"> standard conditions. </w:t>
      </w:r>
    </w:p>
    <w:p w14:paraId="4F0D345B" w14:textId="1D73A668" w:rsidR="00AD5BB0" w:rsidRDefault="00AD5BB0" w:rsidP="00B97FE0">
      <w:r>
        <w:t xml:space="preserve">The data collection along with NEEA’s upcoming specification will be used to identity relevant updates to the current measure package which could encompass a more holistic view of this central water heating measure. </w:t>
      </w:r>
    </w:p>
    <w:p w14:paraId="64B76759" w14:textId="2B67FACC" w:rsidR="00B97FE0" w:rsidRDefault="00B97FE0" w:rsidP="00B97FE0">
      <w:r>
        <w:t>Baseline equipment type and fuel source must be verified</w:t>
      </w:r>
      <w:r w:rsidR="0031400D">
        <w:t>, for downstream and direct install measures</w:t>
      </w:r>
      <w:r>
        <w:t xml:space="preserve">. </w:t>
      </w:r>
    </w:p>
    <w:p w14:paraId="6B049EB1" w14:textId="164CC2C6" w:rsidR="00B97FE0" w:rsidRDefault="00B97FE0" w:rsidP="00B97FE0">
      <w:r>
        <w:t xml:space="preserve">Per CPUC Decision 19-08-009, building infrastructure costs which include panel upgrades or gas line installations/upgrades required to facilitate these fuel substitution measures shall be collected for all downstream </w:t>
      </w:r>
      <w:r w:rsidR="00A1785C">
        <w:t xml:space="preserve">and direct install </w:t>
      </w:r>
      <w:r>
        <w:t>measures</w:t>
      </w:r>
      <w:r w:rsidR="00A1785C">
        <w:t>.</w:t>
      </w:r>
      <w:r w:rsidR="002A30A4" w:rsidRPr="002A30A4">
        <w:rPr>
          <w:rStyle w:val="FootnoteReference"/>
        </w:rPr>
        <w:t xml:space="preserve"> </w:t>
      </w:r>
      <w:r w:rsidR="002A30A4">
        <w:rPr>
          <w:rStyle w:val="FootnoteReference"/>
        </w:rPr>
        <w:footnoteReference w:id="18"/>
      </w:r>
    </w:p>
    <w:p w14:paraId="0A7AD915" w14:textId="77777777" w:rsidR="00906427" w:rsidRPr="00906427" w:rsidRDefault="00906427" w:rsidP="00906427"/>
    <w:p w14:paraId="25E6AD48" w14:textId="5625B7F2" w:rsidR="007D230B" w:rsidRPr="00C6243E" w:rsidRDefault="007D230B" w:rsidP="00462BB6">
      <w:pPr>
        <w:pStyle w:val="eTRMHeading3"/>
        <w:rPr>
          <w:rFonts w:cs="Calibri Light"/>
        </w:rPr>
      </w:pPr>
      <w:bookmarkStart w:id="40" w:name="_Toc75963031"/>
      <w:r w:rsidRPr="00C6243E">
        <w:rPr>
          <w:rFonts w:cs="Calibri Light"/>
        </w:rPr>
        <w:t>Use Category</w:t>
      </w:r>
      <w:bookmarkEnd w:id="38"/>
      <w:bookmarkEnd w:id="39"/>
      <w:bookmarkEnd w:id="40"/>
    </w:p>
    <w:p w14:paraId="1D9274E8" w14:textId="0B6A5950" w:rsidR="004142EF" w:rsidRPr="00C6243E" w:rsidRDefault="00AA142E" w:rsidP="00396963">
      <w:pPr>
        <w:rPr>
          <w:rFonts w:cs="Calibri Light"/>
        </w:rPr>
      </w:pPr>
      <w:r>
        <w:rPr>
          <w:rFonts w:cs="Calibri Light"/>
        </w:rPr>
        <w:t xml:space="preserve">Service &amp; </w:t>
      </w:r>
      <w:r w:rsidR="000E2BF2">
        <w:rPr>
          <w:rFonts w:cs="Calibri Light"/>
        </w:rPr>
        <w:t>D</w:t>
      </w:r>
      <w:r>
        <w:rPr>
          <w:rFonts w:cs="Calibri Light"/>
        </w:rPr>
        <w:t xml:space="preserve">omestic </w:t>
      </w:r>
      <w:r w:rsidR="000E2BF2">
        <w:rPr>
          <w:rFonts w:cs="Calibri Light"/>
        </w:rPr>
        <w:t>H</w:t>
      </w:r>
      <w:r>
        <w:rPr>
          <w:rFonts w:cs="Calibri Light"/>
        </w:rPr>
        <w:t xml:space="preserve">ot </w:t>
      </w:r>
      <w:r w:rsidR="000E2BF2">
        <w:rPr>
          <w:rFonts w:cs="Calibri Light"/>
        </w:rPr>
        <w:t>W</w:t>
      </w:r>
      <w:r>
        <w:rPr>
          <w:rFonts w:cs="Calibri Light"/>
        </w:rPr>
        <w:t>ater</w:t>
      </w:r>
    </w:p>
    <w:p w14:paraId="169BA247" w14:textId="77777777" w:rsidR="00273571" w:rsidRPr="00C6243E" w:rsidRDefault="00273571" w:rsidP="004B06E3">
      <w:pPr>
        <w:rPr>
          <w:rFonts w:cs="Calibri Light"/>
        </w:rPr>
      </w:pPr>
    </w:p>
    <w:p w14:paraId="6BAD47E5" w14:textId="5A2E091A" w:rsidR="007D230B" w:rsidRPr="00C6243E" w:rsidRDefault="007D230B" w:rsidP="00462BB6">
      <w:pPr>
        <w:pStyle w:val="eTRMHeading3"/>
        <w:rPr>
          <w:rFonts w:cs="Calibri Light"/>
        </w:rPr>
      </w:pPr>
      <w:bookmarkStart w:id="41" w:name="_Toc486490857"/>
      <w:bookmarkStart w:id="42" w:name="_Toc486580928"/>
      <w:bookmarkStart w:id="43" w:name="_Toc75963032"/>
      <w:r w:rsidRPr="00B95982">
        <w:rPr>
          <w:rFonts w:cs="Calibri Light"/>
        </w:rPr>
        <w:t>Electric Savings</w:t>
      </w:r>
      <w:r w:rsidR="00245AFF" w:rsidRPr="00B95982">
        <w:rPr>
          <w:rFonts w:cs="Calibri Light"/>
        </w:rPr>
        <w:t xml:space="preserve"> (</w:t>
      </w:r>
      <w:r w:rsidR="00E14349" w:rsidRPr="00B95982">
        <w:rPr>
          <w:rFonts w:cs="Calibri Light"/>
          <w:caps w:val="0"/>
        </w:rPr>
        <w:t>k</w:t>
      </w:r>
      <w:r w:rsidR="00245AFF" w:rsidRPr="00B95982">
        <w:rPr>
          <w:rFonts w:cs="Calibri Light"/>
          <w:caps w:val="0"/>
        </w:rPr>
        <w:t>Wh</w:t>
      </w:r>
      <w:bookmarkEnd w:id="41"/>
      <w:bookmarkEnd w:id="42"/>
      <w:r w:rsidR="00B97FE0" w:rsidRPr="00B95982">
        <w:rPr>
          <w:rFonts w:cs="Calibri Light"/>
        </w:rPr>
        <w:t>)</w:t>
      </w:r>
      <w:bookmarkEnd w:id="43"/>
    </w:p>
    <w:p w14:paraId="3535F8EC" w14:textId="1D0F650D" w:rsidR="005B1805" w:rsidRPr="00EB7049" w:rsidRDefault="002A30A4" w:rsidP="005B1805">
      <w:pPr>
        <w:rPr>
          <w:rFonts w:cs="Calibri Light"/>
          <w:szCs w:val="22"/>
        </w:rPr>
      </w:pPr>
      <w:r>
        <w:rPr>
          <w:rFonts w:cs="Calibri Light"/>
          <w:szCs w:val="22"/>
        </w:rPr>
        <w:t>The unit energy savings (UES) values for a h</w:t>
      </w:r>
      <w:r w:rsidR="005B1805" w:rsidRPr="00EB7049">
        <w:rPr>
          <w:rFonts w:cs="Calibri Light"/>
          <w:szCs w:val="22"/>
        </w:rPr>
        <w:t xml:space="preserve">eat pump water heater are </w:t>
      </w:r>
      <w:r>
        <w:rPr>
          <w:rFonts w:cs="Calibri Light"/>
          <w:szCs w:val="22"/>
        </w:rPr>
        <w:t>available</w:t>
      </w:r>
      <w:r w:rsidRPr="00EB7049">
        <w:rPr>
          <w:rFonts w:cs="Calibri Light"/>
          <w:szCs w:val="22"/>
        </w:rPr>
        <w:t xml:space="preserve"> </w:t>
      </w:r>
      <w:r w:rsidR="005B1805" w:rsidRPr="00EB7049">
        <w:rPr>
          <w:rFonts w:cs="Calibri Light"/>
          <w:szCs w:val="22"/>
        </w:rPr>
        <w:t xml:space="preserve">in </w:t>
      </w:r>
      <w:r>
        <w:rPr>
          <w:rFonts w:cs="Calibri Light"/>
          <w:szCs w:val="22"/>
        </w:rPr>
        <w:t>the 2020 version of the Database for Energy Efficient Resources. H</w:t>
      </w:r>
      <w:r w:rsidR="005B1805" w:rsidRPr="00EB7049">
        <w:rPr>
          <w:rFonts w:cs="Calibri Light"/>
          <w:szCs w:val="22"/>
        </w:rPr>
        <w:t xml:space="preserve">owever, </w:t>
      </w:r>
      <w:r>
        <w:rPr>
          <w:rFonts w:cs="Calibri Light"/>
          <w:szCs w:val="22"/>
        </w:rPr>
        <w:t xml:space="preserve">DEER </w:t>
      </w:r>
      <w:r w:rsidR="004B0FA7">
        <w:rPr>
          <w:rFonts w:cs="Calibri Light"/>
          <w:szCs w:val="22"/>
        </w:rPr>
        <w:t xml:space="preserve">does not include the measures </w:t>
      </w:r>
      <w:r w:rsidR="00D03CE1">
        <w:rPr>
          <w:rFonts w:cs="Calibri Light"/>
          <w:szCs w:val="22"/>
        </w:rPr>
        <w:t xml:space="preserve">supported under this measure package. </w:t>
      </w:r>
    </w:p>
    <w:p w14:paraId="729B32CC" w14:textId="6D02A43E" w:rsidR="005B1805" w:rsidRPr="00EB7049" w:rsidRDefault="002A30A4" w:rsidP="005B1805">
      <w:pPr>
        <w:rPr>
          <w:rFonts w:cs="Calibri Light"/>
          <w:szCs w:val="22"/>
        </w:rPr>
      </w:pPr>
      <w:r>
        <w:rPr>
          <w:rFonts w:cs="Calibri Light"/>
          <w:szCs w:val="22"/>
        </w:rPr>
        <w:t xml:space="preserve">Therefore, the unit energy consumption (UEC) and UES were derived from </w:t>
      </w:r>
      <w:r w:rsidR="005B1805" w:rsidRPr="00EB7049">
        <w:rPr>
          <w:rFonts w:cs="Calibri Light"/>
          <w:szCs w:val="22"/>
        </w:rPr>
        <w:t xml:space="preserve">the DEER </w:t>
      </w:r>
      <w:r w:rsidR="009F0355">
        <w:rPr>
          <w:rFonts w:cs="Calibri Light"/>
          <w:szCs w:val="22"/>
        </w:rPr>
        <w:t>W</w:t>
      </w:r>
      <w:r w:rsidR="009F0355" w:rsidRPr="00EB7049">
        <w:rPr>
          <w:rFonts w:cs="Calibri Light"/>
          <w:szCs w:val="22"/>
        </w:rPr>
        <w:t xml:space="preserve">ater </w:t>
      </w:r>
      <w:r w:rsidR="009F0355">
        <w:rPr>
          <w:rFonts w:cs="Calibri Light"/>
          <w:szCs w:val="22"/>
        </w:rPr>
        <w:t>H</w:t>
      </w:r>
      <w:r w:rsidR="009F0355" w:rsidRPr="00EB7049">
        <w:rPr>
          <w:rFonts w:cs="Calibri Light"/>
          <w:szCs w:val="22"/>
        </w:rPr>
        <w:t xml:space="preserve">eater </w:t>
      </w:r>
      <w:r w:rsidR="009F0355">
        <w:rPr>
          <w:rFonts w:cs="Calibri Light"/>
          <w:szCs w:val="22"/>
        </w:rPr>
        <w:t>C</w:t>
      </w:r>
      <w:r w:rsidR="009F0355" w:rsidRPr="00EB7049">
        <w:rPr>
          <w:rFonts w:cs="Calibri Light"/>
          <w:szCs w:val="22"/>
        </w:rPr>
        <w:t xml:space="preserve">alculator </w:t>
      </w:r>
      <w:r w:rsidR="005B1805" w:rsidRPr="00EB7049">
        <w:rPr>
          <w:rFonts w:cs="Calibri Light"/>
          <w:szCs w:val="22"/>
        </w:rPr>
        <w:t>tool version 4.</w:t>
      </w:r>
      <w:r w:rsidR="00203076">
        <w:rPr>
          <w:rFonts w:cs="Calibri Light"/>
          <w:szCs w:val="22"/>
        </w:rPr>
        <w:t>2</w:t>
      </w:r>
      <w:r w:rsidR="005B1805" w:rsidRPr="00EB7049">
        <w:rPr>
          <w:rFonts w:cs="Calibri Light"/>
          <w:szCs w:val="22"/>
        </w:rPr>
        <w:t>, a macro-enabled Excel workbook developed by consultants of the California Public Utilities Commission (CPUC) Energy Division to standardize the inputs and savings calculations for water heating measures.</w:t>
      </w:r>
      <w:r w:rsidRPr="002A30A4">
        <w:rPr>
          <w:rStyle w:val="FootnoteReference"/>
          <w:rFonts w:cs="Calibri Light"/>
          <w:szCs w:val="22"/>
        </w:rPr>
        <w:t xml:space="preserve"> </w:t>
      </w:r>
      <w:r w:rsidRPr="00EB7049">
        <w:rPr>
          <w:rStyle w:val="FootnoteReference"/>
          <w:rFonts w:cs="Calibri Light"/>
          <w:szCs w:val="22"/>
        </w:rPr>
        <w:footnoteReference w:id="19"/>
      </w:r>
      <w:r w:rsidR="005B1805" w:rsidRPr="00EB7049">
        <w:rPr>
          <w:rFonts w:cs="Calibri Light"/>
          <w:szCs w:val="22"/>
        </w:rPr>
        <w:t xml:space="preserve"> The calculator "utilizes hourly output from the DEER2014 DOE2 building prototypes for hot water loads (in gallons per minute, by building type) and ambient conditions (incoming </w:t>
      </w:r>
      <w:r w:rsidR="005B1805" w:rsidRPr="00EB7049">
        <w:rPr>
          <w:rFonts w:cs="Calibri Light"/>
          <w:szCs w:val="22"/>
        </w:rPr>
        <w:lastRenderedPageBreak/>
        <w:t>“mains” water temperature, ambient indoor space temperature) to estimate hourly energy use for a variety of water heaters.”</w:t>
      </w:r>
      <w:r w:rsidR="005B1805" w:rsidRPr="00EB7049">
        <w:rPr>
          <w:rStyle w:val="FootnoteReference"/>
          <w:rFonts w:cs="Calibri Light"/>
          <w:szCs w:val="22"/>
        </w:rPr>
        <w:footnoteReference w:id="20"/>
      </w:r>
    </w:p>
    <w:p w14:paraId="153266F8" w14:textId="4B46203E" w:rsidR="00E21895" w:rsidRDefault="009C475A" w:rsidP="00864CB5">
      <w:pPr>
        <w:rPr>
          <w:rFonts w:cs="Calibri Light"/>
          <w:szCs w:val="22"/>
        </w:rPr>
      </w:pPr>
      <w:r w:rsidRPr="009C475A">
        <w:rPr>
          <w:rFonts w:cs="Calibri Light"/>
          <w:szCs w:val="22"/>
        </w:rPr>
        <w:t>The DEER Water Heater Calculator tool version 4.2 Com building type list includes two building types which are classified as Industrial (MBT and MLI). The Com Measure IDs were duplicated for Industrial sector referencing the Com Energy Impact IDs from the DEER Water Heater Calculator tool version 4.2 which include results for MBT and MLI building types.</w:t>
      </w:r>
      <w:r w:rsidR="004C4E41">
        <w:rPr>
          <w:rFonts w:cs="Calibri Light"/>
          <w:szCs w:val="22"/>
        </w:rPr>
        <w:t xml:space="preserve"> </w:t>
      </w:r>
    </w:p>
    <w:p w14:paraId="795DDB61" w14:textId="77777777" w:rsidR="00612916" w:rsidRPr="00612916" w:rsidRDefault="00612916" w:rsidP="00612916"/>
    <w:p w14:paraId="62C305B7" w14:textId="57B5F837" w:rsidR="00352771" w:rsidRDefault="00352771" w:rsidP="00352771">
      <w:pPr>
        <w:pStyle w:val="eTRMHeading5"/>
      </w:pPr>
      <w:r>
        <w:t>Updates for Multifamily Building Type</w:t>
      </w:r>
    </w:p>
    <w:p w14:paraId="30544AED" w14:textId="7F7ACA65" w:rsidR="00352771" w:rsidRDefault="00352771" w:rsidP="00352771">
      <w:r>
        <w:t xml:space="preserve">It was </w:t>
      </w:r>
      <w:r w:rsidR="004B0FA7">
        <w:t>observed</w:t>
      </w:r>
      <w:r>
        <w:t xml:space="preserve"> that savings associated with the multifamily water heaters were low as compared to commercial measures. This is because the annual domestic hot water consumption profile for the multifamily building type is representative of a multifamily dwelling unit. Since the measures in this </w:t>
      </w:r>
      <w:r w:rsidR="005E6CA6">
        <w:t>measure package</w:t>
      </w:r>
      <w:r>
        <w:t xml:space="preserve"> are intended to be central or shared water heater</w:t>
      </w:r>
      <w:r w:rsidR="004B0FA7">
        <w:t xml:space="preserve"> systems</w:t>
      </w:r>
      <w:r>
        <w:t xml:space="preserve">, the domestic hot water consumption should reflect the use for multiple dwelling units served by  one or more HPWHs. </w:t>
      </w:r>
    </w:p>
    <w:p w14:paraId="2CCB3A79" w14:textId="1F9CA030" w:rsidR="00352771" w:rsidRDefault="00373F5C" w:rsidP="00352771">
      <w:r>
        <w:t xml:space="preserve">The calculations for </w:t>
      </w:r>
      <w:r w:rsidR="005E6CA6">
        <w:t>measure package</w:t>
      </w:r>
      <w:r>
        <w:t xml:space="preserve"> </w:t>
      </w:r>
      <w:r w:rsidR="00352771">
        <w:t>SWWH010-0</w:t>
      </w:r>
      <w:r>
        <w:t xml:space="preserve"> Boiler, Multifamily are based</w:t>
      </w:r>
      <w:r w:rsidR="00352771">
        <w:t xml:space="preserve"> on </w:t>
      </w:r>
      <w:r>
        <w:t>Southern California Gas’s</w:t>
      </w:r>
      <w:r w:rsidR="00352771">
        <w:t xml:space="preserve"> “WPSCGREWH131030A_Rev0__MF_CentralBlr_Tankless_2016.xlsx” calculation spreadsheet</w:t>
      </w:r>
      <w:r w:rsidR="0086400D">
        <w:rPr>
          <w:rStyle w:val="FootnoteReference"/>
        </w:rPr>
        <w:footnoteReference w:id="21"/>
      </w:r>
      <w:r>
        <w:t xml:space="preserve"> </w:t>
      </w:r>
      <w:r w:rsidR="00464508">
        <w:t>which</w:t>
      </w:r>
      <w:r>
        <w:t xml:space="preserve"> establish</w:t>
      </w:r>
      <w:r w:rsidR="004B0FA7">
        <w:t>es</w:t>
      </w:r>
      <w:r>
        <w:t xml:space="preserve"> an average dwelling unit per multifamily building. </w:t>
      </w:r>
      <w:r w:rsidR="00352771">
        <w:t xml:space="preserve">The calculation spreadsheet assumes an average of 163.50 people per building with three occupants per dwelling unit based on ASHRAE, for an average of 54 dwelling units per multifamily building.  </w:t>
      </w:r>
    </w:p>
    <w:p w14:paraId="0B8EEC4E" w14:textId="2B3A6832" w:rsidR="00352771" w:rsidRDefault="00352771" w:rsidP="00352771">
      <w:r>
        <w:t xml:space="preserve">Updates were made to the DEER Water Heater Calculator v4.2 to estimate this central multifamily </w:t>
      </w:r>
      <w:r w:rsidR="00373F5C">
        <w:t xml:space="preserve">water heater </w:t>
      </w:r>
      <w:r>
        <w:t xml:space="preserve">usage. To do this, the existing MFm dwelling unit DHW </w:t>
      </w:r>
      <w:r w:rsidR="00373F5C">
        <w:t xml:space="preserve">hourly </w:t>
      </w:r>
      <w:r>
        <w:t xml:space="preserve">consumption profile was multiplied </w:t>
      </w:r>
      <w:r w:rsidR="00373F5C">
        <w:t xml:space="preserve">on an hourly basis </w:t>
      </w:r>
      <w:r>
        <w:t xml:space="preserve">by the average number of dwelling units per multifamily building to calculate the estimated total DHW consumption for the multifamily building. This new consumption profile </w:t>
      </w:r>
      <w:r w:rsidR="00464508">
        <w:t xml:space="preserve">only </w:t>
      </w:r>
      <w:r>
        <w:t>account</w:t>
      </w:r>
      <w:r w:rsidR="00464508">
        <w:t>s</w:t>
      </w:r>
      <w:r>
        <w:t xml:space="preserve"> for dwelling unit consumption and excludes common area consumption, which is conservative. </w:t>
      </w:r>
    </w:p>
    <w:p w14:paraId="7B003908" w14:textId="227C9B5A" w:rsidR="00352771" w:rsidRDefault="00352771" w:rsidP="00352771">
      <w:r>
        <w:t xml:space="preserve">Residential savings in the </w:t>
      </w:r>
      <w:r w:rsidR="0000704D">
        <w:t>DEER calculator</w:t>
      </w:r>
      <w:r>
        <w:t xml:space="preserve"> are automatically calculated in units of “Each” water heater as opposed to “Cap-kBtuh”. There </w:t>
      </w:r>
      <w:r w:rsidR="00477EBC">
        <w:t>were several adjustments made</w:t>
      </w:r>
      <w:r>
        <w:t xml:space="preserve"> throughout the </w:t>
      </w:r>
      <w:r w:rsidR="0000704D">
        <w:t>calculator</w:t>
      </w:r>
      <w:r>
        <w:t xml:space="preserve"> to accomplish this. Since the savings for this </w:t>
      </w:r>
      <w:r w:rsidR="005E6CA6">
        <w:t>measure package</w:t>
      </w:r>
      <w:r w:rsidR="005E6CA6" w:rsidDel="0000704D">
        <w:t xml:space="preserve"> </w:t>
      </w:r>
      <w:r>
        <w:t xml:space="preserve">use Cap-kBtuh, the </w:t>
      </w:r>
      <w:r w:rsidR="0000704D">
        <w:t>calculator</w:t>
      </w:r>
      <w:r>
        <w:t xml:space="preserve"> </w:t>
      </w:r>
      <w:r w:rsidR="0000704D">
        <w:t>was</w:t>
      </w:r>
      <w:r>
        <w:t xml:space="preserve"> adjusted </w:t>
      </w:r>
      <w:r w:rsidR="0000704D">
        <w:t>so that</w:t>
      </w:r>
      <w:r>
        <w:t xml:space="preserve"> the water consumption for one of the commercial building types (Assembly) </w:t>
      </w:r>
      <w:r w:rsidR="00464508">
        <w:t>used</w:t>
      </w:r>
      <w:r>
        <w:t xml:space="preserve"> the updated MFm water consumption. Additionally, inputs on the “lookup” tab </w:t>
      </w:r>
      <w:r w:rsidR="0000704D">
        <w:t>were</w:t>
      </w:r>
      <w:r>
        <w:t xml:space="preserve"> updated to use the MFm values. The table below shows the updates made to the </w:t>
      </w:r>
      <w:r w:rsidR="00C12099">
        <w:t>DEER calculator</w:t>
      </w:r>
      <w:r w:rsidR="001F1F80">
        <w:t xml:space="preserve"> by SCE</w:t>
      </w:r>
      <w:r>
        <w:t>:</w:t>
      </w:r>
    </w:p>
    <w:tbl>
      <w:tblPr>
        <w:tblW w:w="9463" w:type="dxa"/>
        <w:tblInd w:w="-11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58"/>
        <w:gridCol w:w="2610"/>
        <w:gridCol w:w="2340"/>
        <w:gridCol w:w="3055"/>
      </w:tblGrid>
      <w:tr w:rsidR="00A13FA7" w:rsidRPr="002A30A4" w14:paraId="596CB4AF" w14:textId="77777777" w:rsidTr="00BF14AA">
        <w:trPr>
          <w:cantSplit/>
          <w:trHeight w:val="20"/>
        </w:trPr>
        <w:tc>
          <w:tcPr>
            <w:tcW w:w="1458" w:type="dxa"/>
            <w:shd w:val="clear" w:color="auto" w:fill="F2F2F2" w:themeFill="background1" w:themeFillShade="F2"/>
          </w:tcPr>
          <w:p w14:paraId="5B1705A1" w14:textId="604C985B" w:rsidR="00A13FA7" w:rsidRPr="00477EBC" w:rsidRDefault="00A13FA7" w:rsidP="00A13FA7">
            <w:pPr>
              <w:keepNext/>
              <w:keepLines/>
              <w:spacing w:before="20" w:after="20"/>
              <w:jc w:val="center"/>
              <w:rPr>
                <w:rFonts w:cs="Calibri Light"/>
                <w:b/>
                <w:bCs/>
                <w:sz w:val="20"/>
                <w:szCs w:val="22"/>
              </w:rPr>
            </w:pPr>
            <w:r w:rsidRPr="00BF14AA">
              <w:rPr>
                <w:b/>
                <w:bCs/>
                <w:sz w:val="20"/>
                <w:szCs w:val="22"/>
              </w:rPr>
              <w:lastRenderedPageBreak/>
              <w:t>DEER Water Heater Calculator Tab</w:t>
            </w:r>
          </w:p>
        </w:tc>
        <w:tc>
          <w:tcPr>
            <w:tcW w:w="2610" w:type="dxa"/>
            <w:shd w:val="clear" w:color="auto" w:fill="F2F2F2" w:themeFill="background1" w:themeFillShade="F2"/>
          </w:tcPr>
          <w:p w14:paraId="1D3FC543" w14:textId="303A45F8" w:rsidR="00A13FA7" w:rsidRPr="00477EBC" w:rsidRDefault="00A13FA7" w:rsidP="00A13FA7">
            <w:pPr>
              <w:keepNext/>
              <w:keepLines/>
              <w:spacing w:before="20" w:after="20"/>
              <w:jc w:val="center"/>
              <w:rPr>
                <w:rFonts w:cs="Calibri Light"/>
                <w:b/>
                <w:bCs/>
                <w:sz w:val="20"/>
                <w:szCs w:val="22"/>
              </w:rPr>
            </w:pPr>
            <w:r w:rsidRPr="00BF14AA">
              <w:rPr>
                <w:b/>
                <w:bCs/>
                <w:sz w:val="20"/>
                <w:szCs w:val="22"/>
              </w:rPr>
              <w:t>Input [spreadsheet column]</w:t>
            </w:r>
          </w:p>
        </w:tc>
        <w:tc>
          <w:tcPr>
            <w:tcW w:w="2340" w:type="dxa"/>
            <w:shd w:val="clear" w:color="auto" w:fill="F2F2F2" w:themeFill="background1" w:themeFillShade="F2"/>
          </w:tcPr>
          <w:p w14:paraId="76D34AA2" w14:textId="251F0AF3" w:rsidR="00A13FA7" w:rsidRPr="00477EBC" w:rsidRDefault="00A13FA7" w:rsidP="00A13FA7">
            <w:pPr>
              <w:keepNext/>
              <w:keepLines/>
              <w:spacing w:before="20" w:after="20"/>
              <w:jc w:val="center"/>
              <w:rPr>
                <w:rFonts w:cs="Calibri Light"/>
                <w:b/>
                <w:bCs/>
                <w:sz w:val="20"/>
                <w:szCs w:val="22"/>
              </w:rPr>
            </w:pPr>
            <w:r w:rsidRPr="00BF14AA">
              <w:rPr>
                <w:b/>
                <w:bCs/>
                <w:sz w:val="20"/>
                <w:szCs w:val="22"/>
              </w:rPr>
              <w:t>Original Value</w:t>
            </w:r>
            <w:r>
              <w:rPr>
                <w:b/>
                <w:bCs/>
                <w:sz w:val="20"/>
                <w:szCs w:val="22"/>
              </w:rPr>
              <w:t xml:space="preserve"> for Asm Building Type</w:t>
            </w:r>
          </w:p>
        </w:tc>
        <w:tc>
          <w:tcPr>
            <w:tcW w:w="3055" w:type="dxa"/>
            <w:shd w:val="clear" w:color="auto" w:fill="F2F2F2" w:themeFill="background1" w:themeFillShade="F2"/>
          </w:tcPr>
          <w:p w14:paraId="327F51AA" w14:textId="600B0EF9" w:rsidR="00A13FA7" w:rsidRPr="00477EBC" w:rsidRDefault="00A13FA7" w:rsidP="00A13FA7">
            <w:pPr>
              <w:keepNext/>
              <w:keepLines/>
              <w:spacing w:before="20" w:after="20"/>
              <w:jc w:val="center"/>
              <w:rPr>
                <w:rFonts w:cs="Calibri Light"/>
                <w:b/>
                <w:bCs/>
                <w:sz w:val="20"/>
                <w:szCs w:val="22"/>
              </w:rPr>
            </w:pPr>
            <w:r w:rsidRPr="00BF14AA">
              <w:rPr>
                <w:b/>
                <w:bCs/>
                <w:sz w:val="20"/>
                <w:szCs w:val="22"/>
              </w:rPr>
              <w:t>New Value</w:t>
            </w:r>
            <w:r>
              <w:rPr>
                <w:b/>
                <w:bCs/>
                <w:sz w:val="20"/>
                <w:szCs w:val="22"/>
              </w:rPr>
              <w:t xml:space="preserve"> to Adjust for MFm Building Type</w:t>
            </w:r>
          </w:p>
        </w:tc>
      </w:tr>
      <w:tr w:rsidR="00A13FA7" w:rsidRPr="002A30A4" w14:paraId="7D5556EF" w14:textId="77777777" w:rsidTr="00BF14AA">
        <w:trPr>
          <w:cantSplit/>
          <w:trHeight w:val="20"/>
        </w:trPr>
        <w:tc>
          <w:tcPr>
            <w:tcW w:w="1458" w:type="dxa"/>
          </w:tcPr>
          <w:p w14:paraId="3A5C73D1" w14:textId="05E04A1B" w:rsidR="00A13FA7" w:rsidRPr="00A13FA7" w:rsidRDefault="00A13FA7" w:rsidP="00A13FA7">
            <w:pPr>
              <w:keepNext/>
              <w:keepLines/>
              <w:spacing w:before="20" w:after="20"/>
              <w:rPr>
                <w:rFonts w:cs="Calibri Light"/>
                <w:sz w:val="20"/>
                <w:szCs w:val="20"/>
              </w:rPr>
            </w:pPr>
            <w:r w:rsidRPr="00BF14AA">
              <w:rPr>
                <w:sz w:val="20"/>
                <w:szCs w:val="20"/>
              </w:rPr>
              <w:t>HWgal</w:t>
            </w:r>
          </w:p>
        </w:tc>
        <w:tc>
          <w:tcPr>
            <w:tcW w:w="2610" w:type="dxa"/>
          </w:tcPr>
          <w:p w14:paraId="07D3F564" w14:textId="0887935A" w:rsidR="00A13FA7" w:rsidRPr="00A13FA7" w:rsidRDefault="00A13FA7" w:rsidP="00A13FA7">
            <w:pPr>
              <w:keepNext/>
              <w:keepLines/>
              <w:spacing w:before="20" w:after="20"/>
              <w:jc w:val="center"/>
              <w:rPr>
                <w:rFonts w:cs="Calibri Light"/>
                <w:sz w:val="20"/>
                <w:szCs w:val="20"/>
              </w:rPr>
            </w:pPr>
            <w:r w:rsidRPr="00BF14AA">
              <w:rPr>
                <w:sz w:val="20"/>
                <w:szCs w:val="20"/>
              </w:rPr>
              <w:t>Assembly building annual hot water consumption in GPM [Col C]</w:t>
            </w:r>
          </w:p>
        </w:tc>
        <w:tc>
          <w:tcPr>
            <w:tcW w:w="2340" w:type="dxa"/>
          </w:tcPr>
          <w:p w14:paraId="7C8E93BA" w14:textId="542C973F" w:rsidR="00A13FA7" w:rsidRPr="00A13FA7" w:rsidRDefault="00A13FA7" w:rsidP="00A13FA7">
            <w:pPr>
              <w:keepNext/>
              <w:keepLines/>
              <w:spacing w:before="20" w:after="20"/>
              <w:rPr>
                <w:sz w:val="20"/>
                <w:szCs w:val="20"/>
              </w:rPr>
            </w:pPr>
            <w:r w:rsidRPr="00BF14AA">
              <w:rPr>
                <w:sz w:val="20"/>
                <w:szCs w:val="20"/>
              </w:rPr>
              <w:t xml:space="preserve">Asm building type hot water GPM annual profile </w:t>
            </w:r>
          </w:p>
        </w:tc>
        <w:tc>
          <w:tcPr>
            <w:tcW w:w="3055" w:type="dxa"/>
          </w:tcPr>
          <w:p w14:paraId="6979B659" w14:textId="4DB32487" w:rsidR="00A13FA7" w:rsidRPr="00A13FA7" w:rsidRDefault="00A13FA7" w:rsidP="00A13FA7">
            <w:pPr>
              <w:keepNext/>
              <w:keepLines/>
              <w:spacing w:before="20" w:after="20"/>
              <w:rPr>
                <w:rFonts w:cs="Calibri Light"/>
                <w:sz w:val="20"/>
                <w:szCs w:val="20"/>
              </w:rPr>
            </w:pPr>
            <w:r w:rsidRPr="00BF14AA">
              <w:rPr>
                <w:sz w:val="20"/>
                <w:szCs w:val="20"/>
              </w:rPr>
              <w:t xml:space="preserve">Scaled MFm building type hot water GPM annual hourly profile. The load profile is scaled based on 54 dwelling units per building. </w:t>
            </w:r>
          </w:p>
        </w:tc>
      </w:tr>
      <w:tr w:rsidR="00A13FA7" w:rsidRPr="002A30A4" w14:paraId="36B5ACAF" w14:textId="77777777" w:rsidTr="00BF14AA">
        <w:trPr>
          <w:cantSplit/>
          <w:trHeight w:val="20"/>
        </w:trPr>
        <w:tc>
          <w:tcPr>
            <w:tcW w:w="1458" w:type="dxa"/>
          </w:tcPr>
          <w:p w14:paraId="4DF51086" w14:textId="6C8D244F" w:rsidR="00A13FA7" w:rsidRPr="00A13FA7" w:rsidRDefault="00A13FA7" w:rsidP="00A13FA7">
            <w:pPr>
              <w:keepNext/>
              <w:keepLines/>
              <w:spacing w:before="20" w:after="20"/>
              <w:rPr>
                <w:rFonts w:cs="Calibri Light"/>
                <w:sz w:val="20"/>
                <w:szCs w:val="20"/>
              </w:rPr>
            </w:pPr>
            <w:r w:rsidRPr="00BF14AA">
              <w:rPr>
                <w:sz w:val="20"/>
                <w:szCs w:val="20"/>
              </w:rPr>
              <w:t>lookup</w:t>
            </w:r>
          </w:p>
        </w:tc>
        <w:tc>
          <w:tcPr>
            <w:tcW w:w="2610" w:type="dxa"/>
          </w:tcPr>
          <w:p w14:paraId="4D87CEB4" w14:textId="7DB6DFA9" w:rsidR="00A13FA7" w:rsidRPr="00A13FA7" w:rsidRDefault="00A13FA7" w:rsidP="00A13FA7">
            <w:pPr>
              <w:keepNext/>
              <w:keepLines/>
              <w:spacing w:before="20" w:after="20"/>
              <w:jc w:val="center"/>
              <w:rPr>
                <w:rFonts w:cs="Calibri Light"/>
                <w:sz w:val="20"/>
                <w:szCs w:val="20"/>
              </w:rPr>
            </w:pPr>
            <w:r w:rsidRPr="00BF14AA">
              <w:rPr>
                <w:sz w:val="20"/>
                <w:szCs w:val="20"/>
              </w:rPr>
              <w:t>Ambient temperature profile for indoor HPWH, (“Tamb”) [Col C]</w:t>
            </w:r>
          </w:p>
        </w:tc>
        <w:tc>
          <w:tcPr>
            <w:tcW w:w="2340" w:type="dxa"/>
          </w:tcPr>
          <w:p w14:paraId="463404A3" w14:textId="6BAF4510" w:rsidR="00A13FA7" w:rsidRPr="00A13FA7" w:rsidRDefault="00A13FA7" w:rsidP="00A13FA7">
            <w:pPr>
              <w:keepNext/>
              <w:keepLines/>
              <w:spacing w:before="20" w:after="20"/>
              <w:rPr>
                <w:sz w:val="20"/>
                <w:szCs w:val="20"/>
              </w:rPr>
            </w:pPr>
            <w:r w:rsidRPr="00BF14AA">
              <w:rPr>
                <w:sz w:val="20"/>
                <w:szCs w:val="20"/>
              </w:rPr>
              <w:t>Conditioned interior temperature profile (“CondInt”)</w:t>
            </w:r>
          </w:p>
        </w:tc>
        <w:tc>
          <w:tcPr>
            <w:tcW w:w="3055" w:type="dxa"/>
          </w:tcPr>
          <w:p w14:paraId="6E11AA0D" w14:textId="5C4FC868" w:rsidR="00A13FA7" w:rsidRPr="00A13FA7" w:rsidRDefault="00A13FA7" w:rsidP="00A13FA7">
            <w:pPr>
              <w:keepNext/>
              <w:keepLines/>
              <w:spacing w:before="20" w:after="20"/>
              <w:rPr>
                <w:rFonts w:cs="Calibri Light"/>
                <w:sz w:val="20"/>
                <w:szCs w:val="20"/>
                <w:highlight w:val="yellow"/>
              </w:rPr>
            </w:pPr>
            <w:r w:rsidRPr="00BF14AA">
              <w:rPr>
                <w:sz w:val="20"/>
                <w:szCs w:val="20"/>
              </w:rPr>
              <w:t>Multifamily temperature profile (“</w:t>
            </w:r>
            <w:r w:rsidR="005A576A">
              <w:rPr>
                <w:sz w:val="20"/>
                <w:szCs w:val="20"/>
              </w:rPr>
              <w:t>UnCond</w:t>
            </w:r>
            <w:r w:rsidRPr="00BF14AA">
              <w:rPr>
                <w:sz w:val="20"/>
                <w:szCs w:val="20"/>
              </w:rPr>
              <w:t>”)</w:t>
            </w:r>
            <w:r w:rsidR="005A576A">
              <w:rPr>
                <w:sz w:val="20"/>
                <w:szCs w:val="20"/>
              </w:rPr>
              <w:t xml:space="preserve"> based on comments from the CPUC. </w:t>
            </w:r>
            <w:r w:rsidR="005A576A">
              <w:rPr>
                <w:rStyle w:val="FootnoteReference"/>
                <w:sz w:val="20"/>
                <w:szCs w:val="20"/>
              </w:rPr>
              <w:footnoteReference w:id="22"/>
            </w:r>
          </w:p>
        </w:tc>
      </w:tr>
      <w:tr w:rsidR="00A13FA7" w:rsidRPr="002A30A4" w14:paraId="5CC824CC" w14:textId="77777777" w:rsidTr="00BF14AA">
        <w:trPr>
          <w:cantSplit/>
          <w:trHeight w:val="20"/>
        </w:trPr>
        <w:tc>
          <w:tcPr>
            <w:tcW w:w="1458" w:type="dxa"/>
          </w:tcPr>
          <w:p w14:paraId="72AE8811" w14:textId="06B83412" w:rsidR="00A13FA7" w:rsidRPr="00A13FA7" w:rsidRDefault="00A13FA7" w:rsidP="00A13FA7">
            <w:pPr>
              <w:keepNext/>
              <w:keepLines/>
              <w:spacing w:before="20" w:after="20"/>
              <w:rPr>
                <w:sz w:val="20"/>
                <w:szCs w:val="20"/>
              </w:rPr>
            </w:pPr>
            <w:r w:rsidRPr="00BF14AA">
              <w:rPr>
                <w:sz w:val="20"/>
                <w:szCs w:val="20"/>
              </w:rPr>
              <w:t>lookup</w:t>
            </w:r>
          </w:p>
        </w:tc>
        <w:tc>
          <w:tcPr>
            <w:tcW w:w="2610" w:type="dxa"/>
          </w:tcPr>
          <w:p w14:paraId="2CA6F3DB" w14:textId="63B257F3" w:rsidR="00A13FA7" w:rsidRPr="00A13FA7" w:rsidRDefault="00A13FA7" w:rsidP="00A13FA7">
            <w:pPr>
              <w:keepNext/>
              <w:keepLines/>
              <w:spacing w:before="20" w:after="20"/>
              <w:jc w:val="center"/>
              <w:rPr>
                <w:rFonts w:cs="Calibri Light"/>
                <w:sz w:val="20"/>
                <w:szCs w:val="20"/>
              </w:rPr>
            </w:pPr>
            <w:r w:rsidRPr="00BF14AA">
              <w:rPr>
                <w:sz w:val="20"/>
                <w:szCs w:val="20"/>
              </w:rPr>
              <w:t>Peak flow in gallons per hour (“Peak GPH”) [Col J]</w:t>
            </w:r>
          </w:p>
        </w:tc>
        <w:tc>
          <w:tcPr>
            <w:tcW w:w="2340" w:type="dxa"/>
          </w:tcPr>
          <w:p w14:paraId="047B5C68" w14:textId="4BE4F512" w:rsidR="00A13FA7" w:rsidRPr="00A13FA7" w:rsidRDefault="00A13FA7" w:rsidP="00A13FA7">
            <w:pPr>
              <w:keepNext/>
              <w:keepLines/>
              <w:spacing w:before="20" w:after="20"/>
              <w:rPr>
                <w:sz w:val="20"/>
                <w:szCs w:val="20"/>
              </w:rPr>
            </w:pPr>
            <w:r w:rsidRPr="00BF14AA">
              <w:rPr>
                <w:sz w:val="20"/>
                <w:szCs w:val="20"/>
              </w:rPr>
              <w:t>253 GPH</w:t>
            </w:r>
          </w:p>
        </w:tc>
        <w:tc>
          <w:tcPr>
            <w:tcW w:w="3055" w:type="dxa"/>
          </w:tcPr>
          <w:p w14:paraId="1BE5DFD1" w14:textId="299A8DAE" w:rsidR="00A13FA7" w:rsidRPr="00A13FA7" w:rsidRDefault="00A13FA7" w:rsidP="00A13FA7">
            <w:pPr>
              <w:keepNext/>
              <w:keepLines/>
              <w:spacing w:before="20" w:after="20"/>
              <w:rPr>
                <w:sz w:val="20"/>
                <w:szCs w:val="20"/>
              </w:rPr>
            </w:pPr>
            <w:r w:rsidRPr="00BF14AA">
              <w:rPr>
                <w:sz w:val="20"/>
                <w:szCs w:val="20"/>
              </w:rPr>
              <w:t xml:space="preserve">Automatically updated from HWgal tab based on updated hot water consumption profile. </w:t>
            </w:r>
          </w:p>
        </w:tc>
      </w:tr>
    </w:tbl>
    <w:p w14:paraId="6657198D" w14:textId="7B3235BE" w:rsidR="00373F5C" w:rsidRDefault="00373F5C" w:rsidP="00352771"/>
    <w:p w14:paraId="5044A625" w14:textId="397E95EA" w:rsidR="00373F5C" w:rsidRDefault="00464508" w:rsidP="00352771">
      <w:r>
        <w:t xml:space="preserve">Separate calculation </w:t>
      </w:r>
      <w:r w:rsidR="0056664D">
        <w:t>workbooks</w:t>
      </w:r>
      <w:r>
        <w:t xml:space="preserve"> were used for the commercial, industrial, and multifamily measures</w:t>
      </w:r>
      <w:r w:rsidR="00373F5C">
        <w:t xml:space="preserve">. </w:t>
      </w:r>
    </w:p>
    <w:p w14:paraId="34CB055A" w14:textId="34B07BE9" w:rsidR="0000704D" w:rsidRDefault="0000704D" w:rsidP="00352771"/>
    <w:p w14:paraId="33E65B70" w14:textId="4849F345" w:rsidR="0056664D" w:rsidRDefault="0056664D" w:rsidP="0056664D">
      <w:pPr>
        <w:rPr>
          <w:rFonts w:cs="Calibri Light"/>
          <w:szCs w:val="22"/>
        </w:rPr>
      </w:pPr>
      <w:r>
        <w:rPr>
          <w:rFonts w:cs="Calibri Light"/>
          <w:szCs w:val="22"/>
        </w:rPr>
        <w:t>As noted by CPUC,</w:t>
      </w:r>
      <w:r w:rsidR="005E2DA8">
        <w:rPr>
          <w:rStyle w:val="FootnoteReference"/>
          <w:rFonts w:cs="Calibri Light"/>
          <w:szCs w:val="22"/>
        </w:rPr>
        <w:footnoteReference w:id="23"/>
      </w:r>
      <w:r>
        <w:rPr>
          <w:rFonts w:cs="Calibri Light"/>
          <w:szCs w:val="22"/>
        </w:rPr>
        <w:t xml:space="preserve"> the DEER2023 update to the water heater calculator will include </w:t>
      </w:r>
      <w:r w:rsidR="00837178">
        <w:rPr>
          <w:rFonts w:cs="Calibri Light"/>
          <w:szCs w:val="22"/>
        </w:rPr>
        <w:t xml:space="preserve">hot water </w:t>
      </w:r>
      <w:r>
        <w:rPr>
          <w:rFonts w:cs="Calibri Light"/>
          <w:szCs w:val="22"/>
        </w:rPr>
        <w:t xml:space="preserve">profiles and technologies for central multifamily building. The next revision of this </w:t>
      </w:r>
      <w:r w:rsidR="005E6CA6">
        <w:t>measure package</w:t>
      </w:r>
      <w:r w:rsidR="005E6CA6">
        <w:rPr>
          <w:rFonts w:cs="Calibri Light"/>
          <w:szCs w:val="22"/>
        </w:rPr>
        <w:t xml:space="preserve"> </w:t>
      </w:r>
      <w:r>
        <w:rPr>
          <w:rFonts w:cs="Calibri Light"/>
          <w:szCs w:val="22"/>
        </w:rPr>
        <w:t xml:space="preserve">will adopt those new impacts. </w:t>
      </w:r>
    </w:p>
    <w:p w14:paraId="718E670B" w14:textId="77777777" w:rsidR="0056664D" w:rsidRDefault="0056664D" w:rsidP="00352771"/>
    <w:p w14:paraId="3FFF0004" w14:textId="77777777" w:rsidR="0056664D" w:rsidRPr="00352771" w:rsidRDefault="0056664D" w:rsidP="00352771"/>
    <w:p w14:paraId="307D919E" w14:textId="454D3531" w:rsidR="000C0598" w:rsidRDefault="000C0598" w:rsidP="000C0598">
      <w:pPr>
        <w:pStyle w:val="eTRMHeading3"/>
        <w:rPr>
          <w:rFonts w:cs="Calibri Light"/>
        </w:rPr>
      </w:pPr>
      <w:bookmarkStart w:id="44" w:name="_Toc75963033"/>
      <w:r>
        <w:rPr>
          <w:rFonts w:cs="Calibri Light"/>
        </w:rPr>
        <w:t xml:space="preserve">peak electric </w:t>
      </w:r>
      <w:bookmarkStart w:id="45" w:name="_Toc23252219"/>
      <w:r>
        <w:rPr>
          <w:rFonts w:cs="Calibri Light"/>
        </w:rPr>
        <w:t>Demand Reduction</w:t>
      </w:r>
      <w:r w:rsidRPr="00685977">
        <w:rPr>
          <w:rFonts w:cs="Calibri Light"/>
        </w:rPr>
        <w:t xml:space="preserve"> (</w:t>
      </w:r>
      <w:r>
        <w:rPr>
          <w:rFonts w:cs="Calibri Light"/>
        </w:rPr>
        <w:t>kW</w:t>
      </w:r>
      <w:r w:rsidRPr="00685977">
        <w:rPr>
          <w:rFonts w:cs="Calibri Light"/>
        </w:rPr>
        <w:t>)</w:t>
      </w:r>
      <w:bookmarkEnd w:id="44"/>
      <w:bookmarkEnd w:id="45"/>
    </w:p>
    <w:p w14:paraId="64C18818" w14:textId="4BACE2FA" w:rsidR="0043235B" w:rsidRDefault="000C0598" w:rsidP="000C0598">
      <w:r w:rsidRPr="001653F0">
        <w:t xml:space="preserve">In accordance with the requirements of the </w:t>
      </w:r>
      <w:r w:rsidRPr="00CA50C3">
        <w:rPr>
          <w:i/>
          <w:iCs/>
        </w:rPr>
        <w:t>Fuel Substitution Technical Guidance</w:t>
      </w:r>
      <w:r w:rsidRPr="001653F0">
        <w:t xml:space="preserve">, </w:t>
      </w:r>
      <w:r w:rsidR="002A30A4">
        <w:t>issued by the California Public Utilities Commission (CPUC) in October 2019,</w:t>
      </w:r>
      <w:r w:rsidR="002A30A4" w:rsidRPr="001653F0">
        <w:t xml:space="preserve"> </w:t>
      </w:r>
      <w:r w:rsidRPr="001653F0">
        <w:t xml:space="preserve">there will not be any peak demand reduction or penalty towards peak demand goal achievement from fuel substitution </w:t>
      </w:r>
      <w:r w:rsidR="0043235B" w:rsidRPr="001653F0">
        <w:t>measures.</w:t>
      </w:r>
      <w:r w:rsidR="0043235B">
        <w:rPr>
          <w:rStyle w:val="FootnoteReference"/>
        </w:rPr>
        <w:footnoteReference w:id="24"/>
      </w:r>
    </w:p>
    <w:p w14:paraId="7DF62C42" w14:textId="77777777" w:rsidR="009612B9" w:rsidRDefault="009612B9" w:rsidP="000C0598"/>
    <w:p w14:paraId="4CD22AB8" w14:textId="468E5BB1" w:rsidR="0043235B" w:rsidRDefault="0043235B" w:rsidP="0043235B">
      <w:pPr>
        <w:pStyle w:val="eTRMHeading3"/>
      </w:pPr>
      <w:bookmarkStart w:id="46" w:name="_Toc22904580"/>
      <w:bookmarkStart w:id="47" w:name="_Toc75963034"/>
      <w:r>
        <w:t>Gas Savings (therms)</w:t>
      </w:r>
      <w:bookmarkEnd w:id="46"/>
      <w:bookmarkEnd w:id="47"/>
    </w:p>
    <w:p w14:paraId="0C41A135" w14:textId="4E9041F3" w:rsidR="0043235B" w:rsidRDefault="0043235B" w:rsidP="00A84B03">
      <w:pPr>
        <w:rPr>
          <w:rFonts w:cs="Calibri Light"/>
        </w:rPr>
      </w:pPr>
      <w:r>
        <w:rPr>
          <w:rFonts w:cs="Calibri Light"/>
        </w:rPr>
        <w:t>Gas</w:t>
      </w:r>
      <w:r w:rsidR="002A30A4">
        <w:rPr>
          <w:rFonts w:cs="Calibri Light"/>
        </w:rPr>
        <w:t xml:space="preserve"> unit energy</w:t>
      </w:r>
      <w:r>
        <w:rPr>
          <w:rFonts w:cs="Calibri Light"/>
        </w:rPr>
        <w:t xml:space="preserve"> consumption </w:t>
      </w:r>
      <w:r w:rsidR="002A30A4">
        <w:rPr>
          <w:rFonts w:cs="Calibri Light"/>
        </w:rPr>
        <w:t xml:space="preserve">and savings were </w:t>
      </w:r>
      <w:r>
        <w:rPr>
          <w:rFonts w:cs="Calibri Light"/>
        </w:rPr>
        <w:t xml:space="preserve">calculated using the same methodology as the electric energy savings. </w:t>
      </w:r>
      <w:r w:rsidR="002A30A4">
        <w:rPr>
          <w:rFonts w:cs="Calibri Light"/>
        </w:rPr>
        <w:t>See</w:t>
      </w:r>
      <w:r>
        <w:rPr>
          <w:rFonts w:cs="Calibri Light"/>
        </w:rPr>
        <w:t xml:space="preserve"> Electric Savings for details. </w:t>
      </w:r>
    </w:p>
    <w:p w14:paraId="6CE9ED70" w14:textId="6546DD64" w:rsidR="00F7114F" w:rsidRDefault="00F7114F" w:rsidP="00A84B03">
      <w:pPr>
        <w:rPr>
          <w:rFonts w:cs="Calibri Light"/>
        </w:rPr>
      </w:pPr>
    </w:p>
    <w:p w14:paraId="6AC43EA5" w14:textId="6367A0DD" w:rsidR="007D230B" w:rsidRPr="00C6243E" w:rsidRDefault="00245AFF" w:rsidP="00462BB6">
      <w:pPr>
        <w:pStyle w:val="eTRMHeading3"/>
        <w:rPr>
          <w:rFonts w:cs="Calibri Light"/>
        </w:rPr>
      </w:pPr>
      <w:bookmarkStart w:id="48" w:name="_Toc75963035"/>
      <w:bookmarkStart w:id="49" w:name="_Toc486490859"/>
      <w:bookmarkStart w:id="50" w:name="_Toc486580930"/>
      <w:r w:rsidRPr="00112455">
        <w:rPr>
          <w:rFonts w:cs="Calibri Light"/>
        </w:rPr>
        <w:lastRenderedPageBreak/>
        <w:t>Life Cycle</w:t>
      </w:r>
      <w:bookmarkEnd w:id="48"/>
      <w:r w:rsidR="007D230B" w:rsidRPr="00C6243E">
        <w:rPr>
          <w:rFonts w:cs="Calibri Light"/>
        </w:rPr>
        <w:t xml:space="preserve"> </w:t>
      </w:r>
      <w:bookmarkEnd w:id="49"/>
      <w:bookmarkEnd w:id="50"/>
    </w:p>
    <w:p w14:paraId="05A41ECE" w14:textId="77777777" w:rsidR="004B2B4E" w:rsidRDefault="004B2B4E" w:rsidP="004142EF">
      <w:pPr>
        <w:rPr>
          <w:szCs w:val="22"/>
        </w:rPr>
      </w:pPr>
      <w:r w:rsidRPr="00DD5467">
        <w:rPr>
          <w:szCs w:val="22"/>
        </w:rPr>
        <w:t>Effective useful life (EUL) is an estimate of the median number of years that a measure installed through a program is still in place and operable. Re</w:t>
      </w:r>
      <w:r>
        <w:rPr>
          <w:szCs w:val="22"/>
        </w:rPr>
        <w:t xml:space="preserv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0B790BA4" w14:textId="38B47C15" w:rsidR="000336CD" w:rsidRDefault="000336CD" w:rsidP="00D62874">
      <w:r>
        <w:t xml:space="preserve">The measure EUL represents the </w:t>
      </w:r>
      <w:r w:rsidR="002A30A4">
        <w:t xml:space="preserve">estimated lifetime of a </w:t>
      </w:r>
      <w:r>
        <w:t xml:space="preserve">heat pump water heater. The RUL </w:t>
      </w:r>
      <w:r w:rsidR="002A30A4">
        <w:t>is based upon</w:t>
      </w:r>
      <w:r w:rsidR="00E941E2">
        <w:t xml:space="preserve"> either a </w:t>
      </w:r>
      <w:r>
        <w:t xml:space="preserve">storage or tankless natural gas water heater for the </w:t>
      </w:r>
      <w:r w:rsidR="002A30A4">
        <w:t>a</w:t>
      </w:r>
      <w:r>
        <w:t xml:space="preserve">ccelerated </w:t>
      </w:r>
      <w:r w:rsidR="002A30A4">
        <w:t>r</w:t>
      </w:r>
      <w:r>
        <w:t xml:space="preserve">eplacement (AR) </w:t>
      </w:r>
      <w:r w:rsidR="002A30A4">
        <w:t>application type</w:t>
      </w:r>
      <w:r>
        <w:t xml:space="preserve">. RUL is </w:t>
      </w:r>
      <w:r w:rsidR="002A30A4">
        <w:t xml:space="preserve">not </w:t>
      </w:r>
      <w:r>
        <w:t xml:space="preserve">applicable for the </w:t>
      </w:r>
      <w:r w:rsidR="002A30A4">
        <w:t>n</w:t>
      </w:r>
      <w:r>
        <w:t xml:space="preserve">ormal </w:t>
      </w:r>
      <w:r w:rsidR="002A30A4">
        <w:t>r</w:t>
      </w:r>
      <w:r>
        <w:t xml:space="preserve">eplacement (NR) </w:t>
      </w:r>
      <w:r w:rsidR="002A30A4">
        <w:t>application type</w:t>
      </w:r>
      <w:r>
        <w:t xml:space="preserve">.   </w:t>
      </w:r>
    </w:p>
    <w:p w14:paraId="2356FA18" w14:textId="3D581D6E" w:rsidR="00FD2C54" w:rsidRPr="00D62874" w:rsidRDefault="00FD2C54" w:rsidP="00CA50C3">
      <w:pPr>
        <w:pStyle w:val="Caption"/>
      </w:pPr>
      <w:r w:rsidRPr="00D62874">
        <w:t>Effective Useful Life</w:t>
      </w:r>
      <w:r w:rsidR="00BB4F22" w:rsidRPr="00D62874">
        <w:t xml:space="preserve"> and Remaining Useful Life</w:t>
      </w:r>
    </w:p>
    <w:tbl>
      <w:tblPr>
        <w:tblW w:w="9445" w:type="dxa"/>
        <w:tblInd w:w="-11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720"/>
        <w:gridCol w:w="4590"/>
      </w:tblGrid>
      <w:tr w:rsidR="00492985" w:rsidRPr="002A30A4" w14:paraId="08C194DE" w14:textId="77777777" w:rsidTr="00CA50C3">
        <w:trPr>
          <w:cantSplit/>
          <w:trHeight w:val="20"/>
        </w:trPr>
        <w:tc>
          <w:tcPr>
            <w:tcW w:w="4135" w:type="dxa"/>
            <w:shd w:val="clear" w:color="auto" w:fill="F2F2F2" w:themeFill="background1" w:themeFillShade="F2"/>
            <w:vAlign w:val="bottom"/>
          </w:tcPr>
          <w:p w14:paraId="5AC530C7" w14:textId="77777777" w:rsidR="00492985" w:rsidRPr="002A30A4" w:rsidRDefault="00492985" w:rsidP="009C31A4">
            <w:pPr>
              <w:keepNext/>
              <w:keepLines/>
              <w:spacing w:before="20" w:after="20"/>
              <w:jc w:val="center"/>
              <w:rPr>
                <w:rFonts w:cs="Calibri Light"/>
                <w:b/>
                <w:sz w:val="20"/>
                <w:szCs w:val="20"/>
              </w:rPr>
            </w:pPr>
            <w:r w:rsidRPr="002A30A4">
              <w:rPr>
                <w:rFonts w:cs="Calibri Light"/>
                <w:b/>
                <w:sz w:val="20"/>
                <w:szCs w:val="20"/>
              </w:rPr>
              <w:t>Parameter</w:t>
            </w:r>
          </w:p>
        </w:tc>
        <w:tc>
          <w:tcPr>
            <w:tcW w:w="720" w:type="dxa"/>
            <w:shd w:val="clear" w:color="auto" w:fill="F2F2F2" w:themeFill="background1" w:themeFillShade="F2"/>
          </w:tcPr>
          <w:p w14:paraId="59ED15C3" w14:textId="77777777" w:rsidR="00492985" w:rsidRPr="002A30A4" w:rsidRDefault="00492985" w:rsidP="009C31A4">
            <w:pPr>
              <w:keepNext/>
              <w:keepLines/>
              <w:spacing w:before="20" w:after="20"/>
              <w:jc w:val="center"/>
              <w:rPr>
                <w:rFonts w:cs="Calibri Light"/>
                <w:b/>
                <w:sz w:val="20"/>
                <w:szCs w:val="20"/>
              </w:rPr>
            </w:pPr>
            <w:r w:rsidRPr="002A30A4">
              <w:rPr>
                <w:rFonts w:cs="Calibri Light"/>
                <w:b/>
                <w:sz w:val="20"/>
                <w:szCs w:val="20"/>
              </w:rPr>
              <w:t>Value</w:t>
            </w:r>
          </w:p>
        </w:tc>
        <w:tc>
          <w:tcPr>
            <w:tcW w:w="4590" w:type="dxa"/>
            <w:shd w:val="clear" w:color="auto" w:fill="F2F2F2" w:themeFill="background1" w:themeFillShade="F2"/>
          </w:tcPr>
          <w:p w14:paraId="7768C103" w14:textId="77777777" w:rsidR="00492985" w:rsidRPr="002A30A4" w:rsidRDefault="00492985" w:rsidP="009C31A4">
            <w:pPr>
              <w:keepNext/>
              <w:keepLines/>
              <w:spacing w:before="20" w:after="20"/>
              <w:jc w:val="center"/>
              <w:rPr>
                <w:rFonts w:cs="Calibri Light"/>
                <w:b/>
                <w:sz w:val="20"/>
                <w:szCs w:val="20"/>
              </w:rPr>
            </w:pPr>
            <w:r w:rsidRPr="002A30A4">
              <w:rPr>
                <w:rFonts w:cs="Calibri Light"/>
                <w:b/>
                <w:sz w:val="20"/>
                <w:szCs w:val="20"/>
              </w:rPr>
              <w:t>Source</w:t>
            </w:r>
          </w:p>
        </w:tc>
      </w:tr>
      <w:tr w:rsidR="00056ADB" w:rsidRPr="002A30A4" w14:paraId="7CDDA6CE" w14:textId="77777777" w:rsidTr="00CA50C3">
        <w:trPr>
          <w:cantSplit/>
          <w:trHeight w:val="20"/>
        </w:trPr>
        <w:tc>
          <w:tcPr>
            <w:tcW w:w="4135" w:type="dxa"/>
            <w:vAlign w:val="center"/>
          </w:tcPr>
          <w:p w14:paraId="0578B708" w14:textId="7617A266" w:rsidR="00056ADB" w:rsidRPr="00CA50C3" w:rsidRDefault="00056ADB" w:rsidP="00056ADB">
            <w:pPr>
              <w:keepNext/>
              <w:keepLines/>
              <w:spacing w:before="20" w:after="20"/>
              <w:rPr>
                <w:rFonts w:cs="Calibri Light"/>
                <w:sz w:val="20"/>
                <w:szCs w:val="20"/>
              </w:rPr>
            </w:pPr>
            <w:r w:rsidRPr="00CA50C3">
              <w:rPr>
                <w:sz w:val="20"/>
                <w:szCs w:val="20"/>
              </w:rPr>
              <w:t>Measure: EUL (yrs) (</w:t>
            </w:r>
            <w:r w:rsidRPr="00CA50C3">
              <w:rPr>
                <w:i/>
                <w:sz w:val="20"/>
                <w:szCs w:val="20"/>
              </w:rPr>
              <w:t>EUL ID: WtrHt-HtPmp</w:t>
            </w:r>
            <w:r w:rsidRPr="00CA50C3">
              <w:rPr>
                <w:sz w:val="20"/>
                <w:szCs w:val="20"/>
              </w:rPr>
              <w:t>)</w:t>
            </w:r>
          </w:p>
        </w:tc>
        <w:tc>
          <w:tcPr>
            <w:tcW w:w="720" w:type="dxa"/>
            <w:vAlign w:val="center"/>
          </w:tcPr>
          <w:p w14:paraId="03127218" w14:textId="303EBC67" w:rsidR="00056ADB" w:rsidRPr="00CA50C3" w:rsidRDefault="00056ADB" w:rsidP="00056ADB">
            <w:pPr>
              <w:keepNext/>
              <w:keepLines/>
              <w:spacing w:before="20" w:after="20"/>
              <w:jc w:val="center"/>
              <w:rPr>
                <w:rFonts w:cs="Calibri Light"/>
                <w:sz w:val="20"/>
                <w:szCs w:val="20"/>
              </w:rPr>
            </w:pPr>
            <w:r w:rsidRPr="00CA50C3">
              <w:rPr>
                <w:sz w:val="20"/>
                <w:szCs w:val="20"/>
              </w:rPr>
              <w:t>10.0</w:t>
            </w:r>
          </w:p>
        </w:tc>
        <w:tc>
          <w:tcPr>
            <w:tcW w:w="4590" w:type="dxa"/>
            <w:vAlign w:val="center"/>
          </w:tcPr>
          <w:p w14:paraId="729C9A70" w14:textId="1DF02EC3" w:rsidR="00056ADB" w:rsidRPr="002A30A4" w:rsidRDefault="00056ADB" w:rsidP="00CA50C3">
            <w:pPr>
              <w:keepNext/>
              <w:keepLines/>
              <w:spacing w:before="20" w:after="20"/>
              <w:rPr>
                <w:rFonts w:cs="Calibri Light"/>
                <w:sz w:val="20"/>
                <w:szCs w:val="20"/>
              </w:rPr>
            </w:pPr>
            <w:r w:rsidRPr="00CA50C3">
              <w:rPr>
                <w:sz w:val="20"/>
                <w:szCs w:val="20"/>
              </w:rPr>
              <w:t>California Public Utilities Commission (CPUC). 2014. “DEER2014-EUL-table-update_2014-02-05.xlsx.”</w:t>
            </w:r>
          </w:p>
        </w:tc>
      </w:tr>
      <w:tr w:rsidR="00056ADB" w:rsidRPr="002A30A4" w14:paraId="773CE20A" w14:textId="77777777" w:rsidTr="00CA50C3">
        <w:trPr>
          <w:cantSplit/>
          <w:trHeight w:val="20"/>
        </w:trPr>
        <w:tc>
          <w:tcPr>
            <w:tcW w:w="4135" w:type="dxa"/>
            <w:vAlign w:val="center"/>
          </w:tcPr>
          <w:p w14:paraId="5E55313C" w14:textId="5A69B221" w:rsidR="00056ADB" w:rsidRPr="00CA50C3" w:rsidRDefault="00056ADB" w:rsidP="00056ADB">
            <w:pPr>
              <w:keepNext/>
              <w:keepLines/>
              <w:spacing w:before="20" w:after="20"/>
              <w:rPr>
                <w:rFonts w:cs="Calibri Light"/>
                <w:sz w:val="20"/>
                <w:szCs w:val="20"/>
              </w:rPr>
            </w:pPr>
            <w:r w:rsidRPr="00CA50C3">
              <w:rPr>
                <w:sz w:val="20"/>
                <w:szCs w:val="20"/>
              </w:rPr>
              <w:t>Measure: RUL (yrs) (RUL ID: WtrHt-HtPmp)</w:t>
            </w:r>
          </w:p>
        </w:tc>
        <w:tc>
          <w:tcPr>
            <w:tcW w:w="720" w:type="dxa"/>
            <w:vAlign w:val="center"/>
          </w:tcPr>
          <w:p w14:paraId="054EA324" w14:textId="67BEDC9A" w:rsidR="00056ADB" w:rsidRPr="00CA50C3" w:rsidRDefault="00056ADB" w:rsidP="00056ADB">
            <w:pPr>
              <w:keepNext/>
              <w:keepLines/>
              <w:spacing w:before="20" w:after="20"/>
              <w:jc w:val="center"/>
              <w:rPr>
                <w:rFonts w:cs="Calibri Light"/>
                <w:sz w:val="20"/>
                <w:szCs w:val="20"/>
              </w:rPr>
            </w:pPr>
            <w:r w:rsidRPr="00CA50C3">
              <w:rPr>
                <w:rFonts w:cs="Calibri Light"/>
                <w:sz w:val="20"/>
                <w:szCs w:val="20"/>
              </w:rPr>
              <w:t>N/A</w:t>
            </w:r>
          </w:p>
        </w:tc>
        <w:tc>
          <w:tcPr>
            <w:tcW w:w="4590" w:type="dxa"/>
            <w:vAlign w:val="center"/>
          </w:tcPr>
          <w:p w14:paraId="34D55579" w14:textId="4E144109" w:rsidR="00056ADB" w:rsidRPr="002A30A4" w:rsidRDefault="00056ADB" w:rsidP="00CA50C3">
            <w:pPr>
              <w:keepNext/>
              <w:keepLines/>
              <w:spacing w:before="20" w:after="20"/>
              <w:rPr>
                <w:rFonts w:cs="Calibri Light"/>
                <w:sz w:val="20"/>
                <w:szCs w:val="20"/>
                <w:highlight w:val="yellow"/>
              </w:rPr>
            </w:pPr>
            <w:r w:rsidRPr="00CA50C3">
              <w:rPr>
                <w:sz w:val="20"/>
                <w:szCs w:val="20"/>
              </w:rPr>
              <w:t>N/A</w:t>
            </w:r>
          </w:p>
        </w:tc>
      </w:tr>
      <w:tr w:rsidR="00056ADB" w:rsidRPr="002A30A4" w14:paraId="5EC1B910" w14:textId="77777777" w:rsidTr="00CA50C3">
        <w:trPr>
          <w:cantSplit/>
          <w:trHeight w:val="20"/>
        </w:trPr>
        <w:tc>
          <w:tcPr>
            <w:tcW w:w="4135" w:type="dxa"/>
            <w:vAlign w:val="center"/>
          </w:tcPr>
          <w:p w14:paraId="1CDDE0EE" w14:textId="4C61CBD3" w:rsidR="00056ADB" w:rsidRPr="00CA50C3" w:rsidRDefault="00056ADB" w:rsidP="00056ADB">
            <w:pPr>
              <w:keepNext/>
              <w:keepLines/>
              <w:spacing w:before="20" w:after="20"/>
              <w:rPr>
                <w:sz w:val="20"/>
                <w:szCs w:val="20"/>
              </w:rPr>
            </w:pPr>
            <w:r w:rsidRPr="00CA50C3">
              <w:rPr>
                <w:sz w:val="20"/>
                <w:szCs w:val="20"/>
              </w:rPr>
              <w:t>Baseline: EUL (yrs) (</w:t>
            </w:r>
            <w:r w:rsidRPr="00CA50C3">
              <w:rPr>
                <w:i/>
                <w:sz w:val="20"/>
                <w:szCs w:val="20"/>
              </w:rPr>
              <w:t>EUL ID: WtrHt-Com</w:t>
            </w:r>
            <w:r w:rsidRPr="00CA50C3">
              <w:rPr>
                <w:sz w:val="20"/>
                <w:szCs w:val="20"/>
              </w:rPr>
              <w:t>)</w:t>
            </w:r>
          </w:p>
        </w:tc>
        <w:tc>
          <w:tcPr>
            <w:tcW w:w="720" w:type="dxa"/>
            <w:vAlign w:val="center"/>
          </w:tcPr>
          <w:p w14:paraId="070AC189" w14:textId="36A198B8" w:rsidR="00056ADB" w:rsidRPr="00CA50C3" w:rsidRDefault="00056ADB" w:rsidP="00056ADB">
            <w:pPr>
              <w:keepNext/>
              <w:keepLines/>
              <w:spacing w:before="20" w:after="20"/>
              <w:jc w:val="center"/>
              <w:rPr>
                <w:rFonts w:cs="Calibri Light"/>
                <w:sz w:val="20"/>
                <w:szCs w:val="20"/>
              </w:rPr>
            </w:pPr>
            <w:r w:rsidRPr="00CA50C3">
              <w:rPr>
                <w:sz w:val="20"/>
                <w:szCs w:val="20"/>
              </w:rPr>
              <w:t>15.0</w:t>
            </w:r>
          </w:p>
        </w:tc>
        <w:tc>
          <w:tcPr>
            <w:tcW w:w="4590" w:type="dxa"/>
            <w:vAlign w:val="center"/>
          </w:tcPr>
          <w:p w14:paraId="42AF6BA7" w14:textId="12A06321" w:rsidR="00056ADB" w:rsidRPr="00CA50C3" w:rsidRDefault="00056ADB" w:rsidP="00CA50C3">
            <w:pPr>
              <w:keepNext/>
              <w:keepLines/>
              <w:spacing w:before="20" w:after="20"/>
              <w:rPr>
                <w:sz w:val="20"/>
                <w:szCs w:val="20"/>
              </w:rPr>
            </w:pPr>
            <w:r w:rsidRPr="00CA50C3">
              <w:rPr>
                <w:sz w:val="20"/>
                <w:szCs w:val="20"/>
              </w:rPr>
              <w:t>California Public Utilities Commission (CPUC). 2014. “DEER2014-EUL-table-update_2014-02-05.xlsx.”</w:t>
            </w:r>
          </w:p>
        </w:tc>
      </w:tr>
      <w:tr w:rsidR="00056ADB" w:rsidRPr="002A30A4" w14:paraId="0484A2B0" w14:textId="77777777" w:rsidTr="00CA50C3">
        <w:trPr>
          <w:cantSplit/>
          <w:trHeight w:val="20"/>
        </w:trPr>
        <w:tc>
          <w:tcPr>
            <w:tcW w:w="4135" w:type="dxa"/>
            <w:vAlign w:val="center"/>
          </w:tcPr>
          <w:p w14:paraId="7896B4C7" w14:textId="7640C4EF" w:rsidR="00056ADB" w:rsidRPr="00CA50C3" w:rsidRDefault="00056ADB" w:rsidP="00056ADB">
            <w:pPr>
              <w:keepNext/>
              <w:keepLines/>
              <w:spacing w:before="20" w:after="20"/>
              <w:rPr>
                <w:sz w:val="20"/>
                <w:szCs w:val="20"/>
              </w:rPr>
            </w:pPr>
            <w:r w:rsidRPr="00CA50C3">
              <w:rPr>
                <w:sz w:val="20"/>
                <w:szCs w:val="20"/>
              </w:rPr>
              <w:t xml:space="preserve">Baseline: RUL (yrs) (RUL ID: </w:t>
            </w:r>
            <w:r w:rsidRPr="00CA50C3">
              <w:rPr>
                <w:i/>
                <w:sz w:val="20"/>
                <w:szCs w:val="20"/>
              </w:rPr>
              <w:t>WtrHt-Com</w:t>
            </w:r>
            <w:r w:rsidRPr="00CA50C3">
              <w:rPr>
                <w:sz w:val="20"/>
                <w:szCs w:val="20"/>
              </w:rPr>
              <w:t>)</w:t>
            </w:r>
          </w:p>
        </w:tc>
        <w:tc>
          <w:tcPr>
            <w:tcW w:w="720" w:type="dxa"/>
            <w:vAlign w:val="center"/>
          </w:tcPr>
          <w:p w14:paraId="48A2293C" w14:textId="1CD717E7" w:rsidR="00056ADB" w:rsidRPr="00CA50C3" w:rsidRDefault="00056ADB" w:rsidP="00056ADB">
            <w:pPr>
              <w:keepNext/>
              <w:keepLines/>
              <w:spacing w:before="20" w:after="20"/>
              <w:jc w:val="center"/>
              <w:rPr>
                <w:rFonts w:cs="Calibri Light"/>
                <w:sz w:val="20"/>
                <w:szCs w:val="20"/>
              </w:rPr>
            </w:pPr>
            <w:r w:rsidRPr="00CA50C3">
              <w:rPr>
                <w:rFonts w:cs="Calibri Light"/>
                <w:sz w:val="20"/>
                <w:szCs w:val="20"/>
              </w:rPr>
              <w:t>5.0</w:t>
            </w:r>
          </w:p>
        </w:tc>
        <w:tc>
          <w:tcPr>
            <w:tcW w:w="4590" w:type="dxa"/>
            <w:vAlign w:val="center"/>
          </w:tcPr>
          <w:p w14:paraId="1014AEDA" w14:textId="1A9BD6F6" w:rsidR="00056ADB" w:rsidRPr="00CA50C3" w:rsidRDefault="00056ADB" w:rsidP="00CA50C3">
            <w:pPr>
              <w:keepNext/>
              <w:keepLines/>
              <w:spacing w:before="20" w:after="20"/>
              <w:rPr>
                <w:sz w:val="20"/>
                <w:szCs w:val="20"/>
              </w:rPr>
            </w:pPr>
            <w:r w:rsidRPr="00CA50C3">
              <w:rPr>
                <w:sz w:val="20"/>
                <w:szCs w:val="20"/>
              </w:rPr>
              <w:t>California Public Utilities Commission (CPUC). 2014. “DEER2014-EUL-table-update_2014-02-05.xlsx.”</w:t>
            </w:r>
          </w:p>
        </w:tc>
      </w:tr>
      <w:tr w:rsidR="00056ADB" w:rsidRPr="002A30A4" w14:paraId="12453C4A" w14:textId="77777777" w:rsidTr="00CA50C3">
        <w:trPr>
          <w:cantSplit/>
          <w:trHeight w:val="20"/>
        </w:trPr>
        <w:tc>
          <w:tcPr>
            <w:tcW w:w="4135" w:type="dxa"/>
            <w:vAlign w:val="center"/>
          </w:tcPr>
          <w:p w14:paraId="01E963E4" w14:textId="75969E3B" w:rsidR="00056ADB" w:rsidRPr="00CA50C3" w:rsidRDefault="00056ADB" w:rsidP="00056ADB">
            <w:pPr>
              <w:keepNext/>
              <w:keepLines/>
              <w:spacing w:before="20" w:after="20"/>
              <w:rPr>
                <w:sz w:val="20"/>
                <w:szCs w:val="20"/>
              </w:rPr>
            </w:pPr>
            <w:r w:rsidRPr="00CA50C3">
              <w:rPr>
                <w:sz w:val="20"/>
                <w:szCs w:val="20"/>
              </w:rPr>
              <w:t>Baseline: EUL (yrs) (</w:t>
            </w:r>
            <w:r w:rsidRPr="00CA50C3">
              <w:rPr>
                <w:i/>
                <w:sz w:val="20"/>
                <w:szCs w:val="20"/>
              </w:rPr>
              <w:t>EUL ID: WtrHt-Res-Gas</w:t>
            </w:r>
            <w:r w:rsidRPr="00CA50C3">
              <w:rPr>
                <w:sz w:val="20"/>
                <w:szCs w:val="20"/>
              </w:rPr>
              <w:t>)</w:t>
            </w:r>
          </w:p>
        </w:tc>
        <w:tc>
          <w:tcPr>
            <w:tcW w:w="720" w:type="dxa"/>
            <w:vAlign w:val="center"/>
          </w:tcPr>
          <w:p w14:paraId="71A9CE55" w14:textId="185962CB" w:rsidR="00056ADB" w:rsidRPr="00CA50C3" w:rsidRDefault="00056ADB" w:rsidP="00056ADB">
            <w:pPr>
              <w:keepNext/>
              <w:keepLines/>
              <w:spacing w:before="20" w:after="20"/>
              <w:jc w:val="center"/>
              <w:rPr>
                <w:rFonts w:cs="Calibri Light"/>
                <w:sz w:val="20"/>
                <w:szCs w:val="20"/>
              </w:rPr>
            </w:pPr>
            <w:r w:rsidRPr="00CA50C3">
              <w:rPr>
                <w:sz w:val="20"/>
                <w:szCs w:val="20"/>
              </w:rPr>
              <w:t>11.0</w:t>
            </w:r>
          </w:p>
        </w:tc>
        <w:tc>
          <w:tcPr>
            <w:tcW w:w="4590" w:type="dxa"/>
            <w:vAlign w:val="center"/>
          </w:tcPr>
          <w:p w14:paraId="1A5D8F0A" w14:textId="1926B9CA" w:rsidR="00056ADB" w:rsidRPr="00CA50C3" w:rsidRDefault="00056ADB" w:rsidP="00CA50C3">
            <w:pPr>
              <w:keepNext/>
              <w:keepLines/>
              <w:spacing w:before="20" w:after="20"/>
              <w:rPr>
                <w:sz w:val="20"/>
                <w:szCs w:val="20"/>
              </w:rPr>
            </w:pPr>
            <w:r w:rsidRPr="00CA50C3">
              <w:rPr>
                <w:sz w:val="20"/>
                <w:szCs w:val="20"/>
              </w:rPr>
              <w:t>California Public Utilities Commission (CPUC). 2014. “DEER2014-EUL-table-update_2014-02-05.xlsx.”</w:t>
            </w:r>
          </w:p>
        </w:tc>
      </w:tr>
      <w:tr w:rsidR="00056ADB" w:rsidRPr="002A30A4" w14:paraId="22BCD7E5" w14:textId="77777777" w:rsidTr="00CA50C3">
        <w:trPr>
          <w:cantSplit/>
          <w:trHeight w:val="20"/>
        </w:trPr>
        <w:tc>
          <w:tcPr>
            <w:tcW w:w="4135" w:type="dxa"/>
            <w:vAlign w:val="center"/>
          </w:tcPr>
          <w:p w14:paraId="0EAC511A" w14:textId="376B0489" w:rsidR="00056ADB" w:rsidRPr="00CA50C3" w:rsidRDefault="00056ADB" w:rsidP="00056ADB">
            <w:pPr>
              <w:keepNext/>
              <w:keepLines/>
              <w:spacing w:before="20" w:after="20"/>
              <w:rPr>
                <w:sz w:val="20"/>
                <w:szCs w:val="20"/>
              </w:rPr>
            </w:pPr>
            <w:r w:rsidRPr="00CA50C3">
              <w:rPr>
                <w:sz w:val="20"/>
                <w:szCs w:val="20"/>
              </w:rPr>
              <w:t xml:space="preserve">Baseline: RUL (yrs) (RUL ID: </w:t>
            </w:r>
            <w:r w:rsidRPr="00CA50C3">
              <w:rPr>
                <w:i/>
                <w:sz w:val="20"/>
                <w:szCs w:val="20"/>
              </w:rPr>
              <w:t>WtrHt-Res-Gas</w:t>
            </w:r>
            <w:r w:rsidRPr="00CA50C3">
              <w:rPr>
                <w:sz w:val="20"/>
                <w:szCs w:val="20"/>
              </w:rPr>
              <w:t>)</w:t>
            </w:r>
          </w:p>
        </w:tc>
        <w:tc>
          <w:tcPr>
            <w:tcW w:w="720" w:type="dxa"/>
            <w:vAlign w:val="center"/>
          </w:tcPr>
          <w:p w14:paraId="03B0082C" w14:textId="695A2DB9" w:rsidR="00056ADB" w:rsidRPr="00CA50C3" w:rsidRDefault="00056ADB" w:rsidP="00056ADB">
            <w:pPr>
              <w:keepNext/>
              <w:keepLines/>
              <w:spacing w:before="20" w:after="20"/>
              <w:jc w:val="center"/>
              <w:rPr>
                <w:rFonts w:cs="Calibri Light"/>
                <w:sz w:val="20"/>
                <w:szCs w:val="20"/>
              </w:rPr>
            </w:pPr>
            <w:r w:rsidRPr="00CA50C3">
              <w:rPr>
                <w:rFonts w:cs="Calibri Light"/>
                <w:sz w:val="20"/>
                <w:szCs w:val="20"/>
              </w:rPr>
              <w:t>3.67</w:t>
            </w:r>
          </w:p>
        </w:tc>
        <w:tc>
          <w:tcPr>
            <w:tcW w:w="4590" w:type="dxa"/>
            <w:vAlign w:val="center"/>
          </w:tcPr>
          <w:p w14:paraId="13363C88" w14:textId="61D45E48" w:rsidR="00056ADB" w:rsidRPr="00CA50C3" w:rsidRDefault="00056ADB" w:rsidP="00CA50C3">
            <w:pPr>
              <w:keepNext/>
              <w:keepLines/>
              <w:spacing w:before="20" w:after="20"/>
              <w:rPr>
                <w:sz w:val="20"/>
                <w:szCs w:val="20"/>
              </w:rPr>
            </w:pPr>
            <w:r w:rsidRPr="00CA50C3">
              <w:rPr>
                <w:sz w:val="20"/>
                <w:szCs w:val="20"/>
              </w:rPr>
              <w:t>California Public Utilities Commission (CPUC). 2014. “DEER2014-EUL-table-update_2014-02-05.xlsx.”</w:t>
            </w:r>
          </w:p>
        </w:tc>
      </w:tr>
      <w:tr w:rsidR="005B1805" w:rsidRPr="002A30A4" w14:paraId="4B92AAF7" w14:textId="77777777" w:rsidTr="00CA50C3">
        <w:trPr>
          <w:cantSplit/>
          <w:trHeight w:val="20"/>
        </w:trPr>
        <w:tc>
          <w:tcPr>
            <w:tcW w:w="4135" w:type="dxa"/>
            <w:vAlign w:val="center"/>
          </w:tcPr>
          <w:p w14:paraId="19E646C3" w14:textId="5EC50A98" w:rsidR="005B1805" w:rsidRPr="00CA50C3" w:rsidRDefault="005B1805" w:rsidP="005B1805">
            <w:pPr>
              <w:keepNext/>
              <w:keepLines/>
              <w:spacing w:before="20" w:after="20"/>
              <w:rPr>
                <w:sz w:val="20"/>
                <w:szCs w:val="20"/>
              </w:rPr>
            </w:pPr>
            <w:r w:rsidRPr="00CA50C3">
              <w:rPr>
                <w:sz w:val="20"/>
                <w:szCs w:val="20"/>
              </w:rPr>
              <w:t>Baseline: EUL (yrs) (</w:t>
            </w:r>
            <w:r w:rsidRPr="00CA50C3">
              <w:rPr>
                <w:i/>
                <w:sz w:val="20"/>
                <w:szCs w:val="20"/>
              </w:rPr>
              <w:t>EUL ID: WtrHt-Instant-Com)</w:t>
            </w:r>
          </w:p>
        </w:tc>
        <w:tc>
          <w:tcPr>
            <w:tcW w:w="720" w:type="dxa"/>
            <w:vAlign w:val="center"/>
          </w:tcPr>
          <w:p w14:paraId="32356F39" w14:textId="48345AF6" w:rsidR="005B1805" w:rsidRPr="00CA50C3" w:rsidRDefault="005B1805" w:rsidP="005B1805">
            <w:pPr>
              <w:keepNext/>
              <w:keepLines/>
              <w:spacing w:before="20" w:after="20"/>
              <w:jc w:val="center"/>
              <w:rPr>
                <w:rFonts w:cs="Calibri Light"/>
                <w:sz w:val="20"/>
                <w:szCs w:val="20"/>
              </w:rPr>
            </w:pPr>
            <w:r w:rsidRPr="00CA50C3">
              <w:rPr>
                <w:sz w:val="20"/>
                <w:szCs w:val="20"/>
              </w:rPr>
              <w:t>20.0</w:t>
            </w:r>
          </w:p>
        </w:tc>
        <w:tc>
          <w:tcPr>
            <w:tcW w:w="4590" w:type="dxa"/>
            <w:vAlign w:val="center"/>
          </w:tcPr>
          <w:p w14:paraId="46F8A304" w14:textId="1B925EDE" w:rsidR="005B1805" w:rsidRPr="00CA50C3" w:rsidRDefault="005B1805" w:rsidP="00CA50C3">
            <w:pPr>
              <w:keepNext/>
              <w:keepLines/>
              <w:spacing w:before="20" w:after="20"/>
              <w:rPr>
                <w:sz w:val="20"/>
                <w:szCs w:val="20"/>
              </w:rPr>
            </w:pPr>
            <w:r w:rsidRPr="00CA50C3">
              <w:rPr>
                <w:sz w:val="20"/>
                <w:szCs w:val="20"/>
              </w:rPr>
              <w:t>California Public Utilities Commission (CPUC). 2014. “DEER2014-EUL-table-update_2014-02-05.xlsx.”</w:t>
            </w:r>
          </w:p>
        </w:tc>
      </w:tr>
      <w:tr w:rsidR="005B1805" w:rsidRPr="002A30A4" w14:paraId="6C76F25D" w14:textId="77777777" w:rsidTr="00CA50C3">
        <w:trPr>
          <w:cantSplit/>
          <w:trHeight w:val="20"/>
        </w:trPr>
        <w:tc>
          <w:tcPr>
            <w:tcW w:w="4135" w:type="dxa"/>
            <w:vAlign w:val="center"/>
          </w:tcPr>
          <w:p w14:paraId="319C6D0C" w14:textId="2A3CC6A8" w:rsidR="005B1805" w:rsidRPr="00CA50C3" w:rsidRDefault="005B1805" w:rsidP="005B1805">
            <w:pPr>
              <w:keepNext/>
              <w:keepLines/>
              <w:spacing w:before="20" w:after="20"/>
              <w:rPr>
                <w:sz w:val="20"/>
                <w:szCs w:val="20"/>
              </w:rPr>
            </w:pPr>
            <w:r w:rsidRPr="00CA50C3">
              <w:rPr>
                <w:sz w:val="20"/>
                <w:szCs w:val="20"/>
              </w:rPr>
              <w:t xml:space="preserve">Baseline: RUL (yrs) (RUL ID: </w:t>
            </w:r>
            <w:r w:rsidRPr="00CA50C3">
              <w:rPr>
                <w:i/>
                <w:sz w:val="20"/>
                <w:szCs w:val="20"/>
              </w:rPr>
              <w:t>WtrHt-Instant-Com</w:t>
            </w:r>
            <w:r w:rsidRPr="00CA50C3">
              <w:rPr>
                <w:sz w:val="20"/>
                <w:szCs w:val="20"/>
              </w:rPr>
              <w:t>)</w:t>
            </w:r>
          </w:p>
        </w:tc>
        <w:tc>
          <w:tcPr>
            <w:tcW w:w="720" w:type="dxa"/>
            <w:vAlign w:val="center"/>
          </w:tcPr>
          <w:p w14:paraId="591035FB" w14:textId="789DF205" w:rsidR="005B1805" w:rsidRPr="00CA50C3" w:rsidRDefault="005B1805" w:rsidP="005B1805">
            <w:pPr>
              <w:keepNext/>
              <w:keepLines/>
              <w:spacing w:before="20" w:after="20"/>
              <w:jc w:val="center"/>
              <w:rPr>
                <w:sz w:val="20"/>
                <w:szCs w:val="20"/>
              </w:rPr>
            </w:pPr>
            <w:r w:rsidRPr="00CA50C3">
              <w:rPr>
                <w:rFonts w:cs="Calibri Light"/>
                <w:sz w:val="20"/>
                <w:szCs w:val="20"/>
              </w:rPr>
              <w:t>6.67</w:t>
            </w:r>
          </w:p>
        </w:tc>
        <w:tc>
          <w:tcPr>
            <w:tcW w:w="4590" w:type="dxa"/>
            <w:vAlign w:val="center"/>
          </w:tcPr>
          <w:p w14:paraId="5DF3C91B" w14:textId="5E5AA599" w:rsidR="005B1805" w:rsidRPr="00CA50C3" w:rsidRDefault="005B1805" w:rsidP="00CA50C3">
            <w:pPr>
              <w:keepNext/>
              <w:keepLines/>
              <w:spacing w:before="20" w:after="20"/>
              <w:rPr>
                <w:sz w:val="20"/>
                <w:szCs w:val="20"/>
              </w:rPr>
            </w:pPr>
            <w:r w:rsidRPr="00CA50C3">
              <w:rPr>
                <w:sz w:val="20"/>
                <w:szCs w:val="20"/>
              </w:rPr>
              <w:t>California Public Utilities Commission (CPUC). 2014. “DEER2014-EUL-table-update_2014-02-05.xlsx.”</w:t>
            </w:r>
          </w:p>
        </w:tc>
      </w:tr>
      <w:tr w:rsidR="00355A49" w:rsidRPr="002A30A4" w14:paraId="25A759A6" w14:textId="77777777" w:rsidTr="00CA50C3">
        <w:trPr>
          <w:cantSplit/>
          <w:trHeight w:val="20"/>
        </w:trPr>
        <w:tc>
          <w:tcPr>
            <w:tcW w:w="4135" w:type="dxa"/>
            <w:vAlign w:val="center"/>
          </w:tcPr>
          <w:p w14:paraId="16E91EBA" w14:textId="479A868C" w:rsidR="00355A49" w:rsidRPr="00CA50C3" w:rsidRDefault="00355A49" w:rsidP="00355A49">
            <w:pPr>
              <w:keepNext/>
              <w:keepLines/>
              <w:spacing w:before="20" w:after="20"/>
              <w:rPr>
                <w:sz w:val="20"/>
                <w:szCs w:val="20"/>
              </w:rPr>
            </w:pPr>
            <w:r w:rsidRPr="00CA50C3">
              <w:rPr>
                <w:sz w:val="20"/>
                <w:szCs w:val="20"/>
              </w:rPr>
              <w:t>Baseline: EUL (yrs) (</w:t>
            </w:r>
            <w:r w:rsidRPr="00CA50C3">
              <w:rPr>
                <w:i/>
                <w:sz w:val="20"/>
                <w:szCs w:val="20"/>
              </w:rPr>
              <w:t xml:space="preserve">EUL ID: </w:t>
            </w:r>
            <w:r w:rsidRPr="00355A49">
              <w:rPr>
                <w:i/>
                <w:sz w:val="20"/>
                <w:szCs w:val="20"/>
              </w:rPr>
              <w:t>WtrHt-Instant-Res</w:t>
            </w:r>
            <w:r>
              <w:rPr>
                <w:i/>
                <w:sz w:val="20"/>
                <w:szCs w:val="20"/>
              </w:rPr>
              <w:t>)</w:t>
            </w:r>
          </w:p>
        </w:tc>
        <w:tc>
          <w:tcPr>
            <w:tcW w:w="720" w:type="dxa"/>
            <w:vAlign w:val="center"/>
          </w:tcPr>
          <w:p w14:paraId="084C87E3" w14:textId="21601FC0" w:rsidR="00355A49" w:rsidRPr="00CA50C3" w:rsidRDefault="00355A49" w:rsidP="00355A49">
            <w:pPr>
              <w:keepNext/>
              <w:keepLines/>
              <w:spacing w:before="20" w:after="20"/>
              <w:jc w:val="center"/>
              <w:rPr>
                <w:rFonts w:cs="Calibri Light"/>
                <w:sz w:val="20"/>
                <w:szCs w:val="20"/>
              </w:rPr>
            </w:pPr>
            <w:r w:rsidRPr="00CA50C3">
              <w:rPr>
                <w:sz w:val="20"/>
                <w:szCs w:val="20"/>
              </w:rPr>
              <w:t>20.0</w:t>
            </w:r>
          </w:p>
        </w:tc>
        <w:tc>
          <w:tcPr>
            <w:tcW w:w="4590" w:type="dxa"/>
            <w:vAlign w:val="center"/>
          </w:tcPr>
          <w:p w14:paraId="7B05B96C" w14:textId="7FAEB9D3" w:rsidR="00355A49" w:rsidRPr="00CA50C3" w:rsidRDefault="00355A49" w:rsidP="00355A49">
            <w:pPr>
              <w:keepNext/>
              <w:keepLines/>
              <w:spacing w:before="20" w:after="20"/>
              <w:rPr>
                <w:sz w:val="20"/>
                <w:szCs w:val="20"/>
              </w:rPr>
            </w:pPr>
            <w:r w:rsidRPr="00CA50C3">
              <w:rPr>
                <w:sz w:val="20"/>
                <w:szCs w:val="20"/>
              </w:rPr>
              <w:t>California Public Utilities Commission (CPUC). 2014. “DEER2014-EUL-table-update_2014-02-05.xlsx.”</w:t>
            </w:r>
          </w:p>
        </w:tc>
      </w:tr>
      <w:tr w:rsidR="00355A49" w:rsidRPr="002A30A4" w14:paraId="12A1B263" w14:textId="77777777" w:rsidTr="00CA50C3">
        <w:trPr>
          <w:cantSplit/>
          <w:trHeight w:val="20"/>
        </w:trPr>
        <w:tc>
          <w:tcPr>
            <w:tcW w:w="4135" w:type="dxa"/>
            <w:vAlign w:val="center"/>
          </w:tcPr>
          <w:p w14:paraId="55F489E3" w14:textId="46853762" w:rsidR="00355A49" w:rsidRPr="00CA50C3" w:rsidRDefault="00355A49" w:rsidP="00355A49">
            <w:pPr>
              <w:keepNext/>
              <w:keepLines/>
              <w:spacing w:before="20" w:after="20"/>
              <w:rPr>
                <w:sz w:val="20"/>
                <w:szCs w:val="20"/>
              </w:rPr>
            </w:pPr>
            <w:r w:rsidRPr="00CA50C3">
              <w:rPr>
                <w:sz w:val="20"/>
                <w:szCs w:val="20"/>
              </w:rPr>
              <w:t xml:space="preserve">Baseline: RUL (yrs) (RUL ID: </w:t>
            </w:r>
            <w:r w:rsidRPr="00355A49">
              <w:rPr>
                <w:i/>
                <w:sz w:val="20"/>
                <w:szCs w:val="20"/>
              </w:rPr>
              <w:t>WtrHt-Instant-Res</w:t>
            </w:r>
            <w:r w:rsidRPr="00CA50C3">
              <w:rPr>
                <w:sz w:val="20"/>
                <w:szCs w:val="20"/>
              </w:rPr>
              <w:t>)</w:t>
            </w:r>
          </w:p>
        </w:tc>
        <w:tc>
          <w:tcPr>
            <w:tcW w:w="720" w:type="dxa"/>
            <w:vAlign w:val="center"/>
          </w:tcPr>
          <w:p w14:paraId="215AA52E" w14:textId="5F75EC0F" w:rsidR="00355A49" w:rsidRPr="00CA50C3" w:rsidRDefault="00355A49" w:rsidP="00355A49">
            <w:pPr>
              <w:keepNext/>
              <w:keepLines/>
              <w:spacing w:before="20" w:after="20"/>
              <w:jc w:val="center"/>
              <w:rPr>
                <w:rFonts w:cs="Calibri Light"/>
                <w:sz w:val="20"/>
                <w:szCs w:val="20"/>
              </w:rPr>
            </w:pPr>
            <w:r w:rsidRPr="00CA50C3">
              <w:rPr>
                <w:rFonts w:cs="Calibri Light"/>
                <w:sz w:val="20"/>
                <w:szCs w:val="20"/>
              </w:rPr>
              <w:t>6.67</w:t>
            </w:r>
          </w:p>
        </w:tc>
        <w:tc>
          <w:tcPr>
            <w:tcW w:w="4590" w:type="dxa"/>
            <w:vAlign w:val="center"/>
          </w:tcPr>
          <w:p w14:paraId="2D7F95C7" w14:textId="49EDF20F" w:rsidR="00355A49" w:rsidRPr="00CA50C3" w:rsidRDefault="00355A49" w:rsidP="00355A49">
            <w:pPr>
              <w:keepNext/>
              <w:keepLines/>
              <w:spacing w:before="20" w:after="20"/>
              <w:rPr>
                <w:sz w:val="20"/>
                <w:szCs w:val="20"/>
              </w:rPr>
            </w:pPr>
            <w:r w:rsidRPr="00CA50C3">
              <w:rPr>
                <w:sz w:val="20"/>
                <w:szCs w:val="20"/>
              </w:rPr>
              <w:t>California Public Utilities Commission (CPUC). 2014. “DEER2014-EUL-table-update_2014-02-05.xlsx.”</w:t>
            </w:r>
          </w:p>
        </w:tc>
      </w:tr>
    </w:tbl>
    <w:p w14:paraId="75B886BA" w14:textId="77777777" w:rsidR="00690A8C" w:rsidRPr="00C6243E" w:rsidRDefault="00690A8C" w:rsidP="00690A8C">
      <w:pPr>
        <w:rPr>
          <w:rFonts w:cs="Calibri Light"/>
        </w:rPr>
      </w:pPr>
    </w:p>
    <w:p w14:paraId="43157964" w14:textId="3335A1B1" w:rsidR="007D230B" w:rsidRPr="00C6243E" w:rsidRDefault="007D230B" w:rsidP="00462BB6">
      <w:pPr>
        <w:pStyle w:val="eTRMHeading3"/>
        <w:rPr>
          <w:rFonts w:cs="Calibri Light"/>
        </w:rPr>
      </w:pPr>
      <w:bookmarkStart w:id="51" w:name="_Toc486490860"/>
      <w:bookmarkStart w:id="52" w:name="_Toc486580931"/>
      <w:bookmarkStart w:id="53" w:name="_Toc75963036"/>
      <w:r w:rsidRPr="001741DD">
        <w:rPr>
          <w:rFonts w:cs="Calibri Light"/>
        </w:rPr>
        <w:t>Base Case Material Cost ($/unit)</w:t>
      </w:r>
      <w:bookmarkEnd w:id="51"/>
      <w:bookmarkEnd w:id="52"/>
      <w:bookmarkEnd w:id="53"/>
    </w:p>
    <w:p w14:paraId="2AC261AA" w14:textId="0C66631E" w:rsidR="00D048EF" w:rsidRDefault="009217C0" w:rsidP="00D048EF">
      <w:r>
        <w:t>Base case material costs</w:t>
      </w:r>
      <w:r w:rsidR="00EB5641">
        <w:t xml:space="preserve"> for both the storage and instant water heater technologies</w:t>
      </w:r>
      <w:r>
        <w:t xml:space="preserve"> were calculated as the average of equipment costs</w:t>
      </w:r>
      <w:r w:rsidR="002C2E26">
        <w:rPr>
          <w:rFonts w:cs="Calibri Light"/>
        </w:rPr>
        <w:t xml:space="preserve"> obtained through online price research from various retailer websites in the </w:t>
      </w:r>
      <w:r w:rsidR="005A6B9B">
        <w:rPr>
          <w:rFonts w:cs="Calibri Light"/>
        </w:rPr>
        <w:t xml:space="preserve">second </w:t>
      </w:r>
      <w:r w:rsidR="002C2E26">
        <w:rPr>
          <w:rFonts w:cs="Calibri Light"/>
        </w:rPr>
        <w:t>quarter of 20</w:t>
      </w:r>
      <w:r w:rsidR="005A6B9B">
        <w:rPr>
          <w:rFonts w:cs="Calibri Light"/>
        </w:rPr>
        <w:t>2</w:t>
      </w:r>
      <w:r w:rsidR="00464508">
        <w:rPr>
          <w:rFonts w:cs="Calibri Light"/>
        </w:rPr>
        <w:t>1</w:t>
      </w:r>
      <w:r w:rsidR="00D048EF">
        <w:rPr>
          <w:rFonts w:cs="Calibri Light"/>
        </w:rPr>
        <w:t>.</w:t>
      </w:r>
      <w:r w:rsidR="00D03FE2">
        <w:rPr>
          <w:rStyle w:val="FootnoteReference"/>
        </w:rPr>
        <w:footnoteReference w:id="25"/>
      </w:r>
      <w:r w:rsidR="005B1805">
        <w:rPr>
          <w:rFonts w:cs="Calibri Light"/>
        </w:rPr>
        <w:t xml:space="preserve"> </w:t>
      </w:r>
      <w:r w:rsidR="00D8586B">
        <w:rPr>
          <w:rFonts w:cs="Calibri Light"/>
        </w:rPr>
        <w:t xml:space="preserve">Costs were normalized by input kBtuh of the water heaters. </w:t>
      </w:r>
      <w:r w:rsidR="00D048EF">
        <w:t xml:space="preserve">Because the existing case and standard case equipment are assumed to be the same, the costs are assumed to be equal. </w:t>
      </w:r>
    </w:p>
    <w:p w14:paraId="38BCC6D8" w14:textId="311858D4" w:rsidR="00464508" w:rsidRDefault="00EB5641" w:rsidP="00D048EF">
      <w:r>
        <w:lastRenderedPageBreak/>
        <w:t>Base case natural gas systems typically have higher heating capacities than their heat pump replacements. To account for this, the ratio of baseline gas heater capacity compared to heat pump capacity was found</w:t>
      </w:r>
      <w:r w:rsidR="00C811E1">
        <w:t xml:space="preserve"> using the outputs from the DEER Water Heater Calculator 4.2. </w:t>
      </w:r>
      <w:r>
        <w:t>The average baseline and measure case heating equipment capacities</w:t>
      </w:r>
      <w:r w:rsidR="005D68CB">
        <w:t xml:space="preserve"> used by the DEER Water Heater Calculator 4.2</w:t>
      </w:r>
      <w:r>
        <w:t xml:space="preserve"> were found for each measure across all associated climates zones and building types. The ratios ranged from 2.7</w:t>
      </w:r>
      <w:r w:rsidR="005D68CB">
        <w:t>,</w:t>
      </w:r>
      <w:r>
        <w:t xml:space="preserve"> for the </w:t>
      </w:r>
      <w:r w:rsidR="005D68CB">
        <w:t>measure replacing 80 gallons storage water heaters, up</w:t>
      </w:r>
      <w:r>
        <w:t xml:space="preserve"> to 15.3 for the measures replacing instant water heaters greater than </w:t>
      </w:r>
      <w:r w:rsidR="005D68CB">
        <w:t xml:space="preserve">200 kBtuh capacity. The </w:t>
      </w:r>
      <w:r w:rsidR="00492A27">
        <w:t xml:space="preserve">base </w:t>
      </w:r>
      <w:r w:rsidR="005D68CB">
        <w:t>equipment cost per kBtuh were multiplied by the appropriate ratio for each measure.</w:t>
      </w:r>
      <w:r w:rsidR="000241A9">
        <w:rPr>
          <w:rStyle w:val="FootnoteReference"/>
        </w:rPr>
        <w:footnoteReference w:id="26"/>
      </w:r>
      <w:r w:rsidR="005D68CB">
        <w:t xml:space="preserve"> </w:t>
      </w:r>
    </w:p>
    <w:p w14:paraId="39E49D49" w14:textId="77777777" w:rsidR="009612B9" w:rsidRDefault="009612B9" w:rsidP="00D62874"/>
    <w:p w14:paraId="7DDA6718" w14:textId="3EC60073" w:rsidR="007D230B" w:rsidRPr="00C6243E" w:rsidRDefault="007D230B" w:rsidP="00462BB6">
      <w:pPr>
        <w:pStyle w:val="eTRMHeading3"/>
        <w:rPr>
          <w:rFonts w:cs="Calibri Light"/>
        </w:rPr>
      </w:pPr>
      <w:bookmarkStart w:id="54" w:name="_Toc486490861"/>
      <w:bookmarkStart w:id="55" w:name="_Toc486580932"/>
      <w:bookmarkStart w:id="56" w:name="_Toc75963037"/>
      <w:r w:rsidRPr="005620D4">
        <w:rPr>
          <w:rFonts w:cs="Calibri Light"/>
        </w:rPr>
        <w:t>Measure Case Material Cost ($/unit)</w:t>
      </w:r>
      <w:bookmarkEnd w:id="54"/>
      <w:bookmarkEnd w:id="55"/>
      <w:bookmarkEnd w:id="56"/>
    </w:p>
    <w:p w14:paraId="7768A99D" w14:textId="0E148F97" w:rsidR="00D8586B" w:rsidRDefault="0071272F" w:rsidP="00A20ECF">
      <w:pPr>
        <w:rPr>
          <w:rFonts w:cs="Calibri Light"/>
        </w:rPr>
      </w:pPr>
      <w:bookmarkStart w:id="57" w:name="_Toc486490862"/>
      <w:bookmarkStart w:id="58" w:name="_Toc486580933"/>
      <w:r w:rsidRPr="0071272F">
        <w:rPr>
          <w:rFonts w:cs="Calibri Light"/>
        </w:rPr>
        <w:t>Based on online research there are currently limited large</w:t>
      </w:r>
      <w:r w:rsidR="00EB5641">
        <w:rPr>
          <w:rFonts w:cs="Calibri Light"/>
        </w:rPr>
        <w:t xml:space="preserve"> storage</w:t>
      </w:r>
      <w:r w:rsidRPr="0071272F">
        <w:rPr>
          <w:rFonts w:cs="Calibri Light"/>
        </w:rPr>
        <w:t xml:space="preserve"> heat pump water heater units on the market. </w:t>
      </w:r>
      <w:r w:rsidR="00927E10">
        <w:rPr>
          <w:rFonts w:cs="Calibri Light"/>
        </w:rPr>
        <w:t xml:space="preserve">Furthermore, information on the heat pump input capacity from publicly available vendor literature is limited. </w:t>
      </w:r>
    </w:p>
    <w:p w14:paraId="16ABDC5D" w14:textId="35C3F9B3" w:rsidR="00D8586B" w:rsidRDefault="00D8586B" w:rsidP="00A20ECF">
      <w:pPr>
        <w:rPr>
          <w:rFonts w:cs="Calibri Light"/>
        </w:rPr>
      </w:pPr>
      <w:r>
        <w:rPr>
          <w:rFonts w:cs="Calibri Light"/>
        </w:rPr>
        <w:t>Instead, installation costs from the 202</w:t>
      </w:r>
      <w:r w:rsidR="004B0FA7">
        <w:rPr>
          <w:rFonts w:cs="Calibri Light"/>
        </w:rPr>
        <w:t>1</w:t>
      </w:r>
      <w:r>
        <w:rPr>
          <w:rFonts w:cs="Calibri Light"/>
        </w:rPr>
        <w:t xml:space="preserve"> All</w:t>
      </w:r>
      <w:r w:rsidR="004B0FA7">
        <w:rPr>
          <w:rFonts w:cs="Calibri Light"/>
        </w:rPr>
        <w:t>-</w:t>
      </w:r>
      <w:r>
        <w:rPr>
          <w:rFonts w:cs="Calibri Light"/>
        </w:rPr>
        <w:t>Electri</w:t>
      </w:r>
      <w:r w:rsidR="004B0FA7">
        <w:rPr>
          <w:rFonts w:cs="Calibri Light"/>
        </w:rPr>
        <w:t xml:space="preserve">c Multifamily Compliance Pathway </w:t>
      </w:r>
      <w:r>
        <w:rPr>
          <w:rFonts w:cs="Calibri Light"/>
        </w:rPr>
        <w:t>CASE report</w:t>
      </w:r>
      <w:r w:rsidR="004B0FA7">
        <w:rPr>
          <w:rStyle w:val="FootnoteReference"/>
          <w:rFonts w:cs="Calibri Light"/>
        </w:rPr>
        <w:footnoteReference w:id="27"/>
      </w:r>
      <w:r>
        <w:rPr>
          <w:rFonts w:cs="Calibri Light"/>
        </w:rPr>
        <w:t xml:space="preserve"> were used to establish measure case costs. The CASE team developed several </w:t>
      </w:r>
      <w:r w:rsidR="00EB5641">
        <w:rPr>
          <w:rFonts w:cs="Calibri Light"/>
        </w:rPr>
        <w:t>bases</w:t>
      </w:r>
      <w:r>
        <w:rPr>
          <w:rFonts w:cs="Calibri Light"/>
        </w:rPr>
        <w:t xml:space="preserve"> of design representing the following central water heater systems: </w:t>
      </w:r>
      <w:r w:rsidR="006151B9">
        <w:rPr>
          <w:rFonts w:cs="Calibri Light"/>
        </w:rPr>
        <w:t xml:space="preserve">low-rise garden style, low-rise loaded corridor, mid-rise mixed use, and high-rise mixed use, for both single pass and multi-pass systems. </w:t>
      </w:r>
    </w:p>
    <w:p w14:paraId="2525AFA8" w14:textId="1917F603" w:rsidR="006151B9" w:rsidRDefault="00C811E1" w:rsidP="00A20ECF">
      <w:pPr>
        <w:rPr>
          <w:rFonts w:cs="Calibri Light"/>
        </w:rPr>
      </w:pPr>
      <w:r>
        <w:rPr>
          <w:rFonts w:cs="Calibri Light"/>
        </w:rPr>
        <w:t>They then collected v</w:t>
      </w:r>
      <w:r w:rsidR="00D8586B">
        <w:rPr>
          <w:rFonts w:cs="Calibri Light"/>
        </w:rPr>
        <w:t xml:space="preserve">endor pricing based on the </w:t>
      </w:r>
      <w:r w:rsidR="00EB5641">
        <w:rPr>
          <w:rFonts w:cs="Calibri Light"/>
        </w:rPr>
        <w:t>bases</w:t>
      </w:r>
      <w:r w:rsidR="00D8586B">
        <w:rPr>
          <w:rFonts w:cs="Calibri Light"/>
        </w:rPr>
        <w:t xml:space="preserve"> of design to determine the full install cost. However, the costs developed by the CASE team represent new construction costs. As this </w:t>
      </w:r>
      <w:r w:rsidR="005E6CA6">
        <w:t>measure package</w:t>
      </w:r>
      <w:r w:rsidR="005E6CA6">
        <w:rPr>
          <w:rFonts w:cs="Calibri Light"/>
        </w:rPr>
        <w:t xml:space="preserve"> </w:t>
      </w:r>
      <w:r w:rsidR="00D8586B">
        <w:rPr>
          <w:rFonts w:cs="Calibri Light"/>
        </w:rPr>
        <w:t>is for retrofit applications, only the</w:t>
      </w:r>
      <w:r w:rsidR="00EB5641">
        <w:rPr>
          <w:rFonts w:cs="Calibri Light"/>
        </w:rPr>
        <w:t xml:space="preserve"> material and labor</w:t>
      </w:r>
      <w:r w:rsidR="00D8586B">
        <w:rPr>
          <w:rFonts w:cs="Calibri Light"/>
        </w:rPr>
        <w:t xml:space="preserve"> costs associated with </w:t>
      </w:r>
      <w:r w:rsidR="00C66004">
        <w:rPr>
          <w:rFonts w:cs="Calibri Light"/>
        </w:rPr>
        <w:t xml:space="preserve">heat pump equipment, </w:t>
      </w:r>
      <w:r w:rsidR="00D8586B">
        <w:rPr>
          <w:rFonts w:cs="Calibri Light"/>
        </w:rPr>
        <w:t>storage tanks, sensors</w:t>
      </w:r>
      <w:r w:rsidR="006151B9">
        <w:rPr>
          <w:rFonts w:cs="Calibri Light"/>
        </w:rPr>
        <w:t xml:space="preserve">, </w:t>
      </w:r>
      <w:r w:rsidR="00D8586B">
        <w:rPr>
          <w:rFonts w:cs="Calibri Light"/>
        </w:rPr>
        <w:t>controls</w:t>
      </w:r>
      <w:r w:rsidR="006151B9">
        <w:rPr>
          <w:rFonts w:cs="Calibri Light"/>
        </w:rPr>
        <w:t>, and commissioning</w:t>
      </w:r>
      <w:r w:rsidR="00D8586B">
        <w:rPr>
          <w:rFonts w:cs="Calibri Light"/>
        </w:rPr>
        <w:t xml:space="preserve"> </w:t>
      </w:r>
      <w:r w:rsidR="006151B9">
        <w:rPr>
          <w:rFonts w:cs="Calibri Light"/>
        </w:rPr>
        <w:t xml:space="preserve">were taken to be used for the measure case cost in this </w:t>
      </w:r>
      <w:r w:rsidR="005E6CA6">
        <w:t>measure package</w:t>
      </w:r>
      <w:r w:rsidR="006151B9">
        <w:rPr>
          <w:rFonts w:cs="Calibri Light"/>
        </w:rPr>
        <w:t>.</w:t>
      </w:r>
      <w:r w:rsidR="000241A9">
        <w:rPr>
          <w:rStyle w:val="FootnoteReference"/>
          <w:rFonts w:cs="Calibri Light"/>
        </w:rPr>
        <w:footnoteReference w:id="28"/>
      </w:r>
      <w:r w:rsidR="006151B9">
        <w:rPr>
          <w:rFonts w:cs="Calibri Light"/>
        </w:rPr>
        <w:t xml:space="preserve"> </w:t>
      </w:r>
    </w:p>
    <w:p w14:paraId="0254B22C" w14:textId="43CB2486" w:rsidR="00D8586B" w:rsidRDefault="00EB5641" w:rsidP="00A20ECF">
      <w:pPr>
        <w:rPr>
          <w:rFonts w:cs="Calibri Light"/>
        </w:rPr>
      </w:pPr>
      <w:r>
        <w:rPr>
          <w:rFonts w:cs="Calibri Light"/>
        </w:rPr>
        <w:t>Each of the CASE scenarios featured different total heating and storage capacities. Average costs from designs with storage capacities less than 100 gallons were used for the 75 to less than 100 gallon measures. The average of all the costs were used for the 100 gallon or greater storage measures.</w:t>
      </w:r>
      <w:r w:rsidR="000241A9">
        <w:rPr>
          <w:rFonts w:cs="Calibri Light"/>
        </w:rPr>
        <w:t xml:space="preserve"> All costs were normalized based on the CASE system design case heating capacity in kBtuh. </w:t>
      </w:r>
      <w:r w:rsidR="000241A9">
        <w:rPr>
          <w:rStyle w:val="FootnoteReference"/>
          <w:rFonts w:cs="Calibri Light"/>
        </w:rPr>
        <w:footnoteReference w:id="29"/>
      </w:r>
      <w:r>
        <w:rPr>
          <w:rFonts w:cs="Calibri Light"/>
        </w:rPr>
        <w:t xml:space="preserve"> </w:t>
      </w:r>
    </w:p>
    <w:p w14:paraId="4E0757EB" w14:textId="77777777" w:rsidR="00492A27" w:rsidRDefault="001C2DAA" w:rsidP="006C64E7">
      <w:r>
        <w:rPr>
          <w:rFonts w:cs="Calibri Light"/>
          <w:b/>
        </w:rPr>
        <w:t>Infrastructure Costs</w:t>
      </w:r>
      <w:r w:rsidRPr="004058CF">
        <w:t xml:space="preserve">. </w:t>
      </w:r>
      <w:bookmarkStart w:id="59" w:name="_Hlk40260211"/>
    </w:p>
    <w:p w14:paraId="71055E86" w14:textId="2BD82D44" w:rsidR="00492A27" w:rsidRDefault="00492A27" w:rsidP="006C64E7">
      <w:r>
        <w:t>The conversion from a central natural gas water heating system to a heat pump system could potentially include several upgrades not associated directly with the heating equipment, such as additional/updated piping, controls, valves, tanks, or heat exchangers. Additionally, expanded electrical infrastructure is often needed to account for the higher electrical load required for the heat pump system to operat</w:t>
      </w:r>
      <w:r w:rsidR="007B4AFE">
        <w:t>e.</w:t>
      </w:r>
      <w:r>
        <w:t xml:space="preserve"> </w:t>
      </w:r>
    </w:p>
    <w:p w14:paraId="35268FC4" w14:textId="751C123F" w:rsidR="00492A27" w:rsidRDefault="00492A27" w:rsidP="006C64E7">
      <w:r>
        <w:lastRenderedPageBreak/>
        <w:t xml:space="preserve">The </w:t>
      </w:r>
      <w:r w:rsidR="004B0FA7">
        <w:t>2021 CASE</w:t>
      </w:r>
      <w:r w:rsidR="004B0FA7">
        <w:rPr>
          <w:rStyle w:val="FootnoteReference"/>
        </w:rPr>
        <w:footnoteReference w:id="30"/>
      </w:r>
      <w:r>
        <w:t xml:space="preserve"> study includes the costs for these electrical upgrades. Similar to the measure case material costs, the total costs associated with electrical infrastructure were obtained from the report, including costs for </w:t>
      </w:r>
      <w:r w:rsidR="00C811E1">
        <w:t xml:space="preserve">connecting </w:t>
      </w:r>
      <w:r>
        <w:t>electrical circuits to new equipment</w:t>
      </w:r>
      <w:r w:rsidR="00C811E1">
        <w:t>,</w:t>
      </w:r>
      <w:r>
        <w:t xml:space="preserve"> </w:t>
      </w:r>
      <w:r w:rsidR="00C811E1">
        <w:t>as well as</w:t>
      </w:r>
      <w:r>
        <w:t xml:space="preserve"> panel and main service modification</w:t>
      </w:r>
      <w:r w:rsidR="007B4AFE">
        <w:t>s</w:t>
      </w:r>
      <w:r>
        <w:t xml:space="preserve">. These costs range from $10,000 to $25,000 in total, with an average cost of $20,000 for the systems included. The normalized cost per heat pump system capacity was found to be $203.07 per kBtuh. </w:t>
      </w:r>
    </w:p>
    <w:bookmarkEnd w:id="59"/>
    <w:p w14:paraId="0C1306DB" w14:textId="428C63D7" w:rsidR="002A30A4" w:rsidRDefault="002A30A4" w:rsidP="001C2DAA">
      <w:pPr>
        <w:pStyle w:val="NoSpacing"/>
        <w:rPr>
          <w:rFonts w:ascii="Calibri Light" w:hAnsi="Calibri Light"/>
        </w:rPr>
      </w:pPr>
    </w:p>
    <w:p w14:paraId="31555D13" w14:textId="77777777" w:rsidR="00E45F3F" w:rsidRDefault="00E45F3F" w:rsidP="00E45F3F">
      <w:pPr>
        <w:pStyle w:val="Normal1"/>
        <w:rPr>
          <w:rFonts w:ascii="Calibri Light" w:eastAsiaTheme="minorEastAsia" w:hAnsi="Calibri Light" w:cs="Calibri Light"/>
          <w:color w:val="auto"/>
          <w:szCs w:val="24"/>
        </w:rPr>
      </w:pPr>
      <w:r>
        <w:rPr>
          <w:rFonts w:ascii="Calibri Light" w:eastAsiaTheme="minorEastAsia" w:hAnsi="Calibri Light" w:cs="Calibri Light"/>
          <w:color w:val="auto"/>
          <w:szCs w:val="24"/>
        </w:rPr>
        <w:t>For AR measures, it is required to use t</w:t>
      </w:r>
      <w:r w:rsidRPr="0094365C">
        <w:rPr>
          <w:rFonts w:ascii="Calibri Light" w:eastAsiaTheme="minorEastAsia" w:hAnsi="Calibri Light" w:cs="Calibri Light"/>
          <w:color w:val="auto"/>
          <w:szCs w:val="24"/>
        </w:rPr>
        <w:t>he Accelerated Replacement Cost (ARC)</w:t>
      </w:r>
      <w:r>
        <w:rPr>
          <w:rStyle w:val="FootnoteReference"/>
          <w:rFonts w:ascii="Calibri Light" w:eastAsiaTheme="minorEastAsia" w:hAnsi="Calibri Light" w:cs="Calibri Light"/>
          <w:color w:val="auto"/>
          <w:szCs w:val="24"/>
        </w:rPr>
        <w:footnoteReference w:id="31"/>
      </w:r>
      <w:r>
        <w:rPr>
          <w:rFonts w:ascii="Calibri Light" w:eastAsiaTheme="minorEastAsia" w:hAnsi="Calibri Light" w:cs="Calibri Light"/>
          <w:color w:val="auto"/>
          <w:szCs w:val="24"/>
        </w:rPr>
        <w:t>. ARC</w:t>
      </w:r>
      <w:r w:rsidRPr="0094365C">
        <w:rPr>
          <w:rFonts w:ascii="Calibri Light" w:eastAsiaTheme="minorEastAsia" w:hAnsi="Calibri Light" w:cs="Calibri Light"/>
          <w:color w:val="auto"/>
          <w:szCs w:val="24"/>
        </w:rPr>
        <w:t xml:space="preserve"> is the cost of the efficiency measure installed in an Accelerated Replacement situation. The ARC is the FMC of the efficiency measure, reduced by the net present value of the FMC that would have been incurred to install the Standard Practice second baseline equipment at the end of the RUL. The ARC is calculated using the following formula: </w:t>
      </w:r>
    </w:p>
    <w:p w14:paraId="32E06DE1" w14:textId="77777777" w:rsidR="00E45F3F" w:rsidRPr="009D6AEA" w:rsidRDefault="00E45F3F" w:rsidP="00E45F3F">
      <w:pPr>
        <w:pStyle w:val="Normal1"/>
        <w:jc w:val="center"/>
        <w:rPr>
          <w:rFonts w:ascii="Calibri Light" w:eastAsiaTheme="minorEastAsia" w:hAnsi="Calibri Light" w:cs="Calibri Light"/>
          <w:b/>
          <w:bCs/>
          <w:color w:val="auto"/>
          <w:szCs w:val="24"/>
        </w:rPr>
      </w:pPr>
      <m:oMathPara>
        <m:oMath>
          <m:r>
            <m:rPr>
              <m:sty m:val="bi"/>
            </m:rPr>
            <w:rPr>
              <w:rFonts w:ascii="Cambria Math" w:eastAsiaTheme="minorEastAsia" w:hAnsi="Cambria Math" w:cs="Calibri Light"/>
              <w:color w:val="auto"/>
              <w:szCs w:val="24"/>
            </w:rPr>
            <m:t xml:space="preserve">ARC=FMC- </m:t>
          </m:r>
          <m:f>
            <m:fPr>
              <m:ctrlPr>
                <w:rPr>
                  <w:rFonts w:ascii="Cambria Math" w:eastAsiaTheme="minorEastAsia" w:hAnsi="Cambria Math" w:cs="Calibri Light"/>
                  <w:b/>
                  <w:bCs/>
                  <w:i/>
                  <w:color w:val="auto"/>
                  <w:szCs w:val="24"/>
                </w:rPr>
              </m:ctrlPr>
            </m:fPr>
            <m:num>
              <m:r>
                <m:rPr>
                  <m:sty m:val="bi"/>
                </m:rPr>
                <w:rPr>
                  <w:rFonts w:ascii="Cambria Math" w:eastAsiaTheme="minorEastAsia" w:hAnsi="Cambria Math" w:cs="Calibri Light"/>
                  <w:color w:val="auto"/>
                  <w:szCs w:val="24"/>
                </w:rPr>
                <m:t>(FMC-IMC)</m:t>
              </m:r>
            </m:num>
            <m:den>
              <m:sSup>
                <m:sSupPr>
                  <m:ctrlPr>
                    <w:rPr>
                      <w:rFonts w:ascii="Cambria Math" w:eastAsiaTheme="minorEastAsia" w:hAnsi="Cambria Math" w:cs="Calibri Light"/>
                      <w:b/>
                      <w:bCs/>
                      <w:i/>
                      <w:color w:val="auto"/>
                      <w:szCs w:val="24"/>
                    </w:rPr>
                  </m:ctrlPr>
                </m:sSupPr>
                <m:e>
                  <m:r>
                    <m:rPr>
                      <m:sty m:val="bi"/>
                    </m:rPr>
                    <w:rPr>
                      <w:rFonts w:ascii="Cambria Math" w:eastAsiaTheme="minorEastAsia" w:hAnsi="Cambria Math" w:cs="Calibri Light"/>
                      <w:color w:val="auto"/>
                      <w:szCs w:val="24"/>
                    </w:rPr>
                    <m:t>(1+D)</m:t>
                  </m:r>
                </m:e>
                <m:sup>
                  <m:r>
                    <m:rPr>
                      <m:sty m:val="bi"/>
                    </m:rPr>
                    <w:rPr>
                      <w:rFonts w:ascii="Cambria Math" w:eastAsiaTheme="minorEastAsia" w:hAnsi="Cambria Math" w:cs="Calibri Light"/>
                      <w:color w:val="auto"/>
                      <w:szCs w:val="24"/>
                    </w:rPr>
                    <m:t>RUL</m:t>
                  </m:r>
                </m:sup>
              </m:sSup>
            </m:den>
          </m:f>
        </m:oMath>
      </m:oMathPara>
    </w:p>
    <w:p w14:paraId="66E4319E" w14:textId="77777777" w:rsidR="00E45F3F" w:rsidRDefault="00E45F3F" w:rsidP="00E45F3F">
      <w:pPr>
        <w:pStyle w:val="Normal1"/>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Where: </w:t>
      </w:r>
    </w:p>
    <w:p w14:paraId="5B507548" w14:textId="77777777" w:rsidR="00E45F3F" w:rsidRDefault="00E45F3F" w:rsidP="00E45F3F">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FMC = full measure cost </w:t>
      </w:r>
    </w:p>
    <w:p w14:paraId="38B020CD" w14:textId="77777777" w:rsidR="00E45F3F" w:rsidRDefault="00E45F3F" w:rsidP="00E45F3F">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IMC = incremental measure cost </w:t>
      </w:r>
    </w:p>
    <w:p w14:paraId="57E7238D" w14:textId="77777777" w:rsidR="00E45F3F" w:rsidRDefault="00E45F3F" w:rsidP="00E45F3F">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 xml:space="preserve">D = CPUC-adopted PA discount rate (7.66% for PG&amp;E service territory, 7.65% for SCE service territory, 7.38% for SCG service territory, and 7.55% for SDG&amp;E service territory) </w:t>
      </w:r>
    </w:p>
    <w:p w14:paraId="594BB236" w14:textId="77777777" w:rsidR="00E45F3F" w:rsidRDefault="00E45F3F" w:rsidP="00E45F3F">
      <w:pPr>
        <w:pStyle w:val="Normal1"/>
        <w:ind w:left="360" w:hanging="360"/>
        <w:rPr>
          <w:rFonts w:ascii="Calibri Light" w:eastAsiaTheme="minorEastAsia" w:hAnsi="Calibri Light" w:cs="Calibri Light"/>
          <w:color w:val="auto"/>
          <w:szCs w:val="24"/>
        </w:rPr>
      </w:pPr>
      <w:r w:rsidRPr="0094365C">
        <w:rPr>
          <w:rFonts w:ascii="Calibri Light" w:eastAsiaTheme="minorEastAsia" w:hAnsi="Calibri Light" w:cs="Calibri Light"/>
          <w:color w:val="auto"/>
          <w:szCs w:val="24"/>
        </w:rPr>
        <w:t>RUL = Remaining useful life (in years) of the early retired equipment</w:t>
      </w:r>
    </w:p>
    <w:p w14:paraId="1EDF12D6" w14:textId="77777777" w:rsidR="00E45F3F" w:rsidRPr="004058CF" w:rsidRDefault="00E45F3F" w:rsidP="001C2DAA">
      <w:pPr>
        <w:pStyle w:val="NoSpacing"/>
        <w:rPr>
          <w:rFonts w:ascii="Calibri Light" w:hAnsi="Calibri Light"/>
        </w:rPr>
      </w:pPr>
    </w:p>
    <w:p w14:paraId="489D9D98" w14:textId="47A662B2" w:rsidR="007D230B" w:rsidRPr="00C6243E" w:rsidRDefault="002E5874" w:rsidP="00462BB6">
      <w:pPr>
        <w:pStyle w:val="eTRMHeading3"/>
        <w:rPr>
          <w:rFonts w:cs="Calibri Light"/>
        </w:rPr>
      </w:pPr>
      <w:bookmarkStart w:id="60" w:name="_Toc75963038"/>
      <w:r w:rsidRPr="00AE4E8D">
        <w:rPr>
          <w:rFonts w:cs="Calibri Light"/>
        </w:rPr>
        <w:t xml:space="preserve">Base Case </w:t>
      </w:r>
      <w:r w:rsidR="007D230B" w:rsidRPr="00AE4E8D">
        <w:rPr>
          <w:rFonts w:cs="Calibri Light"/>
        </w:rPr>
        <w:t>Labor Cost ($/unit)</w:t>
      </w:r>
      <w:bookmarkEnd w:id="57"/>
      <w:bookmarkEnd w:id="58"/>
      <w:bookmarkEnd w:id="60"/>
    </w:p>
    <w:p w14:paraId="33495034" w14:textId="0CAB5372" w:rsidR="00492A27" w:rsidRDefault="00492A27" w:rsidP="00492A27">
      <w:pPr>
        <w:rPr>
          <w:rFonts w:cs="Calibri Light"/>
        </w:rPr>
      </w:pPr>
      <w:r>
        <w:rPr>
          <w:rFonts w:cs="Calibri Light"/>
        </w:rPr>
        <w:t xml:space="preserve">Similar to the measure material costs, the measure labor costs were obtained from the </w:t>
      </w:r>
      <w:r w:rsidR="000241A9">
        <w:rPr>
          <w:rFonts w:cs="Calibri Light"/>
        </w:rPr>
        <w:t>2021 All-Electric Multifamily Compliance Pathway CASE Report</w:t>
      </w:r>
      <w:r>
        <w:rPr>
          <w:rFonts w:cs="Calibri Light"/>
        </w:rPr>
        <w:t>.</w:t>
      </w:r>
      <w:r w:rsidR="000241A9">
        <w:rPr>
          <w:rStyle w:val="FootnoteReference"/>
          <w:rFonts w:cs="Calibri Light"/>
        </w:rPr>
        <w:footnoteReference w:id="32"/>
      </w:r>
      <w:r>
        <w:rPr>
          <w:rFonts w:cs="Calibri Light"/>
        </w:rPr>
        <w:t xml:space="preserve"> Refer to the “Measure Case Material Cost” section for details. </w:t>
      </w:r>
    </w:p>
    <w:p w14:paraId="092140EF" w14:textId="23ACF7E9" w:rsidR="00492A27" w:rsidRDefault="00492A27" w:rsidP="00492A27">
      <w:r>
        <w:t xml:space="preserve">Base case natural gas systems typically have higher heating capacities than their heat pump replacements. To account for this, the ratio of baseline gas heater capacity compared to heat pump capacity was found. The average baseline and measure case heating equipment capacities used by the DEER Water Heater Calculator 4.2 were found for each measure across all associated climates zones and building types. The ratios ranged from 2.7, for the measure replacing 80 gallons storage water heaters, up to 15.3 for the measures replacing instant water heaters greater than 200 kBtuh capacity. The base </w:t>
      </w:r>
      <w:r w:rsidR="00C811E1">
        <w:t>labor</w:t>
      </w:r>
      <w:r>
        <w:t xml:space="preserve"> cost per kBtuh were multiplied by the appropriate ratio for each measure. </w:t>
      </w:r>
      <w:r w:rsidR="000241A9">
        <w:rPr>
          <w:rStyle w:val="FootnoteReference"/>
        </w:rPr>
        <w:footnoteReference w:id="33"/>
      </w:r>
    </w:p>
    <w:p w14:paraId="79D8114C" w14:textId="77777777" w:rsidR="00492A27" w:rsidRDefault="00492A27" w:rsidP="0093181A">
      <w:pPr>
        <w:rPr>
          <w:rFonts w:cs="Calibri Light"/>
        </w:rPr>
      </w:pPr>
    </w:p>
    <w:p w14:paraId="2CBCA0DB" w14:textId="2AC62365" w:rsidR="002E5874" w:rsidRPr="00C6243E" w:rsidRDefault="002E5874" w:rsidP="002E5874">
      <w:pPr>
        <w:pStyle w:val="eTRMHeading3"/>
        <w:rPr>
          <w:rFonts w:cs="Calibri Light"/>
        </w:rPr>
      </w:pPr>
      <w:bookmarkStart w:id="61" w:name="_Toc75963039"/>
      <w:r w:rsidRPr="005620D4">
        <w:rPr>
          <w:rFonts w:cs="Calibri Light"/>
        </w:rPr>
        <w:lastRenderedPageBreak/>
        <w:t>Measure Case Labor Cost ($/unit)</w:t>
      </w:r>
      <w:bookmarkEnd w:id="61"/>
    </w:p>
    <w:p w14:paraId="19D18D62" w14:textId="2BA9213F" w:rsidR="00A0594A" w:rsidRDefault="00A0594A" w:rsidP="00A0594A">
      <w:pPr>
        <w:rPr>
          <w:rFonts w:cs="Calibri Light"/>
        </w:rPr>
      </w:pPr>
      <w:r>
        <w:rPr>
          <w:rFonts w:cs="Calibri Light"/>
        </w:rPr>
        <w:t xml:space="preserve">Similar to the measure material costs, the measure labor costs were obtained from the </w:t>
      </w:r>
      <w:r w:rsidR="000241A9">
        <w:rPr>
          <w:rFonts w:cs="Calibri Light"/>
        </w:rPr>
        <w:t>2021 All-Electric Multifamily Compliance Pathway CASE Report.</w:t>
      </w:r>
      <w:r w:rsidR="000241A9">
        <w:rPr>
          <w:rStyle w:val="FootnoteReference"/>
          <w:rFonts w:cs="Calibri Light"/>
        </w:rPr>
        <w:footnoteReference w:id="34"/>
      </w:r>
      <w:r w:rsidR="000241A9">
        <w:rPr>
          <w:rFonts w:cs="Calibri Light"/>
        </w:rPr>
        <w:t xml:space="preserve"> </w:t>
      </w:r>
      <w:r w:rsidR="00492A27">
        <w:rPr>
          <w:rFonts w:cs="Calibri Light"/>
        </w:rPr>
        <w:t xml:space="preserve"> </w:t>
      </w:r>
      <w:r>
        <w:rPr>
          <w:rFonts w:cs="Calibri Light"/>
        </w:rPr>
        <w:t xml:space="preserve">Refer to the </w:t>
      </w:r>
      <w:r w:rsidR="00492A27">
        <w:rPr>
          <w:rFonts w:cs="Calibri Light"/>
        </w:rPr>
        <w:t>“</w:t>
      </w:r>
      <w:r>
        <w:rPr>
          <w:rFonts w:cs="Calibri Light"/>
        </w:rPr>
        <w:t>Measure Case Material Cost</w:t>
      </w:r>
      <w:r w:rsidR="00492A27">
        <w:rPr>
          <w:rFonts w:cs="Calibri Light"/>
        </w:rPr>
        <w:t>”</w:t>
      </w:r>
      <w:r>
        <w:rPr>
          <w:rFonts w:cs="Calibri Light"/>
        </w:rPr>
        <w:t xml:space="preserve"> section for details. </w:t>
      </w:r>
    </w:p>
    <w:p w14:paraId="4422A1DA" w14:textId="4AE45B0B" w:rsidR="00A0594A" w:rsidRDefault="00A0594A" w:rsidP="00A0594A">
      <w:r>
        <w:t>Please refer to section “Measure Case Material Cost” for AR measure cost calculation.</w:t>
      </w:r>
    </w:p>
    <w:p w14:paraId="2B81541C" w14:textId="77777777" w:rsidR="00EB5641" w:rsidRPr="00C6243E" w:rsidRDefault="00EB5641" w:rsidP="00F7114F">
      <w:pPr>
        <w:rPr>
          <w:rFonts w:cs="Calibri Light"/>
        </w:rPr>
      </w:pPr>
    </w:p>
    <w:p w14:paraId="17D1E2FF" w14:textId="3CF4E2A3" w:rsidR="007D230B" w:rsidRPr="00C6243E" w:rsidRDefault="004B06E3" w:rsidP="00462BB6">
      <w:pPr>
        <w:pStyle w:val="eTRMHeading3"/>
        <w:rPr>
          <w:rFonts w:cs="Calibri Light"/>
        </w:rPr>
      </w:pPr>
      <w:bookmarkStart w:id="62" w:name="_Toc486490863"/>
      <w:bookmarkStart w:id="63" w:name="_Toc486580934"/>
      <w:bookmarkStart w:id="64" w:name="_Toc75963040"/>
      <w:r w:rsidRPr="00C6243E">
        <w:rPr>
          <w:rFonts w:cs="Calibri Light"/>
        </w:rPr>
        <w:t>Net-to-Gross</w:t>
      </w:r>
      <w:bookmarkEnd w:id="62"/>
      <w:bookmarkEnd w:id="63"/>
      <w:r w:rsidR="008D4652" w:rsidRPr="00C6243E">
        <w:rPr>
          <w:rFonts w:cs="Calibri Light"/>
        </w:rPr>
        <w:t xml:space="preserve"> (NTG)</w:t>
      </w:r>
      <w:bookmarkEnd w:id="64"/>
    </w:p>
    <w:p w14:paraId="36EF2803" w14:textId="77777777" w:rsidR="003C48E1" w:rsidRDefault="003C48E1" w:rsidP="003C48E1">
      <w:pPr>
        <w:rPr>
          <w:rFonts w:cs="Calibri Light"/>
          <w:sz w:val="18"/>
          <w:szCs w:val="18"/>
        </w:rPr>
      </w:pPr>
      <w:r>
        <w:rPr>
          <w:rFonts w:cs="Calibri Light"/>
        </w:rPr>
        <w:t xml:space="preserve">The net-to-gross (NTG) ratio represents the portion of gross impacts that are determined to be directly attributed to a specific program intervention. The NTG for fuel substitution measures was stipulated in Decision 19-08-009, </w:t>
      </w:r>
      <w:r>
        <w:rPr>
          <w:rFonts w:cs="Calibri Light"/>
          <w:i/>
          <w:iCs/>
        </w:rPr>
        <w:t>Decision Modifying the Energy Efficiency Three-Prong Test Related to Fuel Substitution,</w:t>
      </w:r>
      <w:r>
        <w:rPr>
          <w:rFonts w:cs="Calibri Light"/>
        </w:rPr>
        <w:t xml:space="preserve"> issued by the California Public Utilities Commission (CPUC).</w:t>
      </w:r>
      <w:r>
        <w:rPr>
          <w:rStyle w:val="FootnoteReference"/>
          <w:rFonts w:cs="Calibri Light"/>
        </w:rPr>
        <w:footnoteReference w:id="35"/>
      </w:r>
      <w:r>
        <w:rPr>
          <w:rFonts w:cs="Calibri Light"/>
        </w:rPr>
        <w:t xml:space="preserve"> “When a fuel substitution measure passes the Fuel Substitution Test, it shall be included in the cost-effectiveness analysis of the portfolio with a net-to-gross (NTG) ratio assumption of 1.0, until such time as evaluated NTG information is available, when the assumption shall be updated on a prospective basis.” (OP 1)</w:t>
      </w:r>
    </w:p>
    <w:p w14:paraId="52271E9B" w14:textId="77777777" w:rsidR="00DE1A0F" w:rsidRPr="00C6243E" w:rsidRDefault="00DE1A0F" w:rsidP="00EF7BAC">
      <w:pPr>
        <w:pStyle w:val="Caption"/>
      </w:pPr>
      <w:r w:rsidRPr="00C6243E">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425"/>
        <w:gridCol w:w="1350"/>
        <w:gridCol w:w="5760"/>
      </w:tblGrid>
      <w:tr w:rsidR="00AA3E2A" w:rsidRPr="004E7434" w14:paraId="1431AECE" w14:textId="77777777" w:rsidTr="006C64E7">
        <w:trPr>
          <w:cantSplit/>
          <w:trHeight w:val="20"/>
        </w:trPr>
        <w:tc>
          <w:tcPr>
            <w:tcW w:w="2425" w:type="dxa"/>
            <w:shd w:val="clear" w:color="000000" w:fill="F2F2F2" w:themeFill="background1" w:themeFillShade="F2"/>
            <w:vAlign w:val="bottom"/>
          </w:tcPr>
          <w:p w14:paraId="41CE0C0E" w14:textId="77777777" w:rsidR="00AA3E2A" w:rsidRPr="004E7434" w:rsidRDefault="00177EB6" w:rsidP="006D6644">
            <w:pPr>
              <w:keepNext/>
              <w:keepLines/>
              <w:spacing w:before="0" w:after="0" w:line="200" w:lineRule="atLeast"/>
              <w:jc w:val="center"/>
              <w:rPr>
                <w:rFonts w:cs="Calibri Light"/>
                <w:b/>
                <w:color w:val="000000"/>
                <w:sz w:val="20"/>
                <w:szCs w:val="20"/>
              </w:rPr>
            </w:pPr>
            <w:r w:rsidRPr="004E7434">
              <w:rPr>
                <w:rFonts w:cs="Calibri Light"/>
                <w:b/>
                <w:color w:val="000000"/>
                <w:sz w:val="20"/>
                <w:szCs w:val="20"/>
              </w:rPr>
              <w:t>Parameter</w:t>
            </w:r>
          </w:p>
        </w:tc>
        <w:tc>
          <w:tcPr>
            <w:tcW w:w="1350" w:type="dxa"/>
            <w:shd w:val="clear" w:color="000000" w:fill="F2F2F2" w:themeFill="background1" w:themeFillShade="F2"/>
            <w:vAlign w:val="bottom"/>
          </w:tcPr>
          <w:p w14:paraId="18B15692" w14:textId="77777777" w:rsidR="00AA3E2A" w:rsidRPr="00D048EF" w:rsidRDefault="00177EB6" w:rsidP="006D6644">
            <w:pPr>
              <w:keepNext/>
              <w:keepLines/>
              <w:spacing w:before="0" w:after="0" w:line="200" w:lineRule="atLeast"/>
              <w:jc w:val="center"/>
              <w:rPr>
                <w:rFonts w:cs="Calibri Light"/>
                <w:b/>
                <w:color w:val="000000"/>
                <w:sz w:val="20"/>
                <w:szCs w:val="20"/>
              </w:rPr>
            </w:pPr>
            <w:r w:rsidRPr="00D048EF">
              <w:rPr>
                <w:rFonts w:cs="Calibri Light"/>
                <w:b/>
                <w:color w:val="000000"/>
                <w:sz w:val="20"/>
                <w:szCs w:val="20"/>
              </w:rPr>
              <w:t>Value</w:t>
            </w:r>
          </w:p>
        </w:tc>
        <w:tc>
          <w:tcPr>
            <w:tcW w:w="5760" w:type="dxa"/>
            <w:shd w:val="clear" w:color="000000" w:fill="F2F2F2" w:themeFill="background1" w:themeFillShade="F2"/>
          </w:tcPr>
          <w:p w14:paraId="6652DE94" w14:textId="77777777" w:rsidR="00AA3E2A" w:rsidRPr="004E7434" w:rsidRDefault="00AA3E2A" w:rsidP="006D6644">
            <w:pPr>
              <w:keepNext/>
              <w:keepLines/>
              <w:spacing w:before="0" w:after="0" w:line="200" w:lineRule="atLeast"/>
              <w:jc w:val="center"/>
              <w:rPr>
                <w:rFonts w:cs="Calibri Light"/>
                <w:b/>
                <w:color w:val="000000"/>
                <w:sz w:val="20"/>
                <w:szCs w:val="20"/>
              </w:rPr>
            </w:pPr>
            <w:r w:rsidRPr="004E7434">
              <w:rPr>
                <w:rFonts w:cs="Calibri Light"/>
                <w:b/>
                <w:color w:val="000000"/>
                <w:sz w:val="20"/>
                <w:szCs w:val="20"/>
              </w:rPr>
              <w:t>Source</w:t>
            </w:r>
          </w:p>
        </w:tc>
      </w:tr>
      <w:tr w:rsidR="00D62874" w:rsidRPr="004E7434" w14:paraId="6B95B000" w14:textId="77777777" w:rsidTr="006C64E7">
        <w:trPr>
          <w:cantSplit/>
          <w:trHeight w:val="20"/>
        </w:trPr>
        <w:tc>
          <w:tcPr>
            <w:tcW w:w="2425" w:type="dxa"/>
            <w:vAlign w:val="center"/>
          </w:tcPr>
          <w:p w14:paraId="510BE2E9" w14:textId="0A7D3C22" w:rsidR="00D62874" w:rsidRPr="004E7434" w:rsidRDefault="00D62874" w:rsidP="00D62874">
            <w:pPr>
              <w:keepNext/>
              <w:keepLines/>
              <w:spacing w:before="0" w:after="0" w:line="200" w:lineRule="atLeast"/>
              <w:rPr>
                <w:rFonts w:cs="Calibri Light"/>
                <w:sz w:val="20"/>
                <w:szCs w:val="20"/>
              </w:rPr>
            </w:pPr>
            <w:r w:rsidRPr="004E7434">
              <w:rPr>
                <w:rFonts w:cstheme="minorHAnsi"/>
                <w:sz w:val="20"/>
                <w:szCs w:val="20"/>
              </w:rPr>
              <w:t xml:space="preserve">NTG – </w:t>
            </w:r>
            <w:r w:rsidR="00EC643D" w:rsidRPr="004E7434">
              <w:rPr>
                <w:rFonts w:cstheme="minorHAnsi"/>
                <w:sz w:val="20"/>
                <w:szCs w:val="20"/>
              </w:rPr>
              <w:t>FuelSubst-Default</w:t>
            </w:r>
          </w:p>
        </w:tc>
        <w:tc>
          <w:tcPr>
            <w:tcW w:w="1350" w:type="dxa"/>
            <w:shd w:val="clear" w:color="auto" w:fill="auto"/>
            <w:noWrap/>
            <w:vAlign w:val="center"/>
          </w:tcPr>
          <w:p w14:paraId="500CE8D3" w14:textId="286061D3" w:rsidR="00D62874" w:rsidRPr="004E7434" w:rsidRDefault="00D62874" w:rsidP="00D62874">
            <w:pPr>
              <w:keepNext/>
              <w:keepLines/>
              <w:spacing w:before="0" w:after="0" w:line="200" w:lineRule="atLeast"/>
              <w:jc w:val="center"/>
              <w:rPr>
                <w:rFonts w:cs="Calibri Light"/>
                <w:sz w:val="20"/>
                <w:szCs w:val="20"/>
              </w:rPr>
            </w:pPr>
            <w:r w:rsidRPr="006C64E7">
              <w:rPr>
                <w:sz w:val="20"/>
                <w:szCs w:val="20"/>
              </w:rPr>
              <w:t>1.0</w:t>
            </w:r>
          </w:p>
        </w:tc>
        <w:tc>
          <w:tcPr>
            <w:tcW w:w="5760" w:type="dxa"/>
            <w:vAlign w:val="center"/>
          </w:tcPr>
          <w:p w14:paraId="2433D9BD" w14:textId="77777777" w:rsidR="004E7434" w:rsidRPr="004E7434" w:rsidRDefault="004E7434" w:rsidP="004E7434">
            <w:pPr>
              <w:keepNext/>
              <w:keepLines/>
              <w:spacing w:before="20" w:after="20"/>
              <w:rPr>
                <w:sz w:val="20"/>
                <w:szCs w:val="20"/>
              </w:rPr>
            </w:pPr>
            <w:r w:rsidRPr="00D048EF">
              <w:rPr>
                <w:sz w:val="20"/>
                <w:szCs w:val="20"/>
              </w:rPr>
              <w:t xml:space="preserve">California Public Utilities Commission (CPUC). 2019. </w:t>
            </w:r>
            <w:r w:rsidRPr="00D048EF">
              <w:rPr>
                <w:rStyle w:val="Emphasis"/>
                <w:rFonts w:eastAsia="Times New Roman" w:cs="Calibri Light"/>
                <w:sz w:val="20"/>
                <w:szCs w:val="20"/>
              </w:rPr>
              <w:t xml:space="preserve">Decision 19-08-009 in the Order Instituting Rulemaking </w:t>
            </w:r>
            <w:r w:rsidRPr="004E7434">
              <w:rPr>
                <w:rStyle w:val="Emphasis"/>
                <w:rFonts w:eastAsia="Times New Roman" w:cs="Calibri Light"/>
                <w:sz w:val="20"/>
                <w:szCs w:val="20"/>
              </w:rPr>
              <w:t>Concerning Energy Efficiency Rolling Portfolios, Policies, Programs, Evaluation, and Related Issues (R.13-11-005).</w:t>
            </w:r>
            <w:r w:rsidRPr="004E7434">
              <w:rPr>
                <w:sz w:val="20"/>
                <w:szCs w:val="20"/>
              </w:rPr>
              <w:t xml:space="preserve"> Issued August 5. OP 1</w:t>
            </w:r>
          </w:p>
          <w:p w14:paraId="7434F80E" w14:textId="77777777" w:rsidR="004E7434" w:rsidRPr="004E7434" w:rsidRDefault="004E7434" w:rsidP="004E7434">
            <w:pPr>
              <w:keepNext/>
              <w:keepLines/>
              <w:spacing w:before="20" w:after="20"/>
              <w:rPr>
                <w:sz w:val="20"/>
                <w:szCs w:val="20"/>
              </w:rPr>
            </w:pPr>
          </w:p>
          <w:p w14:paraId="0CA9DD26" w14:textId="3472B77F" w:rsidR="00D62874" w:rsidRPr="004E7434" w:rsidRDefault="004E7434" w:rsidP="00D62874">
            <w:pPr>
              <w:keepNext/>
              <w:keepLines/>
              <w:spacing w:before="0" w:after="0" w:line="200" w:lineRule="atLeast"/>
              <w:rPr>
                <w:rFonts w:cs="Calibri Light"/>
                <w:sz w:val="20"/>
                <w:szCs w:val="20"/>
              </w:rPr>
            </w:pPr>
            <w:r w:rsidRPr="004E7434">
              <w:rPr>
                <w:rStyle w:val="eTRMFootnoteTextChar"/>
                <w:sz w:val="20"/>
                <w:szCs w:val="20"/>
              </w:rPr>
              <w:t>California Public Utilities Commission (CPUC), Energy Division. 2019. </w:t>
            </w:r>
            <w:r w:rsidRPr="004E7434">
              <w:rPr>
                <w:rStyle w:val="eTRMFootnoteTextChar"/>
                <w:i/>
                <w:iCs/>
                <w:sz w:val="20"/>
                <w:szCs w:val="20"/>
              </w:rPr>
              <w:t>Fuel Substitution Technical Guidance, Version 1.1.</w:t>
            </w:r>
            <w:r w:rsidRPr="004E7434">
              <w:rPr>
                <w:sz w:val="20"/>
                <w:szCs w:val="20"/>
                <w:shd w:val="clear" w:color="auto" w:fill="FFFFFF"/>
              </w:rPr>
              <w:t xml:space="preserve"> October 31.</w:t>
            </w:r>
          </w:p>
        </w:tc>
      </w:tr>
    </w:tbl>
    <w:p w14:paraId="688DEEDA" w14:textId="77777777" w:rsidR="0096623E" w:rsidRPr="00C6243E" w:rsidRDefault="0096623E" w:rsidP="0096623E">
      <w:pPr>
        <w:pStyle w:val="Normal1"/>
        <w:spacing w:before="40" w:after="40"/>
        <w:rPr>
          <w:rFonts w:ascii="Calibri Light" w:hAnsi="Calibri Light" w:cs="Calibri Light"/>
        </w:rPr>
      </w:pPr>
    </w:p>
    <w:p w14:paraId="28110EF8" w14:textId="0C118D33" w:rsidR="007D230B" w:rsidRPr="00C6243E" w:rsidRDefault="00D02C36" w:rsidP="00964038">
      <w:pPr>
        <w:pStyle w:val="eTRMHeading3"/>
        <w:rPr>
          <w:rFonts w:cs="Calibri Light"/>
        </w:rPr>
      </w:pPr>
      <w:bookmarkStart w:id="65" w:name="_Toc486490864"/>
      <w:bookmarkStart w:id="66" w:name="_Toc486580935"/>
      <w:bookmarkStart w:id="67" w:name="_Toc75963041"/>
      <w:r w:rsidRPr="00C6243E">
        <w:rPr>
          <w:rFonts w:cs="Calibri Light"/>
        </w:rPr>
        <w:t>Gross Savings Installation Adjustment (</w:t>
      </w:r>
      <w:r w:rsidR="007D230B" w:rsidRPr="00C6243E">
        <w:rPr>
          <w:rFonts w:cs="Calibri Light"/>
        </w:rPr>
        <w:t>GSIA</w:t>
      </w:r>
      <w:bookmarkEnd w:id="65"/>
      <w:bookmarkEnd w:id="66"/>
      <w:r w:rsidRPr="00C6243E">
        <w:rPr>
          <w:rFonts w:cs="Calibri Light"/>
        </w:rPr>
        <w:t>)</w:t>
      </w:r>
      <w:bookmarkEnd w:id="67"/>
    </w:p>
    <w:p w14:paraId="3177F78B" w14:textId="77777777" w:rsidR="007D230B" w:rsidRPr="00C6243E" w:rsidRDefault="00AA3E2A" w:rsidP="004142EF">
      <w:pPr>
        <w:rPr>
          <w:rFonts w:cs="Calibri Light"/>
        </w:rPr>
      </w:pPr>
      <w:r w:rsidRPr="00C6243E">
        <w:rPr>
          <w:rFonts w:cs="Calibri Light"/>
        </w:rP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626052DB" w14:textId="77777777" w:rsidR="00DE1A0F" w:rsidRPr="00C6243E" w:rsidRDefault="002F78E9" w:rsidP="00EF7BAC">
      <w:pPr>
        <w:pStyle w:val="Caption"/>
      </w:pPr>
      <w:r w:rsidRPr="00C6243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4E7434" w14:paraId="5CAF8535" w14:textId="77777777" w:rsidTr="00D6352D">
        <w:trPr>
          <w:cantSplit/>
          <w:trHeight w:val="20"/>
        </w:trPr>
        <w:tc>
          <w:tcPr>
            <w:tcW w:w="1093" w:type="pct"/>
            <w:shd w:val="clear" w:color="000000" w:fill="F2F2F2" w:themeFill="background1" w:themeFillShade="F2"/>
            <w:vAlign w:val="bottom"/>
          </w:tcPr>
          <w:p w14:paraId="245780B7" w14:textId="77777777" w:rsidR="00AA3E2A" w:rsidRPr="004E7434" w:rsidRDefault="00177EB6" w:rsidP="00BA3D7D">
            <w:pPr>
              <w:spacing w:before="0" w:after="0" w:line="200" w:lineRule="atLeast"/>
              <w:jc w:val="center"/>
              <w:rPr>
                <w:rFonts w:cs="Calibri Light"/>
                <w:b/>
                <w:color w:val="000000"/>
                <w:sz w:val="20"/>
                <w:szCs w:val="20"/>
              </w:rPr>
            </w:pPr>
            <w:r w:rsidRPr="004E7434">
              <w:rPr>
                <w:rFonts w:cs="Calibri Light"/>
                <w:b/>
                <w:color w:val="000000"/>
                <w:sz w:val="20"/>
                <w:szCs w:val="20"/>
              </w:rPr>
              <w:t>Parameter</w:t>
            </w:r>
          </w:p>
        </w:tc>
        <w:tc>
          <w:tcPr>
            <w:tcW w:w="905" w:type="pct"/>
            <w:shd w:val="clear" w:color="000000" w:fill="F2F2F2" w:themeFill="background1" w:themeFillShade="F2"/>
            <w:vAlign w:val="center"/>
          </w:tcPr>
          <w:p w14:paraId="4BF1A833" w14:textId="77777777" w:rsidR="00AA3E2A" w:rsidRPr="00D048EF" w:rsidRDefault="00AA3E2A" w:rsidP="006D6644">
            <w:pPr>
              <w:spacing w:before="0" w:after="0" w:line="200" w:lineRule="atLeast"/>
              <w:jc w:val="center"/>
              <w:rPr>
                <w:rFonts w:cs="Calibri Light"/>
                <w:b/>
                <w:color w:val="000000"/>
                <w:sz w:val="20"/>
                <w:szCs w:val="20"/>
              </w:rPr>
            </w:pPr>
            <w:r w:rsidRPr="00D048EF">
              <w:rPr>
                <w:rFonts w:cs="Calibri Light"/>
                <w:b/>
                <w:sz w:val="20"/>
                <w:szCs w:val="20"/>
              </w:rPr>
              <w:t xml:space="preserve">GSIA </w:t>
            </w:r>
          </w:p>
        </w:tc>
        <w:tc>
          <w:tcPr>
            <w:tcW w:w="3002" w:type="pct"/>
            <w:shd w:val="clear" w:color="000000" w:fill="F2F2F2" w:themeFill="background1" w:themeFillShade="F2"/>
          </w:tcPr>
          <w:p w14:paraId="10CE7D74" w14:textId="77777777" w:rsidR="00AA3E2A" w:rsidRPr="004E7434" w:rsidRDefault="00AA3E2A" w:rsidP="006D6644">
            <w:pPr>
              <w:spacing w:before="0" w:after="0" w:line="200" w:lineRule="atLeast"/>
              <w:jc w:val="center"/>
              <w:rPr>
                <w:rFonts w:cs="Calibri Light"/>
                <w:b/>
                <w:sz w:val="20"/>
                <w:szCs w:val="20"/>
              </w:rPr>
            </w:pPr>
            <w:r w:rsidRPr="004E7434">
              <w:rPr>
                <w:rFonts w:cs="Calibri Light"/>
                <w:b/>
                <w:sz w:val="20"/>
                <w:szCs w:val="20"/>
              </w:rPr>
              <w:t>Source</w:t>
            </w:r>
          </w:p>
        </w:tc>
      </w:tr>
      <w:tr w:rsidR="00D6352D" w:rsidRPr="004E7434" w14:paraId="2196482A" w14:textId="77777777" w:rsidTr="006C64E7">
        <w:trPr>
          <w:cantSplit/>
          <w:trHeight w:val="20"/>
        </w:trPr>
        <w:tc>
          <w:tcPr>
            <w:tcW w:w="1093" w:type="pct"/>
            <w:vAlign w:val="center"/>
          </w:tcPr>
          <w:p w14:paraId="549639B0" w14:textId="77777777" w:rsidR="00D6352D" w:rsidRPr="004E7434" w:rsidRDefault="00D6352D" w:rsidP="004E7434">
            <w:pPr>
              <w:spacing w:before="0" w:after="0" w:line="200" w:lineRule="atLeast"/>
              <w:rPr>
                <w:rFonts w:cs="Calibri Light"/>
                <w:sz w:val="20"/>
                <w:szCs w:val="20"/>
              </w:rPr>
            </w:pPr>
            <w:r w:rsidRPr="004E7434">
              <w:rPr>
                <w:rFonts w:cs="Calibri Light"/>
                <w:sz w:val="20"/>
                <w:szCs w:val="20"/>
              </w:rPr>
              <w:t xml:space="preserve">GSIA </w:t>
            </w:r>
          </w:p>
        </w:tc>
        <w:tc>
          <w:tcPr>
            <w:tcW w:w="905" w:type="pct"/>
            <w:vAlign w:val="center"/>
          </w:tcPr>
          <w:p w14:paraId="2230034F" w14:textId="77777777" w:rsidR="00D6352D" w:rsidRPr="004E7434" w:rsidRDefault="00D6352D" w:rsidP="004E7434">
            <w:pPr>
              <w:spacing w:before="0" w:after="0" w:line="200" w:lineRule="atLeast"/>
              <w:jc w:val="center"/>
              <w:rPr>
                <w:rFonts w:cs="Calibri Light"/>
                <w:sz w:val="20"/>
                <w:szCs w:val="20"/>
              </w:rPr>
            </w:pPr>
            <w:r w:rsidRPr="004E7434">
              <w:rPr>
                <w:rFonts w:cs="Calibri Light"/>
                <w:sz w:val="20"/>
                <w:szCs w:val="20"/>
              </w:rPr>
              <w:t>1.0</w:t>
            </w:r>
          </w:p>
        </w:tc>
        <w:tc>
          <w:tcPr>
            <w:tcW w:w="3002" w:type="pct"/>
            <w:vAlign w:val="center"/>
          </w:tcPr>
          <w:p w14:paraId="26FBB688" w14:textId="77777777" w:rsidR="00D6352D" w:rsidRPr="004E7434" w:rsidRDefault="00D6352D" w:rsidP="004E7434">
            <w:pPr>
              <w:spacing w:before="0" w:after="0" w:line="200" w:lineRule="atLeast"/>
              <w:rPr>
                <w:rFonts w:cs="Calibri Light"/>
                <w:sz w:val="20"/>
                <w:szCs w:val="20"/>
              </w:rPr>
            </w:pPr>
            <w:r w:rsidRPr="006C64E7">
              <w:rPr>
                <w:rFonts w:eastAsia="Times New Roman" w:cs="Calibri Light"/>
                <w:sz w:val="20"/>
                <w:szCs w:val="20"/>
              </w:rPr>
              <w:t xml:space="preserve">California Public Utilities Commission (CPUC), Energy Division. 2013. </w:t>
            </w:r>
            <w:r w:rsidRPr="006C64E7">
              <w:rPr>
                <w:rFonts w:eastAsia="Times New Roman" w:cs="Calibri Light"/>
                <w:i/>
                <w:sz w:val="20"/>
                <w:szCs w:val="20"/>
              </w:rPr>
              <w:t>Energy Efficiency Policy Manual Version 5</w:t>
            </w:r>
            <w:r w:rsidRPr="006C64E7">
              <w:rPr>
                <w:rFonts w:eastAsia="Times New Roman" w:cs="Calibri Light"/>
                <w:sz w:val="20"/>
                <w:szCs w:val="20"/>
              </w:rPr>
              <w:t>. Page 31.</w:t>
            </w:r>
          </w:p>
        </w:tc>
      </w:tr>
    </w:tbl>
    <w:p w14:paraId="1D5B350C" w14:textId="77777777" w:rsidR="00DE1A0F" w:rsidRPr="00C6243E" w:rsidRDefault="00DE1A0F" w:rsidP="00DE1A0F">
      <w:pPr>
        <w:rPr>
          <w:rFonts w:cs="Calibri Light"/>
          <w:sz w:val="20"/>
          <w:szCs w:val="20"/>
        </w:rPr>
      </w:pPr>
    </w:p>
    <w:p w14:paraId="5D59EE1B" w14:textId="0CA60887" w:rsidR="009C31A4" w:rsidRPr="00C6243E" w:rsidRDefault="009C31A4" w:rsidP="00462BB6">
      <w:pPr>
        <w:pStyle w:val="eTRMHeading3"/>
        <w:rPr>
          <w:rFonts w:cs="Calibri Light"/>
        </w:rPr>
      </w:pPr>
      <w:bookmarkStart w:id="68" w:name="_Toc75963042"/>
      <w:r w:rsidRPr="007534BC">
        <w:rPr>
          <w:rFonts w:cs="Calibri Light"/>
        </w:rPr>
        <w:lastRenderedPageBreak/>
        <w:t>DEER Differences Analysis</w:t>
      </w:r>
      <w:bookmarkEnd w:id="68"/>
    </w:p>
    <w:p w14:paraId="5E106324" w14:textId="77777777" w:rsidR="002C67DF" w:rsidRPr="00C6243E" w:rsidRDefault="003F21D2" w:rsidP="004142EF">
      <w:pPr>
        <w:rPr>
          <w:rFonts w:cs="Calibri Light"/>
        </w:rPr>
      </w:pPr>
      <w:r w:rsidRPr="00C6243E">
        <w:rPr>
          <w:rFonts w:cs="Calibri Light"/>
        </w:rPr>
        <w:t>This section provides a summary of DEER-based inputs and methods, and the rationale for inputs and methods that are not DEER-based.</w:t>
      </w:r>
    </w:p>
    <w:p w14:paraId="35B8340B" w14:textId="77777777" w:rsidR="00EA057C" w:rsidRPr="00C6243E" w:rsidRDefault="00EA057C" w:rsidP="00EF7BAC">
      <w:pPr>
        <w:pStyle w:val="Caption"/>
      </w:pPr>
      <w:r w:rsidRPr="00C6243E">
        <w:t>DEER Difference Summary</w:t>
      </w:r>
    </w:p>
    <w:tbl>
      <w:tblPr>
        <w:tblW w:w="4955"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6"/>
        <w:gridCol w:w="6030"/>
      </w:tblGrid>
      <w:tr w:rsidR="00EA057C" w:rsidRPr="004E7434" w14:paraId="6F230C1E" w14:textId="77777777" w:rsidTr="000D1A03">
        <w:trPr>
          <w:trHeight w:val="20"/>
        </w:trPr>
        <w:tc>
          <w:tcPr>
            <w:tcW w:w="1746" w:type="pct"/>
            <w:shd w:val="clear" w:color="auto" w:fill="F2F2F2" w:themeFill="background1" w:themeFillShade="F2"/>
          </w:tcPr>
          <w:p w14:paraId="76B16D46" w14:textId="77777777" w:rsidR="00EA057C" w:rsidRPr="004E7434" w:rsidRDefault="00EA057C" w:rsidP="00EA057C">
            <w:pPr>
              <w:keepNext/>
              <w:keepLines/>
              <w:tabs>
                <w:tab w:val="right" w:pos="2957"/>
              </w:tabs>
              <w:spacing w:before="20" w:after="20"/>
              <w:rPr>
                <w:rFonts w:cs="Calibri Light"/>
                <w:b/>
                <w:sz w:val="20"/>
                <w:szCs w:val="20"/>
              </w:rPr>
            </w:pPr>
            <w:r w:rsidRPr="004E7434">
              <w:rPr>
                <w:rFonts w:cs="Calibri Light"/>
                <w:b/>
                <w:sz w:val="20"/>
                <w:szCs w:val="20"/>
              </w:rPr>
              <w:t>DEER Item</w:t>
            </w:r>
          </w:p>
        </w:tc>
        <w:tc>
          <w:tcPr>
            <w:tcW w:w="3254" w:type="pct"/>
            <w:shd w:val="clear" w:color="auto" w:fill="F2F2F2" w:themeFill="background1" w:themeFillShade="F2"/>
          </w:tcPr>
          <w:p w14:paraId="0FBA0A1F" w14:textId="77777777" w:rsidR="00EA057C" w:rsidRPr="00D048EF" w:rsidRDefault="00EA057C" w:rsidP="00EA057C">
            <w:pPr>
              <w:keepNext/>
              <w:keepLines/>
              <w:spacing w:before="20" w:after="20"/>
              <w:rPr>
                <w:rFonts w:cs="Calibri Light"/>
                <w:b/>
                <w:sz w:val="20"/>
                <w:szCs w:val="20"/>
              </w:rPr>
            </w:pPr>
            <w:r w:rsidRPr="00D048EF">
              <w:rPr>
                <w:rFonts w:cs="Calibri Light"/>
                <w:b/>
                <w:sz w:val="20"/>
                <w:szCs w:val="20"/>
              </w:rPr>
              <w:t>Comment / Used for Workpaper</w:t>
            </w:r>
          </w:p>
        </w:tc>
      </w:tr>
      <w:tr w:rsidR="008E0906" w:rsidRPr="004E7434" w14:paraId="58B53813" w14:textId="77777777" w:rsidTr="000D1A03">
        <w:trPr>
          <w:trHeight w:val="20"/>
        </w:trPr>
        <w:tc>
          <w:tcPr>
            <w:tcW w:w="1746" w:type="pct"/>
          </w:tcPr>
          <w:p w14:paraId="2E94D854"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Modified DEER methodology</w:t>
            </w:r>
          </w:p>
        </w:tc>
        <w:tc>
          <w:tcPr>
            <w:tcW w:w="3254" w:type="pct"/>
          </w:tcPr>
          <w:p w14:paraId="1F3BEB0E" w14:textId="362B1A36" w:rsidR="008E0906" w:rsidRPr="006C64E7" w:rsidRDefault="0058494C" w:rsidP="008E0906">
            <w:pPr>
              <w:keepNext/>
              <w:keepLines/>
              <w:spacing w:before="20" w:after="20"/>
              <w:rPr>
                <w:rFonts w:cs="Calibri Light"/>
                <w:sz w:val="20"/>
                <w:szCs w:val="20"/>
              </w:rPr>
            </w:pPr>
            <w:r w:rsidRPr="006C64E7">
              <w:rPr>
                <w:rFonts w:cs="Calibri Light"/>
                <w:sz w:val="20"/>
                <w:szCs w:val="20"/>
              </w:rPr>
              <w:t>Yes</w:t>
            </w:r>
          </w:p>
        </w:tc>
      </w:tr>
      <w:tr w:rsidR="008E0906" w:rsidRPr="004E7434" w14:paraId="6A37E746" w14:textId="77777777" w:rsidTr="000D1A03">
        <w:trPr>
          <w:trHeight w:val="20"/>
        </w:trPr>
        <w:tc>
          <w:tcPr>
            <w:tcW w:w="1746" w:type="pct"/>
          </w:tcPr>
          <w:p w14:paraId="3B350F63"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Scaled DEER measure</w:t>
            </w:r>
          </w:p>
        </w:tc>
        <w:tc>
          <w:tcPr>
            <w:tcW w:w="3254" w:type="pct"/>
          </w:tcPr>
          <w:p w14:paraId="7D9C24AC" w14:textId="77777777" w:rsidR="008E0906" w:rsidRPr="006C64E7" w:rsidRDefault="00E5448F" w:rsidP="008E0906">
            <w:pPr>
              <w:keepNext/>
              <w:keepLines/>
              <w:spacing w:before="20" w:after="20"/>
              <w:rPr>
                <w:rFonts w:cs="Calibri Light"/>
                <w:sz w:val="20"/>
                <w:szCs w:val="20"/>
              </w:rPr>
            </w:pPr>
            <w:r w:rsidRPr="006C64E7">
              <w:rPr>
                <w:rFonts w:cs="Calibri Light"/>
                <w:sz w:val="20"/>
                <w:szCs w:val="20"/>
              </w:rPr>
              <w:t>No</w:t>
            </w:r>
          </w:p>
        </w:tc>
      </w:tr>
      <w:tr w:rsidR="008E0906" w:rsidRPr="004E7434" w14:paraId="23890D25" w14:textId="77777777" w:rsidTr="000D1A03">
        <w:trPr>
          <w:trHeight w:val="20"/>
        </w:trPr>
        <w:tc>
          <w:tcPr>
            <w:tcW w:w="1746" w:type="pct"/>
          </w:tcPr>
          <w:p w14:paraId="7DB04DF4"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DEER Base Case</w:t>
            </w:r>
          </w:p>
        </w:tc>
        <w:tc>
          <w:tcPr>
            <w:tcW w:w="3254" w:type="pct"/>
          </w:tcPr>
          <w:p w14:paraId="6FAB8E90" w14:textId="57CD3D24" w:rsidR="008E0906" w:rsidRPr="006C64E7" w:rsidRDefault="00DB250C" w:rsidP="008E0906">
            <w:pPr>
              <w:keepNext/>
              <w:keepLines/>
              <w:spacing w:before="20" w:after="20"/>
              <w:rPr>
                <w:rFonts w:cs="Calibri Light"/>
                <w:sz w:val="20"/>
                <w:szCs w:val="20"/>
              </w:rPr>
            </w:pPr>
            <w:r w:rsidRPr="006C64E7">
              <w:rPr>
                <w:rFonts w:cs="Calibri Light"/>
                <w:sz w:val="20"/>
                <w:szCs w:val="20"/>
              </w:rPr>
              <w:t>Yes</w:t>
            </w:r>
          </w:p>
        </w:tc>
      </w:tr>
      <w:tr w:rsidR="008E0906" w:rsidRPr="004E7434" w14:paraId="4D49CA96" w14:textId="77777777" w:rsidTr="000D1A03">
        <w:trPr>
          <w:trHeight w:val="20"/>
        </w:trPr>
        <w:tc>
          <w:tcPr>
            <w:tcW w:w="1746" w:type="pct"/>
          </w:tcPr>
          <w:p w14:paraId="5BCA0E65"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DEER Measure Case</w:t>
            </w:r>
          </w:p>
        </w:tc>
        <w:tc>
          <w:tcPr>
            <w:tcW w:w="3254" w:type="pct"/>
          </w:tcPr>
          <w:p w14:paraId="71971D3E" w14:textId="219F581C" w:rsidR="008E0906" w:rsidRPr="006C64E7" w:rsidRDefault="00DB250C" w:rsidP="008E0906">
            <w:pPr>
              <w:keepNext/>
              <w:keepLines/>
              <w:spacing w:before="20" w:after="20"/>
              <w:rPr>
                <w:rFonts w:cs="Calibri Light"/>
                <w:sz w:val="20"/>
                <w:szCs w:val="20"/>
              </w:rPr>
            </w:pPr>
            <w:r w:rsidRPr="006C64E7">
              <w:rPr>
                <w:rFonts w:cs="Calibri Light"/>
                <w:sz w:val="20"/>
                <w:szCs w:val="20"/>
              </w:rPr>
              <w:t>Yes</w:t>
            </w:r>
          </w:p>
        </w:tc>
      </w:tr>
      <w:tr w:rsidR="008E0906" w:rsidRPr="004E7434" w14:paraId="1C3DDF63" w14:textId="77777777" w:rsidTr="000D1A03">
        <w:trPr>
          <w:trHeight w:val="20"/>
        </w:trPr>
        <w:tc>
          <w:tcPr>
            <w:tcW w:w="1746" w:type="pct"/>
          </w:tcPr>
          <w:p w14:paraId="22EDA819"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DEER Building Types</w:t>
            </w:r>
          </w:p>
        </w:tc>
        <w:tc>
          <w:tcPr>
            <w:tcW w:w="3254" w:type="pct"/>
          </w:tcPr>
          <w:p w14:paraId="12568520" w14:textId="77777777" w:rsidR="008E0906" w:rsidRPr="006C64E7" w:rsidRDefault="00E5448F" w:rsidP="008E0906">
            <w:pPr>
              <w:keepNext/>
              <w:keepLines/>
              <w:spacing w:before="20" w:after="20"/>
              <w:rPr>
                <w:rFonts w:cs="Calibri Light"/>
                <w:sz w:val="20"/>
                <w:szCs w:val="20"/>
              </w:rPr>
            </w:pPr>
            <w:r w:rsidRPr="006C64E7">
              <w:rPr>
                <w:rFonts w:cs="Calibri Light"/>
                <w:sz w:val="20"/>
                <w:szCs w:val="20"/>
              </w:rPr>
              <w:t>Yes</w:t>
            </w:r>
          </w:p>
        </w:tc>
      </w:tr>
      <w:tr w:rsidR="008E0906" w:rsidRPr="004E7434" w14:paraId="0C34857A" w14:textId="77777777" w:rsidTr="000D1A03">
        <w:trPr>
          <w:trHeight w:val="20"/>
        </w:trPr>
        <w:tc>
          <w:tcPr>
            <w:tcW w:w="1746" w:type="pct"/>
          </w:tcPr>
          <w:p w14:paraId="0CAFACBD"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DEER Operating Hours</w:t>
            </w:r>
          </w:p>
        </w:tc>
        <w:tc>
          <w:tcPr>
            <w:tcW w:w="3254" w:type="pct"/>
          </w:tcPr>
          <w:p w14:paraId="4A8284FC" w14:textId="7D1514A0" w:rsidR="008E0906" w:rsidRPr="006C64E7" w:rsidRDefault="0093181A" w:rsidP="008E0906">
            <w:pPr>
              <w:keepNext/>
              <w:keepLines/>
              <w:spacing w:before="20" w:after="20"/>
              <w:rPr>
                <w:rFonts w:cs="Calibri Light"/>
                <w:sz w:val="20"/>
                <w:szCs w:val="20"/>
              </w:rPr>
            </w:pPr>
            <w:r>
              <w:rPr>
                <w:rFonts w:cs="Calibri Light"/>
                <w:sz w:val="20"/>
                <w:szCs w:val="20"/>
              </w:rPr>
              <w:t>Yes</w:t>
            </w:r>
          </w:p>
        </w:tc>
      </w:tr>
      <w:tr w:rsidR="008E0906" w:rsidRPr="004E7434" w14:paraId="10FC9A4C" w14:textId="77777777" w:rsidTr="000D1A03">
        <w:trPr>
          <w:trHeight w:val="20"/>
        </w:trPr>
        <w:tc>
          <w:tcPr>
            <w:tcW w:w="1746" w:type="pct"/>
          </w:tcPr>
          <w:p w14:paraId="55F14933"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DEER eQUEST Prototypes</w:t>
            </w:r>
          </w:p>
        </w:tc>
        <w:tc>
          <w:tcPr>
            <w:tcW w:w="3254" w:type="pct"/>
          </w:tcPr>
          <w:p w14:paraId="249205FE" w14:textId="77777777" w:rsidR="008E0906" w:rsidRPr="006C64E7" w:rsidDel="00505CEC" w:rsidRDefault="003161C4" w:rsidP="008E0906">
            <w:pPr>
              <w:keepNext/>
              <w:keepLines/>
              <w:spacing w:before="20" w:after="20"/>
              <w:rPr>
                <w:rFonts w:cs="Calibri Light"/>
                <w:sz w:val="20"/>
                <w:szCs w:val="20"/>
              </w:rPr>
            </w:pPr>
            <w:r w:rsidRPr="006C64E7">
              <w:rPr>
                <w:rFonts w:cs="Calibri Light"/>
                <w:sz w:val="20"/>
                <w:szCs w:val="20"/>
              </w:rPr>
              <w:t>No</w:t>
            </w:r>
          </w:p>
        </w:tc>
      </w:tr>
      <w:tr w:rsidR="008E0906" w:rsidRPr="004E7434" w14:paraId="0DA1525C" w14:textId="77777777" w:rsidTr="000D1A03">
        <w:trPr>
          <w:trHeight w:val="180"/>
        </w:trPr>
        <w:tc>
          <w:tcPr>
            <w:tcW w:w="1746" w:type="pct"/>
          </w:tcPr>
          <w:p w14:paraId="45B811DA"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DEER Version</w:t>
            </w:r>
          </w:p>
        </w:tc>
        <w:tc>
          <w:tcPr>
            <w:tcW w:w="3254" w:type="pct"/>
          </w:tcPr>
          <w:p w14:paraId="4191B388" w14:textId="507AF9CE" w:rsidR="008E0906" w:rsidRPr="006C64E7" w:rsidRDefault="00037595" w:rsidP="008E0906">
            <w:pPr>
              <w:keepNext/>
              <w:keepLines/>
              <w:spacing w:before="20" w:after="20"/>
              <w:rPr>
                <w:rFonts w:cs="Calibri Light"/>
                <w:sz w:val="20"/>
                <w:szCs w:val="20"/>
              </w:rPr>
            </w:pPr>
            <w:r w:rsidRPr="006C64E7">
              <w:rPr>
                <w:rFonts w:cs="Calibri Light"/>
                <w:sz w:val="20"/>
                <w:szCs w:val="20"/>
              </w:rPr>
              <w:t>2021</w:t>
            </w:r>
          </w:p>
        </w:tc>
      </w:tr>
      <w:tr w:rsidR="008E0906" w:rsidRPr="004E7434" w14:paraId="69191A6D" w14:textId="77777777" w:rsidTr="000D1A03">
        <w:trPr>
          <w:trHeight w:val="20"/>
        </w:trPr>
        <w:tc>
          <w:tcPr>
            <w:tcW w:w="1746" w:type="pct"/>
          </w:tcPr>
          <w:p w14:paraId="00E140C2"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Reason for Deviation from DEER</w:t>
            </w:r>
          </w:p>
        </w:tc>
        <w:tc>
          <w:tcPr>
            <w:tcW w:w="3254" w:type="pct"/>
          </w:tcPr>
          <w:p w14:paraId="5C7E01D4" w14:textId="4AA27871" w:rsidR="008E0906" w:rsidRPr="00981AFD" w:rsidRDefault="00125D36" w:rsidP="008E0906">
            <w:pPr>
              <w:keepNext/>
              <w:keepLines/>
              <w:spacing w:before="20" w:after="20"/>
              <w:rPr>
                <w:rFonts w:cs="Calibri Light"/>
                <w:sz w:val="20"/>
                <w:szCs w:val="20"/>
              </w:rPr>
            </w:pPr>
            <w:r w:rsidRPr="00547090">
              <w:rPr>
                <w:sz w:val="20"/>
                <w:szCs w:val="20"/>
              </w:rPr>
              <w:t xml:space="preserve">The DEER 2021 measures </w:t>
            </w:r>
            <w:r w:rsidR="00450222">
              <w:rPr>
                <w:sz w:val="20"/>
                <w:szCs w:val="20"/>
              </w:rPr>
              <w:t xml:space="preserve">did not include the specific base and measure case combinations used in this </w:t>
            </w:r>
            <w:r w:rsidR="005E6CA6" w:rsidRPr="00BF14AA">
              <w:rPr>
                <w:sz w:val="20"/>
                <w:szCs w:val="20"/>
              </w:rPr>
              <w:t>measure package</w:t>
            </w:r>
            <w:r w:rsidR="00450222">
              <w:rPr>
                <w:sz w:val="20"/>
                <w:szCs w:val="20"/>
              </w:rPr>
              <w:t>. Also, a new central MFm hot water load profile was added to the calculator</w:t>
            </w:r>
            <w:r w:rsidR="000241A9">
              <w:rPr>
                <w:sz w:val="20"/>
                <w:szCs w:val="20"/>
              </w:rPr>
              <w:t xml:space="preserve">. </w:t>
            </w:r>
            <w:r w:rsidR="0056664D">
              <w:rPr>
                <w:sz w:val="20"/>
                <w:szCs w:val="20"/>
              </w:rPr>
              <w:t xml:space="preserve">Commercial building type savings were reweighted to remove the industrial building types, MLI and MBT. </w:t>
            </w:r>
          </w:p>
        </w:tc>
      </w:tr>
      <w:tr w:rsidR="008E0906" w:rsidRPr="004E7434" w14:paraId="6BA35AE1" w14:textId="77777777" w:rsidTr="000D1A03">
        <w:trPr>
          <w:trHeight w:val="20"/>
        </w:trPr>
        <w:tc>
          <w:tcPr>
            <w:tcW w:w="1746" w:type="pct"/>
          </w:tcPr>
          <w:p w14:paraId="0317A8EF" w14:textId="77777777" w:rsidR="008E0906" w:rsidRPr="006C64E7" w:rsidRDefault="008E0906" w:rsidP="008E0906">
            <w:pPr>
              <w:keepNext/>
              <w:keepLines/>
              <w:spacing w:before="20" w:after="20"/>
              <w:rPr>
                <w:rFonts w:cs="Calibri Light"/>
                <w:sz w:val="20"/>
                <w:szCs w:val="20"/>
              </w:rPr>
            </w:pPr>
            <w:r w:rsidRPr="006C64E7">
              <w:rPr>
                <w:rFonts w:cs="Calibri Light"/>
                <w:sz w:val="20"/>
                <w:szCs w:val="20"/>
              </w:rPr>
              <w:t>DEER Measure IDs Used</w:t>
            </w:r>
          </w:p>
        </w:tc>
        <w:tc>
          <w:tcPr>
            <w:tcW w:w="3254" w:type="pct"/>
          </w:tcPr>
          <w:p w14:paraId="3DB88A6D" w14:textId="77777777" w:rsidR="008E0906" w:rsidRPr="006C64E7" w:rsidRDefault="00691F43" w:rsidP="008E0906">
            <w:pPr>
              <w:keepNext/>
              <w:keepLines/>
              <w:spacing w:before="20" w:after="20"/>
              <w:rPr>
                <w:rFonts w:cs="Calibri Light"/>
                <w:sz w:val="20"/>
                <w:szCs w:val="20"/>
              </w:rPr>
            </w:pPr>
            <w:r w:rsidRPr="006C64E7">
              <w:rPr>
                <w:rFonts w:cs="Calibri Light"/>
                <w:sz w:val="20"/>
                <w:szCs w:val="20"/>
              </w:rPr>
              <w:t>N/A</w:t>
            </w:r>
          </w:p>
        </w:tc>
      </w:tr>
      <w:tr w:rsidR="00EA057C" w:rsidRPr="004E7434" w14:paraId="4550A8B7" w14:textId="77777777" w:rsidTr="000D1A03">
        <w:trPr>
          <w:trHeight w:val="20"/>
        </w:trPr>
        <w:tc>
          <w:tcPr>
            <w:tcW w:w="1746" w:type="pct"/>
          </w:tcPr>
          <w:p w14:paraId="74E24E10" w14:textId="77777777" w:rsidR="00EA057C" w:rsidRPr="006C64E7" w:rsidRDefault="00EA057C" w:rsidP="00EA057C">
            <w:pPr>
              <w:keepNext/>
              <w:keepLines/>
              <w:spacing w:before="20" w:after="20"/>
              <w:rPr>
                <w:rFonts w:cs="Calibri Light"/>
                <w:sz w:val="20"/>
                <w:szCs w:val="20"/>
              </w:rPr>
            </w:pPr>
            <w:r w:rsidRPr="006C64E7">
              <w:rPr>
                <w:rFonts w:cs="Calibri Light"/>
                <w:sz w:val="20"/>
                <w:szCs w:val="20"/>
              </w:rPr>
              <w:t>NTG</w:t>
            </w:r>
          </w:p>
        </w:tc>
        <w:tc>
          <w:tcPr>
            <w:tcW w:w="3254" w:type="pct"/>
          </w:tcPr>
          <w:p w14:paraId="28D9C469" w14:textId="0F1FAFDF" w:rsidR="008D25A7" w:rsidRPr="006C64E7" w:rsidRDefault="005A74DC" w:rsidP="00AB07A4">
            <w:pPr>
              <w:keepNext/>
              <w:keepLines/>
              <w:spacing w:before="20" w:after="20"/>
              <w:rPr>
                <w:rFonts w:cs="Calibri Light"/>
                <w:i/>
                <w:sz w:val="20"/>
                <w:szCs w:val="20"/>
              </w:rPr>
            </w:pPr>
            <w:r w:rsidRPr="006C64E7">
              <w:rPr>
                <w:rFonts w:cs="Calibri Light"/>
                <w:sz w:val="20"/>
                <w:szCs w:val="20"/>
              </w:rPr>
              <w:t xml:space="preserve">Source: </w:t>
            </w:r>
            <w:r w:rsidR="00701FFC" w:rsidRPr="006C64E7">
              <w:rPr>
                <w:rFonts w:cs="Calibri Light"/>
                <w:sz w:val="20"/>
                <w:szCs w:val="20"/>
              </w:rPr>
              <w:t>DEER</w:t>
            </w:r>
            <w:r w:rsidRPr="006C64E7">
              <w:rPr>
                <w:rFonts w:cs="Calibri Light"/>
                <w:sz w:val="20"/>
                <w:szCs w:val="20"/>
              </w:rPr>
              <w:t xml:space="preserve">. The NTG of </w:t>
            </w:r>
            <w:r w:rsidR="00EF7BAC" w:rsidRPr="006C64E7">
              <w:rPr>
                <w:rFonts w:cs="Calibri Light"/>
                <w:sz w:val="20"/>
                <w:szCs w:val="20"/>
              </w:rPr>
              <w:t>1.</w:t>
            </w:r>
            <w:r w:rsidR="005925A3" w:rsidRPr="006C64E7">
              <w:rPr>
                <w:rFonts w:cs="Calibri Light"/>
                <w:sz w:val="20"/>
                <w:szCs w:val="20"/>
              </w:rPr>
              <w:t>0</w:t>
            </w:r>
            <w:r w:rsidRPr="006C64E7">
              <w:rPr>
                <w:rFonts w:cs="Calibri Light"/>
                <w:sz w:val="20"/>
                <w:szCs w:val="20"/>
              </w:rPr>
              <w:t xml:space="preserve"> is associated with NTG ID: </w:t>
            </w:r>
            <w:r w:rsidR="005925A3" w:rsidRPr="006C64E7">
              <w:rPr>
                <w:rFonts w:cs="Calibri Light"/>
                <w:sz w:val="20"/>
                <w:szCs w:val="20"/>
              </w:rPr>
              <w:t xml:space="preserve"> </w:t>
            </w:r>
            <w:r w:rsidR="004D494D" w:rsidRPr="006C64E7">
              <w:rPr>
                <w:rFonts w:cs="Calibri Light"/>
                <w:sz w:val="20"/>
                <w:szCs w:val="20"/>
              </w:rPr>
              <w:t>FuelSubst-Default</w:t>
            </w:r>
          </w:p>
        </w:tc>
      </w:tr>
      <w:tr w:rsidR="00EA057C" w:rsidRPr="004E7434" w14:paraId="60E6F37E" w14:textId="77777777" w:rsidTr="000D1A03">
        <w:trPr>
          <w:trHeight w:val="20"/>
        </w:trPr>
        <w:tc>
          <w:tcPr>
            <w:tcW w:w="1746" w:type="pct"/>
          </w:tcPr>
          <w:p w14:paraId="426553A4" w14:textId="77777777" w:rsidR="00EA057C" w:rsidRPr="006C64E7" w:rsidRDefault="00EA057C" w:rsidP="00EA057C">
            <w:pPr>
              <w:keepNext/>
              <w:keepLines/>
              <w:spacing w:before="20" w:after="20"/>
              <w:rPr>
                <w:rFonts w:cs="Calibri Light"/>
                <w:sz w:val="20"/>
                <w:szCs w:val="20"/>
              </w:rPr>
            </w:pPr>
            <w:r w:rsidRPr="006C64E7">
              <w:rPr>
                <w:rFonts w:cs="Calibri Light"/>
                <w:sz w:val="20"/>
                <w:szCs w:val="20"/>
              </w:rPr>
              <w:t>GSIA</w:t>
            </w:r>
          </w:p>
        </w:tc>
        <w:tc>
          <w:tcPr>
            <w:tcW w:w="3254" w:type="pct"/>
          </w:tcPr>
          <w:p w14:paraId="44468847" w14:textId="77777777" w:rsidR="00EA057C" w:rsidRPr="006C64E7" w:rsidRDefault="005A74DC" w:rsidP="005A74DC">
            <w:pPr>
              <w:keepNext/>
              <w:keepLines/>
              <w:spacing w:before="20" w:after="20"/>
              <w:rPr>
                <w:rFonts w:cs="Calibri Light"/>
                <w:sz w:val="20"/>
                <w:szCs w:val="20"/>
              </w:rPr>
            </w:pPr>
            <w:r w:rsidRPr="006C64E7">
              <w:rPr>
                <w:rFonts w:cs="Calibri Light"/>
                <w:sz w:val="20"/>
                <w:szCs w:val="20"/>
              </w:rPr>
              <w:t xml:space="preserve">Source: </w:t>
            </w:r>
            <w:r w:rsidR="00701FFC" w:rsidRPr="006C64E7">
              <w:rPr>
                <w:rFonts w:cs="Calibri Light"/>
                <w:sz w:val="20"/>
                <w:szCs w:val="20"/>
              </w:rPr>
              <w:t>DEER</w:t>
            </w:r>
            <w:r w:rsidRPr="006C64E7">
              <w:rPr>
                <w:rFonts w:cs="Calibri Light"/>
                <w:sz w:val="20"/>
                <w:szCs w:val="20"/>
              </w:rPr>
              <w:t xml:space="preserve">. The GSIA of </w:t>
            </w:r>
            <w:r w:rsidR="006C1EAE" w:rsidRPr="006C64E7">
              <w:rPr>
                <w:rFonts w:cs="Calibri Light"/>
                <w:sz w:val="20"/>
                <w:szCs w:val="20"/>
              </w:rPr>
              <w:t>1.0</w:t>
            </w:r>
            <w:r w:rsidRPr="006C64E7">
              <w:rPr>
                <w:rFonts w:cs="Calibri Light"/>
                <w:sz w:val="20"/>
                <w:szCs w:val="20"/>
              </w:rPr>
              <w:t xml:space="preserve"> is associated with GSIA ID: </w:t>
            </w:r>
            <w:r w:rsidR="006C1EAE" w:rsidRPr="006C64E7">
              <w:rPr>
                <w:rFonts w:cs="Calibri Light"/>
                <w:i/>
                <w:sz w:val="20"/>
                <w:szCs w:val="20"/>
              </w:rPr>
              <w:t>Def-GSIA</w:t>
            </w:r>
          </w:p>
        </w:tc>
      </w:tr>
      <w:tr w:rsidR="00EA057C" w:rsidRPr="004E7434" w14:paraId="5CC23D46" w14:textId="77777777" w:rsidTr="000D1A03">
        <w:trPr>
          <w:trHeight w:val="20"/>
        </w:trPr>
        <w:tc>
          <w:tcPr>
            <w:tcW w:w="1746" w:type="pct"/>
          </w:tcPr>
          <w:p w14:paraId="1718119A" w14:textId="77777777" w:rsidR="00EA057C" w:rsidRPr="006C64E7" w:rsidRDefault="00EA057C" w:rsidP="00EA057C">
            <w:pPr>
              <w:keepNext/>
              <w:keepLines/>
              <w:spacing w:before="20" w:after="20"/>
              <w:rPr>
                <w:rFonts w:cs="Calibri Light"/>
                <w:sz w:val="20"/>
                <w:szCs w:val="20"/>
              </w:rPr>
            </w:pPr>
            <w:r w:rsidRPr="006C64E7">
              <w:rPr>
                <w:rFonts w:cs="Calibri Light"/>
                <w:sz w:val="20"/>
                <w:szCs w:val="20"/>
              </w:rPr>
              <w:t>EUL/RUL</w:t>
            </w:r>
          </w:p>
        </w:tc>
        <w:tc>
          <w:tcPr>
            <w:tcW w:w="3254" w:type="pct"/>
          </w:tcPr>
          <w:p w14:paraId="799A1C5E" w14:textId="3C557B1A" w:rsidR="0058494C" w:rsidRPr="006C64E7" w:rsidRDefault="005A74DC" w:rsidP="00EA057C">
            <w:pPr>
              <w:keepNext/>
              <w:keepLines/>
              <w:spacing w:before="20" w:after="20"/>
              <w:rPr>
                <w:iCs/>
                <w:sz w:val="20"/>
                <w:szCs w:val="20"/>
              </w:rPr>
            </w:pPr>
            <w:r w:rsidRPr="006C64E7">
              <w:rPr>
                <w:rFonts w:cs="Calibri Light"/>
                <w:sz w:val="20"/>
                <w:szCs w:val="20"/>
              </w:rPr>
              <w:t xml:space="preserve">Source: </w:t>
            </w:r>
            <w:r w:rsidR="0058494C" w:rsidRPr="006C64E7">
              <w:rPr>
                <w:rFonts w:cs="Calibri Light"/>
                <w:sz w:val="20"/>
                <w:szCs w:val="20"/>
              </w:rPr>
              <w:t>DEER</w:t>
            </w:r>
            <w:r w:rsidR="003C55D5" w:rsidRPr="006C64E7">
              <w:rPr>
                <w:rFonts w:cs="Calibri Light"/>
                <w:sz w:val="20"/>
                <w:szCs w:val="20"/>
              </w:rPr>
              <w:t>.</w:t>
            </w:r>
            <w:r w:rsidRPr="006C64E7">
              <w:rPr>
                <w:rFonts w:cs="Calibri Light"/>
                <w:sz w:val="20"/>
                <w:szCs w:val="20"/>
              </w:rPr>
              <w:t xml:space="preserve"> The </w:t>
            </w:r>
            <w:r w:rsidR="007534BC" w:rsidRPr="006C64E7">
              <w:rPr>
                <w:rFonts w:cs="Calibri Light"/>
                <w:sz w:val="20"/>
                <w:szCs w:val="20"/>
              </w:rPr>
              <w:t xml:space="preserve">EUL </w:t>
            </w:r>
            <w:r w:rsidRPr="006C64E7">
              <w:rPr>
                <w:rFonts w:cs="Calibri Light"/>
                <w:sz w:val="20"/>
                <w:szCs w:val="20"/>
              </w:rPr>
              <w:t xml:space="preserve">value of </w:t>
            </w:r>
            <w:r w:rsidR="00691F43" w:rsidRPr="006C64E7">
              <w:rPr>
                <w:rFonts w:cs="Calibri Light"/>
                <w:sz w:val="20"/>
                <w:szCs w:val="20"/>
              </w:rPr>
              <w:t>1</w:t>
            </w:r>
            <w:r w:rsidR="007534BC" w:rsidRPr="006C64E7">
              <w:rPr>
                <w:rFonts w:cs="Calibri Light"/>
                <w:sz w:val="20"/>
                <w:szCs w:val="20"/>
              </w:rPr>
              <w:t>0</w:t>
            </w:r>
            <w:r w:rsidR="003C55D5" w:rsidRPr="006C64E7">
              <w:rPr>
                <w:rFonts w:cs="Calibri Light"/>
                <w:sz w:val="20"/>
                <w:szCs w:val="20"/>
              </w:rPr>
              <w:t xml:space="preserve"> </w:t>
            </w:r>
            <w:r w:rsidR="00A377A6" w:rsidRPr="006C64E7">
              <w:rPr>
                <w:rFonts w:cs="Calibri Light"/>
                <w:sz w:val="20"/>
                <w:szCs w:val="20"/>
              </w:rPr>
              <w:t>year</w:t>
            </w:r>
            <w:r w:rsidR="003C55D5" w:rsidRPr="006C64E7">
              <w:rPr>
                <w:rFonts w:cs="Calibri Light"/>
                <w:sz w:val="20"/>
                <w:szCs w:val="20"/>
              </w:rPr>
              <w:t>s</w:t>
            </w:r>
            <w:r w:rsidR="0058494C" w:rsidRPr="006C64E7">
              <w:rPr>
                <w:rFonts w:cs="Calibri Light"/>
                <w:sz w:val="20"/>
                <w:szCs w:val="20"/>
              </w:rPr>
              <w:t xml:space="preserve"> with EUL ID: </w:t>
            </w:r>
            <w:r w:rsidR="0058494C" w:rsidRPr="006C64E7">
              <w:rPr>
                <w:iCs/>
                <w:sz w:val="20"/>
                <w:szCs w:val="20"/>
              </w:rPr>
              <w:t>WtrHt-HtPmp</w:t>
            </w:r>
          </w:p>
          <w:p w14:paraId="0BD9DF55" w14:textId="64F7A482" w:rsidR="00A223C3" w:rsidRPr="006C64E7" w:rsidRDefault="00A223C3" w:rsidP="00A223C3">
            <w:pPr>
              <w:keepNext/>
              <w:keepLines/>
              <w:spacing w:before="20" w:after="20"/>
              <w:rPr>
                <w:iCs/>
                <w:sz w:val="20"/>
                <w:szCs w:val="20"/>
              </w:rPr>
            </w:pPr>
            <w:r w:rsidRPr="006C64E7">
              <w:rPr>
                <w:rFonts w:cs="Calibri Light"/>
                <w:sz w:val="20"/>
                <w:szCs w:val="20"/>
              </w:rPr>
              <w:t xml:space="preserve">Source: DEER. The RUL value of 5 years with RUL ID: </w:t>
            </w:r>
            <w:r w:rsidRPr="006C64E7">
              <w:rPr>
                <w:i/>
                <w:sz w:val="20"/>
                <w:szCs w:val="20"/>
              </w:rPr>
              <w:t>WtrHt-Com</w:t>
            </w:r>
          </w:p>
          <w:p w14:paraId="4DA47DD5" w14:textId="77777777" w:rsidR="00355A49" w:rsidRDefault="00FE2510" w:rsidP="00A223C3">
            <w:pPr>
              <w:keepNext/>
              <w:keepLines/>
              <w:spacing w:before="20" w:after="20"/>
              <w:rPr>
                <w:rFonts w:cs="Calibri Light"/>
                <w:sz w:val="20"/>
                <w:szCs w:val="20"/>
              </w:rPr>
            </w:pPr>
            <w:r w:rsidRPr="006C64E7">
              <w:rPr>
                <w:rFonts w:cs="Calibri Light"/>
                <w:iCs/>
                <w:sz w:val="20"/>
                <w:szCs w:val="20"/>
              </w:rPr>
              <w:t xml:space="preserve">Source: DEER. The RUL value of 6.67 years with RUL ID: </w:t>
            </w:r>
            <w:r w:rsidRPr="006C64E7">
              <w:rPr>
                <w:iCs/>
                <w:sz w:val="20"/>
                <w:szCs w:val="20"/>
              </w:rPr>
              <w:t>WtrHt-Instant-</w:t>
            </w:r>
            <w:r>
              <w:rPr>
                <w:iCs/>
                <w:sz w:val="20"/>
                <w:szCs w:val="20"/>
              </w:rPr>
              <w:t>Res</w:t>
            </w:r>
            <w:r w:rsidRPr="006C64E7" w:rsidDel="00FE2510">
              <w:rPr>
                <w:rFonts w:cs="Calibri Light"/>
                <w:sz w:val="20"/>
                <w:szCs w:val="20"/>
              </w:rPr>
              <w:t xml:space="preserve"> </w:t>
            </w:r>
          </w:p>
          <w:p w14:paraId="61C9EA10" w14:textId="7FAA91B3" w:rsidR="00A223C3" w:rsidRPr="006C64E7" w:rsidRDefault="00A223C3" w:rsidP="00A223C3">
            <w:pPr>
              <w:keepNext/>
              <w:keepLines/>
              <w:spacing w:before="20" w:after="20"/>
              <w:rPr>
                <w:i/>
                <w:sz w:val="20"/>
                <w:szCs w:val="20"/>
              </w:rPr>
            </w:pPr>
            <w:r w:rsidRPr="006C64E7">
              <w:rPr>
                <w:rFonts w:cs="Calibri Light"/>
                <w:sz w:val="20"/>
                <w:szCs w:val="20"/>
              </w:rPr>
              <w:t xml:space="preserve">Source: DEER. The RUL value of </w:t>
            </w:r>
            <w:r w:rsidR="00EB679A" w:rsidRPr="006C64E7">
              <w:rPr>
                <w:rFonts w:cs="Calibri Light"/>
                <w:sz w:val="20"/>
                <w:szCs w:val="20"/>
              </w:rPr>
              <w:t>3.67</w:t>
            </w:r>
            <w:r w:rsidRPr="006C64E7">
              <w:rPr>
                <w:rFonts w:cs="Calibri Light"/>
                <w:sz w:val="20"/>
                <w:szCs w:val="20"/>
              </w:rPr>
              <w:t xml:space="preserve"> years with RUL ID: </w:t>
            </w:r>
            <w:r w:rsidR="00EB679A" w:rsidRPr="006C64E7">
              <w:rPr>
                <w:i/>
                <w:sz w:val="20"/>
                <w:szCs w:val="20"/>
              </w:rPr>
              <w:t>WtrHt-Res-Gas</w:t>
            </w:r>
          </w:p>
          <w:p w14:paraId="1167F8D8" w14:textId="2FF6441A" w:rsidR="00A223C3" w:rsidRPr="006C64E7" w:rsidRDefault="008B54E1" w:rsidP="00EA057C">
            <w:pPr>
              <w:keepNext/>
              <w:keepLines/>
              <w:spacing w:before="20" w:after="20"/>
              <w:rPr>
                <w:i/>
                <w:sz w:val="20"/>
                <w:szCs w:val="20"/>
              </w:rPr>
            </w:pPr>
            <w:r w:rsidRPr="006C64E7">
              <w:rPr>
                <w:rFonts w:cs="Calibri Light"/>
                <w:iCs/>
                <w:sz w:val="20"/>
                <w:szCs w:val="20"/>
              </w:rPr>
              <w:t xml:space="preserve">Source: DEER. The RUL value of 6.67 years with RUL ID: </w:t>
            </w:r>
            <w:r w:rsidRPr="006C64E7">
              <w:rPr>
                <w:iCs/>
                <w:sz w:val="20"/>
                <w:szCs w:val="20"/>
              </w:rPr>
              <w:t>WtrHt-Instant-Com</w:t>
            </w:r>
          </w:p>
        </w:tc>
      </w:tr>
    </w:tbl>
    <w:p w14:paraId="22B59939" w14:textId="77777777" w:rsidR="00660F1D" w:rsidRDefault="00660F1D" w:rsidP="006C64E7">
      <w:bookmarkStart w:id="69" w:name="_Toc486490866"/>
      <w:bookmarkStart w:id="70" w:name="_Toc486580937"/>
      <w:bookmarkStart w:id="71" w:name="_Hlk516051142"/>
      <w:bookmarkStart w:id="72" w:name="_Hlk516047558"/>
    </w:p>
    <w:p w14:paraId="2BC3DDAD" w14:textId="77777777" w:rsidR="007D230B" w:rsidRPr="00C6243E" w:rsidRDefault="007D230B" w:rsidP="00462BB6">
      <w:pPr>
        <w:pStyle w:val="eTRMHeading3"/>
        <w:rPr>
          <w:rFonts w:cs="Calibri Light"/>
        </w:rPr>
      </w:pPr>
      <w:bookmarkStart w:id="73" w:name="_Toc75963043"/>
      <w:r w:rsidRPr="00C6243E">
        <w:rPr>
          <w:rFonts w:cs="Calibri Light"/>
        </w:rPr>
        <w:lastRenderedPageBreak/>
        <w:t>Revision History</w:t>
      </w:r>
      <w:bookmarkEnd w:id="69"/>
      <w:bookmarkEnd w:id="70"/>
      <w:bookmarkEnd w:id="73"/>
    </w:p>
    <w:p w14:paraId="141BF1A5" w14:textId="77777777" w:rsidR="00CA1CB3" w:rsidRPr="00EF7BAC" w:rsidRDefault="00742F88" w:rsidP="00EF7BAC">
      <w:pPr>
        <w:pStyle w:val="Caption"/>
      </w:pPr>
      <w:bookmarkStart w:id="74" w:name="_Hlk515959178"/>
      <w:r w:rsidRPr="00EF7BAC">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CA1CB3" w:rsidRPr="004E7434" w14:paraId="0A3E9280" w14:textId="77777777" w:rsidTr="00EF7BAC">
        <w:trPr>
          <w:trHeight w:val="20"/>
        </w:trPr>
        <w:tc>
          <w:tcPr>
            <w:tcW w:w="503" w:type="pct"/>
            <w:shd w:val="clear" w:color="auto" w:fill="F2F2F2" w:themeFill="background1" w:themeFillShade="F2"/>
            <w:vAlign w:val="bottom"/>
          </w:tcPr>
          <w:p w14:paraId="0F11F879" w14:textId="77777777" w:rsidR="00CA1CB3" w:rsidRPr="00D048EF" w:rsidRDefault="00CA1CB3" w:rsidP="00871123">
            <w:pPr>
              <w:keepNext/>
              <w:keepLines/>
              <w:tabs>
                <w:tab w:val="right" w:pos="2957"/>
              </w:tabs>
              <w:spacing w:before="20" w:after="20"/>
              <w:rPr>
                <w:rFonts w:cs="Calibri Light"/>
                <w:b/>
                <w:sz w:val="20"/>
                <w:szCs w:val="20"/>
              </w:rPr>
            </w:pPr>
            <w:r w:rsidRPr="004E7434">
              <w:rPr>
                <w:rFonts w:cs="Calibri Light"/>
                <w:b/>
                <w:sz w:val="20"/>
                <w:szCs w:val="20"/>
              </w:rPr>
              <w:t>Revision Number</w:t>
            </w:r>
          </w:p>
        </w:tc>
        <w:tc>
          <w:tcPr>
            <w:tcW w:w="722" w:type="pct"/>
            <w:shd w:val="clear" w:color="auto" w:fill="F2F2F2" w:themeFill="background1" w:themeFillShade="F2"/>
            <w:vAlign w:val="bottom"/>
          </w:tcPr>
          <w:p w14:paraId="3F75EFE8" w14:textId="77777777" w:rsidR="00CA1CB3" w:rsidRPr="00D81697" w:rsidRDefault="00CA1CB3" w:rsidP="00871123">
            <w:pPr>
              <w:keepNext/>
              <w:keepLines/>
              <w:spacing w:before="20" w:after="20"/>
              <w:rPr>
                <w:rFonts w:cs="Calibri Light"/>
                <w:b/>
                <w:sz w:val="20"/>
                <w:szCs w:val="20"/>
              </w:rPr>
            </w:pPr>
            <w:r w:rsidRPr="00D048EF">
              <w:rPr>
                <w:rFonts w:cs="Calibri Light"/>
                <w:b/>
                <w:sz w:val="20"/>
                <w:szCs w:val="20"/>
              </w:rPr>
              <w:t>Date</w:t>
            </w:r>
          </w:p>
        </w:tc>
        <w:tc>
          <w:tcPr>
            <w:tcW w:w="1130" w:type="pct"/>
            <w:shd w:val="clear" w:color="auto" w:fill="F2F2F2" w:themeFill="background1" w:themeFillShade="F2"/>
            <w:vAlign w:val="bottom"/>
          </w:tcPr>
          <w:p w14:paraId="2A8168BB" w14:textId="77777777" w:rsidR="00CA1CB3" w:rsidRPr="004E7434" w:rsidRDefault="00CA1CB3" w:rsidP="00871123">
            <w:pPr>
              <w:keepNext/>
              <w:keepLines/>
              <w:spacing w:before="20" w:after="20"/>
              <w:rPr>
                <w:rFonts w:cs="Calibri Light"/>
                <w:b/>
                <w:sz w:val="20"/>
                <w:szCs w:val="20"/>
              </w:rPr>
            </w:pPr>
            <w:r w:rsidRPr="004E7434">
              <w:rPr>
                <w:rFonts w:cs="Calibri Light"/>
                <w:b/>
                <w:sz w:val="20"/>
                <w:szCs w:val="20"/>
              </w:rPr>
              <w:t>Primary Author, Title, Organization</w:t>
            </w:r>
          </w:p>
        </w:tc>
        <w:tc>
          <w:tcPr>
            <w:tcW w:w="2645" w:type="pct"/>
            <w:shd w:val="clear" w:color="auto" w:fill="F2F2F2" w:themeFill="background1" w:themeFillShade="F2"/>
            <w:vAlign w:val="bottom"/>
          </w:tcPr>
          <w:p w14:paraId="419B926B" w14:textId="77777777" w:rsidR="00CA1CB3" w:rsidRPr="004E7434" w:rsidRDefault="00CA1CB3" w:rsidP="00871123">
            <w:pPr>
              <w:keepNext/>
              <w:keepLines/>
              <w:spacing w:before="20" w:after="20"/>
              <w:rPr>
                <w:rFonts w:cs="Calibri Light"/>
                <w:b/>
                <w:sz w:val="20"/>
                <w:szCs w:val="20"/>
              </w:rPr>
            </w:pPr>
            <w:r w:rsidRPr="004E7434">
              <w:rPr>
                <w:rFonts w:cs="Calibri Light"/>
                <w:b/>
                <w:sz w:val="20"/>
                <w:szCs w:val="20"/>
              </w:rPr>
              <w:t>Revision Summary and Rationale for Revision</w:t>
            </w:r>
          </w:p>
          <w:p w14:paraId="084CED77" w14:textId="77777777" w:rsidR="00CA1CB3" w:rsidRPr="004E7434" w:rsidRDefault="00CA1CB3" w:rsidP="00871123">
            <w:pPr>
              <w:keepNext/>
              <w:keepLines/>
              <w:spacing w:before="20" w:after="20"/>
              <w:rPr>
                <w:rFonts w:cs="Calibri Light"/>
                <w:b/>
                <w:sz w:val="20"/>
                <w:szCs w:val="20"/>
              </w:rPr>
            </w:pPr>
            <w:r w:rsidRPr="004E7434">
              <w:rPr>
                <w:rFonts w:cs="Calibri Light"/>
                <w:b/>
                <w:sz w:val="20"/>
                <w:szCs w:val="20"/>
              </w:rPr>
              <w:t>Effective Date and Approved By</w:t>
            </w:r>
          </w:p>
        </w:tc>
      </w:tr>
      <w:tr w:rsidR="00EF7BAC" w:rsidRPr="004E7434" w14:paraId="4D078790" w14:textId="77777777" w:rsidTr="00EF7BAC">
        <w:trPr>
          <w:trHeight w:val="20"/>
        </w:trPr>
        <w:tc>
          <w:tcPr>
            <w:tcW w:w="503" w:type="pct"/>
          </w:tcPr>
          <w:p w14:paraId="1D86E8AE" w14:textId="23845CF7" w:rsidR="00EF7BAC" w:rsidRPr="006C64E7" w:rsidRDefault="00EF7BAC" w:rsidP="00EF7BAC">
            <w:pPr>
              <w:keepNext/>
              <w:keepLines/>
              <w:spacing w:before="20" w:after="20"/>
              <w:rPr>
                <w:rFonts w:cs="Calibri Light"/>
                <w:sz w:val="20"/>
                <w:szCs w:val="20"/>
              </w:rPr>
            </w:pPr>
            <w:r w:rsidRPr="006C64E7">
              <w:rPr>
                <w:rFonts w:cs="Calibri Light"/>
                <w:sz w:val="20"/>
                <w:szCs w:val="20"/>
              </w:rPr>
              <w:t>01</w:t>
            </w:r>
          </w:p>
        </w:tc>
        <w:tc>
          <w:tcPr>
            <w:tcW w:w="722" w:type="pct"/>
          </w:tcPr>
          <w:p w14:paraId="5B992D2E" w14:textId="12364F36" w:rsidR="00EF7BAC" w:rsidRPr="006C64E7" w:rsidRDefault="005419C3" w:rsidP="00EF7BAC">
            <w:pPr>
              <w:keepNext/>
              <w:keepLines/>
              <w:spacing w:before="20" w:after="20"/>
              <w:rPr>
                <w:rFonts w:cs="Calibri Light"/>
                <w:sz w:val="20"/>
                <w:szCs w:val="20"/>
              </w:rPr>
            </w:pPr>
            <w:r>
              <w:rPr>
                <w:rFonts w:cs="Calibri Light"/>
                <w:sz w:val="20"/>
                <w:szCs w:val="20"/>
              </w:rPr>
              <w:t>6/</w:t>
            </w:r>
            <w:r w:rsidR="002A6C3D">
              <w:rPr>
                <w:rFonts w:cs="Calibri Light"/>
                <w:sz w:val="20"/>
                <w:szCs w:val="20"/>
              </w:rPr>
              <w:t>24</w:t>
            </w:r>
            <w:r w:rsidR="0058494C" w:rsidRPr="006C64E7">
              <w:rPr>
                <w:rFonts w:cs="Calibri Light"/>
                <w:sz w:val="20"/>
                <w:szCs w:val="20"/>
              </w:rPr>
              <w:t>/20</w:t>
            </w:r>
            <w:r w:rsidR="00DD5467" w:rsidRPr="006C64E7">
              <w:rPr>
                <w:rFonts w:cs="Calibri Light"/>
                <w:sz w:val="20"/>
                <w:szCs w:val="20"/>
              </w:rPr>
              <w:t>20</w:t>
            </w:r>
          </w:p>
        </w:tc>
        <w:tc>
          <w:tcPr>
            <w:tcW w:w="1130" w:type="pct"/>
          </w:tcPr>
          <w:p w14:paraId="1E6732FA" w14:textId="760DDE48" w:rsidR="00EF7BAC" w:rsidRPr="006C64E7" w:rsidRDefault="00DD5467" w:rsidP="00EF7BAC">
            <w:pPr>
              <w:keepNext/>
              <w:keepLines/>
              <w:spacing w:before="20" w:after="20"/>
              <w:rPr>
                <w:rFonts w:cs="Calibri Light"/>
                <w:sz w:val="20"/>
                <w:szCs w:val="20"/>
              </w:rPr>
            </w:pPr>
            <w:r w:rsidRPr="006C64E7">
              <w:rPr>
                <w:rFonts w:cs="Calibri Light"/>
                <w:sz w:val="20"/>
                <w:szCs w:val="20"/>
              </w:rPr>
              <w:t>Keith Valenzuela</w:t>
            </w:r>
            <w:r w:rsidR="0058494C" w:rsidRPr="006C64E7">
              <w:rPr>
                <w:rFonts w:cs="Calibri Light"/>
                <w:sz w:val="20"/>
                <w:szCs w:val="20"/>
              </w:rPr>
              <w:t xml:space="preserve">, </w:t>
            </w:r>
            <w:r w:rsidRPr="006C64E7">
              <w:rPr>
                <w:rFonts w:cs="Calibri Light"/>
                <w:sz w:val="20"/>
                <w:szCs w:val="20"/>
              </w:rPr>
              <w:t>Engineering Manager, AESC</w:t>
            </w:r>
          </w:p>
        </w:tc>
        <w:tc>
          <w:tcPr>
            <w:tcW w:w="2645" w:type="pct"/>
          </w:tcPr>
          <w:p w14:paraId="781B5E8F" w14:textId="543F13C8" w:rsidR="00EF7BAC" w:rsidRPr="006C64E7" w:rsidRDefault="00EF7BAC" w:rsidP="00EF7BAC">
            <w:pPr>
              <w:keepNext/>
              <w:keepLines/>
              <w:spacing w:before="20" w:after="20"/>
              <w:rPr>
                <w:rFonts w:cs="Calibri Light"/>
                <w:sz w:val="20"/>
                <w:szCs w:val="20"/>
              </w:rPr>
            </w:pPr>
            <w:r w:rsidRPr="006C64E7">
              <w:rPr>
                <w:rFonts w:cs="Calibri Light"/>
                <w:sz w:val="20"/>
                <w:szCs w:val="20"/>
              </w:rPr>
              <w:t>First draft of workpaper.</w:t>
            </w:r>
          </w:p>
        </w:tc>
      </w:tr>
      <w:tr w:rsidR="004B12A9" w:rsidRPr="004E7434" w14:paraId="2C1CC072" w14:textId="77777777" w:rsidTr="00EF7BAC">
        <w:trPr>
          <w:trHeight w:val="20"/>
        </w:trPr>
        <w:tc>
          <w:tcPr>
            <w:tcW w:w="503" w:type="pct"/>
          </w:tcPr>
          <w:p w14:paraId="34421A9A" w14:textId="609134F6" w:rsidR="004B12A9" w:rsidRPr="00D21C44" w:rsidRDefault="004B12A9" w:rsidP="004B12A9">
            <w:pPr>
              <w:keepNext/>
              <w:keepLines/>
              <w:spacing w:before="20" w:after="20"/>
              <w:rPr>
                <w:rFonts w:cs="Calibri Light"/>
                <w:sz w:val="20"/>
                <w:szCs w:val="20"/>
              </w:rPr>
            </w:pPr>
            <w:r w:rsidRPr="00D21C44">
              <w:rPr>
                <w:rFonts w:cs="Calibri Light"/>
                <w:sz w:val="20"/>
                <w:szCs w:val="20"/>
              </w:rPr>
              <w:t>0</w:t>
            </w:r>
            <w:r w:rsidR="00A14514">
              <w:rPr>
                <w:rFonts w:cs="Calibri Light"/>
                <w:sz w:val="20"/>
                <w:szCs w:val="20"/>
              </w:rPr>
              <w:t>1</w:t>
            </w:r>
          </w:p>
        </w:tc>
        <w:tc>
          <w:tcPr>
            <w:tcW w:w="722" w:type="pct"/>
          </w:tcPr>
          <w:p w14:paraId="67034D46" w14:textId="28673E4F" w:rsidR="004B12A9" w:rsidRPr="00D21C44" w:rsidRDefault="004B12A9" w:rsidP="004B12A9">
            <w:pPr>
              <w:keepNext/>
              <w:keepLines/>
              <w:spacing w:before="20" w:after="20"/>
              <w:rPr>
                <w:rFonts w:cs="Calibri Light"/>
                <w:sz w:val="20"/>
                <w:szCs w:val="20"/>
              </w:rPr>
            </w:pPr>
            <w:r w:rsidRPr="00D21C44">
              <w:rPr>
                <w:rFonts w:cs="Calibri Light"/>
                <w:sz w:val="20"/>
                <w:szCs w:val="20"/>
              </w:rPr>
              <w:t>9/</w:t>
            </w:r>
            <w:r w:rsidR="00A14514">
              <w:rPr>
                <w:rFonts w:cs="Calibri Light"/>
                <w:sz w:val="20"/>
                <w:szCs w:val="20"/>
              </w:rPr>
              <w:t>30</w:t>
            </w:r>
            <w:r w:rsidRPr="00D21C44">
              <w:rPr>
                <w:rFonts w:cs="Calibri Light"/>
                <w:sz w:val="20"/>
                <w:szCs w:val="20"/>
              </w:rPr>
              <w:t>/2020</w:t>
            </w:r>
          </w:p>
        </w:tc>
        <w:tc>
          <w:tcPr>
            <w:tcW w:w="1130" w:type="pct"/>
          </w:tcPr>
          <w:p w14:paraId="04B873A4" w14:textId="1D315795" w:rsidR="004B12A9" w:rsidRPr="00D21C44" w:rsidRDefault="004B12A9" w:rsidP="004B12A9">
            <w:pPr>
              <w:keepNext/>
              <w:keepLines/>
              <w:spacing w:before="20" w:after="20"/>
              <w:rPr>
                <w:rFonts w:cs="Calibri Light"/>
                <w:sz w:val="20"/>
                <w:szCs w:val="20"/>
              </w:rPr>
            </w:pPr>
            <w:r w:rsidRPr="00D21C44">
              <w:rPr>
                <w:rFonts w:cs="Calibri Light"/>
                <w:sz w:val="20"/>
                <w:szCs w:val="20"/>
              </w:rPr>
              <w:t>Keith Valenzuela, Engineering Manager, AESC</w:t>
            </w:r>
          </w:p>
        </w:tc>
        <w:tc>
          <w:tcPr>
            <w:tcW w:w="2645" w:type="pct"/>
          </w:tcPr>
          <w:p w14:paraId="3338FBB3" w14:textId="08F9B4BE" w:rsidR="004B12A9" w:rsidRPr="00D21C44" w:rsidRDefault="004B12A9" w:rsidP="004B12A9">
            <w:pPr>
              <w:keepNext/>
              <w:keepLines/>
              <w:spacing w:before="20" w:after="20"/>
              <w:rPr>
                <w:rFonts w:cs="Calibri Light"/>
                <w:sz w:val="20"/>
                <w:szCs w:val="20"/>
              </w:rPr>
            </w:pPr>
            <w:r w:rsidRPr="00D21C44">
              <w:rPr>
                <w:rFonts w:cs="Calibri Light"/>
                <w:sz w:val="20"/>
                <w:szCs w:val="20"/>
              </w:rPr>
              <w:t>Revised impacts per updated DEER-WaterHeater-Calculator-v4.2</w:t>
            </w:r>
          </w:p>
        </w:tc>
      </w:tr>
      <w:tr w:rsidR="000F41B8" w:rsidRPr="004E7434" w14:paraId="0BB661D3" w14:textId="77777777" w:rsidTr="00EF7BAC">
        <w:trPr>
          <w:trHeight w:val="20"/>
        </w:trPr>
        <w:tc>
          <w:tcPr>
            <w:tcW w:w="503" w:type="pct"/>
          </w:tcPr>
          <w:p w14:paraId="191F667B" w14:textId="62D0FB2F" w:rsidR="000F41B8" w:rsidRPr="00D21C44" w:rsidRDefault="000F41B8" w:rsidP="004B12A9">
            <w:pPr>
              <w:keepNext/>
              <w:keepLines/>
              <w:spacing w:before="20" w:after="20"/>
              <w:rPr>
                <w:rFonts w:cs="Calibri Light"/>
                <w:sz w:val="20"/>
                <w:szCs w:val="20"/>
              </w:rPr>
            </w:pPr>
            <w:r>
              <w:rPr>
                <w:rFonts w:cs="Calibri Light"/>
                <w:sz w:val="20"/>
                <w:szCs w:val="20"/>
              </w:rPr>
              <w:t>0</w:t>
            </w:r>
            <w:r w:rsidR="00CB5F85">
              <w:rPr>
                <w:rFonts w:cs="Calibri Light"/>
                <w:sz w:val="20"/>
                <w:szCs w:val="20"/>
              </w:rPr>
              <w:t>1</w:t>
            </w:r>
          </w:p>
        </w:tc>
        <w:tc>
          <w:tcPr>
            <w:tcW w:w="722" w:type="pct"/>
          </w:tcPr>
          <w:p w14:paraId="64AB40F1" w14:textId="38E470B8" w:rsidR="000F41B8" w:rsidRPr="00D21C44" w:rsidRDefault="00AA599B" w:rsidP="004B12A9">
            <w:pPr>
              <w:keepNext/>
              <w:keepLines/>
              <w:spacing w:before="20" w:after="20"/>
              <w:rPr>
                <w:rFonts w:cs="Calibri Light"/>
                <w:sz w:val="20"/>
                <w:szCs w:val="20"/>
              </w:rPr>
            </w:pPr>
            <w:r>
              <w:rPr>
                <w:rFonts w:cs="Calibri Light"/>
                <w:sz w:val="20"/>
                <w:szCs w:val="20"/>
              </w:rPr>
              <w:t>9/29</w:t>
            </w:r>
            <w:r w:rsidR="000F41B8">
              <w:rPr>
                <w:rFonts w:cs="Calibri Light"/>
                <w:sz w:val="20"/>
                <w:szCs w:val="20"/>
              </w:rPr>
              <w:t>/2021</w:t>
            </w:r>
          </w:p>
        </w:tc>
        <w:tc>
          <w:tcPr>
            <w:tcW w:w="1130" w:type="pct"/>
          </w:tcPr>
          <w:p w14:paraId="07E8A853" w14:textId="59B6B08C" w:rsidR="000F41B8" w:rsidRDefault="000F41B8" w:rsidP="004B12A9">
            <w:pPr>
              <w:keepNext/>
              <w:keepLines/>
              <w:spacing w:before="20" w:after="20"/>
              <w:rPr>
                <w:rFonts w:cs="Calibri Light"/>
                <w:sz w:val="20"/>
                <w:szCs w:val="20"/>
              </w:rPr>
            </w:pPr>
            <w:r>
              <w:rPr>
                <w:rFonts w:cs="Calibri Light"/>
                <w:sz w:val="20"/>
                <w:szCs w:val="20"/>
              </w:rPr>
              <w:t>Lake Casco, PE,</w:t>
            </w:r>
          </w:p>
          <w:p w14:paraId="1627D26A" w14:textId="77777777" w:rsidR="00E90EA6" w:rsidRDefault="00E90EA6" w:rsidP="004B12A9">
            <w:pPr>
              <w:keepNext/>
              <w:keepLines/>
              <w:spacing w:before="20" w:after="20"/>
              <w:rPr>
                <w:rFonts w:cs="Calibri Light"/>
                <w:sz w:val="20"/>
                <w:szCs w:val="20"/>
              </w:rPr>
            </w:pPr>
            <w:r>
              <w:rPr>
                <w:rFonts w:cs="Calibri Light"/>
                <w:sz w:val="20"/>
                <w:szCs w:val="20"/>
              </w:rPr>
              <w:t>Kara Vega,</w:t>
            </w:r>
          </w:p>
          <w:p w14:paraId="18E7499A" w14:textId="57EDAF1C" w:rsidR="00E90EA6" w:rsidRPr="00D21C44" w:rsidRDefault="00E90EA6" w:rsidP="004B12A9">
            <w:pPr>
              <w:keepNext/>
              <w:keepLines/>
              <w:spacing w:before="20" w:after="20"/>
              <w:rPr>
                <w:rFonts w:cs="Calibri Light"/>
                <w:sz w:val="20"/>
                <w:szCs w:val="20"/>
              </w:rPr>
            </w:pPr>
            <w:r>
              <w:rPr>
                <w:rFonts w:cs="Calibri Light"/>
                <w:sz w:val="20"/>
                <w:szCs w:val="20"/>
              </w:rPr>
              <w:t>TRC</w:t>
            </w:r>
          </w:p>
        </w:tc>
        <w:tc>
          <w:tcPr>
            <w:tcW w:w="2645" w:type="pct"/>
          </w:tcPr>
          <w:p w14:paraId="2384AB00" w14:textId="509FCF30" w:rsidR="000F41B8" w:rsidRDefault="000F41B8" w:rsidP="004B12A9">
            <w:pPr>
              <w:keepNext/>
              <w:keepLines/>
              <w:spacing w:before="20" w:after="20"/>
              <w:rPr>
                <w:rFonts w:cs="Calibri Light"/>
                <w:sz w:val="20"/>
                <w:szCs w:val="20"/>
              </w:rPr>
            </w:pPr>
            <w:r>
              <w:rPr>
                <w:rFonts w:cs="Calibri Light"/>
                <w:sz w:val="20"/>
                <w:szCs w:val="20"/>
              </w:rPr>
              <w:t>Changed unit to “Cap-kBtuh” instead of “each”</w:t>
            </w:r>
            <w:r w:rsidR="0056664D">
              <w:rPr>
                <w:rFonts w:cs="Calibri Light"/>
                <w:sz w:val="20"/>
                <w:szCs w:val="20"/>
              </w:rPr>
              <w:t xml:space="preserve"> and added update eligibility requirements. </w:t>
            </w:r>
          </w:p>
          <w:p w14:paraId="3CCB97C6" w14:textId="2E7B72AC" w:rsidR="008535E1" w:rsidRDefault="008535E1" w:rsidP="004B12A9">
            <w:pPr>
              <w:keepNext/>
              <w:keepLines/>
              <w:spacing w:before="20" w:after="20"/>
              <w:rPr>
                <w:rFonts w:cs="Calibri Light"/>
                <w:sz w:val="20"/>
                <w:szCs w:val="20"/>
              </w:rPr>
            </w:pPr>
            <w:r>
              <w:rPr>
                <w:rFonts w:cs="Calibri Light"/>
                <w:sz w:val="20"/>
                <w:szCs w:val="20"/>
              </w:rPr>
              <w:t>Updated eligibility requirements to better reflect usage of central or built-up water heating systems</w:t>
            </w:r>
          </w:p>
          <w:p w14:paraId="25F3B31B" w14:textId="0D9D6EC7" w:rsidR="000F41B8" w:rsidRDefault="000F41B8" w:rsidP="004B12A9">
            <w:pPr>
              <w:keepNext/>
              <w:keepLines/>
              <w:spacing w:before="20" w:after="20"/>
              <w:rPr>
                <w:rFonts w:cs="Calibri Light"/>
                <w:sz w:val="20"/>
                <w:szCs w:val="20"/>
              </w:rPr>
            </w:pPr>
            <w:r>
              <w:rPr>
                <w:rFonts w:cs="Calibri Light"/>
                <w:sz w:val="20"/>
                <w:szCs w:val="20"/>
              </w:rPr>
              <w:t>Updated multifamily building type savings to reflect central water heating load</w:t>
            </w:r>
            <w:r w:rsidR="00355A49">
              <w:rPr>
                <w:rFonts w:cs="Calibri Light"/>
                <w:sz w:val="20"/>
                <w:szCs w:val="20"/>
              </w:rPr>
              <w:t>.</w:t>
            </w:r>
          </w:p>
          <w:p w14:paraId="6BAF764C" w14:textId="1455A0B4" w:rsidR="0056664D" w:rsidRDefault="0056664D" w:rsidP="004B12A9">
            <w:pPr>
              <w:keepNext/>
              <w:keepLines/>
              <w:spacing w:before="20" w:after="20"/>
              <w:rPr>
                <w:rFonts w:cs="Calibri Light"/>
                <w:sz w:val="20"/>
                <w:szCs w:val="20"/>
              </w:rPr>
            </w:pPr>
            <w:r>
              <w:rPr>
                <w:rFonts w:cs="Calibri Light"/>
                <w:sz w:val="20"/>
                <w:szCs w:val="20"/>
              </w:rPr>
              <w:t>Reweighted Commercial building type impacts to remove MLI and MBT</w:t>
            </w:r>
          </w:p>
          <w:p w14:paraId="7BFF4992" w14:textId="124F19A0" w:rsidR="000F41B8" w:rsidRPr="00D21C44" w:rsidRDefault="000F41B8" w:rsidP="004B12A9">
            <w:pPr>
              <w:keepNext/>
              <w:keepLines/>
              <w:spacing w:before="20" w:after="20"/>
              <w:rPr>
                <w:rFonts w:cs="Calibri Light"/>
                <w:sz w:val="20"/>
                <w:szCs w:val="20"/>
              </w:rPr>
            </w:pPr>
            <w:r>
              <w:rPr>
                <w:rFonts w:cs="Calibri Light"/>
                <w:sz w:val="20"/>
                <w:szCs w:val="20"/>
              </w:rPr>
              <w:t xml:space="preserve">Updated costing </w:t>
            </w:r>
            <w:r w:rsidR="00450222">
              <w:rPr>
                <w:rFonts w:cs="Calibri Light"/>
                <w:sz w:val="20"/>
                <w:szCs w:val="20"/>
              </w:rPr>
              <w:t>based on 2021</w:t>
            </w:r>
            <w:r w:rsidR="000241A9">
              <w:rPr>
                <w:rFonts w:cs="Calibri Light"/>
                <w:sz w:val="20"/>
                <w:szCs w:val="20"/>
              </w:rPr>
              <w:t xml:space="preserve"> online</w:t>
            </w:r>
            <w:r w:rsidR="00450222">
              <w:rPr>
                <w:rFonts w:cs="Calibri Light"/>
                <w:sz w:val="20"/>
                <w:szCs w:val="20"/>
              </w:rPr>
              <w:t xml:space="preserve"> pricing and 202</w:t>
            </w:r>
            <w:r w:rsidR="000241A9">
              <w:rPr>
                <w:rFonts w:cs="Calibri Light"/>
                <w:sz w:val="20"/>
                <w:szCs w:val="20"/>
              </w:rPr>
              <w:t>1</w:t>
            </w:r>
            <w:r w:rsidR="00450222">
              <w:rPr>
                <w:rFonts w:cs="Calibri Light"/>
                <w:sz w:val="20"/>
                <w:szCs w:val="20"/>
              </w:rPr>
              <w:t xml:space="preserve"> CASE report costs</w:t>
            </w:r>
            <w:r w:rsidR="00355A49">
              <w:rPr>
                <w:rFonts w:cs="Calibri Light"/>
                <w:sz w:val="20"/>
                <w:szCs w:val="20"/>
              </w:rPr>
              <w:t>.</w:t>
            </w:r>
          </w:p>
        </w:tc>
      </w:tr>
      <w:tr w:rsidR="009C475A" w:rsidRPr="004E7434" w14:paraId="62BC74D1" w14:textId="77777777" w:rsidTr="00EF7BAC">
        <w:trPr>
          <w:trHeight w:val="20"/>
        </w:trPr>
        <w:tc>
          <w:tcPr>
            <w:tcW w:w="503" w:type="pct"/>
          </w:tcPr>
          <w:p w14:paraId="179CF6EE" w14:textId="0D7CDD74" w:rsidR="009C475A" w:rsidRDefault="009C475A" w:rsidP="009C475A">
            <w:pPr>
              <w:keepNext/>
              <w:keepLines/>
              <w:spacing w:before="20" w:after="20"/>
              <w:rPr>
                <w:rFonts w:cs="Calibri Light"/>
                <w:sz w:val="20"/>
                <w:szCs w:val="20"/>
              </w:rPr>
            </w:pPr>
            <w:r>
              <w:rPr>
                <w:rFonts w:cs="Calibri Light"/>
                <w:sz w:val="20"/>
                <w:szCs w:val="20"/>
              </w:rPr>
              <w:t>0</w:t>
            </w:r>
            <w:r w:rsidR="00CB5F85">
              <w:rPr>
                <w:rFonts w:cs="Calibri Light"/>
                <w:sz w:val="20"/>
                <w:szCs w:val="20"/>
              </w:rPr>
              <w:t>1</w:t>
            </w:r>
          </w:p>
        </w:tc>
        <w:tc>
          <w:tcPr>
            <w:tcW w:w="722" w:type="pct"/>
          </w:tcPr>
          <w:p w14:paraId="7BB9C107" w14:textId="2460B6F8" w:rsidR="009C475A" w:rsidRDefault="009C475A" w:rsidP="009C475A">
            <w:pPr>
              <w:keepNext/>
              <w:keepLines/>
              <w:spacing w:before="20" w:after="20"/>
              <w:rPr>
                <w:rFonts w:cs="Calibri Light"/>
                <w:sz w:val="20"/>
                <w:szCs w:val="20"/>
              </w:rPr>
            </w:pPr>
            <w:r>
              <w:rPr>
                <w:rFonts w:cs="Calibri Light"/>
                <w:sz w:val="20"/>
                <w:szCs w:val="20"/>
              </w:rPr>
              <w:t>9/29/2021</w:t>
            </w:r>
          </w:p>
        </w:tc>
        <w:tc>
          <w:tcPr>
            <w:tcW w:w="1130" w:type="pct"/>
          </w:tcPr>
          <w:p w14:paraId="2D580B02" w14:textId="77777777" w:rsidR="009C475A" w:rsidRDefault="009C475A" w:rsidP="009C475A">
            <w:pPr>
              <w:keepNext/>
              <w:keepLines/>
              <w:spacing w:before="20" w:after="20"/>
              <w:rPr>
                <w:rFonts w:cs="Calibri Light"/>
                <w:sz w:val="20"/>
                <w:szCs w:val="20"/>
              </w:rPr>
            </w:pPr>
            <w:r>
              <w:rPr>
                <w:rFonts w:cs="Calibri Light"/>
                <w:sz w:val="20"/>
                <w:szCs w:val="20"/>
              </w:rPr>
              <w:t>Lake Casco, PE,</w:t>
            </w:r>
          </w:p>
          <w:p w14:paraId="25AB0712" w14:textId="77777777" w:rsidR="009C475A" w:rsidRDefault="009C475A" w:rsidP="009C475A">
            <w:pPr>
              <w:keepNext/>
              <w:keepLines/>
              <w:spacing w:before="20" w:after="20"/>
              <w:rPr>
                <w:rFonts w:cs="Calibri Light"/>
                <w:sz w:val="20"/>
                <w:szCs w:val="20"/>
              </w:rPr>
            </w:pPr>
            <w:r>
              <w:rPr>
                <w:rFonts w:cs="Calibri Light"/>
                <w:sz w:val="20"/>
                <w:szCs w:val="20"/>
              </w:rPr>
              <w:t>Kara Vega,</w:t>
            </w:r>
          </w:p>
          <w:p w14:paraId="202F2F11" w14:textId="2D3B11FC" w:rsidR="009C475A" w:rsidRDefault="009C475A" w:rsidP="009C475A">
            <w:pPr>
              <w:keepNext/>
              <w:keepLines/>
              <w:spacing w:before="20" w:after="20"/>
              <w:rPr>
                <w:rFonts w:cs="Calibri Light"/>
                <w:sz w:val="20"/>
                <w:szCs w:val="20"/>
              </w:rPr>
            </w:pPr>
            <w:r>
              <w:rPr>
                <w:rFonts w:cs="Calibri Light"/>
                <w:sz w:val="20"/>
                <w:szCs w:val="20"/>
              </w:rPr>
              <w:t>TRC</w:t>
            </w:r>
          </w:p>
        </w:tc>
        <w:tc>
          <w:tcPr>
            <w:tcW w:w="2645" w:type="pct"/>
          </w:tcPr>
          <w:p w14:paraId="04EB81B8" w14:textId="77777777" w:rsidR="009C475A" w:rsidRDefault="009C475A" w:rsidP="009C475A">
            <w:pPr>
              <w:keepNext/>
              <w:keepLines/>
              <w:spacing w:before="20" w:after="20"/>
              <w:rPr>
                <w:rFonts w:cs="Calibri Light"/>
                <w:sz w:val="20"/>
                <w:szCs w:val="20"/>
              </w:rPr>
            </w:pPr>
            <w:r>
              <w:rPr>
                <w:rFonts w:cs="Calibri Light"/>
                <w:sz w:val="20"/>
                <w:szCs w:val="20"/>
              </w:rPr>
              <w:t>In Response to CPUC comments from 10/28/2021</w:t>
            </w:r>
          </w:p>
          <w:p w14:paraId="626C8229" w14:textId="45003C13" w:rsidR="009C475A" w:rsidRDefault="009C475A" w:rsidP="009C475A">
            <w:pPr>
              <w:keepNext/>
              <w:keepLines/>
              <w:spacing w:before="20" w:after="20"/>
              <w:rPr>
                <w:rFonts w:cs="Calibri Light"/>
                <w:sz w:val="20"/>
                <w:szCs w:val="20"/>
              </w:rPr>
            </w:pPr>
            <w:r>
              <w:rPr>
                <w:rFonts w:cs="Calibri Light"/>
                <w:sz w:val="20"/>
                <w:szCs w:val="20"/>
              </w:rPr>
              <w:t>Removed Industrial sector specific measures and included them in the Commercial measures to align with other commercial water heating measures (SWWH027-02)</w:t>
            </w:r>
          </w:p>
          <w:p w14:paraId="269B7731" w14:textId="77777777" w:rsidR="009C475A" w:rsidRDefault="009C475A" w:rsidP="009C475A">
            <w:pPr>
              <w:keepNext/>
              <w:keepLines/>
              <w:spacing w:before="20" w:after="20"/>
              <w:rPr>
                <w:rFonts w:cs="Calibri Light"/>
                <w:sz w:val="20"/>
                <w:szCs w:val="20"/>
              </w:rPr>
            </w:pPr>
            <w:r>
              <w:rPr>
                <w:rFonts w:cs="Calibri Light"/>
                <w:sz w:val="20"/>
                <w:szCs w:val="20"/>
              </w:rPr>
              <w:t xml:space="preserve">Reverted commercial weighted savings. </w:t>
            </w:r>
          </w:p>
          <w:p w14:paraId="32A3BE80" w14:textId="77777777" w:rsidR="009C475A" w:rsidRDefault="009C475A" w:rsidP="009C475A">
            <w:pPr>
              <w:keepNext/>
              <w:keepLines/>
              <w:spacing w:before="20" w:after="20"/>
              <w:rPr>
                <w:rFonts w:cs="Calibri Light"/>
                <w:sz w:val="20"/>
                <w:szCs w:val="20"/>
              </w:rPr>
            </w:pPr>
            <w:r>
              <w:rPr>
                <w:rFonts w:cs="Calibri Light"/>
                <w:sz w:val="20"/>
                <w:szCs w:val="20"/>
              </w:rPr>
              <w:t>Clarified eligibility requirements for COP and capacity data collection for heat pump equipment</w:t>
            </w:r>
          </w:p>
          <w:p w14:paraId="422C0700" w14:textId="77777777" w:rsidR="009C475A" w:rsidRDefault="009C475A" w:rsidP="009C475A">
            <w:pPr>
              <w:keepNext/>
              <w:keepLines/>
              <w:spacing w:before="20" w:after="20"/>
              <w:rPr>
                <w:rFonts w:cs="Calibri Light"/>
                <w:sz w:val="20"/>
                <w:szCs w:val="20"/>
              </w:rPr>
            </w:pPr>
            <w:r>
              <w:rPr>
                <w:rFonts w:cs="Calibri Light"/>
                <w:sz w:val="20"/>
                <w:szCs w:val="20"/>
              </w:rPr>
              <w:t>Added data collection requirements for central built-up water heating systems</w:t>
            </w:r>
          </w:p>
          <w:p w14:paraId="4D2D6D07" w14:textId="363AFB89" w:rsidR="009C475A" w:rsidRDefault="009C475A" w:rsidP="009C475A">
            <w:pPr>
              <w:keepNext/>
              <w:keepLines/>
              <w:spacing w:before="20" w:after="20"/>
              <w:rPr>
                <w:rFonts w:cs="Calibri Light"/>
                <w:sz w:val="20"/>
                <w:szCs w:val="20"/>
              </w:rPr>
            </w:pPr>
            <w:r>
              <w:rPr>
                <w:rFonts w:cs="Calibri Light"/>
                <w:sz w:val="20"/>
                <w:szCs w:val="20"/>
              </w:rPr>
              <w:t xml:space="preserve">Updated fuel substitution calculator </w:t>
            </w:r>
          </w:p>
        </w:tc>
      </w:tr>
      <w:tr w:rsidR="00CA4C6F" w:rsidRPr="004E7434" w14:paraId="4A66BFE4" w14:textId="77777777" w:rsidTr="00EF7BAC">
        <w:trPr>
          <w:trHeight w:val="20"/>
        </w:trPr>
        <w:tc>
          <w:tcPr>
            <w:tcW w:w="503" w:type="pct"/>
          </w:tcPr>
          <w:p w14:paraId="0B70753F" w14:textId="16D29485" w:rsidR="00CA4C6F" w:rsidRDefault="00CA4C6F" w:rsidP="009C475A">
            <w:pPr>
              <w:keepNext/>
              <w:keepLines/>
              <w:spacing w:before="20" w:after="20"/>
              <w:rPr>
                <w:rFonts w:cs="Calibri Light"/>
                <w:sz w:val="20"/>
                <w:szCs w:val="20"/>
              </w:rPr>
            </w:pPr>
            <w:r>
              <w:rPr>
                <w:rFonts w:cs="Calibri Light"/>
                <w:sz w:val="20"/>
                <w:szCs w:val="20"/>
              </w:rPr>
              <w:t>0</w:t>
            </w:r>
            <w:r w:rsidR="00CB5F85">
              <w:rPr>
                <w:rFonts w:cs="Calibri Light"/>
                <w:sz w:val="20"/>
                <w:szCs w:val="20"/>
              </w:rPr>
              <w:t>1</w:t>
            </w:r>
          </w:p>
        </w:tc>
        <w:tc>
          <w:tcPr>
            <w:tcW w:w="722" w:type="pct"/>
          </w:tcPr>
          <w:p w14:paraId="744EA00A" w14:textId="60CC184F" w:rsidR="00CA4C6F" w:rsidRDefault="00CA4C6F" w:rsidP="009C475A">
            <w:pPr>
              <w:keepNext/>
              <w:keepLines/>
              <w:spacing w:before="20" w:after="20"/>
              <w:rPr>
                <w:rFonts w:cs="Calibri Light"/>
                <w:sz w:val="20"/>
                <w:szCs w:val="20"/>
              </w:rPr>
            </w:pPr>
            <w:r>
              <w:rPr>
                <w:rFonts w:cs="Calibri Light"/>
                <w:sz w:val="20"/>
                <w:szCs w:val="20"/>
              </w:rPr>
              <w:t>12/</w:t>
            </w:r>
            <w:r w:rsidR="00843B37">
              <w:rPr>
                <w:rFonts w:cs="Calibri Light"/>
                <w:sz w:val="20"/>
                <w:szCs w:val="20"/>
              </w:rPr>
              <w:t>10</w:t>
            </w:r>
            <w:r>
              <w:rPr>
                <w:rFonts w:cs="Calibri Light"/>
                <w:sz w:val="20"/>
                <w:szCs w:val="20"/>
              </w:rPr>
              <w:t>/2021</w:t>
            </w:r>
          </w:p>
        </w:tc>
        <w:tc>
          <w:tcPr>
            <w:tcW w:w="1130" w:type="pct"/>
          </w:tcPr>
          <w:p w14:paraId="075E9BA5" w14:textId="0D20BB18" w:rsidR="00CA4C6F" w:rsidRDefault="00CA4C6F" w:rsidP="009C475A">
            <w:pPr>
              <w:keepNext/>
              <w:keepLines/>
              <w:spacing w:before="20" w:after="20"/>
              <w:rPr>
                <w:rFonts w:cs="Calibri Light"/>
                <w:sz w:val="20"/>
                <w:szCs w:val="20"/>
              </w:rPr>
            </w:pPr>
            <w:r w:rsidRPr="00CA4C6F">
              <w:rPr>
                <w:rFonts w:cs="Calibri Light"/>
                <w:sz w:val="20"/>
                <w:szCs w:val="20"/>
              </w:rPr>
              <w:t>Andres Fergadiotti</w:t>
            </w:r>
            <w:r>
              <w:rPr>
                <w:rFonts w:cs="Calibri Light"/>
                <w:sz w:val="20"/>
                <w:szCs w:val="20"/>
              </w:rPr>
              <w:t>, PE</w:t>
            </w:r>
          </w:p>
        </w:tc>
        <w:tc>
          <w:tcPr>
            <w:tcW w:w="2645" w:type="pct"/>
          </w:tcPr>
          <w:p w14:paraId="62DC6950" w14:textId="77777777" w:rsidR="00CA4C6F" w:rsidRPr="00CA4C6F" w:rsidRDefault="00CA4C6F" w:rsidP="00CA4C6F">
            <w:pPr>
              <w:keepNext/>
              <w:keepLines/>
              <w:spacing w:before="20" w:after="20"/>
              <w:rPr>
                <w:rFonts w:cs="Calibri Light"/>
                <w:sz w:val="20"/>
                <w:szCs w:val="20"/>
              </w:rPr>
            </w:pPr>
            <w:r w:rsidRPr="00CA4C6F">
              <w:rPr>
                <w:rFonts w:cs="Calibri Light"/>
                <w:sz w:val="20"/>
                <w:szCs w:val="20"/>
              </w:rPr>
              <w:t>Addendum to report refrigerant avoided cost calculations in compliance with Resolution E-5152.</w:t>
            </w:r>
          </w:p>
          <w:p w14:paraId="5385ADBB" w14:textId="77777777" w:rsidR="00CA4C6F" w:rsidRDefault="00CA4C6F" w:rsidP="00CA4C6F">
            <w:pPr>
              <w:keepNext/>
              <w:keepLines/>
              <w:spacing w:before="20" w:after="20"/>
              <w:rPr>
                <w:rFonts w:cs="Calibri Light"/>
                <w:sz w:val="20"/>
                <w:szCs w:val="20"/>
              </w:rPr>
            </w:pPr>
          </w:p>
        </w:tc>
      </w:tr>
      <w:bookmarkEnd w:id="71"/>
      <w:bookmarkEnd w:id="72"/>
      <w:bookmarkEnd w:id="74"/>
    </w:tbl>
    <w:p w14:paraId="34E883A4" w14:textId="77777777" w:rsidR="00085726" w:rsidRDefault="00085726" w:rsidP="00387072"/>
    <w:sectPr w:rsidR="00085726"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B9E4A8" w14:textId="77777777" w:rsidR="00E62A1B" w:rsidRDefault="00E62A1B" w:rsidP="00A2690C">
      <w:r>
        <w:separator/>
      </w:r>
    </w:p>
    <w:p w14:paraId="2F85B137" w14:textId="77777777" w:rsidR="00E62A1B" w:rsidRDefault="00E62A1B"/>
  </w:endnote>
  <w:endnote w:type="continuationSeparator" w:id="0">
    <w:p w14:paraId="211E3CFA" w14:textId="77777777" w:rsidR="00E62A1B" w:rsidRDefault="00E62A1B" w:rsidP="00A2690C">
      <w:r>
        <w:continuationSeparator/>
      </w:r>
    </w:p>
    <w:p w14:paraId="201611B9" w14:textId="77777777" w:rsidR="00E62A1B" w:rsidRDefault="00E62A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Tahom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BF4E3" w14:textId="77777777" w:rsidR="006F46F7" w:rsidRDefault="006F46F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349A61C6" wp14:editId="21A5C864">
          <wp:extent cx="2223135" cy="160885"/>
          <wp:effectExtent l="0" t="0" r="0" b="0"/>
          <wp:docPr id="10" name="Picture 10"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75E6070" w14:textId="77777777" w:rsidR="006F46F7" w:rsidRPr="00B837C1" w:rsidRDefault="006F46F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B7B88" w14:textId="77777777" w:rsidR="006F46F7" w:rsidRDefault="006F46F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70056789" wp14:editId="1A61F05A">
          <wp:simplePos x="0" y="0"/>
          <wp:positionH relativeFrom="column">
            <wp:posOffset>2863850</wp:posOffset>
          </wp:positionH>
          <wp:positionV relativeFrom="paragraph">
            <wp:posOffset>-138781</wp:posOffset>
          </wp:positionV>
          <wp:extent cx="210820" cy="579335"/>
          <wp:effectExtent l="0" t="6350" r="11430" b="11430"/>
          <wp:wrapNone/>
          <wp:docPr id="11" name="Picture 1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5F1B79" w14:textId="77777777" w:rsidR="006F46F7" w:rsidRPr="00B837C1" w:rsidRDefault="006F46F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10</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7AABC" w14:textId="77777777" w:rsidR="006F46F7" w:rsidRDefault="006F46F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5BB58B5E" wp14:editId="5EB06924">
          <wp:simplePos x="0" y="0"/>
          <wp:positionH relativeFrom="column">
            <wp:posOffset>2863850</wp:posOffset>
          </wp:positionH>
          <wp:positionV relativeFrom="paragraph">
            <wp:posOffset>-138781</wp:posOffset>
          </wp:positionV>
          <wp:extent cx="210820" cy="579335"/>
          <wp:effectExtent l="0" t="6350" r="11430" b="11430"/>
          <wp:wrapNone/>
          <wp:docPr id="13" name="Picture 1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ADA7C5" w14:textId="77777777" w:rsidR="006F46F7" w:rsidRPr="005F505E" w:rsidRDefault="006F46F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9FA0D" w14:textId="77777777" w:rsidR="00E62A1B" w:rsidRDefault="00E62A1B" w:rsidP="00A2690C">
      <w:r>
        <w:separator/>
      </w:r>
    </w:p>
    <w:p w14:paraId="13AA7641" w14:textId="77777777" w:rsidR="00E62A1B" w:rsidRDefault="00E62A1B"/>
  </w:footnote>
  <w:footnote w:type="continuationSeparator" w:id="0">
    <w:p w14:paraId="1B50D2C3" w14:textId="77777777" w:rsidR="00E62A1B" w:rsidRDefault="00E62A1B" w:rsidP="00A2690C">
      <w:r>
        <w:continuationSeparator/>
      </w:r>
    </w:p>
    <w:p w14:paraId="06B24754" w14:textId="77777777" w:rsidR="00E62A1B" w:rsidRDefault="00E62A1B"/>
  </w:footnote>
  <w:footnote w:id="1">
    <w:p w14:paraId="5B3D0182" w14:textId="00486EDC" w:rsidR="006F46F7" w:rsidRDefault="006F46F7" w:rsidP="00475071">
      <w:pPr>
        <w:pStyle w:val="FootnoteText"/>
      </w:pPr>
      <w:r>
        <w:rPr>
          <w:rStyle w:val="FootnoteReference"/>
        </w:rPr>
        <w:footnoteRef/>
      </w:r>
      <w:r>
        <w:t xml:space="preserve"> Pande, A. et al. TRC. 2021. </w:t>
      </w:r>
      <w:r w:rsidRPr="00475071">
        <w:rPr>
          <w:rStyle w:val="Emphasis"/>
        </w:rPr>
        <w:t>Codes and Standards Enhancement (CASE) Initiative 2022 California Energy Code</w:t>
      </w:r>
      <w:r>
        <w:rPr>
          <w:rStyle w:val="Emphasis"/>
        </w:rPr>
        <w:t xml:space="preserve">, </w:t>
      </w:r>
      <w:r w:rsidRPr="00475071">
        <w:rPr>
          <w:rStyle w:val="Emphasis"/>
        </w:rPr>
        <w:t>All-Electric Multifamily Compliance Pathway</w:t>
      </w:r>
      <w:r>
        <w:rPr>
          <w:rStyle w:val="Emphasis"/>
        </w:rPr>
        <w:t>.</w:t>
      </w:r>
      <w:r>
        <w:t xml:space="preserve"> Prepared for California Energy Codes and Standards statewide utility program. </w:t>
      </w:r>
      <w:r w:rsidRPr="00475071">
        <w:t>2022-MF-AEP-F</w:t>
      </w:r>
      <w:r>
        <w:t>. </w:t>
      </w:r>
    </w:p>
  </w:footnote>
  <w:footnote w:id="2">
    <w:p w14:paraId="189A8CE1" w14:textId="23FEB7D7" w:rsidR="006F46F7" w:rsidRDefault="006F46F7">
      <w:pPr>
        <w:pStyle w:val="FootnoteText"/>
      </w:pPr>
      <w:r>
        <w:rPr>
          <w:rStyle w:val="FootnoteReference"/>
        </w:rPr>
        <w:footnoteRef/>
      </w:r>
      <w:r>
        <w:t xml:space="preserve"> Pande, A. et al. TRC. 2021. </w:t>
      </w:r>
      <w:r w:rsidRPr="00475071">
        <w:rPr>
          <w:rStyle w:val="Emphasis"/>
        </w:rPr>
        <w:t>Codes and Standards Enhancement (CASE) Initiative 2022 California Energy Code</w:t>
      </w:r>
      <w:r>
        <w:rPr>
          <w:rStyle w:val="Emphasis"/>
        </w:rPr>
        <w:t xml:space="preserve">, </w:t>
      </w:r>
      <w:r w:rsidRPr="00475071">
        <w:rPr>
          <w:rStyle w:val="Emphasis"/>
        </w:rPr>
        <w:t>All-Electric Multifamily Compliance Pathway</w:t>
      </w:r>
      <w:r>
        <w:rPr>
          <w:rStyle w:val="Emphasis"/>
        </w:rPr>
        <w:t>.</w:t>
      </w:r>
      <w:r>
        <w:t xml:space="preserve"> Prepared for California Energy Codes and Standards statewide utility program. </w:t>
      </w:r>
      <w:r w:rsidRPr="00475071">
        <w:t>2022-MF-AEP-F</w:t>
      </w:r>
      <w:r>
        <w:t>. </w:t>
      </w:r>
    </w:p>
  </w:footnote>
  <w:footnote w:id="3">
    <w:p w14:paraId="6AE71719" w14:textId="66EA504C" w:rsidR="006F46F7" w:rsidRDefault="006F46F7">
      <w:pPr>
        <w:pStyle w:val="FootnoteText"/>
      </w:pPr>
      <w:r>
        <w:rPr>
          <w:rStyle w:val="FootnoteReference"/>
        </w:rPr>
        <w:footnoteRef/>
      </w:r>
      <w:r>
        <w:t xml:space="preserve"> </w:t>
      </w:r>
      <w:r w:rsidRPr="002F4DF6">
        <w:t>Ciani, A. (Russell Research). 2018. Water Heater Market Characterization Report. Prepared for the Northwest Energy Efficiency Alliance (NEEA). Report # E18-395. April 3.</w:t>
      </w:r>
    </w:p>
  </w:footnote>
  <w:footnote w:id="4">
    <w:p w14:paraId="204584C2" w14:textId="77777777" w:rsidR="006F46F7" w:rsidRPr="008A2254" w:rsidRDefault="006F46F7" w:rsidP="00AC633C">
      <w:pPr>
        <w:pStyle w:val="FootnoteText"/>
      </w:pPr>
      <w:r>
        <w:rPr>
          <w:rStyle w:val="FootnoteReference"/>
        </w:rPr>
        <w:footnoteRef/>
      </w:r>
      <w:r>
        <w:t xml:space="preserve"> </w:t>
      </w:r>
      <w:r>
        <w:rPr>
          <w:shd w:val="clear" w:color="auto" w:fill="FFFFFF"/>
        </w:rPr>
        <w:t>ENERGY STAR. (n.d.) “How it Works – Whole-Home Gas Tankless Water Heaters.” </w:t>
      </w:r>
    </w:p>
  </w:footnote>
  <w:footnote w:id="5">
    <w:p w14:paraId="2602C232" w14:textId="77777777" w:rsidR="006F46F7" w:rsidRPr="008A2254" w:rsidRDefault="006F46F7" w:rsidP="00AC633C">
      <w:pPr>
        <w:pStyle w:val="FootnoteText"/>
      </w:pPr>
      <w:r>
        <w:rPr>
          <w:rStyle w:val="FootnoteReference"/>
        </w:rPr>
        <w:footnoteRef/>
      </w:r>
      <w:r>
        <w:t xml:space="preserve"> </w:t>
      </w:r>
      <w:r>
        <w:rPr>
          <w:shd w:val="clear" w:color="auto" w:fill="FFFFFF"/>
        </w:rPr>
        <w:t>ENERGY STAR. (n.d.) “How it Works – High-Efficiency Gas Storage Water Heaters.”</w:t>
      </w:r>
    </w:p>
  </w:footnote>
  <w:footnote w:id="6">
    <w:p w14:paraId="52E0C916" w14:textId="77777777" w:rsidR="006F46F7" w:rsidRDefault="006F46F7" w:rsidP="00AC633C">
      <w:pPr>
        <w:pStyle w:val="FootnoteText"/>
      </w:pPr>
      <w:r>
        <w:rPr>
          <w:rStyle w:val="FootnoteReference"/>
        </w:rPr>
        <w:footnoteRef/>
      </w:r>
      <w:r>
        <w:t xml:space="preserve"> </w:t>
      </w:r>
      <w:r>
        <w:rPr>
          <w:szCs w:val="18"/>
        </w:rPr>
        <w:t xml:space="preserve">U.S. Department of Energy (DOE). 2016. “Energy Conservation Program for Consumer Products and Certain Commercial and Industrial Equipment: Test Procedures for Consumer and Commercial Water Heaters.” </w:t>
      </w:r>
      <w:r>
        <w:rPr>
          <w:i/>
          <w:iCs/>
          <w:szCs w:val="18"/>
        </w:rPr>
        <w:t xml:space="preserve">Federal Register: The Daily Journal of the United States. </w:t>
      </w:r>
      <w:r>
        <w:rPr>
          <w:szCs w:val="18"/>
        </w:rPr>
        <w:t xml:space="preserve">81 Fed. Reg. 250. December 29, 2016. </w:t>
      </w:r>
      <w:r>
        <w:t xml:space="preserve"> </w:t>
      </w:r>
    </w:p>
  </w:footnote>
  <w:footnote w:id="7">
    <w:p w14:paraId="148F316E" w14:textId="77777777" w:rsidR="006F46F7" w:rsidRDefault="006F46F7" w:rsidP="00AC633C">
      <w:pPr>
        <w:pStyle w:val="FootnoteText"/>
      </w:pPr>
      <w:r>
        <w:rPr>
          <w:rStyle w:val="FootnoteReference"/>
        </w:rPr>
        <w:footnoteRef/>
      </w:r>
      <w:r>
        <w:t xml:space="preserve"> </w:t>
      </w:r>
      <w:r>
        <w:rPr>
          <w:shd w:val="clear" w:color="auto" w:fill="FFFFFF"/>
        </w:rPr>
        <w:t>Healy, B. (National Institute of Standards and Technology, NIST). (n.d.) “Water Heating Technologies and Ratings.”</w:t>
      </w:r>
    </w:p>
  </w:footnote>
  <w:footnote w:id="8">
    <w:p w14:paraId="24C0DD59" w14:textId="54F60773" w:rsidR="006F46F7" w:rsidRDefault="006F46F7">
      <w:pPr>
        <w:pStyle w:val="FootnoteText"/>
      </w:pPr>
      <w:r>
        <w:rPr>
          <w:rStyle w:val="FootnoteReference"/>
        </w:rPr>
        <w:footnoteRef/>
      </w:r>
      <w:r>
        <w:t xml:space="preserve"> Shapiro, C. and Puttagunta, S. (Steven Winter Associates, Inc.). 2016. “</w:t>
      </w:r>
      <w:r w:rsidRPr="00077905">
        <w:t>Field Performance of Heat Pump Water Heaters in the Northeast</w:t>
      </w:r>
      <w:r>
        <w:t xml:space="preserve">”. Prepared for The National Renewable Energy Lab (NREL). </w:t>
      </w:r>
    </w:p>
  </w:footnote>
  <w:footnote w:id="9">
    <w:p w14:paraId="1934A962" w14:textId="77777777" w:rsidR="006F46F7" w:rsidRDefault="006F46F7" w:rsidP="00D40FF7">
      <w:pPr>
        <w:pStyle w:val="eTRMFootnoteText"/>
      </w:pPr>
      <w:r>
        <w:rPr>
          <w:rStyle w:val="FootnoteReference"/>
        </w:rPr>
        <w:footnoteRef/>
      </w:r>
      <w:r>
        <w:t xml:space="preserve"> </w:t>
      </w:r>
      <w:r>
        <w:rPr>
          <w:shd w:val="clear" w:color="auto" w:fill="FFFFFF"/>
        </w:rPr>
        <w:t>U.S. Department of Energy (DOE). 2016. “Energy Conservation Program for Consumer Products and Certain Commercial and Industrial Equipment: Test Procedures for Consumer and Commercial Water Heaters.” </w:t>
      </w:r>
      <w:r w:rsidRPr="00547090">
        <w:rPr>
          <w:rStyle w:val="Emphasis"/>
          <w:rFonts w:cs="Calibri Light"/>
          <w:i w:val="0"/>
          <w:iCs w:val="0"/>
          <w:color w:val="292929"/>
          <w:szCs w:val="18"/>
          <w:shd w:val="clear" w:color="auto" w:fill="FFFFFF"/>
        </w:rPr>
        <w:t>Federal Register</w:t>
      </w:r>
      <w:r>
        <w:rPr>
          <w:rStyle w:val="Emphasis"/>
          <w:rFonts w:ascii="Helvetica" w:hAnsi="Helvetica"/>
          <w:i w:val="0"/>
          <w:iCs w:val="0"/>
          <w:color w:val="292929"/>
          <w:sz w:val="21"/>
          <w:szCs w:val="21"/>
          <w:shd w:val="clear" w:color="auto" w:fill="FFFFFF"/>
        </w:rPr>
        <w:t>.</w:t>
      </w:r>
      <w:r>
        <w:rPr>
          <w:shd w:val="clear" w:color="auto" w:fill="FFFFFF"/>
        </w:rPr>
        <w:t> Vol. 81, No. 250. December 29.</w:t>
      </w:r>
    </w:p>
  </w:footnote>
  <w:footnote w:id="10">
    <w:p w14:paraId="1452C6A8" w14:textId="77777777" w:rsidR="006F46F7" w:rsidRDefault="006F46F7" w:rsidP="00D40FF7">
      <w:pPr>
        <w:pStyle w:val="FootnoteText"/>
      </w:pPr>
      <w:r>
        <w:rPr>
          <w:rStyle w:val="FootnoteReference"/>
        </w:rPr>
        <w:footnoteRef/>
      </w:r>
      <w:r>
        <w:t xml:space="preserve"> </w:t>
      </w:r>
      <w:r w:rsidRPr="005352A3">
        <w:rPr>
          <w:rStyle w:val="eTRMFootnoteTextChar"/>
        </w:rPr>
        <w:t>A.O. Smith. (n.d.) “What Does UEF Mean To You?”</w:t>
      </w:r>
      <w:r>
        <w:rPr>
          <w:rFonts w:ascii="Helvetica" w:hAnsi="Helvetica"/>
          <w:color w:val="292929"/>
          <w:sz w:val="21"/>
          <w:szCs w:val="21"/>
          <w:shd w:val="clear" w:color="auto" w:fill="FFFFFF"/>
        </w:rPr>
        <w:t> </w:t>
      </w:r>
    </w:p>
  </w:footnote>
  <w:footnote w:id="11">
    <w:p w14:paraId="367C9969" w14:textId="650B2D2D" w:rsidR="006F46F7" w:rsidRDefault="006F46F7" w:rsidP="008B0000">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 OP 1.</w:t>
      </w:r>
    </w:p>
  </w:footnote>
  <w:footnote w:id="12">
    <w:p w14:paraId="66774E86" w14:textId="75D1A7B0" w:rsidR="006F46F7" w:rsidRDefault="006F46F7" w:rsidP="008B0000">
      <w:pPr>
        <w:pStyle w:val="FootnoteText"/>
      </w:pPr>
      <w:r>
        <w:rPr>
          <w:rStyle w:val="FootnoteReference"/>
        </w:rPr>
        <w:footnoteRef/>
      </w:r>
      <w:r>
        <w:t xml:space="preserve"> Southern California Edison (SCE). 2020. “SWWH028-02 Fuel Substitution Calculator.xlsx”.</w:t>
      </w:r>
    </w:p>
  </w:footnote>
  <w:footnote w:id="13">
    <w:p w14:paraId="62DA01C1" w14:textId="62794C71" w:rsidR="006F46F7" w:rsidRDefault="006F46F7">
      <w:pPr>
        <w:pStyle w:val="FootnoteText"/>
      </w:pPr>
      <w:r>
        <w:rPr>
          <w:rStyle w:val="FootnoteReference"/>
        </w:rPr>
        <w:footnoteRef/>
      </w:r>
      <w:r>
        <w:t xml:space="preserve"> California Public Utilities Commission (CPUC), Energy Division. 2021. </w:t>
      </w:r>
      <w:r>
        <w:rPr>
          <w:rStyle w:val="Emphasis"/>
        </w:rPr>
        <w:t>E-5152. Approval of the Database for Energy-Efficiency Resources updates for Program Year 2023 and revised version for Program Years 2022 and 2021.</w:t>
      </w:r>
      <w:r>
        <w:t xml:space="preserve"> August 19.</w:t>
      </w:r>
    </w:p>
  </w:footnote>
  <w:footnote w:id="14">
    <w:p w14:paraId="3F8E667E" w14:textId="071B0CDE" w:rsidR="006F46F7" w:rsidRDefault="006F46F7" w:rsidP="00D40FF7">
      <w:pPr>
        <w:pStyle w:val="FootnoteText"/>
      </w:pPr>
      <w:r>
        <w:rPr>
          <w:rStyle w:val="FootnoteReference"/>
        </w:rPr>
        <w:footnoteRef/>
      </w:r>
      <w:r>
        <w:t xml:space="preserve"> </w:t>
      </w:r>
      <w:r w:rsidRPr="00A36977">
        <w:t>SWWH028-0</w:t>
      </w:r>
      <w:r>
        <w:t>2</w:t>
      </w:r>
      <w:r w:rsidRPr="00A36977">
        <w:t xml:space="preserve"> Large HPWH-POE Survey</w:t>
      </w:r>
      <w:r>
        <w:t>.docx</w:t>
      </w:r>
    </w:p>
  </w:footnote>
  <w:footnote w:id="15">
    <w:p w14:paraId="0F4BCB2F" w14:textId="17534FD6" w:rsidR="00281ABF" w:rsidRDefault="00281ABF">
      <w:pPr>
        <w:pStyle w:val="FootnoteText"/>
      </w:pPr>
      <w:r>
        <w:rPr>
          <w:rStyle w:val="FootnoteReference"/>
        </w:rPr>
        <w:footnoteRef/>
      </w:r>
      <w:r>
        <w:t xml:space="preserve"> </w:t>
      </w:r>
      <w:r>
        <w:rPr>
          <w:shd w:val="clear" w:color="auto" w:fill="FFFFFF"/>
        </w:rPr>
        <w:t>U.S. Department of Energy (DOE). 2016. “U</w:t>
      </w:r>
      <w:r w:rsidRPr="00281ABF">
        <w:rPr>
          <w:shd w:val="clear" w:color="auto" w:fill="FFFFFF"/>
        </w:rPr>
        <w:t>niform Test Method for the Measurement of Energy Efficiency of Commercial Heat Pump Water Heaters</w:t>
      </w:r>
      <w:r>
        <w:rPr>
          <w:shd w:val="clear" w:color="auto" w:fill="FFFFFF"/>
        </w:rPr>
        <w:t>.” </w:t>
      </w:r>
      <w:r w:rsidRPr="00281ABF">
        <w:rPr>
          <w:rStyle w:val="Emphasis"/>
          <w:rFonts w:cs="Calibri Light"/>
          <w:i w:val="0"/>
          <w:iCs w:val="0"/>
          <w:color w:val="292929"/>
          <w:szCs w:val="18"/>
          <w:shd w:val="clear" w:color="auto" w:fill="FFFFFF"/>
        </w:rPr>
        <w:t>10 CFR Appendix E to Subpart G of Part 431</w:t>
      </w:r>
      <w:r>
        <w:rPr>
          <w:shd w:val="clear" w:color="auto" w:fill="FFFFFF"/>
        </w:rPr>
        <w:t>. November 10.</w:t>
      </w:r>
    </w:p>
  </w:footnote>
  <w:footnote w:id="16">
    <w:p w14:paraId="0D260984" w14:textId="77777777" w:rsidR="006F46F7" w:rsidRDefault="006F46F7" w:rsidP="003C48E1">
      <w:pPr>
        <w:pStyle w:val="FootnoteText"/>
      </w:pPr>
      <w:r>
        <w:rPr>
          <w:rStyle w:val="FootnoteReference"/>
        </w:rPr>
        <w:footnoteRef/>
      </w:r>
      <w:r>
        <w:t xml:space="preserve"> California Public Utilities Commission (CPUC), Energy Division. 2019. </w:t>
      </w:r>
      <w:r>
        <w:rPr>
          <w:rStyle w:val="Emphasis"/>
        </w:rPr>
        <w:t>Fuel Substitution Technical Guidance, Version 1.1</w:t>
      </w:r>
      <w:r>
        <w:t>. October 31. Page 3.</w:t>
      </w:r>
    </w:p>
  </w:footnote>
  <w:footnote w:id="17">
    <w:p w14:paraId="65D21179" w14:textId="4F21AEF5" w:rsidR="00D66B1E" w:rsidRPr="00CA4C6F" w:rsidRDefault="00D66B1E" w:rsidP="00D66B1E">
      <w:pPr>
        <w:pStyle w:val="FootnoteText"/>
        <w:rPr>
          <w:i/>
          <w:iCs/>
        </w:rPr>
      </w:pPr>
      <w:r>
        <w:rPr>
          <w:rStyle w:val="FootnoteReference"/>
        </w:rPr>
        <w:footnoteRef/>
      </w:r>
      <w:r>
        <w:t xml:space="preserve"> Northwest Energy Efficiency Alliance (NEEA),2021. </w:t>
      </w:r>
      <w:r w:rsidRPr="00D66B1E">
        <w:rPr>
          <w:rStyle w:val="Emphasis"/>
        </w:rPr>
        <w:t>A Specification for Residential, Commercial – Multifamily, and Industrial Water Heaters and Heating Systems</w:t>
      </w:r>
      <w:r>
        <w:rPr>
          <w:rStyle w:val="Emphasis"/>
        </w:rPr>
        <w:t xml:space="preserve"> </w:t>
      </w:r>
      <w:r w:rsidRPr="00D66B1E">
        <w:rPr>
          <w:rStyle w:val="Emphasis"/>
        </w:rPr>
        <w:t>Advanced Water Heating Specification</w:t>
      </w:r>
      <w:r>
        <w:rPr>
          <w:rStyle w:val="Emphasis"/>
        </w:rPr>
        <w:t xml:space="preserve">, </w:t>
      </w:r>
      <w:r w:rsidRPr="00D66B1E">
        <w:rPr>
          <w:rStyle w:val="Emphasis"/>
        </w:rPr>
        <w:t>Version 8.0</w:t>
      </w:r>
      <w:r>
        <w:rPr>
          <w:rStyle w:val="Emphasis"/>
        </w:rPr>
        <w:t xml:space="preserve">. Draft updated June 25, 2021. </w:t>
      </w:r>
      <w:r>
        <w:t xml:space="preserve">June 25, 2021. </w:t>
      </w:r>
    </w:p>
  </w:footnote>
  <w:footnote w:id="18">
    <w:p w14:paraId="4994CE2E" w14:textId="77777777" w:rsidR="006F46F7" w:rsidRDefault="006F46F7" w:rsidP="002A30A4">
      <w:pPr>
        <w:pStyle w:val="FootnoteText"/>
      </w:pPr>
      <w:r>
        <w:rPr>
          <w:rStyle w:val="FootnoteReference"/>
        </w:rPr>
        <w:footnoteRef/>
      </w:r>
      <w:r>
        <w:t xml:space="preserve"> </w:t>
      </w:r>
      <w:r w:rsidRPr="00910778">
        <w:t>California Public Utilities Commission (CPUC). 2019. “Decision 19-08-009 Rulemaking 13-11-005 Decision Modifying the Energy Efficiency Three-Prong Test Related to Fuel Substitution”. August 1</w:t>
      </w:r>
    </w:p>
  </w:footnote>
  <w:footnote w:id="19">
    <w:p w14:paraId="4B08C50B" w14:textId="683F44A1" w:rsidR="006F46F7" w:rsidRDefault="006F46F7" w:rsidP="002A30A4">
      <w:pPr>
        <w:pStyle w:val="FootnoteText"/>
      </w:pPr>
      <w:r>
        <w:rPr>
          <w:rStyle w:val="FootnoteReference"/>
        </w:rPr>
        <w:footnoteRef/>
      </w:r>
      <w:r>
        <w:t xml:space="preserve"> </w:t>
      </w:r>
      <w:r w:rsidRPr="00B97FE0">
        <w:t xml:space="preserve">California Public Utilities Commission (CPUC), Energy Division. </w:t>
      </w:r>
      <w:r>
        <w:t>2020</w:t>
      </w:r>
      <w:r w:rsidRPr="00B97FE0">
        <w:t>. DEER202</w:t>
      </w:r>
      <w:r>
        <w:t>1</w:t>
      </w:r>
      <w:r w:rsidRPr="00B97FE0">
        <w:t xml:space="preserve"> </w:t>
      </w:r>
      <w:r>
        <w:t xml:space="preserve">DEER Water Heater </w:t>
      </w:r>
      <w:r w:rsidRPr="00B97FE0">
        <w:t>Calculator. "</w:t>
      </w:r>
      <w:r w:rsidRPr="00665BC0">
        <w:t xml:space="preserve"> DEER-WaterHeater-Calculator-v4.</w:t>
      </w:r>
      <w:r>
        <w:t>2</w:t>
      </w:r>
      <w:r w:rsidRPr="00665BC0">
        <w:t>.xlsm</w:t>
      </w:r>
      <w:r w:rsidRPr="00B97FE0">
        <w:t xml:space="preserve">." Updated </w:t>
      </w:r>
      <w:r>
        <w:t>September, 2020</w:t>
      </w:r>
      <w:r w:rsidRPr="00B97FE0">
        <w:t>.</w:t>
      </w:r>
    </w:p>
  </w:footnote>
  <w:footnote w:id="20">
    <w:p w14:paraId="4F93B86D" w14:textId="77777777" w:rsidR="006F46F7" w:rsidRDefault="006F46F7" w:rsidP="005B1805">
      <w:pPr>
        <w:pStyle w:val="FootnoteText"/>
      </w:pPr>
      <w:r>
        <w:rPr>
          <w:rStyle w:val="FootnoteReference"/>
        </w:rPr>
        <w:footnoteRef/>
      </w:r>
      <w:r>
        <w:t xml:space="preserve"> </w:t>
      </w:r>
      <w:r w:rsidRPr="00B97FE0">
        <w:t xml:space="preserve">California Public Utilities Commission (CPUC), Energy Division. </w:t>
      </w:r>
      <w:r>
        <w:t>2020</w:t>
      </w:r>
      <w:r w:rsidRPr="00B97FE0">
        <w:t xml:space="preserve">. </w:t>
      </w:r>
      <w:r>
        <w:t>DEER Water Heater Calculator Documentation v4.0 for DEER2021</w:t>
      </w:r>
      <w:r w:rsidRPr="00B97FE0">
        <w:t>. "</w:t>
      </w:r>
      <w:r w:rsidRPr="00665BC0">
        <w:t xml:space="preserve"> </w:t>
      </w:r>
      <w:r w:rsidRPr="00EB7049">
        <w:t>DEER-WaterHeater-Documentation-v4.0.pdf</w:t>
      </w:r>
      <w:r w:rsidRPr="00B97FE0">
        <w:t xml:space="preserve">." Updated </w:t>
      </w:r>
      <w:r>
        <w:t>April 30, 2020</w:t>
      </w:r>
      <w:r w:rsidRPr="00B97FE0">
        <w:t>.</w:t>
      </w:r>
    </w:p>
  </w:footnote>
  <w:footnote w:id="21">
    <w:p w14:paraId="03935E17" w14:textId="3B93448E" w:rsidR="006F46F7" w:rsidRDefault="006F46F7">
      <w:pPr>
        <w:pStyle w:val="FootnoteText"/>
      </w:pPr>
      <w:r>
        <w:rPr>
          <w:rStyle w:val="FootnoteReference"/>
        </w:rPr>
        <w:footnoteRef/>
      </w:r>
      <w:r>
        <w:t xml:space="preserve"> </w:t>
      </w:r>
      <w:r>
        <w:rPr>
          <w:szCs w:val="18"/>
        </w:rPr>
        <w:t>Southern California Gas (SCG). 2016. "</w:t>
      </w:r>
      <w:r w:rsidRPr="0086400D">
        <w:rPr>
          <w:szCs w:val="18"/>
        </w:rPr>
        <w:t>WPSCGREWH131030A_Rev0__MF_CentralBlr_Tankless_2016</w:t>
      </w:r>
      <w:r>
        <w:rPr>
          <w:szCs w:val="18"/>
        </w:rPr>
        <w:t>.xlsm"</w:t>
      </w:r>
    </w:p>
  </w:footnote>
  <w:footnote w:id="22">
    <w:p w14:paraId="4A999522" w14:textId="67D439DF" w:rsidR="005A576A" w:rsidRDefault="005A576A">
      <w:pPr>
        <w:pStyle w:val="FootnoteText"/>
      </w:pPr>
      <w:r>
        <w:rPr>
          <w:rStyle w:val="FootnoteReference"/>
        </w:rPr>
        <w:footnoteRef/>
      </w:r>
      <w:r>
        <w:t xml:space="preserve"> California Public Utilities Commission (CPUC). 2021. </w:t>
      </w:r>
      <w:r w:rsidRPr="005A576A">
        <w:rPr>
          <w:i/>
          <w:iCs/>
        </w:rPr>
        <w:t>CPUC Comments on SWWH028-02 Large Heat Pump Water Heater, Multifamily &amp; Commercial</w:t>
      </w:r>
      <w:r w:rsidRPr="00BF14AA">
        <w:rPr>
          <w:i/>
          <w:iCs/>
        </w:rPr>
        <w:t>)</w:t>
      </w:r>
      <w:r>
        <w:t>. “</w:t>
      </w:r>
      <w:r w:rsidRPr="005A576A">
        <w:t>CPUCComm_SWWH028-02_Large HPWH MFmComm_2021-10-28.docx</w:t>
      </w:r>
      <w:r>
        <w:t>”</w:t>
      </w:r>
    </w:p>
  </w:footnote>
  <w:footnote w:id="23">
    <w:p w14:paraId="4B0F86EB" w14:textId="5547AE82" w:rsidR="006F46F7" w:rsidRPr="005E2DA8" w:rsidRDefault="006F46F7">
      <w:pPr>
        <w:pStyle w:val="FootnoteText"/>
      </w:pPr>
      <w:r>
        <w:rPr>
          <w:rStyle w:val="FootnoteReference"/>
        </w:rPr>
        <w:footnoteRef/>
      </w:r>
      <w:r>
        <w:t xml:space="preserve"> California Public Utilities Commission (CPUC). 2021. </w:t>
      </w:r>
      <w:r w:rsidRPr="00BF14AA">
        <w:rPr>
          <w:i/>
          <w:iCs/>
        </w:rPr>
        <w:t>CPUC Comments on SWWH028-01 Large HPWH, MF (workpaper plan dated May 19, 2021)</w:t>
      </w:r>
      <w:r>
        <w:t>. “</w:t>
      </w:r>
      <w:r w:rsidRPr="005E2DA8">
        <w:t>CPUCComm_SWWH028-01_Large HPWH_060721</w:t>
      </w:r>
      <w:r w:rsidRPr="00BF14AA">
        <w:t>.docx</w:t>
      </w:r>
      <w:r>
        <w:t>”</w:t>
      </w:r>
    </w:p>
  </w:footnote>
  <w:footnote w:id="24">
    <w:p w14:paraId="43DBF02C" w14:textId="02B6B568" w:rsidR="006F46F7" w:rsidRDefault="006F46F7" w:rsidP="0043235B">
      <w:pPr>
        <w:pStyle w:val="FootnoteText"/>
      </w:pPr>
      <w:r>
        <w:rPr>
          <w:rStyle w:val="FootnoteReference"/>
        </w:rPr>
        <w:footnoteRef/>
      </w:r>
      <w:r>
        <w:t xml:space="preserve"> </w:t>
      </w:r>
      <w:r w:rsidRPr="003C0FEF">
        <w:rPr>
          <w:rStyle w:val="eTRMFootnoteTextChar"/>
        </w:rPr>
        <w:t>California Public Utilities Commission (CPUC), Energy Division. 2019. </w:t>
      </w:r>
      <w:r w:rsidRPr="003C0FEF">
        <w:rPr>
          <w:rStyle w:val="eTRMFootnoteTextChar"/>
          <w:i/>
          <w:iCs/>
        </w:rPr>
        <w:t>Fuel Substitution Technical Guidance, Version 1.1.</w:t>
      </w:r>
      <w:r>
        <w:rPr>
          <w:shd w:val="clear" w:color="auto" w:fill="FFFFFF"/>
        </w:rPr>
        <w:t xml:space="preserve"> October 31.</w:t>
      </w:r>
    </w:p>
  </w:footnote>
  <w:footnote w:id="25">
    <w:p w14:paraId="48BE62A5" w14:textId="4FA14ACB" w:rsidR="006F46F7" w:rsidRDefault="006F46F7" w:rsidP="00D03FE2">
      <w:pPr>
        <w:pStyle w:val="FootnoteText"/>
      </w:pPr>
      <w:r>
        <w:rPr>
          <w:rStyle w:val="FootnoteReference"/>
        </w:rPr>
        <w:footnoteRef/>
      </w:r>
      <w:r>
        <w:t xml:space="preserve"> </w:t>
      </w:r>
      <w:r>
        <w:rPr>
          <w:szCs w:val="18"/>
        </w:rPr>
        <w:t>Southern California Edison (SCE). 2021. "</w:t>
      </w:r>
      <w:r w:rsidRPr="009F065B">
        <w:t xml:space="preserve"> </w:t>
      </w:r>
      <w:r w:rsidRPr="009F065B">
        <w:rPr>
          <w:szCs w:val="18"/>
        </w:rPr>
        <w:t>SWWH02</w:t>
      </w:r>
      <w:r>
        <w:rPr>
          <w:szCs w:val="18"/>
        </w:rPr>
        <w:t>8</w:t>
      </w:r>
      <w:r w:rsidRPr="009F065B">
        <w:rPr>
          <w:szCs w:val="18"/>
        </w:rPr>
        <w:t>-0</w:t>
      </w:r>
      <w:r>
        <w:rPr>
          <w:szCs w:val="18"/>
        </w:rPr>
        <w:t>2</w:t>
      </w:r>
      <w:r w:rsidRPr="009F065B">
        <w:rPr>
          <w:szCs w:val="18"/>
        </w:rPr>
        <w:t xml:space="preserve"> MeasureDataSpec</w:t>
      </w:r>
      <w:r>
        <w:rPr>
          <w:szCs w:val="18"/>
        </w:rPr>
        <w:t>.xlsm", Online Costs tab</w:t>
      </w:r>
      <w:r>
        <w:t xml:space="preserve"> and Cost Tab</w:t>
      </w:r>
    </w:p>
  </w:footnote>
  <w:footnote w:id="26">
    <w:p w14:paraId="49CEFBC1" w14:textId="00E8BEB6" w:rsidR="006F46F7" w:rsidRDefault="006F46F7">
      <w:pPr>
        <w:pStyle w:val="FootnoteText"/>
      </w:pPr>
      <w:r>
        <w:rPr>
          <w:rStyle w:val="FootnoteReference"/>
        </w:rPr>
        <w:footnoteRef/>
      </w:r>
      <w:r>
        <w:t xml:space="preserve"> </w:t>
      </w:r>
      <w:r>
        <w:rPr>
          <w:szCs w:val="18"/>
        </w:rPr>
        <w:t>Southern California Edison (SCE). 2021. "</w:t>
      </w:r>
      <w:r w:rsidRPr="009F065B">
        <w:t xml:space="preserve"> </w:t>
      </w:r>
      <w:r w:rsidRPr="009F065B">
        <w:rPr>
          <w:szCs w:val="18"/>
        </w:rPr>
        <w:t>SWWH02</w:t>
      </w:r>
      <w:r>
        <w:rPr>
          <w:szCs w:val="18"/>
        </w:rPr>
        <w:t>8</w:t>
      </w:r>
      <w:r w:rsidRPr="009F065B">
        <w:rPr>
          <w:szCs w:val="18"/>
        </w:rPr>
        <w:t>-0</w:t>
      </w:r>
      <w:r>
        <w:rPr>
          <w:szCs w:val="18"/>
        </w:rPr>
        <w:t>2</w:t>
      </w:r>
      <w:r w:rsidRPr="009F065B">
        <w:rPr>
          <w:szCs w:val="18"/>
        </w:rPr>
        <w:t xml:space="preserve"> MeasureDataSpec</w:t>
      </w:r>
      <w:r>
        <w:rPr>
          <w:szCs w:val="18"/>
        </w:rPr>
        <w:t>.xlsm", Capacity Comparisons tab</w:t>
      </w:r>
      <w:r>
        <w:t xml:space="preserve"> and Cost Data Tab</w:t>
      </w:r>
    </w:p>
  </w:footnote>
  <w:footnote w:id="27">
    <w:p w14:paraId="61BDA078" w14:textId="0338123D" w:rsidR="006F46F7" w:rsidRDefault="006F46F7">
      <w:pPr>
        <w:pStyle w:val="FootnoteText"/>
      </w:pPr>
      <w:r>
        <w:rPr>
          <w:rStyle w:val="FootnoteReference"/>
        </w:rPr>
        <w:footnoteRef/>
      </w:r>
      <w:r>
        <w:t xml:space="preserve"> Pande, A. et al. TRC. 2021. </w:t>
      </w:r>
      <w:r w:rsidRPr="00475071">
        <w:rPr>
          <w:rStyle w:val="Emphasis"/>
        </w:rPr>
        <w:t>Codes and Standards Enhancement (CASE) Initiative 2022 California Energy Code</w:t>
      </w:r>
      <w:r>
        <w:rPr>
          <w:rStyle w:val="Emphasis"/>
        </w:rPr>
        <w:t xml:space="preserve">, </w:t>
      </w:r>
      <w:r w:rsidRPr="00475071">
        <w:rPr>
          <w:rStyle w:val="Emphasis"/>
        </w:rPr>
        <w:t>All-Electric Multifamily Compliance Pathway</w:t>
      </w:r>
      <w:r>
        <w:rPr>
          <w:rStyle w:val="Emphasis"/>
        </w:rPr>
        <w:t>.</w:t>
      </w:r>
      <w:r>
        <w:t xml:space="preserve"> Prepared for California Energy Codes and Standards statewide utility program. </w:t>
      </w:r>
      <w:r w:rsidRPr="00475071">
        <w:t>2022-MF-AEP-F</w:t>
      </w:r>
      <w:r>
        <w:t>. </w:t>
      </w:r>
    </w:p>
  </w:footnote>
  <w:footnote w:id="28">
    <w:p w14:paraId="468113A3" w14:textId="1BE4E06F" w:rsidR="006F46F7" w:rsidRDefault="006F46F7">
      <w:pPr>
        <w:pStyle w:val="FootnoteText"/>
      </w:pPr>
      <w:r>
        <w:rPr>
          <w:rStyle w:val="FootnoteReference"/>
        </w:rPr>
        <w:footnoteRef/>
      </w:r>
      <w:r>
        <w:t xml:space="preserve"> </w:t>
      </w:r>
      <w:r>
        <w:rPr>
          <w:szCs w:val="18"/>
        </w:rPr>
        <w:t>Southern California Edison (SCE). 2021. "</w:t>
      </w:r>
      <w:r w:rsidRPr="009F065B">
        <w:t xml:space="preserve"> </w:t>
      </w:r>
      <w:r w:rsidRPr="009F065B">
        <w:rPr>
          <w:szCs w:val="18"/>
        </w:rPr>
        <w:t>SWWH02</w:t>
      </w:r>
      <w:r>
        <w:rPr>
          <w:szCs w:val="18"/>
        </w:rPr>
        <w:t>8</w:t>
      </w:r>
      <w:r w:rsidRPr="009F065B">
        <w:rPr>
          <w:szCs w:val="18"/>
        </w:rPr>
        <w:t>-0</w:t>
      </w:r>
      <w:r>
        <w:rPr>
          <w:szCs w:val="18"/>
        </w:rPr>
        <w:t>2</w:t>
      </w:r>
      <w:r w:rsidRPr="009F065B">
        <w:rPr>
          <w:szCs w:val="18"/>
        </w:rPr>
        <w:t xml:space="preserve"> MeasureDataSpec</w:t>
      </w:r>
      <w:r>
        <w:rPr>
          <w:szCs w:val="18"/>
        </w:rPr>
        <w:t>.xlsm", CASE Costs tab</w:t>
      </w:r>
      <w:r>
        <w:t xml:space="preserve"> and Cost Data Tab</w:t>
      </w:r>
    </w:p>
  </w:footnote>
  <w:footnote w:id="29">
    <w:p w14:paraId="695196BE" w14:textId="7C12C333" w:rsidR="006F46F7" w:rsidRDefault="006F46F7">
      <w:pPr>
        <w:pStyle w:val="FootnoteText"/>
      </w:pPr>
      <w:r>
        <w:rPr>
          <w:rStyle w:val="FootnoteReference"/>
        </w:rPr>
        <w:footnoteRef/>
      </w:r>
      <w:r>
        <w:t xml:space="preserve"> </w:t>
      </w:r>
      <w:r>
        <w:rPr>
          <w:szCs w:val="18"/>
        </w:rPr>
        <w:t>Southern California Edison (SCE). 2021. "</w:t>
      </w:r>
      <w:r w:rsidRPr="009F065B">
        <w:t xml:space="preserve"> </w:t>
      </w:r>
      <w:r w:rsidRPr="009F065B">
        <w:rPr>
          <w:szCs w:val="18"/>
        </w:rPr>
        <w:t>SWWH02</w:t>
      </w:r>
      <w:r>
        <w:rPr>
          <w:szCs w:val="18"/>
        </w:rPr>
        <w:t>8</w:t>
      </w:r>
      <w:r w:rsidRPr="009F065B">
        <w:rPr>
          <w:szCs w:val="18"/>
        </w:rPr>
        <w:t>-0</w:t>
      </w:r>
      <w:r>
        <w:rPr>
          <w:szCs w:val="18"/>
        </w:rPr>
        <w:t>2</w:t>
      </w:r>
      <w:r w:rsidRPr="009F065B">
        <w:rPr>
          <w:szCs w:val="18"/>
        </w:rPr>
        <w:t xml:space="preserve"> MeasureDataSpec</w:t>
      </w:r>
      <w:r>
        <w:rPr>
          <w:szCs w:val="18"/>
        </w:rPr>
        <w:t xml:space="preserve">.xlsm", </w:t>
      </w:r>
      <w:r>
        <w:t>Cost Data Tab</w:t>
      </w:r>
    </w:p>
  </w:footnote>
  <w:footnote w:id="30">
    <w:p w14:paraId="3625C5E4" w14:textId="6C216D71" w:rsidR="006F46F7" w:rsidRDefault="006F46F7">
      <w:pPr>
        <w:pStyle w:val="FootnoteText"/>
      </w:pPr>
      <w:r>
        <w:rPr>
          <w:rStyle w:val="FootnoteReference"/>
        </w:rPr>
        <w:footnoteRef/>
      </w:r>
      <w:r>
        <w:t xml:space="preserve"> Pande, A. et al. TRC. 2021. </w:t>
      </w:r>
      <w:r w:rsidRPr="00475071">
        <w:rPr>
          <w:rStyle w:val="Emphasis"/>
        </w:rPr>
        <w:t>Codes and Standards Enhancement (CASE) Initiative 2022 California Energy Code</w:t>
      </w:r>
      <w:r>
        <w:rPr>
          <w:rStyle w:val="Emphasis"/>
        </w:rPr>
        <w:t xml:space="preserve">, </w:t>
      </w:r>
      <w:r w:rsidRPr="00475071">
        <w:rPr>
          <w:rStyle w:val="Emphasis"/>
        </w:rPr>
        <w:t>All-Electric Multifamily Compliance Pathway</w:t>
      </w:r>
      <w:r>
        <w:rPr>
          <w:rStyle w:val="Emphasis"/>
        </w:rPr>
        <w:t>.</w:t>
      </w:r>
      <w:r>
        <w:t xml:space="preserve"> Prepared for California Energy Codes and Standards statewide utility program. </w:t>
      </w:r>
      <w:r w:rsidRPr="00475071">
        <w:t>2022-MF-AEP-F</w:t>
      </w:r>
      <w:r>
        <w:t>. </w:t>
      </w:r>
    </w:p>
  </w:footnote>
  <w:footnote w:id="31">
    <w:p w14:paraId="4800A13A" w14:textId="77777777" w:rsidR="006F46F7" w:rsidRDefault="006F46F7" w:rsidP="00E45F3F">
      <w:pPr>
        <w:pStyle w:val="FootnoteText"/>
      </w:pPr>
      <w:r>
        <w:rPr>
          <w:rStyle w:val="FootnoteReference"/>
        </w:rPr>
        <w:footnoteRef/>
      </w:r>
      <w:r>
        <w:t xml:space="preserve"> </w:t>
      </w:r>
      <w:r>
        <w:rPr>
          <w:rStyle w:val="eTRMFootnoteTextChar"/>
          <w:i/>
          <w:iCs/>
        </w:rPr>
        <w:t>Statewide Deemed Workpaper Rulebook</w:t>
      </w:r>
      <w:r w:rsidRPr="003C0FEF">
        <w:rPr>
          <w:rStyle w:val="eTRMFootnoteTextChar"/>
          <w:i/>
          <w:iCs/>
        </w:rPr>
        <w:t xml:space="preserve">, Version </w:t>
      </w:r>
      <w:r>
        <w:rPr>
          <w:rStyle w:val="eTRMFootnoteTextChar"/>
          <w:i/>
          <w:iCs/>
        </w:rPr>
        <w:t>3.0</w:t>
      </w:r>
      <w:r w:rsidRPr="003C0FEF">
        <w:rPr>
          <w:rStyle w:val="eTRMFootnoteTextChar"/>
          <w:i/>
          <w:iCs/>
        </w:rPr>
        <w:t>.</w:t>
      </w:r>
      <w:r>
        <w:rPr>
          <w:shd w:val="clear" w:color="auto" w:fill="FFFFFF"/>
        </w:rPr>
        <w:t xml:space="preserve"> January 2020.</w:t>
      </w:r>
    </w:p>
  </w:footnote>
  <w:footnote w:id="32">
    <w:p w14:paraId="45166E5A" w14:textId="4D5F2E08" w:rsidR="006F46F7" w:rsidRDefault="006F46F7">
      <w:pPr>
        <w:pStyle w:val="FootnoteText"/>
      </w:pPr>
      <w:r>
        <w:rPr>
          <w:rStyle w:val="FootnoteReference"/>
        </w:rPr>
        <w:footnoteRef/>
      </w:r>
      <w:r>
        <w:t xml:space="preserve"> Pande, A. et al. TRC. 2021. </w:t>
      </w:r>
      <w:r w:rsidRPr="00475071">
        <w:rPr>
          <w:rStyle w:val="Emphasis"/>
        </w:rPr>
        <w:t>Codes and Standards Enhancement (CASE) Initiative 2022 California Energy Code</w:t>
      </w:r>
      <w:r>
        <w:rPr>
          <w:rStyle w:val="Emphasis"/>
        </w:rPr>
        <w:t xml:space="preserve">, </w:t>
      </w:r>
      <w:r w:rsidRPr="00475071">
        <w:rPr>
          <w:rStyle w:val="Emphasis"/>
        </w:rPr>
        <w:t>All-Electric Multifamily Compliance Pathway</w:t>
      </w:r>
      <w:r>
        <w:rPr>
          <w:rStyle w:val="Emphasis"/>
        </w:rPr>
        <w:t>.</w:t>
      </w:r>
      <w:r>
        <w:t xml:space="preserve"> Prepared for California Energy Codes and Standards statewide utility program. </w:t>
      </w:r>
      <w:r w:rsidRPr="00475071">
        <w:t>2022-MF-AEP-F</w:t>
      </w:r>
      <w:r>
        <w:t>. </w:t>
      </w:r>
    </w:p>
  </w:footnote>
  <w:footnote w:id="33">
    <w:p w14:paraId="20AF9F1A" w14:textId="49E4AAAD" w:rsidR="006F46F7" w:rsidRDefault="006F46F7">
      <w:pPr>
        <w:pStyle w:val="FootnoteText"/>
      </w:pPr>
      <w:r>
        <w:rPr>
          <w:rStyle w:val="FootnoteReference"/>
        </w:rPr>
        <w:footnoteRef/>
      </w:r>
      <w:r>
        <w:t xml:space="preserve"> </w:t>
      </w:r>
      <w:r>
        <w:rPr>
          <w:szCs w:val="18"/>
        </w:rPr>
        <w:t>Southern California Edison (SCE). 2021. "</w:t>
      </w:r>
      <w:r w:rsidRPr="009F065B">
        <w:t xml:space="preserve"> </w:t>
      </w:r>
      <w:r w:rsidRPr="009F065B">
        <w:rPr>
          <w:szCs w:val="18"/>
        </w:rPr>
        <w:t>SWWH02</w:t>
      </w:r>
      <w:r>
        <w:rPr>
          <w:szCs w:val="18"/>
        </w:rPr>
        <w:t>8</w:t>
      </w:r>
      <w:r w:rsidRPr="009F065B">
        <w:rPr>
          <w:szCs w:val="18"/>
        </w:rPr>
        <w:t>-0</w:t>
      </w:r>
      <w:r>
        <w:rPr>
          <w:szCs w:val="18"/>
        </w:rPr>
        <w:t>2</w:t>
      </w:r>
      <w:r w:rsidRPr="009F065B">
        <w:rPr>
          <w:szCs w:val="18"/>
        </w:rPr>
        <w:t xml:space="preserve"> MeasureDataSpec</w:t>
      </w:r>
      <w:r>
        <w:rPr>
          <w:szCs w:val="18"/>
        </w:rPr>
        <w:t>.xlsm", Capacity Comparisons tab</w:t>
      </w:r>
      <w:r>
        <w:t xml:space="preserve"> and Cost Data Tab</w:t>
      </w:r>
    </w:p>
  </w:footnote>
  <w:footnote w:id="34">
    <w:p w14:paraId="7A792547" w14:textId="24DE0F08" w:rsidR="006F46F7" w:rsidRDefault="006F46F7" w:rsidP="000241A9">
      <w:pPr>
        <w:pStyle w:val="FootnoteText"/>
      </w:pPr>
      <w:r>
        <w:rPr>
          <w:rStyle w:val="FootnoteReference"/>
        </w:rPr>
        <w:footnoteRef/>
      </w:r>
      <w:r>
        <w:t xml:space="preserve"> Pande, A. et al. TRC. 2021. </w:t>
      </w:r>
      <w:r w:rsidRPr="00475071">
        <w:rPr>
          <w:rStyle w:val="Emphasis"/>
        </w:rPr>
        <w:t>Codes and Standards Enhancement (CASE) Initiative 2022 California Energy Code</w:t>
      </w:r>
      <w:r>
        <w:rPr>
          <w:rStyle w:val="Emphasis"/>
        </w:rPr>
        <w:t xml:space="preserve">, </w:t>
      </w:r>
      <w:r w:rsidRPr="00475071">
        <w:rPr>
          <w:rStyle w:val="Emphasis"/>
        </w:rPr>
        <w:t>All-Electric Multifamily Compliance Pathway</w:t>
      </w:r>
      <w:r>
        <w:rPr>
          <w:rStyle w:val="Emphasis"/>
        </w:rPr>
        <w:t>.</w:t>
      </w:r>
      <w:r>
        <w:t xml:space="preserve"> Prepared for California Energy Codes and Standards statewide utility program. </w:t>
      </w:r>
      <w:r w:rsidRPr="00475071">
        <w:t>2022-MF-AEP-F</w:t>
      </w:r>
      <w:r>
        <w:t>. </w:t>
      </w:r>
    </w:p>
  </w:footnote>
  <w:footnote w:id="35">
    <w:p w14:paraId="0FDEC98B" w14:textId="77777777" w:rsidR="006F46F7" w:rsidRDefault="006F46F7" w:rsidP="003C48E1">
      <w:pPr>
        <w:pStyle w:val="FootnoteText"/>
      </w:pPr>
      <w:r>
        <w:rPr>
          <w:rStyle w:val="FootnoteReference"/>
        </w:rPr>
        <w:footnoteRef/>
      </w:r>
      <w:r>
        <w:t xml:space="preserve"> </w:t>
      </w:r>
      <w:r w:rsidRPr="00313D12">
        <w:t>California Public Utilities Commission (CPUC). 201</w:t>
      </w:r>
      <w:r>
        <w:t>9</w:t>
      </w:r>
      <w:r w:rsidRPr="00313D12">
        <w:t xml:space="preserve">. </w:t>
      </w:r>
      <w:r w:rsidRPr="00313D12">
        <w:rPr>
          <w:rStyle w:val="Emphasis"/>
          <w:rFonts w:eastAsia="Times New Roman" w:cs="Calibri Light"/>
          <w:szCs w:val="18"/>
        </w:rPr>
        <w:t>Decision 19-08-009 in the Order Instituting Rulemaking Concerning Energy Efficiency Rolling Portfolios, Policies, Programs, Evaluation, and Related Issues (R.13-11-005).</w:t>
      </w:r>
      <w:r w:rsidRPr="00313D12">
        <w:t xml:space="preserve"> Issued August 5. OP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89A6C" w14:textId="77777777" w:rsidR="006F46F7" w:rsidRPr="000220A0" w:rsidRDefault="006F46F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D59FC" w14:textId="77777777" w:rsidR="006F46F7" w:rsidRDefault="006F46F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5F01CF3E" w14:textId="77777777" w:rsidR="006F46F7" w:rsidRDefault="006F46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BD80" w14:textId="77777777" w:rsidR="006F46F7" w:rsidRDefault="006F46F7" w:rsidP="00BD221D">
    <w:pPr>
      <w:jc w:val="center"/>
    </w:pPr>
  </w:p>
  <w:p w14:paraId="47CFDC0C" w14:textId="77777777" w:rsidR="006F46F7" w:rsidRDefault="006F46F7" w:rsidP="00BD221D">
    <w:pPr>
      <w:jc w:val="center"/>
    </w:pPr>
    <w:r>
      <w:rPr>
        <w:noProof/>
      </w:rPr>
      <w:drawing>
        <wp:inline distT="0" distB="0" distL="0" distR="0" wp14:anchorId="3A4E70A8" wp14:editId="6E44AD34">
          <wp:extent cx="937307" cy="1405961"/>
          <wp:effectExtent l="0" t="0" r="2540" b="0"/>
          <wp:docPr id="12" name="Picture 1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D697" w14:textId="5B877E4B" w:rsidR="006F46F7" w:rsidRDefault="006F46F7" w:rsidP="00986C3B">
    <w:pPr>
      <w:pStyle w:val="Header"/>
    </w:pPr>
    <w:r>
      <w:rPr>
        <w:rFonts w:ascii="Calibri Light" w:hAnsi="Calibri Light"/>
      </w:rPr>
      <w:t xml:space="preserve">Service &amp; Domestic Hot Water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sidRPr="00372EC6">
      <w:rPr>
        <w:rFonts w:ascii="Calibri Light" w:hAnsi="Calibri Light"/>
        <w:b/>
      </w:rPr>
      <w:t>HEAT PUMP WATER HEATER</w:t>
    </w:r>
    <w:r>
      <w:rPr>
        <w:rFonts w:ascii="Calibri Light" w:hAnsi="Calibri Light"/>
        <w:b/>
      </w:rPr>
      <w:t xml:space="preserve">, MULTIFAMILY &amp; COMMERCIAL, </w:t>
    </w:r>
    <w:r w:rsidRPr="00372EC6">
      <w:rPr>
        <w:rFonts w:ascii="Calibri Light" w:hAnsi="Calibri Light"/>
        <w:b/>
      </w:rPr>
      <w:t>FUEL SUBSTITUTION</w:t>
    </w:r>
  </w:p>
  <w:p w14:paraId="39FF24B0" w14:textId="77777777" w:rsidR="006F46F7" w:rsidRDefault="006F46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109D4" w14:textId="77777777" w:rsidR="006F46F7" w:rsidRDefault="006F46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C2F5CB9"/>
    <w:multiLevelType w:val="hybridMultilevel"/>
    <w:tmpl w:val="BF0A956E"/>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8D554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15:restartNumberingAfterBreak="0">
    <w:nsid w:val="03C971B7"/>
    <w:multiLevelType w:val="hybridMultilevel"/>
    <w:tmpl w:val="0792DB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6303F1"/>
    <w:multiLevelType w:val="hybridMultilevel"/>
    <w:tmpl w:val="E87C8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56DD90"/>
    <w:multiLevelType w:val="hybridMultilevel"/>
    <w:tmpl w:val="0436D7E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C1B130A"/>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DE26AB"/>
    <w:multiLevelType w:val="hybridMultilevel"/>
    <w:tmpl w:val="4A7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9801FA"/>
    <w:multiLevelType w:val="hybridMultilevel"/>
    <w:tmpl w:val="078CF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845A5A"/>
    <w:multiLevelType w:val="hybridMultilevel"/>
    <w:tmpl w:val="09766422"/>
    <w:lvl w:ilvl="0" w:tplc="D5BAC996">
      <w:start w:val="1"/>
      <w:numFmt w:val="bullet"/>
      <w:lvlText w:val=""/>
      <w:lvlJc w:val="left"/>
      <w:pPr>
        <w:ind w:left="1080" w:hanging="360"/>
      </w:pPr>
      <w:rPr>
        <w:rFonts w:ascii="Symbol" w:hAnsi="Symbol" w:hint="default"/>
        <w:color w:val="404040" w:themeColor="accent3" w:themeShade="8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81D4176"/>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1" w15:restartNumberingAfterBreak="0">
    <w:nsid w:val="1B6C257D"/>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D8360FC"/>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D61CD5"/>
    <w:multiLevelType w:val="hybridMultilevel"/>
    <w:tmpl w:val="C2560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232729"/>
    <w:multiLevelType w:val="hybridMultilevel"/>
    <w:tmpl w:val="FB58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4928E9"/>
    <w:multiLevelType w:val="hybridMultilevel"/>
    <w:tmpl w:val="5346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0D64C6"/>
    <w:multiLevelType w:val="multilevel"/>
    <w:tmpl w:val="753050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FD24E5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1C51F9D"/>
    <w:multiLevelType w:val="hybridMultilevel"/>
    <w:tmpl w:val="1BAE5C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80715E"/>
    <w:multiLevelType w:val="multilevel"/>
    <w:tmpl w:val="D8DE6B4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2" w15:restartNumberingAfterBreak="0">
    <w:nsid w:val="345A30BC"/>
    <w:multiLevelType w:val="hybridMultilevel"/>
    <w:tmpl w:val="B4D258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6022828"/>
    <w:multiLevelType w:val="hybridMultilevel"/>
    <w:tmpl w:val="FC1EB1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C36287"/>
    <w:multiLevelType w:val="hybridMultilevel"/>
    <w:tmpl w:val="DDFCA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8041816"/>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A16C52"/>
    <w:multiLevelType w:val="hybridMultilevel"/>
    <w:tmpl w:val="C3C88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DE2E4B"/>
    <w:multiLevelType w:val="hybridMultilevel"/>
    <w:tmpl w:val="5D4E0A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235873"/>
    <w:multiLevelType w:val="hybridMultilevel"/>
    <w:tmpl w:val="933029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331E4F"/>
    <w:multiLevelType w:val="hybridMultilevel"/>
    <w:tmpl w:val="EB2EF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E778C6"/>
    <w:multiLevelType w:val="hybridMultilevel"/>
    <w:tmpl w:val="4A32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F165CE"/>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4"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5" w15:restartNumberingAfterBreak="0">
    <w:nsid w:val="5DEE44A8"/>
    <w:multiLevelType w:val="hybridMultilevel"/>
    <w:tmpl w:val="9408A4F2"/>
    <w:lvl w:ilvl="0" w:tplc="694C1B1A">
      <w:start w:val="1"/>
      <w:numFmt w:val="lowerLetter"/>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B514566"/>
    <w:multiLevelType w:val="hybridMultilevel"/>
    <w:tmpl w:val="541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354E66"/>
    <w:multiLevelType w:val="multilevel"/>
    <w:tmpl w:val="6BF881A8"/>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201F9F"/>
    <w:multiLevelType w:val="hybridMultilevel"/>
    <w:tmpl w:val="EF10FB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3A73DE"/>
    <w:multiLevelType w:val="hybridMultilevel"/>
    <w:tmpl w:val="52DC46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D64DDE"/>
    <w:multiLevelType w:val="hybridMultilevel"/>
    <w:tmpl w:val="1D3A84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3B5A2E"/>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313117"/>
    <w:multiLevelType w:val="hybridMultilevel"/>
    <w:tmpl w:val="93406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5" w15:restartNumberingAfterBreak="0">
    <w:nsid w:val="7577186B"/>
    <w:multiLevelType w:val="hybridMultilevel"/>
    <w:tmpl w:val="388A8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7" w15:restartNumberingAfterBreak="0">
    <w:nsid w:val="765452FC"/>
    <w:multiLevelType w:val="hybridMultilevel"/>
    <w:tmpl w:val="8E46B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6961D01"/>
    <w:multiLevelType w:val="multilevel"/>
    <w:tmpl w:val="79E6F690"/>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49" w15:restartNumberingAfterBreak="0">
    <w:nsid w:val="78134A25"/>
    <w:multiLevelType w:val="hybridMultilevel"/>
    <w:tmpl w:val="1452D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E903BD3"/>
    <w:multiLevelType w:val="hybridMultilevel"/>
    <w:tmpl w:val="D3924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F791DFA"/>
    <w:multiLevelType w:val="hybridMultilevel"/>
    <w:tmpl w:val="F7901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46"/>
  </w:num>
  <w:num w:numId="3">
    <w:abstractNumId w:val="34"/>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41"/>
  </w:num>
  <w:num w:numId="5">
    <w:abstractNumId w:val="13"/>
  </w:num>
  <w:num w:numId="6">
    <w:abstractNumId w:val="14"/>
  </w:num>
  <w:num w:numId="7">
    <w:abstractNumId w:val="33"/>
  </w:num>
  <w:num w:numId="8">
    <w:abstractNumId w:val="48"/>
  </w:num>
  <w:num w:numId="9">
    <w:abstractNumId w:val="19"/>
  </w:num>
  <w:num w:numId="10">
    <w:abstractNumId w:val="1"/>
  </w:num>
  <w:num w:numId="11">
    <w:abstractNumId w:val="21"/>
  </w:num>
  <w:num w:numId="12">
    <w:abstractNumId w:val="17"/>
  </w:num>
  <w:num w:numId="13">
    <w:abstractNumId w:val="11"/>
  </w:num>
  <w:num w:numId="14">
    <w:abstractNumId w:val="49"/>
  </w:num>
  <w:num w:numId="15">
    <w:abstractNumId w:val="12"/>
  </w:num>
  <w:num w:numId="16">
    <w:abstractNumId w:val="10"/>
  </w:num>
  <w:num w:numId="17">
    <w:abstractNumId w:val="7"/>
  </w:num>
  <w:num w:numId="18">
    <w:abstractNumId w:val="32"/>
  </w:num>
  <w:num w:numId="19">
    <w:abstractNumId w:val="37"/>
  </w:num>
  <w:num w:numId="20">
    <w:abstractNumId w:val="6"/>
  </w:num>
  <w:num w:numId="21">
    <w:abstractNumId w:val="36"/>
  </w:num>
  <w:num w:numId="22">
    <w:abstractNumId w:val="8"/>
  </w:num>
  <w:num w:numId="23">
    <w:abstractNumId w:val="51"/>
  </w:num>
  <w:num w:numId="24">
    <w:abstractNumId w:val="20"/>
  </w:num>
  <w:num w:numId="25">
    <w:abstractNumId w:val="29"/>
  </w:num>
  <w:num w:numId="26">
    <w:abstractNumId w:val="22"/>
  </w:num>
  <w:num w:numId="27">
    <w:abstractNumId w:val="40"/>
  </w:num>
  <w:num w:numId="28">
    <w:abstractNumId w:val="27"/>
  </w:num>
  <w:num w:numId="29">
    <w:abstractNumId w:val="42"/>
  </w:num>
  <w:num w:numId="30">
    <w:abstractNumId w:val="50"/>
  </w:num>
  <w:num w:numId="31">
    <w:abstractNumId w:val="30"/>
  </w:num>
  <w:num w:numId="32">
    <w:abstractNumId w:val="39"/>
  </w:num>
  <w:num w:numId="33">
    <w:abstractNumId w:val="45"/>
  </w:num>
  <w:num w:numId="34">
    <w:abstractNumId w:val="9"/>
  </w:num>
  <w:num w:numId="35">
    <w:abstractNumId w:val="18"/>
  </w:num>
  <w:num w:numId="36">
    <w:abstractNumId w:val="25"/>
  </w:num>
  <w:num w:numId="37">
    <w:abstractNumId w:val="35"/>
  </w:num>
  <w:num w:numId="38">
    <w:abstractNumId w:val="4"/>
  </w:num>
  <w:num w:numId="39">
    <w:abstractNumId w:val="47"/>
  </w:num>
  <w:num w:numId="40">
    <w:abstractNumId w:val="38"/>
  </w:num>
  <w:num w:numId="41">
    <w:abstractNumId w:val="43"/>
  </w:num>
  <w:num w:numId="42">
    <w:abstractNumId w:val="24"/>
  </w:num>
  <w:num w:numId="43">
    <w:abstractNumId w:val="2"/>
  </w:num>
  <w:num w:numId="44">
    <w:abstractNumId w:val="15"/>
  </w:num>
  <w:num w:numId="45">
    <w:abstractNumId w:val="5"/>
  </w:num>
  <w:num w:numId="46">
    <w:abstractNumId w:val="0"/>
  </w:num>
  <w:num w:numId="47">
    <w:abstractNumId w:val="3"/>
  </w:num>
  <w:num w:numId="48">
    <w:abstractNumId w:val="16"/>
  </w:num>
  <w:num w:numId="49">
    <w:abstractNumId w:val="28"/>
  </w:num>
  <w:num w:numId="50">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B6F"/>
    <w:rsid w:val="000040F0"/>
    <w:rsid w:val="00005B06"/>
    <w:rsid w:val="000063B0"/>
    <w:rsid w:val="0000704D"/>
    <w:rsid w:val="000110D9"/>
    <w:rsid w:val="000111AF"/>
    <w:rsid w:val="000117AB"/>
    <w:rsid w:val="00012728"/>
    <w:rsid w:val="0001609E"/>
    <w:rsid w:val="00016928"/>
    <w:rsid w:val="000172B7"/>
    <w:rsid w:val="00020A73"/>
    <w:rsid w:val="000220A0"/>
    <w:rsid w:val="000229F1"/>
    <w:rsid w:val="0002389A"/>
    <w:rsid w:val="000241A9"/>
    <w:rsid w:val="00024239"/>
    <w:rsid w:val="00026D58"/>
    <w:rsid w:val="000302DF"/>
    <w:rsid w:val="00031184"/>
    <w:rsid w:val="000328F2"/>
    <w:rsid w:val="000336CD"/>
    <w:rsid w:val="0003562D"/>
    <w:rsid w:val="00037595"/>
    <w:rsid w:val="00037A06"/>
    <w:rsid w:val="000406BE"/>
    <w:rsid w:val="0004314F"/>
    <w:rsid w:val="000433BE"/>
    <w:rsid w:val="000459AC"/>
    <w:rsid w:val="00046BB0"/>
    <w:rsid w:val="00050909"/>
    <w:rsid w:val="0005108E"/>
    <w:rsid w:val="000510CE"/>
    <w:rsid w:val="00051DBB"/>
    <w:rsid w:val="00052143"/>
    <w:rsid w:val="00052C95"/>
    <w:rsid w:val="000530E4"/>
    <w:rsid w:val="000539F2"/>
    <w:rsid w:val="00055491"/>
    <w:rsid w:val="0005587A"/>
    <w:rsid w:val="00055914"/>
    <w:rsid w:val="00056ADB"/>
    <w:rsid w:val="00060FC2"/>
    <w:rsid w:val="00061886"/>
    <w:rsid w:val="00061D34"/>
    <w:rsid w:val="000621A8"/>
    <w:rsid w:val="00065E54"/>
    <w:rsid w:val="00066723"/>
    <w:rsid w:val="000672E5"/>
    <w:rsid w:val="000702E4"/>
    <w:rsid w:val="00074E3E"/>
    <w:rsid w:val="000767E9"/>
    <w:rsid w:val="00077905"/>
    <w:rsid w:val="00077A7A"/>
    <w:rsid w:val="00080809"/>
    <w:rsid w:val="0008108C"/>
    <w:rsid w:val="00081306"/>
    <w:rsid w:val="000841AA"/>
    <w:rsid w:val="000849F6"/>
    <w:rsid w:val="00085726"/>
    <w:rsid w:val="00087FD4"/>
    <w:rsid w:val="00090556"/>
    <w:rsid w:val="00090BBF"/>
    <w:rsid w:val="000910B7"/>
    <w:rsid w:val="00091581"/>
    <w:rsid w:val="00091F66"/>
    <w:rsid w:val="0009206D"/>
    <w:rsid w:val="00094517"/>
    <w:rsid w:val="00096485"/>
    <w:rsid w:val="00096C5B"/>
    <w:rsid w:val="000978C8"/>
    <w:rsid w:val="000A1C8B"/>
    <w:rsid w:val="000A270E"/>
    <w:rsid w:val="000A4D3A"/>
    <w:rsid w:val="000A5FC9"/>
    <w:rsid w:val="000A62EF"/>
    <w:rsid w:val="000A66B7"/>
    <w:rsid w:val="000A6953"/>
    <w:rsid w:val="000A7058"/>
    <w:rsid w:val="000B139B"/>
    <w:rsid w:val="000B1BE7"/>
    <w:rsid w:val="000B6004"/>
    <w:rsid w:val="000B721E"/>
    <w:rsid w:val="000C0598"/>
    <w:rsid w:val="000C2FA6"/>
    <w:rsid w:val="000C36B4"/>
    <w:rsid w:val="000C4BDE"/>
    <w:rsid w:val="000C5378"/>
    <w:rsid w:val="000C72C1"/>
    <w:rsid w:val="000C76E2"/>
    <w:rsid w:val="000C7B77"/>
    <w:rsid w:val="000D1A03"/>
    <w:rsid w:val="000D2F3F"/>
    <w:rsid w:val="000D6373"/>
    <w:rsid w:val="000D7D80"/>
    <w:rsid w:val="000E0244"/>
    <w:rsid w:val="000E044A"/>
    <w:rsid w:val="000E1D72"/>
    <w:rsid w:val="000E2BF2"/>
    <w:rsid w:val="000E4F6D"/>
    <w:rsid w:val="000E769A"/>
    <w:rsid w:val="000E7FE5"/>
    <w:rsid w:val="000F0229"/>
    <w:rsid w:val="000F0F30"/>
    <w:rsid w:val="000F1833"/>
    <w:rsid w:val="000F219D"/>
    <w:rsid w:val="000F220C"/>
    <w:rsid w:val="000F41B8"/>
    <w:rsid w:val="000F5FC7"/>
    <w:rsid w:val="00101027"/>
    <w:rsid w:val="001010E0"/>
    <w:rsid w:val="00103399"/>
    <w:rsid w:val="0010469F"/>
    <w:rsid w:val="0010471F"/>
    <w:rsid w:val="00104933"/>
    <w:rsid w:val="0010657B"/>
    <w:rsid w:val="00106A38"/>
    <w:rsid w:val="001100CD"/>
    <w:rsid w:val="00111A53"/>
    <w:rsid w:val="00112455"/>
    <w:rsid w:val="00114294"/>
    <w:rsid w:val="0011498C"/>
    <w:rsid w:val="00117351"/>
    <w:rsid w:val="001204A7"/>
    <w:rsid w:val="00120592"/>
    <w:rsid w:val="00120EE4"/>
    <w:rsid w:val="001217DF"/>
    <w:rsid w:val="0012187D"/>
    <w:rsid w:val="00123594"/>
    <w:rsid w:val="00124BFE"/>
    <w:rsid w:val="00125D36"/>
    <w:rsid w:val="00126809"/>
    <w:rsid w:val="00126B25"/>
    <w:rsid w:val="00127440"/>
    <w:rsid w:val="00131C5A"/>
    <w:rsid w:val="00136B0D"/>
    <w:rsid w:val="00137F20"/>
    <w:rsid w:val="00141105"/>
    <w:rsid w:val="001429A1"/>
    <w:rsid w:val="00142D3C"/>
    <w:rsid w:val="00144D3A"/>
    <w:rsid w:val="001451AB"/>
    <w:rsid w:val="001474D9"/>
    <w:rsid w:val="001501B3"/>
    <w:rsid w:val="00151B9F"/>
    <w:rsid w:val="00153BB7"/>
    <w:rsid w:val="00154391"/>
    <w:rsid w:val="00154C2A"/>
    <w:rsid w:val="001564FC"/>
    <w:rsid w:val="00157985"/>
    <w:rsid w:val="00161DF1"/>
    <w:rsid w:val="00162A3F"/>
    <w:rsid w:val="00163CBE"/>
    <w:rsid w:val="001648F6"/>
    <w:rsid w:val="00165C04"/>
    <w:rsid w:val="00166375"/>
    <w:rsid w:val="001679E7"/>
    <w:rsid w:val="00171951"/>
    <w:rsid w:val="00171BB8"/>
    <w:rsid w:val="001741DD"/>
    <w:rsid w:val="00174707"/>
    <w:rsid w:val="00175068"/>
    <w:rsid w:val="0017685E"/>
    <w:rsid w:val="00176929"/>
    <w:rsid w:val="00177B50"/>
    <w:rsid w:val="00177EB6"/>
    <w:rsid w:val="00180DAD"/>
    <w:rsid w:val="00181672"/>
    <w:rsid w:val="00181E01"/>
    <w:rsid w:val="00183072"/>
    <w:rsid w:val="00183874"/>
    <w:rsid w:val="00191A92"/>
    <w:rsid w:val="001944A0"/>
    <w:rsid w:val="001944B4"/>
    <w:rsid w:val="00195B03"/>
    <w:rsid w:val="00196155"/>
    <w:rsid w:val="00196649"/>
    <w:rsid w:val="001A0340"/>
    <w:rsid w:val="001A11C7"/>
    <w:rsid w:val="001A1D3A"/>
    <w:rsid w:val="001A4BE1"/>
    <w:rsid w:val="001A7A21"/>
    <w:rsid w:val="001B0D29"/>
    <w:rsid w:val="001B113B"/>
    <w:rsid w:val="001B1D23"/>
    <w:rsid w:val="001B20E5"/>
    <w:rsid w:val="001B2CC8"/>
    <w:rsid w:val="001B426F"/>
    <w:rsid w:val="001B4DB1"/>
    <w:rsid w:val="001B629E"/>
    <w:rsid w:val="001B7CFA"/>
    <w:rsid w:val="001C0277"/>
    <w:rsid w:val="001C2ACE"/>
    <w:rsid w:val="001C2DAA"/>
    <w:rsid w:val="001C47B6"/>
    <w:rsid w:val="001C6C9B"/>
    <w:rsid w:val="001C6D93"/>
    <w:rsid w:val="001C7134"/>
    <w:rsid w:val="001D0318"/>
    <w:rsid w:val="001D138B"/>
    <w:rsid w:val="001D3091"/>
    <w:rsid w:val="001D44FB"/>
    <w:rsid w:val="001D5907"/>
    <w:rsid w:val="001D656F"/>
    <w:rsid w:val="001D65A6"/>
    <w:rsid w:val="001D7A57"/>
    <w:rsid w:val="001E0138"/>
    <w:rsid w:val="001E19A3"/>
    <w:rsid w:val="001E3E41"/>
    <w:rsid w:val="001E4C3F"/>
    <w:rsid w:val="001E6273"/>
    <w:rsid w:val="001F00E9"/>
    <w:rsid w:val="001F1F80"/>
    <w:rsid w:val="001F26AA"/>
    <w:rsid w:val="001F438E"/>
    <w:rsid w:val="001F4685"/>
    <w:rsid w:val="001F6419"/>
    <w:rsid w:val="001F6513"/>
    <w:rsid w:val="001F735E"/>
    <w:rsid w:val="001F73BB"/>
    <w:rsid w:val="002005A8"/>
    <w:rsid w:val="002006B6"/>
    <w:rsid w:val="00201F21"/>
    <w:rsid w:val="00202503"/>
    <w:rsid w:val="00203076"/>
    <w:rsid w:val="002031BB"/>
    <w:rsid w:val="00203ECA"/>
    <w:rsid w:val="00204DEF"/>
    <w:rsid w:val="00205BAF"/>
    <w:rsid w:val="00206263"/>
    <w:rsid w:val="00207F85"/>
    <w:rsid w:val="00211847"/>
    <w:rsid w:val="0021226A"/>
    <w:rsid w:val="0021230E"/>
    <w:rsid w:val="0021746B"/>
    <w:rsid w:val="00222847"/>
    <w:rsid w:val="00224A16"/>
    <w:rsid w:val="00225142"/>
    <w:rsid w:val="0022519B"/>
    <w:rsid w:val="00226694"/>
    <w:rsid w:val="00227BDD"/>
    <w:rsid w:val="00230857"/>
    <w:rsid w:val="002315DC"/>
    <w:rsid w:val="002318A4"/>
    <w:rsid w:val="002335FF"/>
    <w:rsid w:val="00233BB5"/>
    <w:rsid w:val="00233D87"/>
    <w:rsid w:val="00236232"/>
    <w:rsid w:val="0023666C"/>
    <w:rsid w:val="00236692"/>
    <w:rsid w:val="00236E0A"/>
    <w:rsid w:val="00237964"/>
    <w:rsid w:val="002434DE"/>
    <w:rsid w:val="0024462C"/>
    <w:rsid w:val="002450C9"/>
    <w:rsid w:val="00245AFF"/>
    <w:rsid w:val="0024628D"/>
    <w:rsid w:val="0024690E"/>
    <w:rsid w:val="00251ABC"/>
    <w:rsid w:val="002524CF"/>
    <w:rsid w:val="00252D6D"/>
    <w:rsid w:val="00252E9E"/>
    <w:rsid w:val="00256400"/>
    <w:rsid w:val="002564AB"/>
    <w:rsid w:val="00257163"/>
    <w:rsid w:val="00262884"/>
    <w:rsid w:val="00265242"/>
    <w:rsid w:val="002652D2"/>
    <w:rsid w:val="00266135"/>
    <w:rsid w:val="00271B18"/>
    <w:rsid w:val="00273571"/>
    <w:rsid w:val="0027398C"/>
    <w:rsid w:val="002761F5"/>
    <w:rsid w:val="00276F9B"/>
    <w:rsid w:val="00281ABF"/>
    <w:rsid w:val="00283862"/>
    <w:rsid w:val="00283BE8"/>
    <w:rsid w:val="00293F4C"/>
    <w:rsid w:val="002942B0"/>
    <w:rsid w:val="002947B9"/>
    <w:rsid w:val="0029555D"/>
    <w:rsid w:val="0029781E"/>
    <w:rsid w:val="002A10CE"/>
    <w:rsid w:val="002A1953"/>
    <w:rsid w:val="002A2471"/>
    <w:rsid w:val="002A2A94"/>
    <w:rsid w:val="002A30A4"/>
    <w:rsid w:val="002A54CE"/>
    <w:rsid w:val="002A6C3D"/>
    <w:rsid w:val="002B08CB"/>
    <w:rsid w:val="002B107C"/>
    <w:rsid w:val="002B2C97"/>
    <w:rsid w:val="002B3BF4"/>
    <w:rsid w:val="002B6DED"/>
    <w:rsid w:val="002B6F2A"/>
    <w:rsid w:val="002B7788"/>
    <w:rsid w:val="002C06FC"/>
    <w:rsid w:val="002C1117"/>
    <w:rsid w:val="002C2E26"/>
    <w:rsid w:val="002C67DF"/>
    <w:rsid w:val="002C6BAF"/>
    <w:rsid w:val="002C6F62"/>
    <w:rsid w:val="002C73B9"/>
    <w:rsid w:val="002D0036"/>
    <w:rsid w:val="002D17CE"/>
    <w:rsid w:val="002D29F8"/>
    <w:rsid w:val="002D40EE"/>
    <w:rsid w:val="002D4191"/>
    <w:rsid w:val="002D4993"/>
    <w:rsid w:val="002D50E9"/>
    <w:rsid w:val="002D5CFA"/>
    <w:rsid w:val="002E000C"/>
    <w:rsid w:val="002E4F0D"/>
    <w:rsid w:val="002E5874"/>
    <w:rsid w:val="002F036B"/>
    <w:rsid w:val="002F1C19"/>
    <w:rsid w:val="002F31FC"/>
    <w:rsid w:val="002F41A0"/>
    <w:rsid w:val="002F4DF6"/>
    <w:rsid w:val="002F78E9"/>
    <w:rsid w:val="00302A82"/>
    <w:rsid w:val="00302B26"/>
    <w:rsid w:val="00304892"/>
    <w:rsid w:val="003103FB"/>
    <w:rsid w:val="003120BB"/>
    <w:rsid w:val="00312D74"/>
    <w:rsid w:val="00313C99"/>
    <w:rsid w:val="00313E1D"/>
    <w:rsid w:val="0031400D"/>
    <w:rsid w:val="00314EAB"/>
    <w:rsid w:val="003161C4"/>
    <w:rsid w:val="003215DB"/>
    <w:rsid w:val="00321DE7"/>
    <w:rsid w:val="003239A8"/>
    <w:rsid w:val="00323A93"/>
    <w:rsid w:val="003247FA"/>
    <w:rsid w:val="003309DA"/>
    <w:rsid w:val="003322A4"/>
    <w:rsid w:val="00333809"/>
    <w:rsid w:val="003346BA"/>
    <w:rsid w:val="0033476C"/>
    <w:rsid w:val="00334B84"/>
    <w:rsid w:val="00336278"/>
    <w:rsid w:val="00336313"/>
    <w:rsid w:val="00337D1D"/>
    <w:rsid w:val="00343135"/>
    <w:rsid w:val="00345C3F"/>
    <w:rsid w:val="0035060F"/>
    <w:rsid w:val="00352771"/>
    <w:rsid w:val="00352864"/>
    <w:rsid w:val="00355A2A"/>
    <w:rsid w:val="00355A49"/>
    <w:rsid w:val="00356DE8"/>
    <w:rsid w:val="00362F9E"/>
    <w:rsid w:val="00363BE8"/>
    <w:rsid w:val="00363C0D"/>
    <w:rsid w:val="00364BAE"/>
    <w:rsid w:val="00370B5D"/>
    <w:rsid w:val="00371479"/>
    <w:rsid w:val="00372EA2"/>
    <w:rsid w:val="00372EC6"/>
    <w:rsid w:val="00372F61"/>
    <w:rsid w:val="00373F5C"/>
    <w:rsid w:val="00375F1C"/>
    <w:rsid w:val="00376BB9"/>
    <w:rsid w:val="003814FB"/>
    <w:rsid w:val="00383149"/>
    <w:rsid w:val="00383E4B"/>
    <w:rsid w:val="00384941"/>
    <w:rsid w:val="00385069"/>
    <w:rsid w:val="00386F1D"/>
    <w:rsid w:val="00387072"/>
    <w:rsid w:val="00392097"/>
    <w:rsid w:val="00392684"/>
    <w:rsid w:val="00393E52"/>
    <w:rsid w:val="00395403"/>
    <w:rsid w:val="003965C2"/>
    <w:rsid w:val="00396963"/>
    <w:rsid w:val="003A0268"/>
    <w:rsid w:val="003A0384"/>
    <w:rsid w:val="003A6A71"/>
    <w:rsid w:val="003B1887"/>
    <w:rsid w:val="003B50A3"/>
    <w:rsid w:val="003B63C5"/>
    <w:rsid w:val="003B69DE"/>
    <w:rsid w:val="003B7610"/>
    <w:rsid w:val="003C11D7"/>
    <w:rsid w:val="003C2CC3"/>
    <w:rsid w:val="003C48E1"/>
    <w:rsid w:val="003C55D5"/>
    <w:rsid w:val="003C7721"/>
    <w:rsid w:val="003D06BD"/>
    <w:rsid w:val="003D1FB8"/>
    <w:rsid w:val="003D6DFC"/>
    <w:rsid w:val="003D70D3"/>
    <w:rsid w:val="003D7104"/>
    <w:rsid w:val="003E0EE6"/>
    <w:rsid w:val="003E2013"/>
    <w:rsid w:val="003E2462"/>
    <w:rsid w:val="003E50CF"/>
    <w:rsid w:val="003E5605"/>
    <w:rsid w:val="003E5AAD"/>
    <w:rsid w:val="003E79DE"/>
    <w:rsid w:val="003E7BC6"/>
    <w:rsid w:val="003F21D2"/>
    <w:rsid w:val="003F269E"/>
    <w:rsid w:val="003F3774"/>
    <w:rsid w:val="003F4924"/>
    <w:rsid w:val="003F4964"/>
    <w:rsid w:val="003F65F3"/>
    <w:rsid w:val="003F6C3A"/>
    <w:rsid w:val="00401C43"/>
    <w:rsid w:val="004046FF"/>
    <w:rsid w:val="00406539"/>
    <w:rsid w:val="0040735B"/>
    <w:rsid w:val="00410790"/>
    <w:rsid w:val="00411EF4"/>
    <w:rsid w:val="004133BB"/>
    <w:rsid w:val="004142EF"/>
    <w:rsid w:val="00420661"/>
    <w:rsid w:val="00420958"/>
    <w:rsid w:val="00420EF1"/>
    <w:rsid w:val="00421920"/>
    <w:rsid w:val="004226FC"/>
    <w:rsid w:val="0042357E"/>
    <w:rsid w:val="00423D33"/>
    <w:rsid w:val="004249A0"/>
    <w:rsid w:val="0042533D"/>
    <w:rsid w:val="004275DB"/>
    <w:rsid w:val="0043155E"/>
    <w:rsid w:val="0043235B"/>
    <w:rsid w:val="00432D49"/>
    <w:rsid w:val="004339EA"/>
    <w:rsid w:val="00433E8F"/>
    <w:rsid w:val="00434145"/>
    <w:rsid w:val="004354B3"/>
    <w:rsid w:val="004453C1"/>
    <w:rsid w:val="0044577B"/>
    <w:rsid w:val="00446EAA"/>
    <w:rsid w:val="00450222"/>
    <w:rsid w:val="00451588"/>
    <w:rsid w:val="004517F1"/>
    <w:rsid w:val="00451FF6"/>
    <w:rsid w:val="004521FF"/>
    <w:rsid w:val="004534B5"/>
    <w:rsid w:val="0045410A"/>
    <w:rsid w:val="004556DF"/>
    <w:rsid w:val="00460F56"/>
    <w:rsid w:val="004612E2"/>
    <w:rsid w:val="00461AE3"/>
    <w:rsid w:val="0046236A"/>
    <w:rsid w:val="00462BB6"/>
    <w:rsid w:val="00463340"/>
    <w:rsid w:val="00464508"/>
    <w:rsid w:val="00464A32"/>
    <w:rsid w:val="00464A63"/>
    <w:rsid w:val="00464DDC"/>
    <w:rsid w:val="00466DD6"/>
    <w:rsid w:val="00470670"/>
    <w:rsid w:val="00470F07"/>
    <w:rsid w:val="00472286"/>
    <w:rsid w:val="00473019"/>
    <w:rsid w:val="00475071"/>
    <w:rsid w:val="00475A47"/>
    <w:rsid w:val="00475D57"/>
    <w:rsid w:val="00476036"/>
    <w:rsid w:val="0047771D"/>
    <w:rsid w:val="00477EBC"/>
    <w:rsid w:val="0048391F"/>
    <w:rsid w:val="004840DD"/>
    <w:rsid w:val="00484536"/>
    <w:rsid w:val="00486585"/>
    <w:rsid w:val="004865FC"/>
    <w:rsid w:val="00487322"/>
    <w:rsid w:val="004922A0"/>
    <w:rsid w:val="00492985"/>
    <w:rsid w:val="00492A27"/>
    <w:rsid w:val="00492C3A"/>
    <w:rsid w:val="00492F3D"/>
    <w:rsid w:val="0049615E"/>
    <w:rsid w:val="00497289"/>
    <w:rsid w:val="004A06AE"/>
    <w:rsid w:val="004A1C71"/>
    <w:rsid w:val="004A510D"/>
    <w:rsid w:val="004B06E3"/>
    <w:rsid w:val="004B0FA7"/>
    <w:rsid w:val="004B12A9"/>
    <w:rsid w:val="004B2598"/>
    <w:rsid w:val="004B2B4E"/>
    <w:rsid w:val="004B35DC"/>
    <w:rsid w:val="004B5888"/>
    <w:rsid w:val="004B6780"/>
    <w:rsid w:val="004B685B"/>
    <w:rsid w:val="004B73B9"/>
    <w:rsid w:val="004B7CAA"/>
    <w:rsid w:val="004C0960"/>
    <w:rsid w:val="004C0F87"/>
    <w:rsid w:val="004C273B"/>
    <w:rsid w:val="004C2A36"/>
    <w:rsid w:val="004C3663"/>
    <w:rsid w:val="004C4CDD"/>
    <w:rsid w:val="004C4E41"/>
    <w:rsid w:val="004C57EC"/>
    <w:rsid w:val="004C69F2"/>
    <w:rsid w:val="004C76F0"/>
    <w:rsid w:val="004C7C7C"/>
    <w:rsid w:val="004D0C20"/>
    <w:rsid w:val="004D1461"/>
    <w:rsid w:val="004D19C8"/>
    <w:rsid w:val="004D2C1E"/>
    <w:rsid w:val="004D3A71"/>
    <w:rsid w:val="004D3CE4"/>
    <w:rsid w:val="004D494D"/>
    <w:rsid w:val="004D767C"/>
    <w:rsid w:val="004D7E51"/>
    <w:rsid w:val="004E04EE"/>
    <w:rsid w:val="004E0991"/>
    <w:rsid w:val="004E14BE"/>
    <w:rsid w:val="004E15AF"/>
    <w:rsid w:val="004E1B37"/>
    <w:rsid w:val="004E2704"/>
    <w:rsid w:val="004E35BC"/>
    <w:rsid w:val="004E35D4"/>
    <w:rsid w:val="004E3F72"/>
    <w:rsid w:val="004E4D01"/>
    <w:rsid w:val="004E55CA"/>
    <w:rsid w:val="004E7434"/>
    <w:rsid w:val="004F1361"/>
    <w:rsid w:val="004F43DA"/>
    <w:rsid w:val="004F4E85"/>
    <w:rsid w:val="004F52A5"/>
    <w:rsid w:val="004F54EC"/>
    <w:rsid w:val="004F6245"/>
    <w:rsid w:val="004F62E5"/>
    <w:rsid w:val="004F62F8"/>
    <w:rsid w:val="004F705B"/>
    <w:rsid w:val="00500964"/>
    <w:rsid w:val="00500C66"/>
    <w:rsid w:val="00505B94"/>
    <w:rsid w:val="00505F45"/>
    <w:rsid w:val="00506C5B"/>
    <w:rsid w:val="005104E8"/>
    <w:rsid w:val="005130EC"/>
    <w:rsid w:val="005146E6"/>
    <w:rsid w:val="0051483C"/>
    <w:rsid w:val="005164C0"/>
    <w:rsid w:val="005176DB"/>
    <w:rsid w:val="00523986"/>
    <w:rsid w:val="005258E3"/>
    <w:rsid w:val="0053526F"/>
    <w:rsid w:val="005354F7"/>
    <w:rsid w:val="00535A42"/>
    <w:rsid w:val="0053748E"/>
    <w:rsid w:val="00540E12"/>
    <w:rsid w:val="005419C3"/>
    <w:rsid w:val="00541C4D"/>
    <w:rsid w:val="00541D8B"/>
    <w:rsid w:val="00543462"/>
    <w:rsid w:val="00543BB0"/>
    <w:rsid w:val="00543D94"/>
    <w:rsid w:val="0054481F"/>
    <w:rsid w:val="005449C6"/>
    <w:rsid w:val="00545146"/>
    <w:rsid w:val="0054621E"/>
    <w:rsid w:val="00547090"/>
    <w:rsid w:val="00551D53"/>
    <w:rsid w:val="00551F51"/>
    <w:rsid w:val="005527B3"/>
    <w:rsid w:val="00554939"/>
    <w:rsid w:val="00557D54"/>
    <w:rsid w:val="0056177B"/>
    <w:rsid w:val="005620D4"/>
    <w:rsid w:val="005641EF"/>
    <w:rsid w:val="0056664D"/>
    <w:rsid w:val="00566B42"/>
    <w:rsid w:val="0057165C"/>
    <w:rsid w:val="00571D95"/>
    <w:rsid w:val="005722C6"/>
    <w:rsid w:val="00580FF8"/>
    <w:rsid w:val="00584881"/>
    <w:rsid w:val="0058494C"/>
    <w:rsid w:val="00585C8D"/>
    <w:rsid w:val="005862CC"/>
    <w:rsid w:val="00590ED1"/>
    <w:rsid w:val="005911FE"/>
    <w:rsid w:val="00591F2F"/>
    <w:rsid w:val="005925A3"/>
    <w:rsid w:val="0059312F"/>
    <w:rsid w:val="00593220"/>
    <w:rsid w:val="0059380C"/>
    <w:rsid w:val="00595506"/>
    <w:rsid w:val="00595758"/>
    <w:rsid w:val="00595A21"/>
    <w:rsid w:val="00595B3B"/>
    <w:rsid w:val="00596081"/>
    <w:rsid w:val="0059692B"/>
    <w:rsid w:val="005A3943"/>
    <w:rsid w:val="005A51E6"/>
    <w:rsid w:val="005A576A"/>
    <w:rsid w:val="005A632E"/>
    <w:rsid w:val="005A6B9B"/>
    <w:rsid w:val="005A74DC"/>
    <w:rsid w:val="005A7F7B"/>
    <w:rsid w:val="005B0A63"/>
    <w:rsid w:val="005B1805"/>
    <w:rsid w:val="005B1ABB"/>
    <w:rsid w:val="005B5786"/>
    <w:rsid w:val="005B7418"/>
    <w:rsid w:val="005B7E9A"/>
    <w:rsid w:val="005C03A9"/>
    <w:rsid w:val="005C0496"/>
    <w:rsid w:val="005C06A2"/>
    <w:rsid w:val="005C1B31"/>
    <w:rsid w:val="005C2BFC"/>
    <w:rsid w:val="005C324B"/>
    <w:rsid w:val="005C43E2"/>
    <w:rsid w:val="005C454A"/>
    <w:rsid w:val="005C5E07"/>
    <w:rsid w:val="005C74C9"/>
    <w:rsid w:val="005C7C04"/>
    <w:rsid w:val="005C7CED"/>
    <w:rsid w:val="005D1B14"/>
    <w:rsid w:val="005D257B"/>
    <w:rsid w:val="005D530F"/>
    <w:rsid w:val="005D65B1"/>
    <w:rsid w:val="005D68CB"/>
    <w:rsid w:val="005D723F"/>
    <w:rsid w:val="005D73C0"/>
    <w:rsid w:val="005E0FBD"/>
    <w:rsid w:val="005E1494"/>
    <w:rsid w:val="005E1D5C"/>
    <w:rsid w:val="005E25DC"/>
    <w:rsid w:val="005E2DA8"/>
    <w:rsid w:val="005E311C"/>
    <w:rsid w:val="005E52AE"/>
    <w:rsid w:val="005E5607"/>
    <w:rsid w:val="005E567C"/>
    <w:rsid w:val="005E5EB0"/>
    <w:rsid w:val="005E6CA6"/>
    <w:rsid w:val="005F11D1"/>
    <w:rsid w:val="005F35E2"/>
    <w:rsid w:val="005F505E"/>
    <w:rsid w:val="005F56E9"/>
    <w:rsid w:val="005F6F5F"/>
    <w:rsid w:val="006007CA"/>
    <w:rsid w:val="0060106B"/>
    <w:rsid w:val="00601693"/>
    <w:rsid w:val="006023B2"/>
    <w:rsid w:val="00602976"/>
    <w:rsid w:val="0060378A"/>
    <w:rsid w:val="0060388D"/>
    <w:rsid w:val="00604231"/>
    <w:rsid w:val="00604792"/>
    <w:rsid w:val="006049F9"/>
    <w:rsid w:val="00605233"/>
    <w:rsid w:val="006068F3"/>
    <w:rsid w:val="00610C2F"/>
    <w:rsid w:val="00612916"/>
    <w:rsid w:val="00613335"/>
    <w:rsid w:val="006151B9"/>
    <w:rsid w:val="006159C4"/>
    <w:rsid w:val="00615F2D"/>
    <w:rsid w:val="0062187C"/>
    <w:rsid w:val="00621F06"/>
    <w:rsid w:val="006239BC"/>
    <w:rsid w:val="00624B80"/>
    <w:rsid w:val="00625805"/>
    <w:rsid w:val="006258C2"/>
    <w:rsid w:val="00625B83"/>
    <w:rsid w:val="00627AC4"/>
    <w:rsid w:val="00627E8B"/>
    <w:rsid w:val="00631DE4"/>
    <w:rsid w:val="0063253B"/>
    <w:rsid w:val="00633F17"/>
    <w:rsid w:val="006363C8"/>
    <w:rsid w:val="00637AB8"/>
    <w:rsid w:val="006425FE"/>
    <w:rsid w:val="0064370D"/>
    <w:rsid w:val="00643771"/>
    <w:rsid w:val="00644946"/>
    <w:rsid w:val="00644AF1"/>
    <w:rsid w:val="00645ED5"/>
    <w:rsid w:val="00646AB8"/>
    <w:rsid w:val="00646C6C"/>
    <w:rsid w:val="00647853"/>
    <w:rsid w:val="00647BD9"/>
    <w:rsid w:val="0065233B"/>
    <w:rsid w:val="00654A3E"/>
    <w:rsid w:val="00657C37"/>
    <w:rsid w:val="00660F1D"/>
    <w:rsid w:val="0066206A"/>
    <w:rsid w:val="006624A7"/>
    <w:rsid w:val="0066515F"/>
    <w:rsid w:val="00665F19"/>
    <w:rsid w:val="006663E9"/>
    <w:rsid w:val="006668AF"/>
    <w:rsid w:val="006675CA"/>
    <w:rsid w:val="0066792F"/>
    <w:rsid w:val="00670A7E"/>
    <w:rsid w:val="00670C1A"/>
    <w:rsid w:val="0067278C"/>
    <w:rsid w:val="00676803"/>
    <w:rsid w:val="00676DAA"/>
    <w:rsid w:val="00686439"/>
    <w:rsid w:val="006905CF"/>
    <w:rsid w:val="006908A9"/>
    <w:rsid w:val="00690A8C"/>
    <w:rsid w:val="00691F43"/>
    <w:rsid w:val="00693AA7"/>
    <w:rsid w:val="006953E3"/>
    <w:rsid w:val="00696923"/>
    <w:rsid w:val="00697A88"/>
    <w:rsid w:val="00697CF1"/>
    <w:rsid w:val="006A0F3F"/>
    <w:rsid w:val="006A2EF6"/>
    <w:rsid w:val="006A6051"/>
    <w:rsid w:val="006A7985"/>
    <w:rsid w:val="006B2667"/>
    <w:rsid w:val="006B31D9"/>
    <w:rsid w:val="006C0102"/>
    <w:rsid w:val="006C07D4"/>
    <w:rsid w:val="006C1EAE"/>
    <w:rsid w:val="006C41AD"/>
    <w:rsid w:val="006C4381"/>
    <w:rsid w:val="006C64E7"/>
    <w:rsid w:val="006D04BD"/>
    <w:rsid w:val="006D437A"/>
    <w:rsid w:val="006D47EF"/>
    <w:rsid w:val="006D6574"/>
    <w:rsid w:val="006D6644"/>
    <w:rsid w:val="006D6B06"/>
    <w:rsid w:val="006D7180"/>
    <w:rsid w:val="006E0F1C"/>
    <w:rsid w:val="006E104D"/>
    <w:rsid w:val="006E433B"/>
    <w:rsid w:val="006E5721"/>
    <w:rsid w:val="006E63CB"/>
    <w:rsid w:val="006E7899"/>
    <w:rsid w:val="006E7C78"/>
    <w:rsid w:val="006F2196"/>
    <w:rsid w:val="006F27F4"/>
    <w:rsid w:val="006F2E23"/>
    <w:rsid w:val="006F46F7"/>
    <w:rsid w:val="006F4C30"/>
    <w:rsid w:val="006F7024"/>
    <w:rsid w:val="006F7B2F"/>
    <w:rsid w:val="00701FFC"/>
    <w:rsid w:val="00703A7C"/>
    <w:rsid w:val="007044B3"/>
    <w:rsid w:val="00705DD4"/>
    <w:rsid w:val="00705FD3"/>
    <w:rsid w:val="007076DA"/>
    <w:rsid w:val="00707860"/>
    <w:rsid w:val="007122D7"/>
    <w:rsid w:val="0071272F"/>
    <w:rsid w:val="007156C2"/>
    <w:rsid w:val="007157AB"/>
    <w:rsid w:val="00717131"/>
    <w:rsid w:val="00717AA0"/>
    <w:rsid w:val="007207BF"/>
    <w:rsid w:val="00725CB0"/>
    <w:rsid w:val="00726214"/>
    <w:rsid w:val="00727445"/>
    <w:rsid w:val="007323A3"/>
    <w:rsid w:val="0073517D"/>
    <w:rsid w:val="0073685C"/>
    <w:rsid w:val="007373BA"/>
    <w:rsid w:val="007378E2"/>
    <w:rsid w:val="00737EA5"/>
    <w:rsid w:val="007400AE"/>
    <w:rsid w:val="00741F3E"/>
    <w:rsid w:val="00742724"/>
    <w:rsid w:val="00742F88"/>
    <w:rsid w:val="00743AA8"/>
    <w:rsid w:val="00750840"/>
    <w:rsid w:val="007534BC"/>
    <w:rsid w:val="0075630D"/>
    <w:rsid w:val="00757617"/>
    <w:rsid w:val="00763AD8"/>
    <w:rsid w:val="00764F68"/>
    <w:rsid w:val="00765016"/>
    <w:rsid w:val="00765E28"/>
    <w:rsid w:val="00767EDE"/>
    <w:rsid w:val="00770248"/>
    <w:rsid w:val="0077100C"/>
    <w:rsid w:val="00773E3A"/>
    <w:rsid w:val="0077469C"/>
    <w:rsid w:val="00776C39"/>
    <w:rsid w:val="0078014E"/>
    <w:rsid w:val="007801EA"/>
    <w:rsid w:val="00780E5B"/>
    <w:rsid w:val="00781D00"/>
    <w:rsid w:val="00782054"/>
    <w:rsid w:val="00787F02"/>
    <w:rsid w:val="007900F3"/>
    <w:rsid w:val="00790988"/>
    <w:rsid w:val="00790CB1"/>
    <w:rsid w:val="00791B69"/>
    <w:rsid w:val="00793297"/>
    <w:rsid w:val="0079498E"/>
    <w:rsid w:val="007958F5"/>
    <w:rsid w:val="00796DA0"/>
    <w:rsid w:val="00796F10"/>
    <w:rsid w:val="0079765B"/>
    <w:rsid w:val="00797B45"/>
    <w:rsid w:val="007A0F57"/>
    <w:rsid w:val="007A3530"/>
    <w:rsid w:val="007A48F0"/>
    <w:rsid w:val="007A6AB5"/>
    <w:rsid w:val="007A6C67"/>
    <w:rsid w:val="007B14D9"/>
    <w:rsid w:val="007B2B46"/>
    <w:rsid w:val="007B30F2"/>
    <w:rsid w:val="007B377F"/>
    <w:rsid w:val="007B3CE2"/>
    <w:rsid w:val="007B4274"/>
    <w:rsid w:val="007B443D"/>
    <w:rsid w:val="007B4AFE"/>
    <w:rsid w:val="007B4C5F"/>
    <w:rsid w:val="007B5117"/>
    <w:rsid w:val="007B599D"/>
    <w:rsid w:val="007B60DC"/>
    <w:rsid w:val="007B6650"/>
    <w:rsid w:val="007B6A74"/>
    <w:rsid w:val="007B6C85"/>
    <w:rsid w:val="007C2DC8"/>
    <w:rsid w:val="007C4F91"/>
    <w:rsid w:val="007C552B"/>
    <w:rsid w:val="007D028A"/>
    <w:rsid w:val="007D097E"/>
    <w:rsid w:val="007D1B2B"/>
    <w:rsid w:val="007D1C07"/>
    <w:rsid w:val="007D230B"/>
    <w:rsid w:val="007D2C7F"/>
    <w:rsid w:val="007D2D80"/>
    <w:rsid w:val="007D3681"/>
    <w:rsid w:val="007D3824"/>
    <w:rsid w:val="007D3929"/>
    <w:rsid w:val="007D49A1"/>
    <w:rsid w:val="007D59DD"/>
    <w:rsid w:val="007D797A"/>
    <w:rsid w:val="007E1F66"/>
    <w:rsid w:val="007E2CB5"/>
    <w:rsid w:val="007E2DC8"/>
    <w:rsid w:val="007E4C10"/>
    <w:rsid w:val="007E6501"/>
    <w:rsid w:val="007E6C25"/>
    <w:rsid w:val="007E7755"/>
    <w:rsid w:val="007F2977"/>
    <w:rsid w:val="007F32D7"/>
    <w:rsid w:val="007F4F97"/>
    <w:rsid w:val="007F669E"/>
    <w:rsid w:val="00801632"/>
    <w:rsid w:val="00801E66"/>
    <w:rsid w:val="0080520B"/>
    <w:rsid w:val="00805B49"/>
    <w:rsid w:val="00806EE4"/>
    <w:rsid w:val="00807B3E"/>
    <w:rsid w:val="00810D4A"/>
    <w:rsid w:val="00812F82"/>
    <w:rsid w:val="008134AC"/>
    <w:rsid w:val="008146FD"/>
    <w:rsid w:val="00816AAB"/>
    <w:rsid w:val="00820402"/>
    <w:rsid w:val="0082317F"/>
    <w:rsid w:val="008243B2"/>
    <w:rsid w:val="00824F08"/>
    <w:rsid w:val="00824FC9"/>
    <w:rsid w:val="00826312"/>
    <w:rsid w:val="00826667"/>
    <w:rsid w:val="00827BF8"/>
    <w:rsid w:val="008310DF"/>
    <w:rsid w:val="00831105"/>
    <w:rsid w:val="00833532"/>
    <w:rsid w:val="00835487"/>
    <w:rsid w:val="008367A3"/>
    <w:rsid w:val="00837178"/>
    <w:rsid w:val="008417B7"/>
    <w:rsid w:val="008425D8"/>
    <w:rsid w:val="008439C3"/>
    <w:rsid w:val="00843A14"/>
    <w:rsid w:val="00843B37"/>
    <w:rsid w:val="00844A4B"/>
    <w:rsid w:val="00846BB9"/>
    <w:rsid w:val="00850FC3"/>
    <w:rsid w:val="008535E1"/>
    <w:rsid w:val="00854676"/>
    <w:rsid w:val="00854D6E"/>
    <w:rsid w:val="00856CD0"/>
    <w:rsid w:val="0086258A"/>
    <w:rsid w:val="008636E5"/>
    <w:rsid w:val="00863EA9"/>
    <w:rsid w:val="0086400D"/>
    <w:rsid w:val="00864CB5"/>
    <w:rsid w:val="00865296"/>
    <w:rsid w:val="008659C5"/>
    <w:rsid w:val="00866A01"/>
    <w:rsid w:val="00866F27"/>
    <w:rsid w:val="00867086"/>
    <w:rsid w:val="00871123"/>
    <w:rsid w:val="008727C7"/>
    <w:rsid w:val="00873146"/>
    <w:rsid w:val="00873BB7"/>
    <w:rsid w:val="00874663"/>
    <w:rsid w:val="008753DC"/>
    <w:rsid w:val="008765AD"/>
    <w:rsid w:val="0087755E"/>
    <w:rsid w:val="00877DB1"/>
    <w:rsid w:val="00881B95"/>
    <w:rsid w:val="00882985"/>
    <w:rsid w:val="008831CA"/>
    <w:rsid w:val="008870B4"/>
    <w:rsid w:val="00887FDA"/>
    <w:rsid w:val="00890F77"/>
    <w:rsid w:val="00891766"/>
    <w:rsid w:val="0089272A"/>
    <w:rsid w:val="00892D5B"/>
    <w:rsid w:val="00894890"/>
    <w:rsid w:val="008965CE"/>
    <w:rsid w:val="00897247"/>
    <w:rsid w:val="008A0076"/>
    <w:rsid w:val="008A0160"/>
    <w:rsid w:val="008A1AE9"/>
    <w:rsid w:val="008A2E13"/>
    <w:rsid w:val="008A4133"/>
    <w:rsid w:val="008A5E44"/>
    <w:rsid w:val="008A7B0C"/>
    <w:rsid w:val="008B0000"/>
    <w:rsid w:val="008B07F8"/>
    <w:rsid w:val="008B08F0"/>
    <w:rsid w:val="008B0CF9"/>
    <w:rsid w:val="008B262C"/>
    <w:rsid w:val="008B29FB"/>
    <w:rsid w:val="008B2DAD"/>
    <w:rsid w:val="008B39E3"/>
    <w:rsid w:val="008B54E1"/>
    <w:rsid w:val="008B6FC8"/>
    <w:rsid w:val="008C19E9"/>
    <w:rsid w:val="008C26DB"/>
    <w:rsid w:val="008C26E9"/>
    <w:rsid w:val="008C5388"/>
    <w:rsid w:val="008C557C"/>
    <w:rsid w:val="008C5F90"/>
    <w:rsid w:val="008C774E"/>
    <w:rsid w:val="008D1E5B"/>
    <w:rsid w:val="008D2228"/>
    <w:rsid w:val="008D25A7"/>
    <w:rsid w:val="008D3AB6"/>
    <w:rsid w:val="008D4652"/>
    <w:rsid w:val="008D4CD4"/>
    <w:rsid w:val="008D6D9D"/>
    <w:rsid w:val="008D72F8"/>
    <w:rsid w:val="008E0906"/>
    <w:rsid w:val="008E5B19"/>
    <w:rsid w:val="008E62EC"/>
    <w:rsid w:val="008F0D88"/>
    <w:rsid w:val="008F1691"/>
    <w:rsid w:val="008F22E2"/>
    <w:rsid w:val="008F31C5"/>
    <w:rsid w:val="008F5698"/>
    <w:rsid w:val="008F5CDF"/>
    <w:rsid w:val="008F5F7C"/>
    <w:rsid w:val="008F639E"/>
    <w:rsid w:val="00901EF2"/>
    <w:rsid w:val="009023E1"/>
    <w:rsid w:val="00903EB6"/>
    <w:rsid w:val="00904906"/>
    <w:rsid w:val="00906427"/>
    <w:rsid w:val="0090702F"/>
    <w:rsid w:val="00907318"/>
    <w:rsid w:val="009079D0"/>
    <w:rsid w:val="00907EF5"/>
    <w:rsid w:val="0091117F"/>
    <w:rsid w:val="009138BD"/>
    <w:rsid w:val="00913D0A"/>
    <w:rsid w:val="009148A1"/>
    <w:rsid w:val="00915DF2"/>
    <w:rsid w:val="009217C0"/>
    <w:rsid w:val="009229F9"/>
    <w:rsid w:val="00924972"/>
    <w:rsid w:val="00927E10"/>
    <w:rsid w:val="00927FDC"/>
    <w:rsid w:val="009309D7"/>
    <w:rsid w:val="0093181A"/>
    <w:rsid w:val="00932E1E"/>
    <w:rsid w:val="00933C14"/>
    <w:rsid w:val="00934068"/>
    <w:rsid w:val="00935ED2"/>
    <w:rsid w:val="00936348"/>
    <w:rsid w:val="00937854"/>
    <w:rsid w:val="009400F4"/>
    <w:rsid w:val="0094015D"/>
    <w:rsid w:val="00943B11"/>
    <w:rsid w:val="009469E0"/>
    <w:rsid w:val="0094728D"/>
    <w:rsid w:val="00947E1D"/>
    <w:rsid w:val="00950D9A"/>
    <w:rsid w:val="00951C4D"/>
    <w:rsid w:val="00952955"/>
    <w:rsid w:val="00952D58"/>
    <w:rsid w:val="00952E03"/>
    <w:rsid w:val="0095396E"/>
    <w:rsid w:val="00953A8E"/>
    <w:rsid w:val="009547E2"/>
    <w:rsid w:val="00954C21"/>
    <w:rsid w:val="00956300"/>
    <w:rsid w:val="00956488"/>
    <w:rsid w:val="00956F5F"/>
    <w:rsid w:val="009579ED"/>
    <w:rsid w:val="0096071C"/>
    <w:rsid w:val="009610DC"/>
    <w:rsid w:val="009612B9"/>
    <w:rsid w:val="0096155A"/>
    <w:rsid w:val="009620A0"/>
    <w:rsid w:val="00964038"/>
    <w:rsid w:val="0096623E"/>
    <w:rsid w:val="009669D2"/>
    <w:rsid w:val="0096734B"/>
    <w:rsid w:val="0097154F"/>
    <w:rsid w:val="00974A43"/>
    <w:rsid w:val="0097758E"/>
    <w:rsid w:val="00977ECB"/>
    <w:rsid w:val="00981AFD"/>
    <w:rsid w:val="0098457F"/>
    <w:rsid w:val="00985996"/>
    <w:rsid w:val="009859DE"/>
    <w:rsid w:val="00986978"/>
    <w:rsid w:val="00986C3B"/>
    <w:rsid w:val="00992F8C"/>
    <w:rsid w:val="009930B6"/>
    <w:rsid w:val="00993E14"/>
    <w:rsid w:val="00994F74"/>
    <w:rsid w:val="0099563A"/>
    <w:rsid w:val="009963E8"/>
    <w:rsid w:val="009A0B7D"/>
    <w:rsid w:val="009A13F4"/>
    <w:rsid w:val="009A2FBF"/>
    <w:rsid w:val="009A44BE"/>
    <w:rsid w:val="009A50C4"/>
    <w:rsid w:val="009A6BD9"/>
    <w:rsid w:val="009A6EF3"/>
    <w:rsid w:val="009A77AB"/>
    <w:rsid w:val="009B029F"/>
    <w:rsid w:val="009B1B95"/>
    <w:rsid w:val="009B27F8"/>
    <w:rsid w:val="009B4A8B"/>
    <w:rsid w:val="009B74FB"/>
    <w:rsid w:val="009C0660"/>
    <w:rsid w:val="009C0EF2"/>
    <w:rsid w:val="009C1195"/>
    <w:rsid w:val="009C31A4"/>
    <w:rsid w:val="009C475A"/>
    <w:rsid w:val="009C4845"/>
    <w:rsid w:val="009C4D84"/>
    <w:rsid w:val="009C6A8B"/>
    <w:rsid w:val="009C7314"/>
    <w:rsid w:val="009D2442"/>
    <w:rsid w:val="009D2D3D"/>
    <w:rsid w:val="009D4381"/>
    <w:rsid w:val="009D46B6"/>
    <w:rsid w:val="009D5D9F"/>
    <w:rsid w:val="009D6132"/>
    <w:rsid w:val="009D7D24"/>
    <w:rsid w:val="009D7F4D"/>
    <w:rsid w:val="009E092E"/>
    <w:rsid w:val="009E0FA2"/>
    <w:rsid w:val="009E2244"/>
    <w:rsid w:val="009E2361"/>
    <w:rsid w:val="009E2D42"/>
    <w:rsid w:val="009E31DE"/>
    <w:rsid w:val="009E5084"/>
    <w:rsid w:val="009E57DF"/>
    <w:rsid w:val="009F0355"/>
    <w:rsid w:val="009F065B"/>
    <w:rsid w:val="009F0F0C"/>
    <w:rsid w:val="009F57FD"/>
    <w:rsid w:val="009F5996"/>
    <w:rsid w:val="009F798E"/>
    <w:rsid w:val="009F7F9F"/>
    <w:rsid w:val="00A01E02"/>
    <w:rsid w:val="00A02E26"/>
    <w:rsid w:val="00A0594A"/>
    <w:rsid w:val="00A05BA0"/>
    <w:rsid w:val="00A07AB2"/>
    <w:rsid w:val="00A10C74"/>
    <w:rsid w:val="00A1215A"/>
    <w:rsid w:val="00A13FA7"/>
    <w:rsid w:val="00A14514"/>
    <w:rsid w:val="00A15651"/>
    <w:rsid w:val="00A159C9"/>
    <w:rsid w:val="00A167FB"/>
    <w:rsid w:val="00A1733C"/>
    <w:rsid w:val="00A17413"/>
    <w:rsid w:val="00A1785C"/>
    <w:rsid w:val="00A20E82"/>
    <w:rsid w:val="00A20ECF"/>
    <w:rsid w:val="00A21B70"/>
    <w:rsid w:val="00A21D02"/>
    <w:rsid w:val="00A21DDB"/>
    <w:rsid w:val="00A223C3"/>
    <w:rsid w:val="00A23CF6"/>
    <w:rsid w:val="00A24DD4"/>
    <w:rsid w:val="00A2662C"/>
    <w:rsid w:val="00A2690C"/>
    <w:rsid w:val="00A2792F"/>
    <w:rsid w:val="00A3043D"/>
    <w:rsid w:val="00A30473"/>
    <w:rsid w:val="00A30970"/>
    <w:rsid w:val="00A315E4"/>
    <w:rsid w:val="00A31667"/>
    <w:rsid w:val="00A31C51"/>
    <w:rsid w:val="00A31D96"/>
    <w:rsid w:val="00A31FEE"/>
    <w:rsid w:val="00A32FF5"/>
    <w:rsid w:val="00A33722"/>
    <w:rsid w:val="00A3373A"/>
    <w:rsid w:val="00A33C55"/>
    <w:rsid w:val="00A36977"/>
    <w:rsid w:val="00A377A6"/>
    <w:rsid w:val="00A3796C"/>
    <w:rsid w:val="00A406C3"/>
    <w:rsid w:val="00A42875"/>
    <w:rsid w:val="00A44DC1"/>
    <w:rsid w:val="00A47168"/>
    <w:rsid w:val="00A47A98"/>
    <w:rsid w:val="00A47EE7"/>
    <w:rsid w:val="00A50B43"/>
    <w:rsid w:val="00A5127F"/>
    <w:rsid w:val="00A51338"/>
    <w:rsid w:val="00A51C87"/>
    <w:rsid w:val="00A54197"/>
    <w:rsid w:val="00A5515B"/>
    <w:rsid w:val="00A61821"/>
    <w:rsid w:val="00A61AEB"/>
    <w:rsid w:val="00A61D35"/>
    <w:rsid w:val="00A61E3A"/>
    <w:rsid w:val="00A631BA"/>
    <w:rsid w:val="00A6559A"/>
    <w:rsid w:val="00A65C27"/>
    <w:rsid w:val="00A660EF"/>
    <w:rsid w:val="00A67605"/>
    <w:rsid w:val="00A67CA5"/>
    <w:rsid w:val="00A70F44"/>
    <w:rsid w:val="00A72331"/>
    <w:rsid w:val="00A7318D"/>
    <w:rsid w:val="00A73ADF"/>
    <w:rsid w:val="00A75CCD"/>
    <w:rsid w:val="00A80506"/>
    <w:rsid w:val="00A806AE"/>
    <w:rsid w:val="00A8118F"/>
    <w:rsid w:val="00A820DD"/>
    <w:rsid w:val="00A82B4C"/>
    <w:rsid w:val="00A83458"/>
    <w:rsid w:val="00A84B03"/>
    <w:rsid w:val="00A84D8C"/>
    <w:rsid w:val="00A86C41"/>
    <w:rsid w:val="00A879E6"/>
    <w:rsid w:val="00A90148"/>
    <w:rsid w:val="00A90608"/>
    <w:rsid w:val="00A917F8"/>
    <w:rsid w:val="00A927B1"/>
    <w:rsid w:val="00A942CA"/>
    <w:rsid w:val="00A94B09"/>
    <w:rsid w:val="00AA0D8C"/>
    <w:rsid w:val="00AA142E"/>
    <w:rsid w:val="00AA25BC"/>
    <w:rsid w:val="00AA3077"/>
    <w:rsid w:val="00AA3953"/>
    <w:rsid w:val="00AA3E2A"/>
    <w:rsid w:val="00AA3F69"/>
    <w:rsid w:val="00AA46AF"/>
    <w:rsid w:val="00AA594B"/>
    <w:rsid w:val="00AA599B"/>
    <w:rsid w:val="00AA5AE7"/>
    <w:rsid w:val="00AA7AD6"/>
    <w:rsid w:val="00AB07A4"/>
    <w:rsid w:val="00AB0BBA"/>
    <w:rsid w:val="00AB34C1"/>
    <w:rsid w:val="00AB4460"/>
    <w:rsid w:val="00AB4E9E"/>
    <w:rsid w:val="00AB6C99"/>
    <w:rsid w:val="00AC018F"/>
    <w:rsid w:val="00AC11D5"/>
    <w:rsid w:val="00AC15E5"/>
    <w:rsid w:val="00AC1758"/>
    <w:rsid w:val="00AC22BB"/>
    <w:rsid w:val="00AC4080"/>
    <w:rsid w:val="00AC5A6D"/>
    <w:rsid w:val="00AC5D73"/>
    <w:rsid w:val="00AC633C"/>
    <w:rsid w:val="00AC73AD"/>
    <w:rsid w:val="00AC7BED"/>
    <w:rsid w:val="00AD019B"/>
    <w:rsid w:val="00AD067D"/>
    <w:rsid w:val="00AD4655"/>
    <w:rsid w:val="00AD594B"/>
    <w:rsid w:val="00AD5BB0"/>
    <w:rsid w:val="00AD5FFD"/>
    <w:rsid w:val="00AD705A"/>
    <w:rsid w:val="00AD78F9"/>
    <w:rsid w:val="00AE008D"/>
    <w:rsid w:val="00AE093C"/>
    <w:rsid w:val="00AE30E0"/>
    <w:rsid w:val="00AE346F"/>
    <w:rsid w:val="00AE3AD5"/>
    <w:rsid w:val="00AE3C4F"/>
    <w:rsid w:val="00AE4E8D"/>
    <w:rsid w:val="00AE68A5"/>
    <w:rsid w:val="00AF07A3"/>
    <w:rsid w:val="00AF0EC2"/>
    <w:rsid w:val="00AF1AC2"/>
    <w:rsid w:val="00AF2329"/>
    <w:rsid w:val="00AF3660"/>
    <w:rsid w:val="00AF38B8"/>
    <w:rsid w:val="00AF7A20"/>
    <w:rsid w:val="00B01312"/>
    <w:rsid w:val="00B013BD"/>
    <w:rsid w:val="00B02D98"/>
    <w:rsid w:val="00B05519"/>
    <w:rsid w:val="00B06685"/>
    <w:rsid w:val="00B07717"/>
    <w:rsid w:val="00B13897"/>
    <w:rsid w:val="00B15D2F"/>
    <w:rsid w:val="00B16399"/>
    <w:rsid w:val="00B173E6"/>
    <w:rsid w:val="00B1760F"/>
    <w:rsid w:val="00B177E5"/>
    <w:rsid w:val="00B209F3"/>
    <w:rsid w:val="00B2586D"/>
    <w:rsid w:val="00B25AE4"/>
    <w:rsid w:val="00B265C9"/>
    <w:rsid w:val="00B26909"/>
    <w:rsid w:val="00B27664"/>
    <w:rsid w:val="00B31169"/>
    <w:rsid w:val="00B31828"/>
    <w:rsid w:val="00B32AC3"/>
    <w:rsid w:val="00B344F5"/>
    <w:rsid w:val="00B41698"/>
    <w:rsid w:val="00B41E25"/>
    <w:rsid w:val="00B42BEE"/>
    <w:rsid w:val="00B432ED"/>
    <w:rsid w:val="00B452B7"/>
    <w:rsid w:val="00B458E3"/>
    <w:rsid w:val="00B46093"/>
    <w:rsid w:val="00B47923"/>
    <w:rsid w:val="00B503EA"/>
    <w:rsid w:val="00B518FF"/>
    <w:rsid w:val="00B5375D"/>
    <w:rsid w:val="00B539D2"/>
    <w:rsid w:val="00B54F17"/>
    <w:rsid w:val="00B560EA"/>
    <w:rsid w:val="00B561EE"/>
    <w:rsid w:val="00B57737"/>
    <w:rsid w:val="00B57D47"/>
    <w:rsid w:val="00B60F2F"/>
    <w:rsid w:val="00B6210E"/>
    <w:rsid w:val="00B632E3"/>
    <w:rsid w:val="00B64DBB"/>
    <w:rsid w:val="00B64DC8"/>
    <w:rsid w:val="00B704B3"/>
    <w:rsid w:val="00B70688"/>
    <w:rsid w:val="00B71673"/>
    <w:rsid w:val="00B71B63"/>
    <w:rsid w:val="00B75FD9"/>
    <w:rsid w:val="00B77091"/>
    <w:rsid w:val="00B81F80"/>
    <w:rsid w:val="00B837C1"/>
    <w:rsid w:val="00B841E0"/>
    <w:rsid w:val="00B8451F"/>
    <w:rsid w:val="00B85656"/>
    <w:rsid w:val="00B860BA"/>
    <w:rsid w:val="00B865F5"/>
    <w:rsid w:val="00B86DB8"/>
    <w:rsid w:val="00B870A0"/>
    <w:rsid w:val="00B8758C"/>
    <w:rsid w:val="00B91DFE"/>
    <w:rsid w:val="00B9213B"/>
    <w:rsid w:val="00B92858"/>
    <w:rsid w:val="00B95668"/>
    <w:rsid w:val="00B95982"/>
    <w:rsid w:val="00B966E9"/>
    <w:rsid w:val="00B96BC7"/>
    <w:rsid w:val="00B9719E"/>
    <w:rsid w:val="00B97229"/>
    <w:rsid w:val="00B9776A"/>
    <w:rsid w:val="00B97FE0"/>
    <w:rsid w:val="00BA08A3"/>
    <w:rsid w:val="00BA1BBC"/>
    <w:rsid w:val="00BA2EED"/>
    <w:rsid w:val="00BA3D7D"/>
    <w:rsid w:val="00BA5AB3"/>
    <w:rsid w:val="00BA6451"/>
    <w:rsid w:val="00BA71D8"/>
    <w:rsid w:val="00BB0B08"/>
    <w:rsid w:val="00BB227E"/>
    <w:rsid w:val="00BB37E4"/>
    <w:rsid w:val="00BB3CBA"/>
    <w:rsid w:val="00BB4F22"/>
    <w:rsid w:val="00BB626B"/>
    <w:rsid w:val="00BB66D5"/>
    <w:rsid w:val="00BB7E3D"/>
    <w:rsid w:val="00BC0230"/>
    <w:rsid w:val="00BC0DCE"/>
    <w:rsid w:val="00BC0FCE"/>
    <w:rsid w:val="00BC3CD1"/>
    <w:rsid w:val="00BC5201"/>
    <w:rsid w:val="00BC5D49"/>
    <w:rsid w:val="00BC5EC6"/>
    <w:rsid w:val="00BC5F0E"/>
    <w:rsid w:val="00BD2211"/>
    <w:rsid w:val="00BD221D"/>
    <w:rsid w:val="00BD3CB9"/>
    <w:rsid w:val="00BD3E65"/>
    <w:rsid w:val="00BD5934"/>
    <w:rsid w:val="00BD628F"/>
    <w:rsid w:val="00BD6F41"/>
    <w:rsid w:val="00BD7785"/>
    <w:rsid w:val="00BE2803"/>
    <w:rsid w:val="00BE3B2E"/>
    <w:rsid w:val="00BE6650"/>
    <w:rsid w:val="00BE7DE8"/>
    <w:rsid w:val="00BF031F"/>
    <w:rsid w:val="00BF03D1"/>
    <w:rsid w:val="00BF14AA"/>
    <w:rsid w:val="00BF1CBD"/>
    <w:rsid w:val="00BF3B1F"/>
    <w:rsid w:val="00BF3F40"/>
    <w:rsid w:val="00BF52C4"/>
    <w:rsid w:val="00BF62EC"/>
    <w:rsid w:val="00BF6458"/>
    <w:rsid w:val="00C006BE"/>
    <w:rsid w:val="00C015AE"/>
    <w:rsid w:val="00C03663"/>
    <w:rsid w:val="00C04518"/>
    <w:rsid w:val="00C05B8E"/>
    <w:rsid w:val="00C1063D"/>
    <w:rsid w:val="00C12099"/>
    <w:rsid w:val="00C15E0E"/>
    <w:rsid w:val="00C2085E"/>
    <w:rsid w:val="00C226BC"/>
    <w:rsid w:val="00C23FB5"/>
    <w:rsid w:val="00C24A1A"/>
    <w:rsid w:val="00C24E59"/>
    <w:rsid w:val="00C26F0A"/>
    <w:rsid w:val="00C331BB"/>
    <w:rsid w:val="00C3494A"/>
    <w:rsid w:val="00C41A08"/>
    <w:rsid w:val="00C41A55"/>
    <w:rsid w:val="00C422B9"/>
    <w:rsid w:val="00C4240A"/>
    <w:rsid w:val="00C4241E"/>
    <w:rsid w:val="00C440CF"/>
    <w:rsid w:val="00C445E8"/>
    <w:rsid w:val="00C474A7"/>
    <w:rsid w:val="00C504EC"/>
    <w:rsid w:val="00C50AA4"/>
    <w:rsid w:val="00C50EFE"/>
    <w:rsid w:val="00C5123C"/>
    <w:rsid w:val="00C526BA"/>
    <w:rsid w:val="00C55215"/>
    <w:rsid w:val="00C615A3"/>
    <w:rsid w:val="00C616EE"/>
    <w:rsid w:val="00C6198D"/>
    <w:rsid w:val="00C6243E"/>
    <w:rsid w:val="00C635DA"/>
    <w:rsid w:val="00C639E7"/>
    <w:rsid w:val="00C659BE"/>
    <w:rsid w:val="00C65A9B"/>
    <w:rsid w:val="00C66004"/>
    <w:rsid w:val="00C66429"/>
    <w:rsid w:val="00C71BCE"/>
    <w:rsid w:val="00C7215F"/>
    <w:rsid w:val="00C72A68"/>
    <w:rsid w:val="00C749DA"/>
    <w:rsid w:val="00C80300"/>
    <w:rsid w:val="00C80997"/>
    <w:rsid w:val="00C811E1"/>
    <w:rsid w:val="00C82307"/>
    <w:rsid w:val="00C8262B"/>
    <w:rsid w:val="00C8613B"/>
    <w:rsid w:val="00C900DE"/>
    <w:rsid w:val="00C91944"/>
    <w:rsid w:val="00C91F0D"/>
    <w:rsid w:val="00C92622"/>
    <w:rsid w:val="00C92DDA"/>
    <w:rsid w:val="00C9426D"/>
    <w:rsid w:val="00C97228"/>
    <w:rsid w:val="00C9780D"/>
    <w:rsid w:val="00C9793C"/>
    <w:rsid w:val="00CA02DA"/>
    <w:rsid w:val="00CA1A54"/>
    <w:rsid w:val="00CA1BC5"/>
    <w:rsid w:val="00CA1CB3"/>
    <w:rsid w:val="00CA29DD"/>
    <w:rsid w:val="00CA3E19"/>
    <w:rsid w:val="00CA4C6F"/>
    <w:rsid w:val="00CA50C3"/>
    <w:rsid w:val="00CA59CD"/>
    <w:rsid w:val="00CA655A"/>
    <w:rsid w:val="00CA6DE6"/>
    <w:rsid w:val="00CB25B3"/>
    <w:rsid w:val="00CB36E6"/>
    <w:rsid w:val="00CB42EC"/>
    <w:rsid w:val="00CB5F85"/>
    <w:rsid w:val="00CB76E8"/>
    <w:rsid w:val="00CC0A27"/>
    <w:rsid w:val="00CC0A30"/>
    <w:rsid w:val="00CC2721"/>
    <w:rsid w:val="00CC46B2"/>
    <w:rsid w:val="00CC5542"/>
    <w:rsid w:val="00CC5718"/>
    <w:rsid w:val="00CD1352"/>
    <w:rsid w:val="00CD1CBE"/>
    <w:rsid w:val="00CD1E1C"/>
    <w:rsid w:val="00CD1E3E"/>
    <w:rsid w:val="00CD2EDC"/>
    <w:rsid w:val="00CD32E2"/>
    <w:rsid w:val="00CD3D24"/>
    <w:rsid w:val="00CD4B0B"/>
    <w:rsid w:val="00CD6698"/>
    <w:rsid w:val="00CD720A"/>
    <w:rsid w:val="00CE1E5B"/>
    <w:rsid w:val="00CE31AB"/>
    <w:rsid w:val="00CE33CD"/>
    <w:rsid w:val="00CE41A3"/>
    <w:rsid w:val="00CF1D92"/>
    <w:rsid w:val="00CF1E25"/>
    <w:rsid w:val="00CF2D92"/>
    <w:rsid w:val="00CF5D91"/>
    <w:rsid w:val="00D0025C"/>
    <w:rsid w:val="00D004FB"/>
    <w:rsid w:val="00D01C8B"/>
    <w:rsid w:val="00D02BBC"/>
    <w:rsid w:val="00D02C36"/>
    <w:rsid w:val="00D03CE1"/>
    <w:rsid w:val="00D03FE2"/>
    <w:rsid w:val="00D048EF"/>
    <w:rsid w:val="00D0624D"/>
    <w:rsid w:val="00D06E68"/>
    <w:rsid w:val="00D10834"/>
    <w:rsid w:val="00D12172"/>
    <w:rsid w:val="00D129E4"/>
    <w:rsid w:val="00D12B8C"/>
    <w:rsid w:val="00D13F3E"/>
    <w:rsid w:val="00D145EF"/>
    <w:rsid w:val="00D177E5"/>
    <w:rsid w:val="00D200F6"/>
    <w:rsid w:val="00D20FD7"/>
    <w:rsid w:val="00D21646"/>
    <w:rsid w:val="00D2171F"/>
    <w:rsid w:val="00D21C44"/>
    <w:rsid w:val="00D23A53"/>
    <w:rsid w:val="00D24095"/>
    <w:rsid w:val="00D33231"/>
    <w:rsid w:val="00D33350"/>
    <w:rsid w:val="00D33427"/>
    <w:rsid w:val="00D3431F"/>
    <w:rsid w:val="00D36A3A"/>
    <w:rsid w:val="00D40FF7"/>
    <w:rsid w:val="00D417BB"/>
    <w:rsid w:val="00D432EB"/>
    <w:rsid w:val="00D454F2"/>
    <w:rsid w:val="00D47CE9"/>
    <w:rsid w:val="00D505D8"/>
    <w:rsid w:val="00D52995"/>
    <w:rsid w:val="00D541B1"/>
    <w:rsid w:val="00D60425"/>
    <w:rsid w:val="00D610DA"/>
    <w:rsid w:val="00D62874"/>
    <w:rsid w:val="00D6352D"/>
    <w:rsid w:val="00D63C44"/>
    <w:rsid w:val="00D64CB0"/>
    <w:rsid w:val="00D66B1E"/>
    <w:rsid w:val="00D728AD"/>
    <w:rsid w:val="00D72ADE"/>
    <w:rsid w:val="00D72C52"/>
    <w:rsid w:val="00D75233"/>
    <w:rsid w:val="00D7728F"/>
    <w:rsid w:val="00D774A3"/>
    <w:rsid w:val="00D77696"/>
    <w:rsid w:val="00D81697"/>
    <w:rsid w:val="00D81CC4"/>
    <w:rsid w:val="00D8586B"/>
    <w:rsid w:val="00D93EFF"/>
    <w:rsid w:val="00D9765E"/>
    <w:rsid w:val="00DA1473"/>
    <w:rsid w:val="00DA14C4"/>
    <w:rsid w:val="00DA4591"/>
    <w:rsid w:val="00DA4A13"/>
    <w:rsid w:val="00DA4AE5"/>
    <w:rsid w:val="00DA6430"/>
    <w:rsid w:val="00DA681A"/>
    <w:rsid w:val="00DA6B7E"/>
    <w:rsid w:val="00DB250C"/>
    <w:rsid w:val="00DB323D"/>
    <w:rsid w:val="00DB353C"/>
    <w:rsid w:val="00DB52B7"/>
    <w:rsid w:val="00DB63BE"/>
    <w:rsid w:val="00DB63DB"/>
    <w:rsid w:val="00DB7824"/>
    <w:rsid w:val="00DC1A88"/>
    <w:rsid w:val="00DC2E1E"/>
    <w:rsid w:val="00DC308E"/>
    <w:rsid w:val="00DC53BD"/>
    <w:rsid w:val="00DC5E0F"/>
    <w:rsid w:val="00DC5EA9"/>
    <w:rsid w:val="00DC6C76"/>
    <w:rsid w:val="00DC7F73"/>
    <w:rsid w:val="00DD5467"/>
    <w:rsid w:val="00DD6CCB"/>
    <w:rsid w:val="00DE049F"/>
    <w:rsid w:val="00DE191A"/>
    <w:rsid w:val="00DE1A0F"/>
    <w:rsid w:val="00DE3123"/>
    <w:rsid w:val="00DE339F"/>
    <w:rsid w:val="00DE65D3"/>
    <w:rsid w:val="00DF1307"/>
    <w:rsid w:val="00DF1535"/>
    <w:rsid w:val="00DF328A"/>
    <w:rsid w:val="00DF53F5"/>
    <w:rsid w:val="00DF61FD"/>
    <w:rsid w:val="00DF6D25"/>
    <w:rsid w:val="00DF7199"/>
    <w:rsid w:val="00E00FE3"/>
    <w:rsid w:val="00E03834"/>
    <w:rsid w:val="00E03C6D"/>
    <w:rsid w:val="00E07460"/>
    <w:rsid w:val="00E07F71"/>
    <w:rsid w:val="00E11EE3"/>
    <w:rsid w:val="00E135F9"/>
    <w:rsid w:val="00E14349"/>
    <w:rsid w:val="00E20884"/>
    <w:rsid w:val="00E20C28"/>
    <w:rsid w:val="00E21895"/>
    <w:rsid w:val="00E21A95"/>
    <w:rsid w:val="00E22A77"/>
    <w:rsid w:val="00E22E84"/>
    <w:rsid w:val="00E23DA2"/>
    <w:rsid w:val="00E24115"/>
    <w:rsid w:val="00E248D2"/>
    <w:rsid w:val="00E24B18"/>
    <w:rsid w:val="00E2643E"/>
    <w:rsid w:val="00E2665E"/>
    <w:rsid w:val="00E3016C"/>
    <w:rsid w:val="00E348BC"/>
    <w:rsid w:val="00E35B8D"/>
    <w:rsid w:val="00E36707"/>
    <w:rsid w:val="00E4008C"/>
    <w:rsid w:val="00E4307D"/>
    <w:rsid w:val="00E4318F"/>
    <w:rsid w:val="00E4392E"/>
    <w:rsid w:val="00E43AC6"/>
    <w:rsid w:val="00E45F3F"/>
    <w:rsid w:val="00E50B9E"/>
    <w:rsid w:val="00E51633"/>
    <w:rsid w:val="00E51680"/>
    <w:rsid w:val="00E52032"/>
    <w:rsid w:val="00E54395"/>
    <w:rsid w:val="00E5448F"/>
    <w:rsid w:val="00E54654"/>
    <w:rsid w:val="00E54741"/>
    <w:rsid w:val="00E549FC"/>
    <w:rsid w:val="00E55091"/>
    <w:rsid w:val="00E55456"/>
    <w:rsid w:val="00E563DB"/>
    <w:rsid w:val="00E568E5"/>
    <w:rsid w:val="00E56AEE"/>
    <w:rsid w:val="00E57AAD"/>
    <w:rsid w:val="00E62353"/>
    <w:rsid w:val="00E62A1B"/>
    <w:rsid w:val="00E6453F"/>
    <w:rsid w:val="00E647AA"/>
    <w:rsid w:val="00E659EF"/>
    <w:rsid w:val="00E6705D"/>
    <w:rsid w:val="00E677A6"/>
    <w:rsid w:val="00E70CBD"/>
    <w:rsid w:val="00E713AF"/>
    <w:rsid w:val="00E717E8"/>
    <w:rsid w:val="00E72BAF"/>
    <w:rsid w:val="00E73D81"/>
    <w:rsid w:val="00E74323"/>
    <w:rsid w:val="00E74EFD"/>
    <w:rsid w:val="00E75122"/>
    <w:rsid w:val="00E754F4"/>
    <w:rsid w:val="00E7554D"/>
    <w:rsid w:val="00E84F93"/>
    <w:rsid w:val="00E865D1"/>
    <w:rsid w:val="00E90EA6"/>
    <w:rsid w:val="00E92968"/>
    <w:rsid w:val="00E93433"/>
    <w:rsid w:val="00E941E2"/>
    <w:rsid w:val="00E95606"/>
    <w:rsid w:val="00E96077"/>
    <w:rsid w:val="00E9695F"/>
    <w:rsid w:val="00E973B4"/>
    <w:rsid w:val="00EA057C"/>
    <w:rsid w:val="00EA2807"/>
    <w:rsid w:val="00EA2D3D"/>
    <w:rsid w:val="00EA5205"/>
    <w:rsid w:val="00EA5346"/>
    <w:rsid w:val="00EA5B84"/>
    <w:rsid w:val="00EA726A"/>
    <w:rsid w:val="00EB1EA0"/>
    <w:rsid w:val="00EB20F9"/>
    <w:rsid w:val="00EB24EB"/>
    <w:rsid w:val="00EB34AF"/>
    <w:rsid w:val="00EB5641"/>
    <w:rsid w:val="00EB679A"/>
    <w:rsid w:val="00EB74BF"/>
    <w:rsid w:val="00EB767D"/>
    <w:rsid w:val="00EC1EC6"/>
    <w:rsid w:val="00EC4235"/>
    <w:rsid w:val="00EC546B"/>
    <w:rsid w:val="00EC643D"/>
    <w:rsid w:val="00ED0394"/>
    <w:rsid w:val="00ED06CC"/>
    <w:rsid w:val="00ED15EA"/>
    <w:rsid w:val="00ED2C8E"/>
    <w:rsid w:val="00ED379E"/>
    <w:rsid w:val="00ED728A"/>
    <w:rsid w:val="00ED7680"/>
    <w:rsid w:val="00EE0424"/>
    <w:rsid w:val="00EE07D0"/>
    <w:rsid w:val="00EE0D47"/>
    <w:rsid w:val="00EE5358"/>
    <w:rsid w:val="00EE57E7"/>
    <w:rsid w:val="00EE7EEC"/>
    <w:rsid w:val="00EF1B6A"/>
    <w:rsid w:val="00EF3C59"/>
    <w:rsid w:val="00EF3C5A"/>
    <w:rsid w:val="00EF45EA"/>
    <w:rsid w:val="00EF4E3E"/>
    <w:rsid w:val="00EF54D8"/>
    <w:rsid w:val="00EF625E"/>
    <w:rsid w:val="00EF71E9"/>
    <w:rsid w:val="00EF799A"/>
    <w:rsid w:val="00EF7BAC"/>
    <w:rsid w:val="00F006D2"/>
    <w:rsid w:val="00F00BD1"/>
    <w:rsid w:val="00F01FD9"/>
    <w:rsid w:val="00F04692"/>
    <w:rsid w:val="00F04B07"/>
    <w:rsid w:val="00F05BA8"/>
    <w:rsid w:val="00F06836"/>
    <w:rsid w:val="00F11AB9"/>
    <w:rsid w:val="00F16F13"/>
    <w:rsid w:val="00F1743F"/>
    <w:rsid w:val="00F20AEA"/>
    <w:rsid w:val="00F219C3"/>
    <w:rsid w:val="00F21F94"/>
    <w:rsid w:val="00F22BF7"/>
    <w:rsid w:val="00F2359A"/>
    <w:rsid w:val="00F23E9A"/>
    <w:rsid w:val="00F24009"/>
    <w:rsid w:val="00F242D9"/>
    <w:rsid w:val="00F24D3A"/>
    <w:rsid w:val="00F259FE"/>
    <w:rsid w:val="00F27FEF"/>
    <w:rsid w:val="00F3134F"/>
    <w:rsid w:val="00F3403F"/>
    <w:rsid w:val="00F3715D"/>
    <w:rsid w:val="00F40685"/>
    <w:rsid w:val="00F44B62"/>
    <w:rsid w:val="00F45125"/>
    <w:rsid w:val="00F462A6"/>
    <w:rsid w:val="00F50090"/>
    <w:rsid w:val="00F5072C"/>
    <w:rsid w:val="00F51CBF"/>
    <w:rsid w:val="00F526D5"/>
    <w:rsid w:val="00F5411D"/>
    <w:rsid w:val="00F543D4"/>
    <w:rsid w:val="00F56D2B"/>
    <w:rsid w:val="00F57D2D"/>
    <w:rsid w:val="00F606D8"/>
    <w:rsid w:val="00F61EA0"/>
    <w:rsid w:val="00F6275A"/>
    <w:rsid w:val="00F62A49"/>
    <w:rsid w:val="00F63F40"/>
    <w:rsid w:val="00F64F0D"/>
    <w:rsid w:val="00F7026A"/>
    <w:rsid w:val="00F7114F"/>
    <w:rsid w:val="00F71826"/>
    <w:rsid w:val="00F72B45"/>
    <w:rsid w:val="00F73B00"/>
    <w:rsid w:val="00F73E09"/>
    <w:rsid w:val="00F74457"/>
    <w:rsid w:val="00F764EE"/>
    <w:rsid w:val="00F7664F"/>
    <w:rsid w:val="00F76F02"/>
    <w:rsid w:val="00F77D04"/>
    <w:rsid w:val="00F804E0"/>
    <w:rsid w:val="00F84737"/>
    <w:rsid w:val="00F85098"/>
    <w:rsid w:val="00F87B69"/>
    <w:rsid w:val="00F905AB"/>
    <w:rsid w:val="00F90C95"/>
    <w:rsid w:val="00F9103E"/>
    <w:rsid w:val="00F92DE2"/>
    <w:rsid w:val="00F95923"/>
    <w:rsid w:val="00F96A39"/>
    <w:rsid w:val="00F96DB3"/>
    <w:rsid w:val="00F97463"/>
    <w:rsid w:val="00FA0919"/>
    <w:rsid w:val="00FA1BAA"/>
    <w:rsid w:val="00FA2E91"/>
    <w:rsid w:val="00FA3285"/>
    <w:rsid w:val="00FA3B92"/>
    <w:rsid w:val="00FA44B6"/>
    <w:rsid w:val="00FA4B50"/>
    <w:rsid w:val="00FA4DC6"/>
    <w:rsid w:val="00FA5D99"/>
    <w:rsid w:val="00FB030E"/>
    <w:rsid w:val="00FB571F"/>
    <w:rsid w:val="00FB5F4A"/>
    <w:rsid w:val="00FC1E22"/>
    <w:rsid w:val="00FC342F"/>
    <w:rsid w:val="00FC3BAB"/>
    <w:rsid w:val="00FC42BA"/>
    <w:rsid w:val="00FC6166"/>
    <w:rsid w:val="00FC77BB"/>
    <w:rsid w:val="00FD03DD"/>
    <w:rsid w:val="00FD08C1"/>
    <w:rsid w:val="00FD2655"/>
    <w:rsid w:val="00FD2C54"/>
    <w:rsid w:val="00FD6F78"/>
    <w:rsid w:val="00FD7A7A"/>
    <w:rsid w:val="00FE10C1"/>
    <w:rsid w:val="00FE190E"/>
    <w:rsid w:val="00FE20A9"/>
    <w:rsid w:val="00FE2510"/>
    <w:rsid w:val="00FE48A9"/>
    <w:rsid w:val="00FE5CF7"/>
    <w:rsid w:val="00FF08B7"/>
    <w:rsid w:val="00FF12B8"/>
    <w:rsid w:val="00FF171B"/>
    <w:rsid w:val="00FF521D"/>
    <w:rsid w:val="00FF6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3DED3E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EF7BAC"/>
    <w:pPr>
      <w:keepNext/>
      <w:keepLines/>
      <w:spacing w:before="280" w:after="80"/>
    </w:pPr>
    <w:rPr>
      <w:rFonts w:cstheme="minorHAnsi"/>
      <w:b/>
      <w:color w:val="00000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F7BAC"/>
    <w:rPr>
      <w:rFonts w:ascii="Calibri Light" w:hAnsi="Calibri Light" w:cstheme="minorHAnsi"/>
      <w:b/>
      <w:color w:val="000000"/>
      <w:sz w:val="22"/>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C06A2"/>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AC633C"/>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36"/>
    </w:rPr>
  </w:style>
  <w:style w:type="character" w:customStyle="1" w:styleId="eTRMHeading1Char">
    <w:name w:val="eTRM Heading 1 Char"/>
    <w:basedOn w:val="DefaultParagraphFont"/>
    <w:link w:val="eTRMHeading1"/>
    <w:rsid w:val="00AC633C"/>
    <w:rPr>
      <w:rFonts w:ascii="Calibri" w:eastAsiaTheme="majorEastAsia" w:hAnsi="Calibri" w:cstheme="majorBidi"/>
      <w:b/>
      <w:caps/>
      <w:color w:val="FFFFFF" w:themeColor="background1"/>
      <w:spacing w:val="60"/>
      <w:sz w:val="28"/>
      <w:szCs w:val="36"/>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2B4E"/>
    <w:pPr>
      <w:autoSpaceDE w:val="0"/>
      <w:autoSpaceDN w:val="0"/>
      <w:adjustRightInd w:val="0"/>
    </w:pPr>
    <w:rPr>
      <w:rFonts w:ascii="Calibri Light" w:hAnsi="Calibri Light" w:cs="Calibri Light"/>
      <w:color w:val="000000"/>
    </w:rPr>
  </w:style>
  <w:style w:type="character" w:styleId="SubtleEmphasis">
    <w:name w:val="Subtle Emphasis"/>
    <w:basedOn w:val="DefaultParagraphFont"/>
    <w:uiPriority w:val="19"/>
    <w:qFormat/>
    <w:rsid w:val="00E24115"/>
    <w:rPr>
      <w:i/>
      <w:iCs/>
      <w:color w:val="525252" w:themeColor="text1" w:themeTint="BF"/>
    </w:rPr>
  </w:style>
  <w:style w:type="paragraph" w:customStyle="1" w:styleId="xetrmbulletedtext">
    <w:name w:val="x_etrmbulletedtext"/>
    <w:basedOn w:val="Normal"/>
    <w:rsid w:val="008B0000"/>
    <w:pPr>
      <w:spacing w:before="0" w:after="20"/>
      <w:ind w:left="720" w:hanging="360"/>
    </w:pPr>
    <w:rPr>
      <w:rFonts w:eastAsiaTheme="minorHAnsi" w:cs="Calibri Light"/>
      <w:szCs w:val="22"/>
    </w:rPr>
  </w:style>
  <w:style w:type="character" w:styleId="Emphasis">
    <w:name w:val="Emphasis"/>
    <w:basedOn w:val="DefaultParagraphFont"/>
    <w:uiPriority w:val="20"/>
    <w:qFormat/>
    <w:rsid w:val="003C48E1"/>
    <w:rPr>
      <w:i/>
      <w:iCs/>
    </w:rPr>
  </w:style>
  <w:style w:type="character" w:customStyle="1" w:styleId="dropdown">
    <w:name w:val="dropdown"/>
    <w:basedOn w:val="DefaultParagraphFont"/>
    <w:rsid w:val="00AC633C"/>
  </w:style>
  <w:style w:type="character" w:styleId="Strong">
    <w:name w:val="Strong"/>
    <w:basedOn w:val="DefaultParagraphFont"/>
    <w:uiPriority w:val="22"/>
    <w:qFormat/>
    <w:rsid w:val="00D40FF7"/>
    <w:rPr>
      <w:b/>
      <w:bCs/>
    </w:rPr>
  </w:style>
  <w:style w:type="character" w:styleId="UnresolvedMention">
    <w:name w:val="Unresolved Mention"/>
    <w:basedOn w:val="DefaultParagraphFont"/>
    <w:uiPriority w:val="99"/>
    <w:semiHidden/>
    <w:unhideWhenUsed/>
    <w:rsid w:val="00183072"/>
    <w:rPr>
      <w:color w:val="605E5C"/>
      <w:shd w:val="clear" w:color="auto" w:fill="E1DFDD"/>
    </w:rPr>
  </w:style>
  <w:style w:type="paragraph" w:customStyle="1" w:styleId="TableParagraph">
    <w:name w:val="Table Paragraph"/>
    <w:basedOn w:val="Normal"/>
    <w:uiPriority w:val="1"/>
    <w:qFormat/>
    <w:rsid w:val="00CA4C6F"/>
    <w:pPr>
      <w:widowControl w:val="0"/>
      <w:autoSpaceDE w:val="0"/>
      <w:autoSpaceDN w:val="0"/>
      <w:spacing w:before="1" w:after="0" w:line="240" w:lineRule="auto"/>
      <w:ind w:left="107"/>
    </w:pPr>
    <w:rPr>
      <w:rFonts w:eastAsia="Calibri Light" w:cs="Calibri Light"/>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59840">
      <w:bodyDiv w:val="1"/>
      <w:marLeft w:val="0"/>
      <w:marRight w:val="0"/>
      <w:marTop w:val="0"/>
      <w:marBottom w:val="0"/>
      <w:divBdr>
        <w:top w:val="none" w:sz="0" w:space="0" w:color="auto"/>
        <w:left w:val="none" w:sz="0" w:space="0" w:color="auto"/>
        <w:bottom w:val="none" w:sz="0" w:space="0" w:color="auto"/>
        <w:right w:val="none" w:sz="0" w:space="0" w:color="auto"/>
      </w:divBdr>
    </w:div>
    <w:div w:id="149450513">
      <w:bodyDiv w:val="1"/>
      <w:marLeft w:val="0"/>
      <w:marRight w:val="0"/>
      <w:marTop w:val="0"/>
      <w:marBottom w:val="0"/>
      <w:divBdr>
        <w:top w:val="none" w:sz="0" w:space="0" w:color="auto"/>
        <w:left w:val="none" w:sz="0" w:space="0" w:color="auto"/>
        <w:bottom w:val="none" w:sz="0" w:space="0" w:color="auto"/>
        <w:right w:val="none" w:sz="0" w:space="0" w:color="auto"/>
      </w:divBdr>
    </w:div>
    <w:div w:id="272596939">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214591">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548582">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56232940">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35416416">
      <w:bodyDiv w:val="1"/>
      <w:marLeft w:val="0"/>
      <w:marRight w:val="0"/>
      <w:marTop w:val="0"/>
      <w:marBottom w:val="0"/>
      <w:divBdr>
        <w:top w:val="none" w:sz="0" w:space="0" w:color="auto"/>
        <w:left w:val="none" w:sz="0" w:space="0" w:color="auto"/>
        <w:bottom w:val="none" w:sz="0" w:space="0" w:color="auto"/>
        <w:right w:val="none" w:sz="0" w:space="0" w:color="auto"/>
      </w:divBdr>
    </w:div>
    <w:div w:id="1864319394">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8547394">
      <w:bodyDiv w:val="1"/>
      <w:marLeft w:val="0"/>
      <w:marRight w:val="0"/>
      <w:marTop w:val="0"/>
      <w:marBottom w:val="0"/>
      <w:divBdr>
        <w:top w:val="none" w:sz="0" w:space="0" w:color="auto"/>
        <w:left w:val="none" w:sz="0" w:space="0" w:color="auto"/>
        <w:bottom w:val="none" w:sz="0" w:space="0" w:color="auto"/>
        <w:right w:val="none" w:sz="0" w:space="0" w:color="auto"/>
      </w:divBdr>
    </w:div>
    <w:div w:id="2118523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5" ma:contentTypeDescription="Create a new document." ma:contentTypeScope="" ma:versionID="b2822feeffeac2ca8c088da5d3584a6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9bc4220ea25db35a87c78f43d86bbeba"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Test_x0020_note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Test_x0020_notes" ma:index="20" nillable="true" ma:displayName="Test notes" ma:internalName="Test_x0020_notes">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est_x0020_notes xmlns="870e7c11-ae1f-4d3d-a559-665563d266b8" xsi:nil="true"/>
  </documentManagement>
</p:properties>
</file>

<file path=customXml/itemProps1.xml><?xml version="1.0" encoding="utf-8"?>
<ds:datastoreItem xmlns:ds="http://schemas.openxmlformats.org/officeDocument/2006/customXml" ds:itemID="{B6BE8C02-82FF-4ED6-A89E-80B9525EA7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635250-CCAD-4C11-99CC-B11EEFD89A52}">
  <ds:schemaRefs>
    <ds:schemaRef ds:uri="http://schemas.microsoft.com/sharepoint/v3/contenttype/forms"/>
  </ds:schemaRefs>
</ds:datastoreItem>
</file>

<file path=customXml/itemProps3.xml><?xml version="1.0" encoding="utf-8"?>
<ds:datastoreItem xmlns:ds="http://schemas.openxmlformats.org/officeDocument/2006/customXml" ds:itemID="{C6E186B4-82C4-4C78-BDF0-C747A8D8A145}">
  <ds:schemaRefs>
    <ds:schemaRef ds:uri="http://schemas.openxmlformats.org/officeDocument/2006/bibliography"/>
  </ds:schemaRefs>
</ds:datastoreItem>
</file>

<file path=customXml/itemProps4.xml><?xml version="1.0" encoding="utf-8"?>
<ds:datastoreItem xmlns:ds="http://schemas.openxmlformats.org/officeDocument/2006/customXml" ds:itemID="{1943C415-AE8B-4CE7-BEF1-49FE42BFC7FB}">
  <ds:schemaRefs>
    <ds:schemaRef ds:uri="http://schemas.microsoft.com/office/2006/metadata/properties"/>
    <ds:schemaRef ds:uri="http://schemas.microsoft.com/office/infopath/2007/PartnerControls"/>
    <ds:schemaRef ds:uri="870e7c11-ae1f-4d3d-a559-665563d266b8"/>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TotalTime>
  <Pages>22</Pages>
  <Words>6106</Words>
  <Characters>34810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40835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6</cp:revision>
  <cp:lastPrinted>2017-06-29T20:58:00Z</cp:lastPrinted>
  <dcterms:created xsi:type="dcterms:W3CDTF">2021-12-01T19:38:00Z</dcterms:created>
  <dcterms:modified xsi:type="dcterms:W3CDTF">2021-12-10T19:40:00Z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