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B989D" w14:textId="1A971D3B" w:rsidR="00BB2954" w:rsidRDefault="00411B1C">
      <w:r>
        <w:t xml:space="preserve">CPUC Comments on </w:t>
      </w:r>
      <w:r w:rsidR="00C17C22">
        <w:t>SWWH027-02 – Heat Pump Water Heater, Commercial, Fuel Substitution</w:t>
      </w:r>
    </w:p>
    <w:p w14:paraId="2BA7A164" w14:textId="6F71DA1A" w:rsidR="004266C0" w:rsidRDefault="004266C0">
      <w:r>
        <w:t xml:space="preserve">Lead PA: </w:t>
      </w:r>
      <w:r w:rsidR="00C17C22">
        <w:t>SCE</w:t>
      </w:r>
    </w:p>
    <w:p w14:paraId="4BB68C7D" w14:textId="7ECEA33D" w:rsidR="009E1581" w:rsidRDefault="004266C0">
      <w:r>
        <w:t xml:space="preserve">Workpaper </w:t>
      </w:r>
      <w:r w:rsidR="008F1FF0">
        <w:t xml:space="preserve">Submittal Date: </w:t>
      </w:r>
      <w:r w:rsidR="00C17C22">
        <w:t>12/7/2020</w:t>
      </w:r>
    </w:p>
    <w:p w14:paraId="06E32D11" w14:textId="0C9F87FD" w:rsidR="004266C0" w:rsidRDefault="004266C0">
      <w:r>
        <w:t xml:space="preserve">CPUC Review Date: </w:t>
      </w:r>
      <w:r w:rsidR="00095F36">
        <w:t>02/23/2021</w:t>
      </w:r>
    </w:p>
    <w:p w14:paraId="255A3990" w14:textId="77777777" w:rsidR="00425753" w:rsidRDefault="00425753"/>
    <w:p w14:paraId="34C58858" w14:textId="1FDABB90" w:rsidR="00AB26AE" w:rsidRDefault="008D5929">
      <w:r w:rsidRPr="00047FC1">
        <w:t>Please note response</w:t>
      </w:r>
      <w:r>
        <w:t>s</w:t>
      </w:r>
      <w:r w:rsidRPr="00047FC1">
        <w:t xml:space="preserve"> to comments in the table</w:t>
      </w:r>
      <w:r>
        <w:t xml:space="preserve"> below</w:t>
      </w:r>
      <w:r w:rsidRPr="00047FC1">
        <w:t xml:space="preserve">, revise workpaper, and upload </w:t>
      </w:r>
      <w:r>
        <w:t xml:space="preserve">the entire package </w:t>
      </w:r>
      <w:r w:rsidRPr="00047FC1">
        <w:t xml:space="preserve">to the WPA. If needed, please reach out to </w:t>
      </w:r>
      <w:r>
        <w:t>Workpaper Review T</w:t>
      </w:r>
      <w:r w:rsidRPr="00047FC1">
        <w:t>eam to set up a call to discuss.</w:t>
      </w:r>
    </w:p>
    <w:tbl>
      <w:tblPr>
        <w:tblStyle w:val="TableGrid"/>
        <w:tblpPr w:leftFromText="180" w:rightFromText="180" w:vertAnchor="page" w:horzAnchor="margin" w:tblpY="4537"/>
        <w:tblW w:w="9805" w:type="dxa"/>
        <w:tblLayout w:type="fixed"/>
        <w:tblLook w:val="04A0" w:firstRow="1" w:lastRow="0" w:firstColumn="1" w:lastColumn="0" w:noHBand="0" w:noVBand="1"/>
      </w:tblPr>
      <w:tblGrid>
        <w:gridCol w:w="4765"/>
        <w:gridCol w:w="5040"/>
      </w:tblGrid>
      <w:tr w:rsidR="004266C0" w14:paraId="75EEBFCB" w14:textId="77777777" w:rsidTr="00965CA3">
        <w:tc>
          <w:tcPr>
            <w:tcW w:w="4765" w:type="dxa"/>
          </w:tcPr>
          <w:p w14:paraId="50F575CA" w14:textId="77777777" w:rsidR="004266C0" w:rsidRDefault="004266C0" w:rsidP="004266C0">
            <w:r>
              <w:t>CPUC Comment</w:t>
            </w:r>
          </w:p>
        </w:tc>
        <w:tc>
          <w:tcPr>
            <w:tcW w:w="5040" w:type="dxa"/>
          </w:tcPr>
          <w:p w14:paraId="73B4B0C7" w14:textId="77777777" w:rsidR="004266C0" w:rsidRDefault="004266C0" w:rsidP="004266C0">
            <w:r>
              <w:t>PA Response</w:t>
            </w:r>
          </w:p>
        </w:tc>
      </w:tr>
      <w:tr w:rsidR="004266C0" w14:paraId="3824AE26" w14:textId="77777777" w:rsidTr="00965CA3">
        <w:tc>
          <w:tcPr>
            <w:tcW w:w="4765" w:type="dxa"/>
          </w:tcPr>
          <w:p w14:paraId="65895ACD" w14:textId="7E391972" w:rsidR="004266C0" w:rsidRPr="00B30077" w:rsidRDefault="00B30077" w:rsidP="004266C0">
            <w:pPr>
              <w:rPr>
                <w:rFonts w:cstheme="minorHAnsi"/>
              </w:rPr>
            </w:pPr>
            <w:r>
              <w:t>In Base Case Description section, workpaper mentions “</w:t>
            </w:r>
            <w:r>
              <w:rPr>
                <w:rStyle w:val="SubtleEmphasis"/>
                <w:rFonts w:ascii="Calibri Light" w:hAnsi="Calibri Light" w:cs="Calibri Light"/>
              </w:rPr>
              <w:t xml:space="preserve">The measure assumes that the customer’s existing case and the code/standard case baselines are the same.” </w:t>
            </w:r>
            <w:r>
              <w:rPr>
                <w:rStyle w:val="SubtleEmphasis"/>
                <w:rFonts w:cstheme="minorHAnsi"/>
                <w:i w:val="0"/>
                <w:iCs w:val="0"/>
              </w:rPr>
              <w:t>There are technically pre-existing (early/accel. Replacement) baseline technologies and standard</w:t>
            </w:r>
            <w:r w:rsidR="00906465">
              <w:rPr>
                <w:rStyle w:val="SubtleEmphasis"/>
                <w:rFonts w:cstheme="minorHAnsi"/>
                <w:i w:val="0"/>
                <w:iCs w:val="0"/>
              </w:rPr>
              <w:t>/code (normal replacement) baseline technologies described in the v4.2 calculator. If the workpaper assumes baseline = standard/code, it must be ensured that the normal replacement UES savings are used (“</w:t>
            </w:r>
            <w:proofErr w:type="spellStart"/>
            <w:r w:rsidR="00906465">
              <w:rPr>
                <w:rStyle w:val="SubtleEmphasis"/>
                <w:rFonts w:cstheme="minorHAnsi"/>
                <w:i w:val="0"/>
                <w:iCs w:val="0"/>
              </w:rPr>
              <w:t>AStdWBkWh</w:t>
            </w:r>
            <w:proofErr w:type="spellEnd"/>
            <w:r w:rsidR="00906465">
              <w:rPr>
                <w:rStyle w:val="SubtleEmphasis"/>
                <w:rFonts w:cstheme="minorHAnsi"/>
                <w:i w:val="0"/>
                <w:iCs w:val="0"/>
              </w:rPr>
              <w:t>”, “</w:t>
            </w:r>
            <w:proofErr w:type="spellStart"/>
            <w:r w:rsidR="00906465">
              <w:rPr>
                <w:rStyle w:val="SubtleEmphasis"/>
                <w:rFonts w:cstheme="minorHAnsi"/>
                <w:i w:val="0"/>
                <w:iCs w:val="0"/>
              </w:rPr>
              <w:t>AStdWBkW</w:t>
            </w:r>
            <w:proofErr w:type="spellEnd"/>
            <w:r w:rsidR="00906465">
              <w:rPr>
                <w:rStyle w:val="SubtleEmphasis"/>
                <w:rFonts w:cstheme="minorHAnsi"/>
                <w:i w:val="0"/>
                <w:iCs w:val="0"/>
              </w:rPr>
              <w:t xml:space="preserve">”, and </w:t>
            </w:r>
            <w:proofErr w:type="spellStart"/>
            <w:r w:rsidR="00906465">
              <w:rPr>
                <w:rStyle w:val="SubtleEmphasis"/>
                <w:rFonts w:cstheme="minorHAnsi"/>
                <w:i w:val="0"/>
                <w:iCs w:val="0"/>
              </w:rPr>
              <w:t>AStdWBtherm</w:t>
            </w:r>
            <w:proofErr w:type="spellEnd"/>
            <w:r w:rsidR="00906465">
              <w:rPr>
                <w:rStyle w:val="SubtleEmphasis"/>
                <w:rFonts w:cstheme="minorHAnsi"/>
                <w:i w:val="0"/>
                <w:iCs w:val="0"/>
              </w:rPr>
              <w:t>”).</w:t>
            </w:r>
          </w:p>
        </w:tc>
        <w:tc>
          <w:tcPr>
            <w:tcW w:w="5040" w:type="dxa"/>
          </w:tcPr>
          <w:p w14:paraId="1CE97B5E" w14:textId="0700016F" w:rsidR="00643BD4" w:rsidRPr="0028611A" w:rsidRDefault="00643BD4" w:rsidP="00643BD4">
            <w:pPr>
              <w:pStyle w:val="NoSpacing"/>
              <w:rPr>
                <w:rStyle w:val="SubtleEmphasis"/>
                <w:rFonts w:cstheme="minorHAnsi"/>
                <w:iCs w:val="0"/>
                <w:color w:val="auto"/>
              </w:rPr>
            </w:pPr>
            <w:r w:rsidRPr="0028611A">
              <w:rPr>
                <w:rFonts w:cstheme="minorHAnsi"/>
              </w:rPr>
              <w:t xml:space="preserve">Updated the Base Case Description </w:t>
            </w:r>
            <w:r w:rsidR="00425753" w:rsidRPr="0028611A">
              <w:rPr>
                <w:rFonts w:cstheme="minorHAnsi"/>
              </w:rPr>
              <w:t>to:</w:t>
            </w:r>
            <w:r w:rsidRPr="0028611A">
              <w:rPr>
                <w:rFonts w:cstheme="minorHAnsi"/>
              </w:rPr>
              <w:t xml:space="preserve"> </w:t>
            </w:r>
            <w:r w:rsidRPr="0028611A">
              <w:rPr>
                <w:rFonts w:cstheme="minorHAnsi"/>
                <w:iCs/>
              </w:rPr>
              <w:t xml:space="preserve"> </w:t>
            </w:r>
            <w:r w:rsidRPr="0028611A">
              <w:rPr>
                <w:rStyle w:val="SubtleEmphasis"/>
                <w:rFonts w:cstheme="minorHAnsi"/>
                <w:iCs w:val="0"/>
                <w:color w:val="auto"/>
              </w:rPr>
              <w:t xml:space="preserve">The measure assumes pre-existing (accelerated replacement) baseline technologies and standard/code (normal replacement) baseline technologies described in the </w:t>
            </w:r>
            <w:r w:rsidRPr="0028611A">
              <w:rPr>
                <w:rFonts w:cstheme="minorHAnsi"/>
              </w:rPr>
              <w:t>DEER Water Heater Calculator tool version 4.</w:t>
            </w:r>
            <w:r w:rsidR="00BC556F">
              <w:rPr>
                <w:rFonts w:cstheme="minorHAnsi"/>
              </w:rPr>
              <w:t>2</w:t>
            </w:r>
            <w:r w:rsidRPr="0028611A">
              <w:rPr>
                <w:rStyle w:val="SubtleEmphasis"/>
                <w:rFonts w:cstheme="minorHAnsi"/>
                <w:iCs w:val="0"/>
                <w:color w:val="auto"/>
              </w:rPr>
              <w:t xml:space="preserve"> </w:t>
            </w:r>
          </w:p>
          <w:p w14:paraId="616D4609" w14:textId="442E8882" w:rsidR="004266C0" w:rsidRDefault="004266C0" w:rsidP="004266C0"/>
        </w:tc>
      </w:tr>
      <w:tr w:rsidR="004266C0" w14:paraId="05E35CA3" w14:textId="77777777" w:rsidTr="00965CA3">
        <w:tc>
          <w:tcPr>
            <w:tcW w:w="4765" w:type="dxa"/>
          </w:tcPr>
          <w:p w14:paraId="2948B0D6" w14:textId="3E3DFAC6" w:rsidR="004266C0" w:rsidRDefault="00906465" w:rsidP="004266C0">
            <w:r>
              <w:t>SWWH027A through SWWH027R are Water Heater Calculator v.4.2 measures</w:t>
            </w:r>
            <w:r w:rsidR="009875E3">
              <w:t xml:space="preserve"> and in the workpaper are described as the “Com” variety</w:t>
            </w:r>
            <w:r w:rsidR="00767B34">
              <w:t xml:space="preserve"> (commercial sector)</w:t>
            </w:r>
            <w:r w:rsidR="009875E3">
              <w:t xml:space="preserve">. SWWH027S through SWWH027AJ </w:t>
            </w:r>
            <w:r w:rsidR="00767B34">
              <w:t>are described identically to the A to R “Com” varieties except they are designated “Ind” (industrial sector). However, the industrial sector measures are not listed in EAD tables or elsewhere, other than the workpaper measure case description section. How will these measures be used and what UES will be applied for them?</w:t>
            </w:r>
          </w:p>
        </w:tc>
        <w:tc>
          <w:tcPr>
            <w:tcW w:w="5040" w:type="dxa"/>
          </w:tcPr>
          <w:p w14:paraId="64B4C480" w14:textId="2C3CBD0D" w:rsidR="004266C0" w:rsidRPr="00876EB0" w:rsidRDefault="00876EB0" w:rsidP="004266C0">
            <w:pPr>
              <w:rPr>
                <w:rFonts w:cstheme="minorHAnsi"/>
              </w:rPr>
            </w:pPr>
            <w:r w:rsidRPr="00876EB0">
              <w:rPr>
                <w:rFonts w:cs="Calibri Light"/>
              </w:rPr>
              <w:t xml:space="preserve">Removed </w:t>
            </w:r>
            <w:proofErr w:type="spellStart"/>
            <w:r w:rsidRPr="00876EB0">
              <w:rPr>
                <w:rFonts w:cs="Calibri Light"/>
              </w:rPr>
              <w:t>MeasureID</w:t>
            </w:r>
            <w:r w:rsidR="00667D28">
              <w:rPr>
                <w:rFonts w:cs="Calibri Light"/>
              </w:rPr>
              <w:t>s</w:t>
            </w:r>
            <w:proofErr w:type="spellEnd"/>
            <w:r w:rsidR="00667D28">
              <w:rPr>
                <w:rFonts w:cs="Calibri Light"/>
              </w:rPr>
              <w:t xml:space="preserve"> </w:t>
            </w:r>
            <w:r w:rsidRPr="00876EB0">
              <w:rPr>
                <w:rFonts w:cs="Calibri Light"/>
              </w:rPr>
              <w:t>SWWH027S through SWWH027AJ (intended for industrial sector) and replaced with duplication of Com IDs SWWH027A through SWWH027R</w:t>
            </w:r>
            <w:r w:rsidR="00667D28">
              <w:rPr>
                <w:rFonts w:cs="Calibri Light"/>
              </w:rPr>
              <w:t xml:space="preserve"> but for Ind sector.  The UES from the </w:t>
            </w:r>
            <w:r w:rsidR="00667D28" w:rsidRPr="00EB7049">
              <w:rPr>
                <w:rFonts w:cs="Calibri Light"/>
              </w:rPr>
              <w:t xml:space="preserve">DEER </w:t>
            </w:r>
            <w:r w:rsidR="00667D28">
              <w:rPr>
                <w:rFonts w:cs="Calibri Light"/>
              </w:rPr>
              <w:t>W</w:t>
            </w:r>
            <w:r w:rsidR="00667D28" w:rsidRPr="00EB7049">
              <w:rPr>
                <w:rFonts w:cs="Calibri Light"/>
              </w:rPr>
              <w:t xml:space="preserve">ater </w:t>
            </w:r>
            <w:r w:rsidR="00667D28">
              <w:rPr>
                <w:rFonts w:cs="Calibri Light"/>
              </w:rPr>
              <w:t>H</w:t>
            </w:r>
            <w:r w:rsidR="00667D28" w:rsidRPr="00EB7049">
              <w:rPr>
                <w:rFonts w:cs="Calibri Light"/>
              </w:rPr>
              <w:t xml:space="preserve">eater </w:t>
            </w:r>
            <w:r w:rsidR="00667D28">
              <w:rPr>
                <w:rFonts w:cs="Calibri Light"/>
              </w:rPr>
              <w:t>C</w:t>
            </w:r>
            <w:r w:rsidR="00667D28" w:rsidRPr="00EB7049">
              <w:rPr>
                <w:rFonts w:cs="Calibri Light"/>
              </w:rPr>
              <w:t>alculator tool version 4.</w:t>
            </w:r>
            <w:r w:rsidR="00667D28">
              <w:rPr>
                <w:rFonts w:cs="Calibri Light"/>
              </w:rPr>
              <w:t>2 (which include results for MBT and MLI building types) will be used for the Ind measures.</w:t>
            </w:r>
          </w:p>
        </w:tc>
      </w:tr>
      <w:tr w:rsidR="004266C0" w14:paraId="634A2AC3" w14:textId="77777777" w:rsidTr="00965CA3">
        <w:tc>
          <w:tcPr>
            <w:tcW w:w="4765" w:type="dxa"/>
          </w:tcPr>
          <w:p w14:paraId="266EBA03" w14:textId="77777777" w:rsidR="00BB0203" w:rsidRDefault="00BB0203" w:rsidP="004266C0">
            <w:pPr>
              <w:rPr>
                <w:rFonts w:cs="Calibri Light"/>
              </w:rPr>
            </w:pPr>
            <w:r>
              <w:t xml:space="preserve">The electric savings (kWh) section mentions that </w:t>
            </w:r>
            <w:r w:rsidRPr="00BB0203">
              <w:rPr>
                <w:i/>
                <w:iCs/>
              </w:rPr>
              <w:t>“</w:t>
            </w:r>
            <w:r w:rsidRPr="00BB0203">
              <w:rPr>
                <w:rFonts w:cs="Calibri Light"/>
                <w:i/>
                <w:iCs/>
              </w:rPr>
              <w:t>The DEER Water Heater Calculator tool version 4.2 includes a Com building list which includes two building types which are classified as Industrial (MBT and MLI). These two building types were removed from the Com results and new Energy Impact IDs and Measure IDs were created for Industrial sector using the DEER Water Heater Calculator tool version 4.2 results for MBT and MLI building types.”</w:t>
            </w:r>
            <w:r>
              <w:rPr>
                <w:rFonts w:cs="Calibri Light"/>
              </w:rPr>
              <w:t xml:space="preserve"> </w:t>
            </w:r>
          </w:p>
          <w:p w14:paraId="18057F5D" w14:textId="77777777" w:rsidR="00BB0203" w:rsidRDefault="00BB0203" w:rsidP="004266C0">
            <w:pPr>
              <w:rPr>
                <w:rFonts w:cs="Calibri Light"/>
              </w:rPr>
            </w:pPr>
          </w:p>
          <w:p w14:paraId="19406F10" w14:textId="4FCB03C6" w:rsidR="004266C0" w:rsidRPr="00BB0203" w:rsidRDefault="00BB0203" w:rsidP="004266C0">
            <w:r>
              <w:rPr>
                <w:rFonts w:cs="Calibri Light"/>
              </w:rPr>
              <w:lastRenderedPageBreak/>
              <w:t xml:space="preserve">However, the included water heater calculator workbook does not appear to have modified the Com building list removing the MBT and MLI weights. Additionally, new </w:t>
            </w:r>
            <w:proofErr w:type="spellStart"/>
            <w:r>
              <w:rPr>
                <w:rFonts w:cs="Calibri Light"/>
              </w:rPr>
              <w:t>MeasureIDs</w:t>
            </w:r>
            <w:proofErr w:type="spellEnd"/>
            <w:r>
              <w:rPr>
                <w:rFonts w:cs="Calibri Light"/>
              </w:rPr>
              <w:t xml:space="preserve"> are not present in the calculator workbook created for the MBT and MLI building types. Can you provide the calculator workbook that makes those modifications?</w:t>
            </w:r>
          </w:p>
        </w:tc>
        <w:tc>
          <w:tcPr>
            <w:tcW w:w="5040" w:type="dxa"/>
          </w:tcPr>
          <w:p w14:paraId="03AA6318" w14:textId="1982837C" w:rsidR="004A4298" w:rsidRPr="00876EB0" w:rsidRDefault="00BB59DA" w:rsidP="00876EB0">
            <w:pPr>
              <w:rPr>
                <w:rFonts w:cs="Calibri Light"/>
              </w:rPr>
            </w:pPr>
            <w:r>
              <w:rPr>
                <w:rFonts w:cs="Calibri Light"/>
              </w:rPr>
              <w:lastRenderedPageBreak/>
              <w:t xml:space="preserve">Updated the </w:t>
            </w:r>
            <w:r>
              <w:t>electric savings (kWh) section</w:t>
            </w:r>
            <w:r>
              <w:rPr>
                <w:rFonts w:cs="Calibri Light"/>
                <w:i/>
                <w:iCs/>
              </w:rPr>
              <w:t xml:space="preserve"> </w:t>
            </w:r>
            <w:r>
              <w:rPr>
                <w:rFonts w:cs="Calibri Light"/>
              </w:rPr>
              <w:t xml:space="preserve">in the workpaper to </w:t>
            </w:r>
            <w:proofErr w:type="gramStart"/>
            <w:r>
              <w:rPr>
                <w:rFonts w:cs="Calibri Light"/>
              </w:rPr>
              <w:t>“</w:t>
            </w:r>
            <w:r w:rsidR="00876EB0">
              <w:rPr>
                <w:rFonts w:cs="Calibri Light"/>
              </w:rPr>
              <w:t xml:space="preserve"> T</w:t>
            </w:r>
            <w:r w:rsidR="00876EB0" w:rsidRPr="00EB7049">
              <w:rPr>
                <w:rFonts w:cs="Calibri Light"/>
              </w:rPr>
              <w:t>he</w:t>
            </w:r>
            <w:proofErr w:type="gramEnd"/>
            <w:r w:rsidR="00876EB0" w:rsidRPr="00EB7049">
              <w:rPr>
                <w:rFonts w:cs="Calibri Light"/>
              </w:rPr>
              <w:t xml:space="preserve"> DEER </w:t>
            </w:r>
            <w:r w:rsidR="00876EB0">
              <w:rPr>
                <w:rFonts w:cs="Calibri Light"/>
              </w:rPr>
              <w:t>W</w:t>
            </w:r>
            <w:r w:rsidR="00876EB0" w:rsidRPr="00EB7049">
              <w:rPr>
                <w:rFonts w:cs="Calibri Light"/>
              </w:rPr>
              <w:t xml:space="preserve">ater </w:t>
            </w:r>
            <w:r w:rsidR="00876EB0">
              <w:rPr>
                <w:rFonts w:cs="Calibri Light"/>
              </w:rPr>
              <w:t>H</w:t>
            </w:r>
            <w:r w:rsidR="00876EB0" w:rsidRPr="00EB7049">
              <w:rPr>
                <w:rFonts w:cs="Calibri Light"/>
              </w:rPr>
              <w:t xml:space="preserve">eater </w:t>
            </w:r>
            <w:r w:rsidR="00876EB0">
              <w:rPr>
                <w:rFonts w:cs="Calibri Light"/>
              </w:rPr>
              <w:t>C</w:t>
            </w:r>
            <w:r w:rsidR="00876EB0" w:rsidRPr="00EB7049">
              <w:rPr>
                <w:rFonts w:cs="Calibri Light"/>
              </w:rPr>
              <w:t>alculator tool version 4.</w:t>
            </w:r>
            <w:r w:rsidR="00876EB0">
              <w:rPr>
                <w:rFonts w:cs="Calibri Light"/>
              </w:rPr>
              <w:t xml:space="preserve">2 Com building type list includes two building types which are classified as Industrial (MBT and MLI). The Com Measure IDs were duplicated for Industrial sector referencing the Com Energy Impact IDs from the </w:t>
            </w:r>
            <w:r w:rsidR="00876EB0" w:rsidRPr="00EB7049">
              <w:rPr>
                <w:rFonts w:cs="Calibri Light"/>
              </w:rPr>
              <w:t xml:space="preserve">DEER </w:t>
            </w:r>
            <w:r w:rsidR="00876EB0">
              <w:rPr>
                <w:rFonts w:cs="Calibri Light"/>
              </w:rPr>
              <w:t>W</w:t>
            </w:r>
            <w:r w:rsidR="00876EB0" w:rsidRPr="00EB7049">
              <w:rPr>
                <w:rFonts w:cs="Calibri Light"/>
              </w:rPr>
              <w:t xml:space="preserve">ater </w:t>
            </w:r>
            <w:r w:rsidR="00876EB0">
              <w:rPr>
                <w:rFonts w:cs="Calibri Light"/>
              </w:rPr>
              <w:t>H</w:t>
            </w:r>
            <w:r w:rsidR="00876EB0" w:rsidRPr="00EB7049">
              <w:rPr>
                <w:rFonts w:cs="Calibri Light"/>
              </w:rPr>
              <w:t xml:space="preserve">eater </w:t>
            </w:r>
            <w:r w:rsidR="00876EB0">
              <w:rPr>
                <w:rFonts w:cs="Calibri Light"/>
              </w:rPr>
              <w:t>C</w:t>
            </w:r>
            <w:r w:rsidR="00876EB0" w:rsidRPr="00EB7049">
              <w:rPr>
                <w:rFonts w:cs="Calibri Light"/>
              </w:rPr>
              <w:t>alculator tool version 4.</w:t>
            </w:r>
            <w:r w:rsidR="00876EB0">
              <w:rPr>
                <w:rFonts w:cs="Calibri Light"/>
              </w:rPr>
              <w:t>2 which include results for MBT and MLI building types</w:t>
            </w:r>
            <w:r w:rsidR="004A4298" w:rsidRPr="004A4298">
              <w:rPr>
                <w:rFonts w:cs="Calibri Light"/>
                <w:i/>
                <w:iCs/>
              </w:rPr>
              <w:t>.</w:t>
            </w:r>
            <w:r w:rsidRPr="004A4298">
              <w:rPr>
                <w:rFonts w:cs="Calibri Light"/>
                <w:i/>
                <w:iCs/>
              </w:rPr>
              <w:t>”</w:t>
            </w:r>
            <w:r>
              <w:rPr>
                <w:rFonts w:cs="Calibri Light"/>
                <w:i/>
                <w:iCs/>
              </w:rPr>
              <w:t xml:space="preserve"> </w:t>
            </w:r>
          </w:p>
          <w:p w14:paraId="49257EC6" w14:textId="6CF629F3" w:rsidR="00BB59DA" w:rsidRPr="00BB59DA" w:rsidRDefault="00BB59DA" w:rsidP="00BB59DA">
            <w:pPr>
              <w:rPr>
                <w:rFonts w:cs="Calibri Light"/>
              </w:rPr>
            </w:pPr>
            <w:r>
              <w:rPr>
                <w:rFonts w:cs="Calibri Light"/>
              </w:rPr>
              <w:t xml:space="preserve">No changes were made to the </w:t>
            </w:r>
            <w:r w:rsidR="00241162">
              <w:rPr>
                <w:rFonts w:cs="Calibri Light"/>
              </w:rPr>
              <w:t xml:space="preserve">weighted </w:t>
            </w:r>
            <w:r>
              <w:rPr>
                <w:rFonts w:cs="Calibri Light"/>
              </w:rPr>
              <w:t>Com building type energy savings</w:t>
            </w:r>
            <w:r w:rsidR="003B57F2">
              <w:rPr>
                <w:rFonts w:cs="Calibri Light"/>
              </w:rPr>
              <w:t>.</w:t>
            </w:r>
          </w:p>
          <w:p w14:paraId="57F168B1" w14:textId="77777777" w:rsidR="004266C0" w:rsidRPr="00BB59DA" w:rsidRDefault="004266C0" w:rsidP="004266C0">
            <w:pPr>
              <w:rPr>
                <w:i/>
                <w:iCs/>
              </w:rPr>
            </w:pPr>
          </w:p>
        </w:tc>
      </w:tr>
      <w:tr w:rsidR="00BB0203" w14:paraId="10DD4AA7" w14:textId="77777777" w:rsidTr="00965CA3">
        <w:tc>
          <w:tcPr>
            <w:tcW w:w="4765" w:type="dxa"/>
          </w:tcPr>
          <w:p w14:paraId="1A93914E" w14:textId="730C34FF" w:rsidR="00BB0203" w:rsidRDefault="005C2427" w:rsidP="004266C0">
            <w:r>
              <w:t>DEER Difference Summary table: With respect to the comment above, if any weights were adjusted in the calculator, explain specifically what was changed.</w:t>
            </w:r>
          </w:p>
        </w:tc>
        <w:tc>
          <w:tcPr>
            <w:tcW w:w="5040" w:type="dxa"/>
          </w:tcPr>
          <w:p w14:paraId="2A3A1250" w14:textId="79F9BFCB" w:rsidR="00BB0203" w:rsidRDefault="00241162" w:rsidP="004266C0">
            <w:r>
              <w:t xml:space="preserve">No weights were adjusted or </w:t>
            </w:r>
            <w:r w:rsidRPr="00241162">
              <w:t xml:space="preserve">applied. </w:t>
            </w:r>
            <w:r w:rsidR="00F82CAD">
              <w:t>All e</w:t>
            </w:r>
            <w:r w:rsidRPr="00241162">
              <w:t xml:space="preserve">nergy impacts are directly from the results </w:t>
            </w:r>
            <w:r w:rsidR="00425753" w:rsidRPr="00241162">
              <w:t xml:space="preserve">of </w:t>
            </w:r>
            <w:r w:rsidR="00425753" w:rsidRPr="00241162">
              <w:rPr>
                <w:rFonts w:cs="Calibri Light"/>
              </w:rPr>
              <w:t>DEER</w:t>
            </w:r>
            <w:r w:rsidRPr="00241162">
              <w:rPr>
                <w:rFonts w:cs="Calibri Light"/>
              </w:rPr>
              <w:t xml:space="preserve"> Water Heater Calculator tool version 4.2</w:t>
            </w:r>
          </w:p>
        </w:tc>
      </w:tr>
      <w:tr w:rsidR="00425753" w14:paraId="098F4369" w14:textId="77777777" w:rsidTr="00965CA3">
        <w:tc>
          <w:tcPr>
            <w:tcW w:w="4765" w:type="dxa"/>
          </w:tcPr>
          <w:p w14:paraId="67805C5A" w14:textId="38CF6179" w:rsidR="00425753" w:rsidRDefault="00425753" w:rsidP="00425753">
            <w:r>
              <w:t xml:space="preserve">The water heater calculator measures used in this workpaper have baseline water heaters with draw patterns and measure water heaters without draw patterns. The data collection effort should include a method to </w:t>
            </w:r>
            <w:bookmarkStart w:id="0" w:name="_Hlk65218195"/>
            <w:r>
              <w:t xml:space="preserve">obtain the existing or proposed draw pattern or first hour rating. This will allow proper measure assignment. </w:t>
            </w:r>
            <w:bookmarkEnd w:id="0"/>
          </w:p>
        </w:tc>
        <w:tc>
          <w:tcPr>
            <w:tcW w:w="5040" w:type="dxa"/>
          </w:tcPr>
          <w:p w14:paraId="34768BD1" w14:textId="77777777" w:rsidR="00425753" w:rsidRDefault="00425753" w:rsidP="00425753">
            <w:r>
              <w:t xml:space="preserve">SCE discussed data collection with the IOUs and have added the following data collection requirements: </w:t>
            </w:r>
          </w:p>
          <w:p w14:paraId="42DEA299" w14:textId="77777777" w:rsidR="00425753" w:rsidRDefault="00425753" w:rsidP="00425753">
            <w:pPr>
              <w:pStyle w:val="ListParagraph"/>
              <w:numPr>
                <w:ilvl w:val="0"/>
                <w:numId w:val="6"/>
              </w:numPr>
              <w:spacing w:before="120" w:after="120" w:line="220" w:lineRule="atLeast"/>
              <w:contextualSpacing/>
            </w:pPr>
            <w:r>
              <w:t xml:space="preserve">Measure case equipment specifications including: </w:t>
            </w:r>
          </w:p>
          <w:p w14:paraId="7210A0F8" w14:textId="77777777" w:rsidR="00425753" w:rsidRDefault="00425753" w:rsidP="00425753">
            <w:pPr>
              <w:pStyle w:val="ListParagraph"/>
              <w:numPr>
                <w:ilvl w:val="1"/>
                <w:numId w:val="6"/>
              </w:numPr>
              <w:spacing w:before="120" w:after="120" w:line="220" w:lineRule="atLeast"/>
              <w:contextualSpacing/>
            </w:pPr>
            <w:r>
              <w:t>Manufacturer and model number</w:t>
            </w:r>
          </w:p>
          <w:p w14:paraId="02FC3EB0" w14:textId="77777777" w:rsidR="00425753" w:rsidRDefault="00425753" w:rsidP="00425753">
            <w:pPr>
              <w:pStyle w:val="ListParagraph"/>
              <w:numPr>
                <w:ilvl w:val="1"/>
                <w:numId w:val="6"/>
              </w:numPr>
              <w:spacing w:before="120" w:after="120" w:line="220" w:lineRule="atLeast"/>
              <w:contextualSpacing/>
            </w:pPr>
            <w:r>
              <w:t>UEF</w:t>
            </w:r>
          </w:p>
          <w:p w14:paraId="21FD8B54" w14:textId="77777777" w:rsidR="00425753" w:rsidRDefault="00425753" w:rsidP="00425753">
            <w:pPr>
              <w:pStyle w:val="ListParagraph"/>
              <w:numPr>
                <w:ilvl w:val="1"/>
                <w:numId w:val="6"/>
              </w:numPr>
              <w:spacing w:before="120" w:after="120" w:line="220" w:lineRule="atLeast"/>
              <w:contextualSpacing/>
            </w:pPr>
            <w:r>
              <w:t>Storage volume in gallons</w:t>
            </w:r>
          </w:p>
          <w:p w14:paraId="16D6E180" w14:textId="77777777" w:rsidR="00425753" w:rsidRDefault="00425753" w:rsidP="00425753">
            <w:pPr>
              <w:pStyle w:val="ListParagraph"/>
              <w:numPr>
                <w:ilvl w:val="1"/>
                <w:numId w:val="6"/>
              </w:numPr>
              <w:spacing w:before="120" w:after="120" w:line="220" w:lineRule="atLeast"/>
              <w:contextualSpacing/>
            </w:pPr>
            <w:r>
              <w:t>First Hour Rating (FHR)</w:t>
            </w:r>
          </w:p>
          <w:p w14:paraId="4C9596A9" w14:textId="77777777" w:rsidR="00425753" w:rsidRDefault="00425753" w:rsidP="00425753">
            <w:pPr>
              <w:pStyle w:val="ListParagraph"/>
              <w:numPr>
                <w:ilvl w:val="0"/>
                <w:numId w:val="6"/>
              </w:numPr>
              <w:spacing w:before="120" w:after="120" w:line="220" w:lineRule="atLeast"/>
              <w:contextualSpacing/>
            </w:pPr>
            <w:r>
              <w:t>Customer site information including:</w:t>
            </w:r>
          </w:p>
          <w:p w14:paraId="21C19CD9" w14:textId="77777777" w:rsidR="00425753" w:rsidRDefault="00425753" w:rsidP="00425753">
            <w:pPr>
              <w:pStyle w:val="ListParagraph"/>
              <w:numPr>
                <w:ilvl w:val="1"/>
                <w:numId w:val="6"/>
              </w:numPr>
              <w:spacing w:before="120" w:after="120" w:line="220" w:lineRule="atLeast"/>
              <w:contextualSpacing/>
            </w:pPr>
            <w:r>
              <w:t xml:space="preserve">Climate Zone </w:t>
            </w:r>
          </w:p>
          <w:p w14:paraId="1BAB074D" w14:textId="77777777" w:rsidR="00425753" w:rsidRPr="00A8667B" w:rsidRDefault="00425753" w:rsidP="00425753">
            <w:pPr>
              <w:pStyle w:val="ListParagraph"/>
              <w:numPr>
                <w:ilvl w:val="1"/>
                <w:numId w:val="6"/>
              </w:numPr>
              <w:spacing w:before="120" w:after="120" w:line="220" w:lineRule="atLeast"/>
              <w:contextualSpacing/>
            </w:pPr>
            <w:r>
              <w:t>Building Type (for downstream measures)</w:t>
            </w:r>
          </w:p>
          <w:p w14:paraId="0B43DFFB" w14:textId="77777777" w:rsidR="00425753" w:rsidRDefault="00425753" w:rsidP="00425753">
            <w:r>
              <w:t xml:space="preserve">Based on conversations with the IOUs the following will not be included as they were determined to be burdensome and costly to the application process. They also may not be easy for customers to understand and report correctly: </w:t>
            </w:r>
          </w:p>
          <w:p w14:paraId="45F44CD7" w14:textId="77777777" w:rsidR="00425753" w:rsidRDefault="00425753" w:rsidP="00425753">
            <w:pPr>
              <w:pStyle w:val="ListParagraph"/>
              <w:numPr>
                <w:ilvl w:val="0"/>
                <w:numId w:val="5"/>
              </w:numPr>
            </w:pPr>
            <w:r w:rsidRPr="00AB489F">
              <w:t xml:space="preserve">Installed location (conditioned, unconditioned space) </w:t>
            </w:r>
          </w:p>
          <w:p w14:paraId="4834B7D6" w14:textId="77777777" w:rsidR="00425753" w:rsidRDefault="00425753" w:rsidP="00425753">
            <w:pPr>
              <w:pStyle w:val="ListParagraph"/>
              <w:numPr>
                <w:ilvl w:val="0"/>
                <w:numId w:val="5"/>
              </w:numPr>
            </w:pPr>
            <w:r w:rsidRPr="00AB489F">
              <w:t xml:space="preserve">For installations in conditioned space, the building heating </w:t>
            </w:r>
            <w:r>
              <w:t xml:space="preserve">and cooling </w:t>
            </w:r>
            <w:r w:rsidRPr="00AB489F">
              <w:t>type (</w:t>
            </w:r>
            <w:r>
              <w:t>e.g., split system AC with gas furnace, split system heat pump, central gas furnace without AC</w:t>
            </w:r>
            <w:r w:rsidRPr="00AB489F">
              <w:t>)</w:t>
            </w:r>
          </w:p>
          <w:p w14:paraId="6A5BE9CF" w14:textId="77777777" w:rsidR="001D169D" w:rsidRDefault="00425753" w:rsidP="00425753">
            <w:pPr>
              <w:pStyle w:val="ListParagraph"/>
              <w:numPr>
                <w:ilvl w:val="0"/>
                <w:numId w:val="5"/>
              </w:numPr>
            </w:pPr>
            <w:r>
              <w:t>Is heat pump water heater exhaust ducted to outside or unconditioned space? (Yes/no)</w:t>
            </w:r>
          </w:p>
          <w:p w14:paraId="4263CBD3" w14:textId="2669396C" w:rsidR="00425753" w:rsidRDefault="00425753" w:rsidP="00425753">
            <w:pPr>
              <w:pStyle w:val="ListParagraph"/>
              <w:numPr>
                <w:ilvl w:val="0"/>
                <w:numId w:val="5"/>
              </w:numPr>
            </w:pPr>
            <w:r>
              <w:t>Is heat pump water heater intake ducted to outside or unconditioned space? (Yes/no)</w:t>
            </w:r>
          </w:p>
        </w:tc>
      </w:tr>
      <w:tr w:rsidR="0005474A" w14:paraId="46C31E13" w14:textId="77777777" w:rsidTr="00965CA3">
        <w:tc>
          <w:tcPr>
            <w:tcW w:w="4765" w:type="dxa"/>
          </w:tcPr>
          <w:p w14:paraId="402D9D6F" w14:textId="25468E03" w:rsidR="0005474A" w:rsidRPr="001D169D" w:rsidRDefault="0005474A" w:rsidP="001D169D">
            <w:r w:rsidRPr="001D169D">
              <w:t>How can a 60 gallon hi draw, gas WH be replaced by a lower volume HPWH without excessive electrical resistance use?</w:t>
            </w:r>
          </w:p>
          <w:p w14:paraId="1EC2C0C4" w14:textId="3069D11B" w:rsidR="0005474A" w:rsidRPr="001D169D" w:rsidRDefault="0005474A" w:rsidP="001D169D"/>
          <w:p w14:paraId="6687D199" w14:textId="17D07471" w:rsidR="0005474A" w:rsidRPr="001D169D" w:rsidRDefault="0005474A" w:rsidP="001D169D">
            <w:r w:rsidRPr="001D169D">
              <w:t xml:space="preserve">See measure table - </w:t>
            </w:r>
          </w:p>
          <w:p w14:paraId="236C9686" w14:textId="77777777" w:rsidR="001D169D" w:rsidRDefault="0005474A" w:rsidP="001D169D">
            <w:r w:rsidRPr="001D169D">
              <w:t>Heat Pump Water Heater, &gt;45 to ≤55 Gal, UEF=3.09 (Com)</w:t>
            </w:r>
          </w:p>
          <w:p w14:paraId="60ADFE9E" w14:textId="3F6511E7" w:rsidR="0005474A" w:rsidRPr="00425753" w:rsidRDefault="0005474A" w:rsidP="001D169D">
            <w:pPr>
              <w:rPr>
                <w:color w:val="0070C0"/>
              </w:rPr>
            </w:pPr>
            <w:r w:rsidRPr="001D169D">
              <w:lastRenderedPageBreak/>
              <w:t>Storage Natural Gas Water Heater, 50 to less than 60 Gal, Hi Draw, UEF=0.63</w:t>
            </w:r>
          </w:p>
        </w:tc>
        <w:tc>
          <w:tcPr>
            <w:tcW w:w="5040" w:type="dxa"/>
          </w:tcPr>
          <w:p w14:paraId="780A2567" w14:textId="003106FA" w:rsidR="0028611A" w:rsidRDefault="00F218AB" w:rsidP="004266C0">
            <w:r>
              <w:lastRenderedPageBreak/>
              <w:t>Updated base case descriptions to avoid the baseline unit being replaced by a lower volume unit. The description is now “</w:t>
            </w:r>
            <w:r w:rsidR="0028611A" w:rsidRPr="0028611A">
              <w:t>Heat Pump Water Heater, &gt;45 to ≤55 Gal, UEF=3.09 replacing Storage Natural Gas Water Heater, &gt;45 to ≤</w:t>
            </w:r>
            <w:r w:rsidR="001D169D" w:rsidRPr="0028611A">
              <w:t>55-Gal</w:t>
            </w:r>
            <w:r w:rsidR="0028611A" w:rsidRPr="0028611A">
              <w:t>, High Draw, UEF=0.63</w:t>
            </w:r>
            <w:r w:rsidR="0028611A">
              <w:t>”</w:t>
            </w:r>
            <w:r>
              <w:t xml:space="preserve">. </w:t>
            </w:r>
          </w:p>
          <w:p w14:paraId="0E0DE97D" w14:textId="08D582AD" w:rsidR="0005474A" w:rsidRDefault="00F218AB" w:rsidP="004266C0">
            <w:r>
              <w:t xml:space="preserve">Above 55 gallons was moved to the next tier being replaced by a </w:t>
            </w:r>
            <w:r w:rsidR="00425753">
              <w:t>65-gallon</w:t>
            </w:r>
            <w:r>
              <w:t xml:space="preserve"> heat pump. </w:t>
            </w:r>
            <w:r w:rsidR="00D16A9E">
              <w:t xml:space="preserve">Updated EAD </w:t>
            </w:r>
            <w:r w:rsidR="00D16A9E">
              <w:lastRenderedPageBreak/>
              <w:t xml:space="preserve">tables measure </w:t>
            </w:r>
            <w:r w:rsidR="00425753">
              <w:t>descriptions,</w:t>
            </w:r>
            <w:r w:rsidR="00D16A9E">
              <w:t xml:space="preserve"> but no changes were required to calculations.</w:t>
            </w:r>
          </w:p>
        </w:tc>
      </w:tr>
    </w:tbl>
    <w:p w14:paraId="72C6D87B" w14:textId="757B5E7E" w:rsidR="00047FC1" w:rsidRDefault="00047FC1" w:rsidP="008D5929"/>
    <w:sectPr w:rsidR="00047F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69D375" w14:textId="77777777" w:rsidR="005D6707" w:rsidRDefault="005D6707" w:rsidP="00095F36">
      <w:pPr>
        <w:spacing w:after="0" w:line="240" w:lineRule="auto"/>
      </w:pPr>
      <w:r>
        <w:separator/>
      </w:r>
    </w:p>
  </w:endnote>
  <w:endnote w:type="continuationSeparator" w:id="0">
    <w:p w14:paraId="3AB38A03" w14:textId="77777777" w:rsidR="005D6707" w:rsidRDefault="005D6707" w:rsidP="00095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68B176" w14:textId="77777777" w:rsidR="005D6707" w:rsidRDefault="005D6707" w:rsidP="00095F36">
      <w:pPr>
        <w:spacing w:after="0" w:line="240" w:lineRule="auto"/>
      </w:pPr>
      <w:r>
        <w:separator/>
      </w:r>
    </w:p>
  </w:footnote>
  <w:footnote w:type="continuationSeparator" w:id="0">
    <w:p w14:paraId="0F09A77E" w14:textId="77777777" w:rsidR="005D6707" w:rsidRDefault="005D6707" w:rsidP="00095F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CA5B74"/>
    <w:multiLevelType w:val="hybridMultilevel"/>
    <w:tmpl w:val="6C5A4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EA2CC1"/>
    <w:multiLevelType w:val="hybridMultilevel"/>
    <w:tmpl w:val="3626D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E93ABE"/>
    <w:multiLevelType w:val="hybridMultilevel"/>
    <w:tmpl w:val="865CE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39012E4"/>
    <w:multiLevelType w:val="hybridMultilevel"/>
    <w:tmpl w:val="EEA4D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BA4080"/>
    <w:multiLevelType w:val="hybridMultilevel"/>
    <w:tmpl w:val="85DE3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47FC1"/>
    <w:rsid w:val="0005474A"/>
    <w:rsid w:val="00095F36"/>
    <w:rsid w:val="00096A19"/>
    <w:rsid w:val="000F719D"/>
    <w:rsid w:val="00131866"/>
    <w:rsid w:val="001C59AF"/>
    <w:rsid w:val="001D169D"/>
    <w:rsid w:val="00241162"/>
    <w:rsid w:val="0028611A"/>
    <w:rsid w:val="002A755F"/>
    <w:rsid w:val="002E05AF"/>
    <w:rsid w:val="003B2492"/>
    <w:rsid w:val="003B57F2"/>
    <w:rsid w:val="003E79B7"/>
    <w:rsid w:val="00411B1C"/>
    <w:rsid w:val="00425753"/>
    <w:rsid w:val="004266C0"/>
    <w:rsid w:val="004A4298"/>
    <w:rsid w:val="004E7F9C"/>
    <w:rsid w:val="0053443C"/>
    <w:rsid w:val="005C2427"/>
    <w:rsid w:val="005D6707"/>
    <w:rsid w:val="00643BD4"/>
    <w:rsid w:val="00667D28"/>
    <w:rsid w:val="006B4A17"/>
    <w:rsid w:val="006C6E3A"/>
    <w:rsid w:val="006F56C1"/>
    <w:rsid w:val="00767B34"/>
    <w:rsid w:val="00791A22"/>
    <w:rsid w:val="008211A8"/>
    <w:rsid w:val="0082273C"/>
    <w:rsid w:val="00876EB0"/>
    <w:rsid w:val="00890D36"/>
    <w:rsid w:val="008963E4"/>
    <w:rsid w:val="008D5929"/>
    <w:rsid w:val="008E6F05"/>
    <w:rsid w:val="008F1FF0"/>
    <w:rsid w:val="00905B03"/>
    <w:rsid w:val="00906465"/>
    <w:rsid w:val="0093093C"/>
    <w:rsid w:val="00961288"/>
    <w:rsid w:val="00965CA3"/>
    <w:rsid w:val="00972513"/>
    <w:rsid w:val="009875E3"/>
    <w:rsid w:val="009E1581"/>
    <w:rsid w:val="00A02F59"/>
    <w:rsid w:val="00A834E9"/>
    <w:rsid w:val="00AB26AE"/>
    <w:rsid w:val="00AC21BB"/>
    <w:rsid w:val="00AD3DAD"/>
    <w:rsid w:val="00AD5773"/>
    <w:rsid w:val="00B30077"/>
    <w:rsid w:val="00B74CA7"/>
    <w:rsid w:val="00B8145B"/>
    <w:rsid w:val="00BA4AC4"/>
    <w:rsid w:val="00BB0203"/>
    <w:rsid w:val="00BB2954"/>
    <w:rsid w:val="00BB59DA"/>
    <w:rsid w:val="00BC556F"/>
    <w:rsid w:val="00C17C22"/>
    <w:rsid w:val="00CE69EE"/>
    <w:rsid w:val="00D16A9E"/>
    <w:rsid w:val="00EC4C2D"/>
    <w:rsid w:val="00ED0D77"/>
    <w:rsid w:val="00F00D47"/>
    <w:rsid w:val="00F218AB"/>
    <w:rsid w:val="00F82CAD"/>
    <w:rsid w:val="00FB0581"/>
    <w:rsid w:val="00FD5DE7"/>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 w:type="character" w:styleId="SubtleEmphasis">
    <w:name w:val="Subtle Emphasis"/>
    <w:basedOn w:val="DefaultParagraphFont"/>
    <w:uiPriority w:val="19"/>
    <w:rsid w:val="00B30077"/>
    <w:rPr>
      <w:i/>
      <w:iCs/>
      <w:color w:val="404040" w:themeColor="text1" w:themeTint="BF"/>
    </w:rPr>
  </w:style>
  <w:style w:type="paragraph" w:customStyle="1" w:styleId="Default">
    <w:name w:val="Default"/>
    <w:rsid w:val="0005474A"/>
    <w:pPr>
      <w:autoSpaceDE w:val="0"/>
      <w:autoSpaceDN w:val="0"/>
      <w:adjustRightInd w:val="0"/>
      <w:spacing w:after="0" w:line="240" w:lineRule="auto"/>
    </w:pPr>
    <w:rPr>
      <w:rFonts w:ascii="Calibri Light" w:eastAsiaTheme="minorEastAsia" w:hAnsi="Calibri Light" w:cs="Calibri Light"/>
      <w:color w:val="000000"/>
      <w:sz w:val="24"/>
      <w:szCs w:val="24"/>
    </w:rPr>
  </w:style>
  <w:style w:type="paragraph" w:styleId="NoSpacing">
    <w:name w:val="No Spacing"/>
    <w:uiPriority w:val="1"/>
    <w:rsid w:val="00643BD4"/>
    <w:pPr>
      <w:spacing w:after="0" w:line="240" w:lineRule="auto"/>
    </w:pPr>
  </w:style>
  <w:style w:type="paragraph" w:styleId="FootnoteText">
    <w:name w:val="footnote text"/>
    <w:aliases w:val="EMI Footnote Text"/>
    <w:basedOn w:val="Normal"/>
    <w:link w:val="FootnoteTextChar"/>
    <w:unhideWhenUsed/>
    <w:qFormat/>
    <w:rsid w:val="00A02F59"/>
    <w:pPr>
      <w:spacing w:before="120" w:after="120" w:line="220" w:lineRule="atLeast"/>
    </w:pPr>
    <w:rPr>
      <w:rFonts w:ascii="Calibri Light" w:eastAsiaTheme="minorEastAsia" w:hAnsi="Calibri Light"/>
      <w:sz w:val="18"/>
      <w:szCs w:val="24"/>
    </w:rPr>
  </w:style>
  <w:style w:type="character" w:customStyle="1" w:styleId="FootnoteTextChar">
    <w:name w:val="Footnote Text Char"/>
    <w:aliases w:val="EMI Footnote Text Char"/>
    <w:basedOn w:val="DefaultParagraphFont"/>
    <w:link w:val="FootnoteText"/>
    <w:rsid w:val="00A02F59"/>
    <w:rPr>
      <w:rFonts w:ascii="Calibri Light" w:eastAsiaTheme="minorEastAsia" w:hAnsi="Calibri Light"/>
      <w:sz w:val="18"/>
      <w:szCs w:val="24"/>
    </w:rPr>
  </w:style>
  <w:style w:type="character" w:styleId="FootnoteReference">
    <w:name w:val="footnote reference"/>
    <w:basedOn w:val="DefaultParagraphFont"/>
    <w:unhideWhenUsed/>
    <w:rsid w:val="00A02F59"/>
    <w:rPr>
      <w:vertAlign w:val="superscript"/>
    </w:rPr>
  </w:style>
  <w:style w:type="character" w:styleId="Emphasis">
    <w:name w:val="Emphasis"/>
    <w:basedOn w:val="DefaultParagraphFont"/>
    <w:uiPriority w:val="20"/>
    <w:qFormat/>
    <w:rsid w:val="00A02F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3</Pages>
  <Words>819</Words>
  <Characters>4673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Jesse Clive Putra Manao</cp:lastModifiedBy>
  <cp:revision>15</cp:revision>
  <dcterms:created xsi:type="dcterms:W3CDTF">2021-02-24T20:24:00Z</dcterms:created>
  <dcterms:modified xsi:type="dcterms:W3CDTF">2021-05-19T08:11:00Z</dcterms:modified>
</cp:coreProperties>
</file>