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0DA83" w14:textId="1E0A8E03" w:rsidR="000C706C" w:rsidRDefault="00411B1C">
      <w:r>
        <w:t xml:space="preserve">CPUC </w:t>
      </w:r>
      <w:r w:rsidRPr="00C033E6">
        <w:t xml:space="preserve">Comments on </w:t>
      </w:r>
      <w:r w:rsidR="000C706C">
        <w:t xml:space="preserve">SWWH027-01 </w:t>
      </w:r>
      <w:r w:rsidR="000C706C" w:rsidRPr="000C706C">
        <w:t>HPWH Com, Fuel Substitution 080520</w:t>
      </w:r>
    </w:p>
    <w:p w14:paraId="2BA7A164" w14:textId="481AC0D5" w:rsidR="004266C0" w:rsidRDefault="004266C0">
      <w:r>
        <w:t xml:space="preserve">Lead PA: </w:t>
      </w:r>
      <w:r w:rsidR="007921B9">
        <w:t>SCE</w:t>
      </w:r>
    </w:p>
    <w:p w14:paraId="4BB68C7D" w14:textId="6D9269E9" w:rsidR="009E1581" w:rsidRDefault="004266C0">
      <w:r>
        <w:t xml:space="preserve">Workpaper </w:t>
      </w:r>
      <w:r w:rsidR="008F1FF0">
        <w:t>Submittal Date</w:t>
      </w:r>
      <w:r w:rsidR="00C907F1">
        <w:t>:</w:t>
      </w:r>
      <w:r w:rsidR="00AB26AE">
        <w:t xml:space="preserve"> </w:t>
      </w:r>
      <w:r w:rsidR="00D6184D">
        <w:t>0</w:t>
      </w:r>
      <w:r w:rsidR="007921B9">
        <w:t>8/</w:t>
      </w:r>
      <w:r w:rsidR="00D6184D">
        <w:t>0</w:t>
      </w:r>
      <w:r w:rsidR="007921B9">
        <w:t>5/2020</w:t>
      </w:r>
    </w:p>
    <w:p w14:paraId="06E32D11" w14:textId="3311C899" w:rsidR="004266C0" w:rsidRDefault="004266C0">
      <w:r>
        <w:t xml:space="preserve">CPUC Review Date: </w:t>
      </w:r>
      <w:r w:rsidR="00C907F1">
        <w:t>08/</w:t>
      </w:r>
      <w:r w:rsidR="00551BD1">
        <w:t>20</w:t>
      </w:r>
      <w:r w:rsidR="00C907F1">
        <w:t>/2020</w:t>
      </w:r>
    </w:p>
    <w:p w14:paraId="4C496C93" w14:textId="77777777" w:rsidR="003864A9" w:rsidRDefault="003864A9"/>
    <w:p w14:paraId="34C58858" w14:textId="68A3A361" w:rsidR="00AB26AE" w:rsidRDefault="003864A9">
      <w:r>
        <w:t xml:space="preserve">SCE Response: </w:t>
      </w:r>
      <w:r w:rsidR="00E30A71">
        <w:t>09</w:t>
      </w:r>
      <w:r>
        <w:t>/</w:t>
      </w:r>
      <w:r w:rsidR="00E30A71">
        <w:t>0</w:t>
      </w:r>
      <w:r w:rsidR="006C6BAD">
        <w:t>9</w:t>
      </w:r>
      <w:r>
        <w:t>/2020</w:t>
      </w:r>
      <w:r w:rsidR="00D536F2">
        <w:t xml:space="preserve"> &amp; 09/25/2020</w:t>
      </w:r>
    </w:p>
    <w:tbl>
      <w:tblPr>
        <w:tblStyle w:val="TableGrid"/>
        <w:tblpPr w:leftFromText="180" w:rightFromText="180" w:vertAnchor="page" w:horzAnchor="margin" w:tblpY="4771"/>
        <w:tblW w:w="0" w:type="auto"/>
        <w:tblLayout w:type="fixed"/>
        <w:tblLook w:val="04A0" w:firstRow="1" w:lastRow="0" w:firstColumn="1" w:lastColumn="0" w:noHBand="0" w:noVBand="1"/>
      </w:tblPr>
      <w:tblGrid>
        <w:gridCol w:w="6925"/>
        <w:gridCol w:w="2425"/>
      </w:tblGrid>
      <w:tr w:rsidR="004266C0" w14:paraId="75EEBFCB" w14:textId="77777777" w:rsidTr="003864A9">
        <w:tc>
          <w:tcPr>
            <w:tcW w:w="6925" w:type="dxa"/>
          </w:tcPr>
          <w:p w14:paraId="50F575CA" w14:textId="77777777" w:rsidR="004266C0" w:rsidRDefault="004266C0" w:rsidP="003864A9">
            <w:r>
              <w:t>CPUC Comment</w:t>
            </w:r>
          </w:p>
        </w:tc>
        <w:tc>
          <w:tcPr>
            <w:tcW w:w="2425" w:type="dxa"/>
          </w:tcPr>
          <w:p w14:paraId="73B4B0C7" w14:textId="77777777" w:rsidR="004266C0" w:rsidRDefault="004266C0" w:rsidP="003864A9">
            <w:r>
              <w:t>PA Response</w:t>
            </w:r>
          </w:p>
        </w:tc>
      </w:tr>
      <w:tr w:rsidR="001C4E9F" w14:paraId="13117075" w14:textId="77777777" w:rsidTr="003864A9">
        <w:tc>
          <w:tcPr>
            <w:tcW w:w="6925" w:type="dxa"/>
          </w:tcPr>
          <w:p w14:paraId="144D19A6" w14:textId="77777777" w:rsidR="001C4E9F" w:rsidRDefault="00C51BCE" w:rsidP="003864A9">
            <w:r>
              <w:t>SWWH027G and SWWH027H have the same savings impacts for the first baseline period as the second baseline periods (for AR measures).</w:t>
            </w:r>
          </w:p>
          <w:p w14:paraId="38EC2937" w14:textId="77777777" w:rsidR="00C51BCE" w:rsidRDefault="00C51BCE" w:rsidP="003864A9"/>
          <w:p w14:paraId="0DFEC11F" w14:textId="1173DB50" w:rsidR="00C51BCE" w:rsidRPr="001C4E9F" w:rsidRDefault="00C51BCE" w:rsidP="003864A9">
            <w:r>
              <w:t xml:space="preserve">All other measure offerings appear to have slightly different savings impacts for each baseline period as expected. Is there a reason the savings are the same, if not please revise savings </w:t>
            </w:r>
            <w:proofErr w:type="gramStart"/>
            <w:r>
              <w:t>accordingly.</w:t>
            </w:r>
            <w:proofErr w:type="gramEnd"/>
          </w:p>
        </w:tc>
        <w:tc>
          <w:tcPr>
            <w:tcW w:w="2425" w:type="dxa"/>
          </w:tcPr>
          <w:p w14:paraId="01436F4C" w14:textId="29D484E7" w:rsidR="001C4E9F" w:rsidRDefault="003864A9" w:rsidP="003864A9">
            <w:r>
              <w:t>See response “A”</w:t>
            </w:r>
          </w:p>
        </w:tc>
      </w:tr>
      <w:tr w:rsidR="001C4E9F" w14:paraId="438F117B" w14:textId="77777777" w:rsidTr="003864A9">
        <w:tc>
          <w:tcPr>
            <w:tcW w:w="6925" w:type="dxa"/>
          </w:tcPr>
          <w:p w14:paraId="7EB9735C" w14:textId="7DD7787F" w:rsidR="001C4E9F" w:rsidRPr="001C4E9F" w:rsidRDefault="001C4E9F" w:rsidP="003864A9">
            <w:r w:rsidRPr="001C4E9F">
              <w:t xml:space="preserve">Additionally, </w:t>
            </w:r>
            <w:r w:rsidR="00C51BCE">
              <w:t xml:space="preserve">all </w:t>
            </w:r>
            <w:r w:rsidRPr="001C4E9F">
              <w:t xml:space="preserve">AR measure costs appear to be the same as the NR/NC measure offerings. </w:t>
            </w:r>
          </w:p>
          <w:p w14:paraId="2B8B89BB" w14:textId="77777777" w:rsidR="001C4E9F" w:rsidRPr="001C4E9F" w:rsidRDefault="001C4E9F" w:rsidP="003864A9"/>
          <w:p w14:paraId="62975B69" w14:textId="232FA7C6" w:rsidR="001C4E9F" w:rsidRPr="001C4E9F" w:rsidRDefault="001C4E9F" w:rsidP="003864A9">
            <w:r w:rsidRPr="001C4E9F">
              <w:t>AR measure costs should be full measure cost adjusted by the cost that would have incurred to install the standard practice second baseline at the end of the RUL.</w:t>
            </w:r>
          </w:p>
        </w:tc>
        <w:tc>
          <w:tcPr>
            <w:tcW w:w="2425" w:type="dxa"/>
          </w:tcPr>
          <w:p w14:paraId="639AC547" w14:textId="1648145A" w:rsidR="001C4E9F" w:rsidRDefault="003864A9" w:rsidP="003864A9">
            <w:r>
              <w:t>See response “B”</w:t>
            </w:r>
          </w:p>
        </w:tc>
      </w:tr>
      <w:tr w:rsidR="001C4E9F" w14:paraId="79946CAB" w14:textId="77777777" w:rsidTr="00E30A71">
        <w:trPr>
          <w:trHeight w:val="4120"/>
        </w:trPr>
        <w:tc>
          <w:tcPr>
            <w:tcW w:w="6925" w:type="dxa"/>
          </w:tcPr>
          <w:p w14:paraId="2427B5AE" w14:textId="77777777" w:rsidR="001C4E9F" w:rsidRPr="001C4E9F" w:rsidRDefault="001C4E9F" w:rsidP="003864A9">
            <w:pPr>
              <w:tabs>
                <w:tab w:val="left" w:pos="1021"/>
              </w:tabs>
            </w:pPr>
            <w:r w:rsidRPr="001C4E9F">
              <w:tab/>
              <w:t>The technology summary section is confusing. The way the section is written, it sounds like Heat pump has two electric elements, which heat cold incoming water?</w:t>
            </w:r>
          </w:p>
          <w:p w14:paraId="2271A68F" w14:textId="77777777" w:rsidR="001C4E9F" w:rsidRPr="001C4E9F" w:rsidRDefault="001C4E9F" w:rsidP="003864A9">
            <w:pPr>
              <w:tabs>
                <w:tab w:val="left" w:pos="1021"/>
              </w:tabs>
            </w:pPr>
          </w:p>
          <w:p w14:paraId="30469FC7" w14:textId="7D0F8753" w:rsidR="001C4E9F" w:rsidRPr="001C4E9F" w:rsidRDefault="001C4E9F" w:rsidP="003864A9">
            <w:r w:rsidRPr="001C4E9F">
              <w:rPr>
                <w:noProof/>
              </w:rPr>
              <w:drawing>
                <wp:inline distT="0" distB="0" distL="0" distR="0" wp14:anchorId="57C77103" wp14:editId="194775A8">
                  <wp:extent cx="4260215" cy="1866265"/>
                  <wp:effectExtent l="0" t="0" r="698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60215" cy="1866265"/>
                          </a:xfrm>
                          <a:prstGeom prst="rect">
                            <a:avLst/>
                          </a:prstGeom>
                        </pic:spPr>
                      </pic:pic>
                    </a:graphicData>
                  </a:graphic>
                </wp:inline>
              </w:drawing>
            </w:r>
          </w:p>
        </w:tc>
        <w:tc>
          <w:tcPr>
            <w:tcW w:w="2425" w:type="dxa"/>
          </w:tcPr>
          <w:p w14:paraId="206C6611" w14:textId="77E76F98" w:rsidR="001C4E9F" w:rsidRDefault="003864A9" w:rsidP="003864A9">
            <w:r>
              <w:t>See response “C”</w:t>
            </w:r>
          </w:p>
        </w:tc>
      </w:tr>
    </w:tbl>
    <w:p w14:paraId="72C6D87B" w14:textId="1BD1F1A8"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F629B0">
        <w:t>Workpaper</w:t>
      </w:r>
      <w:r w:rsidR="00F00D47">
        <w:t xml:space="preserve"> Review T</w:t>
      </w:r>
      <w:r w:rsidRPr="00047FC1">
        <w:t>eam to set up a call to discuss.</w:t>
      </w:r>
    </w:p>
    <w:p w14:paraId="60306962" w14:textId="3C47CD03" w:rsidR="003864A9" w:rsidRDefault="003864A9" w:rsidP="00047FC1"/>
    <w:p w14:paraId="2990C1F6" w14:textId="5D659632" w:rsidR="003864A9" w:rsidRDefault="003864A9" w:rsidP="00047FC1">
      <w:r>
        <w:t>PA Response:</w:t>
      </w:r>
    </w:p>
    <w:p w14:paraId="7EE119DB" w14:textId="77777777" w:rsidR="00257201" w:rsidRDefault="006C6BAD" w:rsidP="006C6BAD">
      <w:pPr>
        <w:pStyle w:val="ListParagraph"/>
        <w:numPr>
          <w:ilvl w:val="0"/>
          <w:numId w:val="2"/>
        </w:numPr>
        <w:ind w:left="360"/>
      </w:pPr>
      <w:r>
        <w:t xml:space="preserve">Per </w:t>
      </w:r>
      <w:r w:rsidR="00257201">
        <w:t>SCE-</w:t>
      </w:r>
      <w:r>
        <w:t>CPUC call on 9/4/2020, a discussion regarding rounding methodology</w:t>
      </w:r>
      <w:r w:rsidR="00257201" w:rsidRPr="00257201">
        <w:t xml:space="preserve"> </w:t>
      </w:r>
      <w:r w:rsidR="00257201">
        <w:t>in the Water Heater Calculator</w:t>
      </w:r>
      <w:r>
        <w:t xml:space="preserve"> was ruled to be consistent with all earlier versions of the calculator. Hence, v.4.1 of the calculator will not require any fixe</w:t>
      </w:r>
      <w:r w:rsidR="00257201">
        <w:t>s</w:t>
      </w:r>
      <w:r>
        <w:t>.</w:t>
      </w:r>
      <w:r w:rsidR="00257201">
        <w:t xml:space="preserve"> </w:t>
      </w:r>
    </w:p>
    <w:p w14:paraId="37E54838" w14:textId="7E1453FB" w:rsidR="00257201" w:rsidRDefault="00257201" w:rsidP="00257201">
      <w:pPr>
        <w:pStyle w:val="ListParagraph"/>
        <w:ind w:left="360"/>
        <w:rPr>
          <w:rFonts w:eastAsia="Times New Roman"/>
        </w:rPr>
      </w:pPr>
      <w:r>
        <w:lastRenderedPageBreak/>
        <w:t>I</w:t>
      </w:r>
      <w:r w:rsidR="006C6BAD">
        <w:t>t is found that the</w:t>
      </w:r>
      <w:r w:rsidR="006C6BAD" w:rsidRPr="006C6BAD">
        <w:rPr>
          <w:rFonts w:eastAsia="Times New Roman"/>
        </w:rPr>
        <w:t xml:space="preserve"> values</w:t>
      </w:r>
      <w:r w:rsidR="006C6BAD">
        <w:rPr>
          <w:rFonts w:eastAsia="Times New Roman"/>
        </w:rPr>
        <w:t xml:space="preserve"> between </w:t>
      </w:r>
      <w:r>
        <w:rPr>
          <w:rFonts w:eastAsia="Times New Roman"/>
        </w:rPr>
        <w:t>first and second baseline period</w:t>
      </w:r>
      <w:r w:rsidR="006C6BAD" w:rsidRPr="006C6BAD">
        <w:rPr>
          <w:rFonts w:eastAsia="Times New Roman"/>
        </w:rPr>
        <w:t xml:space="preserve"> are very nearly equal</w:t>
      </w:r>
      <w:r>
        <w:rPr>
          <w:rFonts w:eastAsia="Times New Roman"/>
        </w:rPr>
        <w:t xml:space="preserve"> for AR measures proposed. F</w:t>
      </w:r>
      <w:r w:rsidR="006C6BAD" w:rsidRPr="006C6BAD">
        <w:rPr>
          <w:rFonts w:eastAsia="Times New Roman"/>
        </w:rPr>
        <w:t xml:space="preserve">or </w:t>
      </w:r>
      <w:r>
        <w:rPr>
          <w:rFonts w:eastAsia="Times New Roman"/>
        </w:rPr>
        <w:t>example (see screenshot below)</w:t>
      </w:r>
      <w:r w:rsidR="006C6BAD" w:rsidRPr="006C6BAD">
        <w:rPr>
          <w:rFonts w:eastAsia="Times New Roman"/>
        </w:rPr>
        <w:t>: a 30-gallon, medium-draw, 0.6-UEF water heater (standard) and a 30-gallon, 0.57-EF to 0.61-EF water heater (pre-existing) at a university dormitory in CZ01</w:t>
      </w:r>
      <w:r>
        <w:rPr>
          <w:rFonts w:eastAsia="Times New Roman"/>
        </w:rPr>
        <w:t xml:space="preserve"> will both have therm savings of 1220 (actual Energy Impact: 1221 and 1215). Due to rounding, the two energy looks equal. This can be expected for all AR measures.</w:t>
      </w:r>
      <w:r w:rsidR="00CF7A19">
        <w:rPr>
          <w:rFonts w:eastAsia="Times New Roman"/>
        </w:rPr>
        <w:t xml:space="preserve"> Hence, no changes made on the workpaper to address this comment.</w:t>
      </w:r>
      <w:r>
        <w:rPr>
          <w:rFonts w:eastAsia="Times New Roman"/>
        </w:rPr>
        <w:t xml:space="preserve"> </w:t>
      </w:r>
    </w:p>
    <w:p w14:paraId="5D8A0E93" w14:textId="7AC02200" w:rsidR="006C6BAD" w:rsidRDefault="00257201" w:rsidP="00257201">
      <w:pPr>
        <w:pStyle w:val="ListParagraph"/>
        <w:ind w:left="360"/>
        <w:rPr>
          <w:rFonts w:eastAsia="Times New Roman"/>
        </w:rPr>
      </w:pPr>
      <w:r>
        <w:rPr>
          <w:rFonts w:eastAsia="Times New Roman"/>
        </w:rPr>
        <w:t xml:space="preserve"> </w:t>
      </w:r>
    </w:p>
    <w:p w14:paraId="743EC3E0" w14:textId="4E26403C" w:rsidR="00257201" w:rsidRDefault="00257201" w:rsidP="00257201">
      <w:pPr>
        <w:jc w:val="center"/>
      </w:pPr>
      <w:r>
        <w:rPr>
          <w:noProof/>
        </w:rPr>
        <w:drawing>
          <wp:inline distT="0" distB="0" distL="0" distR="0" wp14:anchorId="2430D692" wp14:editId="3010FE49">
            <wp:extent cx="5943600" cy="285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r:link="rId8">
                      <a:extLst>
                        <a:ext uri="{28A0092B-C50C-407E-A947-70E740481C1C}">
                          <a14:useLocalDpi xmlns:a14="http://schemas.microsoft.com/office/drawing/2010/main" val="0"/>
                        </a:ext>
                      </a:extLst>
                    </a:blip>
                    <a:srcRect b="21052"/>
                    <a:stretch/>
                  </pic:blipFill>
                  <pic:spPr bwMode="auto">
                    <a:xfrm>
                      <a:off x="0" y="0"/>
                      <a:ext cx="5943600" cy="285750"/>
                    </a:xfrm>
                    <a:prstGeom prst="rect">
                      <a:avLst/>
                    </a:prstGeom>
                    <a:noFill/>
                    <a:ln>
                      <a:noFill/>
                    </a:ln>
                    <a:extLst>
                      <a:ext uri="{53640926-AAD7-44D8-BBD7-CCE9431645EC}">
                        <a14:shadowObscured xmlns:a14="http://schemas.microsoft.com/office/drawing/2010/main"/>
                      </a:ext>
                    </a:extLst>
                  </pic:spPr>
                </pic:pic>
              </a:graphicData>
            </a:graphic>
          </wp:inline>
        </w:drawing>
      </w:r>
    </w:p>
    <w:p w14:paraId="2C7B2C18" w14:textId="305FD51F" w:rsidR="00257201" w:rsidRPr="006C6BAD" w:rsidRDefault="00257201" w:rsidP="00257201">
      <w:pPr>
        <w:jc w:val="center"/>
      </w:pPr>
      <w:r>
        <w:rPr>
          <w:noProof/>
        </w:rPr>
        <w:drawing>
          <wp:inline distT="0" distB="0" distL="0" distR="0" wp14:anchorId="772E95D8" wp14:editId="2205A140">
            <wp:extent cx="3371850" cy="523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r:link="rId10">
                      <a:extLst>
                        <a:ext uri="{28A0092B-C50C-407E-A947-70E740481C1C}">
                          <a14:useLocalDpi xmlns:a14="http://schemas.microsoft.com/office/drawing/2010/main" val="0"/>
                        </a:ext>
                      </a:extLst>
                    </a:blip>
                    <a:srcRect t="60145" r="8763"/>
                    <a:stretch/>
                  </pic:blipFill>
                  <pic:spPr bwMode="auto">
                    <a:xfrm>
                      <a:off x="0" y="0"/>
                      <a:ext cx="3371850" cy="523875"/>
                    </a:xfrm>
                    <a:prstGeom prst="rect">
                      <a:avLst/>
                    </a:prstGeom>
                    <a:noFill/>
                    <a:ln>
                      <a:noFill/>
                    </a:ln>
                    <a:extLst>
                      <a:ext uri="{53640926-AAD7-44D8-BBD7-CCE9431645EC}">
                        <a14:shadowObscured xmlns:a14="http://schemas.microsoft.com/office/drawing/2010/main"/>
                      </a:ext>
                    </a:extLst>
                  </pic:spPr>
                </pic:pic>
              </a:graphicData>
            </a:graphic>
          </wp:inline>
        </w:drawing>
      </w:r>
    </w:p>
    <w:p w14:paraId="03875B3A" w14:textId="77777777" w:rsidR="006C6BAD" w:rsidRDefault="006C6BAD" w:rsidP="006C6BAD">
      <w:pPr>
        <w:pStyle w:val="ListParagraph"/>
        <w:ind w:left="360"/>
      </w:pPr>
    </w:p>
    <w:p w14:paraId="187BC910" w14:textId="70FD96AA" w:rsidR="003864A9" w:rsidRDefault="00E30A71" w:rsidP="003864A9">
      <w:pPr>
        <w:pStyle w:val="ListParagraph"/>
        <w:numPr>
          <w:ilvl w:val="0"/>
          <w:numId w:val="2"/>
        </w:numPr>
        <w:ind w:left="360"/>
      </w:pPr>
      <w:r>
        <w:t xml:space="preserve">Per CPUC and SCE discussion on 9/1/2020 regarding Accelerated Replacement Cost, it is agreed that the language in the Statewide Deemed Workpaper Rulebook to be included in the cost section to clarify AR measure cost adjustments. Section Measure Case Material Cost (and Measure Case Base Cost) is updated with the excerpt as follows: </w:t>
      </w:r>
    </w:p>
    <w:p w14:paraId="4B89FC4C" w14:textId="77777777" w:rsidR="00E30A71" w:rsidRDefault="00E30A71" w:rsidP="00E30A71">
      <w:pPr>
        <w:pStyle w:val="ListParagraph"/>
        <w:ind w:left="360"/>
      </w:pPr>
    </w:p>
    <w:p w14:paraId="2A0190B9" w14:textId="78D9C232" w:rsidR="00E30A71" w:rsidRDefault="00E30A71" w:rsidP="00E30A71">
      <w:pPr>
        <w:pStyle w:val="ListParagraph"/>
        <w:ind w:left="360"/>
      </w:pPr>
      <w:r>
        <w:rPr>
          <w:noProof/>
        </w:rPr>
        <w:drawing>
          <wp:inline distT="0" distB="0" distL="0" distR="0" wp14:anchorId="54FBEE2D" wp14:editId="740FF9A2">
            <wp:extent cx="5571104" cy="217070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71970" cy="2210008"/>
                    </a:xfrm>
                    <a:prstGeom prst="rect">
                      <a:avLst/>
                    </a:prstGeom>
                  </pic:spPr>
                </pic:pic>
              </a:graphicData>
            </a:graphic>
          </wp:inline>
        </w:drawing>
      </w:r>
    </w:p>
    <w:p w14:paraId="48364913" w14:textId="77777777" w:rsidR="003864A9" w:rsidRDefault="003864A9" w:rsidP="003864A9">
      <w:pPr>
        <w:pStyle w:val="ListParagraph"/>
        <w:ind w:left="360"/>
      </w:pPr>
    </w:p>
    <w:p w14:paraId="76E8D58B" w14:textId="5FAE8DA9" w:rsidR="003864A9" w:rsidRDefault="003864A9" w:rsidP="003864A9">
      <w:pPr>
        <w:pStyle w:val="ListParagraph"/>
        <w:numPr>
          <w:ilvl w:val="0"/>
          <w:numId w:val="2"/>
        </w:numPr>
        <w:ind w:left="360"/>
      </w:pPr>
      <w:r>
        <w:t>Section updated for clarity:</w:t>
      </w:r>
    </w:p>
    <w:p w14:paraId="77140818" w14:textId="101173C7" w:rsidR="003864A9" w:rsidRDefault="003864A9" w:rsidP="00E30A71">
      <w:pPr>
        <w:pStyle w:val="NoSpacing"/>
        <w:ind w:left="450"/>
        <w:rPr>
          <w:rStyle w:val="SubtleEmphasis"/>
          <w:rFonts w:ascii="Calibri Light" w:hAnsi="Calibri Light" w:cs="Calibri Light"/>
        </w:rPr>
      </w:pPr>
      <w:r>
        <w:t>“</w:t>
      </w:r>
      <w:r>
        <w:rPr>
          <w:rStyle w:val="SubtleEmphasis"/>
          <w:rFonts w:ascii="Calibri Light" w:hAnsi="Calibri Light" w:cs="Calibri Light"/>
        </w:rPr>
        <w:t>Domestic water heaters are pressure vessels that transfer heat to water. The heater may heat the domestic water using a heat exchanger that works like an instantaneous water heater with an integral tank and heat exchanger. Heat pump water heaters use a direct expansion (DX) heat pump to transfer heat to the water. Heat pump water heaters achieve higher efficiency compared to electric-resistance or natural gas water heaters and are typically equipped with supplemental electric-resistance elements for periods of high demand.”</w:t>
      </w:r>
    </w:p>
    <w:p w14:paraId="532991CC" w14:textId="7CCB2A67" w:rsidR="0067230F" w:rsidRDefault="0067230F" w:rsidP="0067230F">
      <w:pPr>
        <w:pStyle w:val="NoSpacing"/>
        <w:rPr>
          <w:rStyle w:val="SubtleEmphasis"/>
          <w:rFonts w:ascii="Calibri Light" w:hAnsi="Calibri Light" w:cs="Calibri Light"/>
        </w:rPr>
      </w:pPr>
    </w:p>
    <w:p w14:paraId="00F39964" w14:textId="77777777" w:rsidR="0067230F" w:rsidRDefault="0067230F" w:rsidP="0067230F">
      <w:r>
        <w:t>Additional SCE Comment:</w:t>
      </w:r>
    </w:p>
    <w:p w14:paraId="1926B5D2" w14:textId="6455CE0C" w:rsidR="0067230F" w:rsidRDefault="0067230F" w:rsidP="0067230F">
      <w:pPr>
        <w:pStyle w:val="ListParagraph"/>
        <w:numPr>
          <w:ilvl w:val="0"/>
          <w:numId w:val="4"/>
        </w:numPr>
      </w:pPr>
      <w:r>
        <w:t>Per CPUC request on 9/1/2020, SCE will update the implementation date to 10/</w:t>
      </w:r>
      <w:r w:rsidR="00F63916">
        <w:t>26</w:t>
      </w:r>
      <w:r>
        <w:t>/2020 to align with the 25-day review period required by CPUC.</w:t>
      </w:r>
    </w:p>
    <w:p w14:paraId="1F661F4D" w14:textId="15C480B6" w:rsidR="00D536F2" w:rsidRPr="0067230F" w:rsidRDefault="004238A8" w:rsidP="00F63916">
      <w:pPr>
        <w:pStyle w:val="ListParagraph"/>
        <w:numPr>
          <w:ilvl w:val="0"/>
          <w:numId w:val="4"/>
        </w:numPr>
      </w:pPr>
      <w:r>
        <w:t>As of 9/30/2020, this workpaper has been updated due to savings update from the new Water Heater Calculator v4.2.</w:t>
      </w:r>
    </w:p>
    <w:sectPr w:rsidR="00D536F2" w:rsidRPr="006723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B63E5"/>
    <w:multiLevelType w:val="hybridMultilevel"/>
    <w:tmpl w:val="31620546"/>
    <w:lvl w:ilvl="0" w:tplc="F044023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7101E0B"/>
    <w:multiLevelType w:val="hybridMultilevel"/>
    <w:tmpl w:val="7CB25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9BB11D8"/>
    <w:multiLevelType w:val="hybridMultilevel"/>
    <w:tmpl w:val="80744DF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0C706C"/>
    <w:rsid w:val="00131866"/>
    <w:rsid w:val="001C4E9F"/>
    <w:rsid w:val="00205B2B"/>
    <w:rsid w:val="00257201"/>
    <w:rsid w:val="002A755F"/>
    <w:rsid w:val="002E05AF"/>
    <w:rsid w:val="00307B6E"/>
    <w:rsid w:val="003864A9"/>
    <w:rsid w:val="003E79B7"/>
    <w:rsid w:val="00411B1C"/>
    <w:rsid w:val="004238A8"/>
    <w:rsid w:val="004266C0"/>
    <w:rsid w:val="004B78F6"/>
    <w:rsid w:val="004C1220"/>
    <w:rsid w:val="004E7F9C"/>
    <w:rsid w:val="00551BD1"/>
    <w:rsid w:val="005D5B5B"/>
    <w:rsid w:val="0067230F"/>
    <w:rsid w:val="00697385"/>
    <w:rsid w:val="006C3330"/>
    <w:rsid w:val="006C6BAD"/>
    <w:rsid w:val="006D10A6"/>
    <w:rsid w:val="006F56C1"/>
    <w:rsid w:val="00791A22"/>
    <w:rsid w:val="007921B9"/>
    <w:rsid w:val="00853A1E"/>
    <w:rsid w:val="00860122"/>
    <w:rsid w:val="008963E4"/>
    <w:rsid w:val="008F1FF0"/>
    <w:rsid w:val="00905B03"/>
    <w:rsid w:val="00937F3E"/>
    <w:rsid w:val="009E1581"/>
    <w:rsid w:val="00AB26AE"/>
    <w:rsid w:val="00AC21BB"/>
    <w:rsid w:val="00AD3DAD"/>
    <w:rsid w:val="00B530A6"/>
    <w:rsid w:val="00B8145B"/>
    <w:rsid w:val="00BA4AC4"/>
    <w:rsid w:val="00BA61FB"/>
    <w:rsid w:val="00BB2954"/>
    <w:rsid w:val="00C033E6"/>
    <w:rsid w:val="00C51BCE"/>
    <w:rsid w:val="00C907F1"/>
    <w:rsid w:val="00CE69EE"/>
    <w:rsid w:val="00CF7A19"/>
    <w:rsid w:val="00D536F2"/>
    <w:rsid w:val="00D6184D"/>
    <w:rsid w:val="00DA74B9"/>
    <w:rsid w:val="00E30A71"/>
    <w:rsid w:val="00EA7FC8"/>
    <w:rsid w:val="00EB208B"/>
    <w:rsid w:val="00EC4C2D"/>
    <w:rsid w:val="00F00D47"/>
    <w:rsid w:val="00F467E1"/>
    <w:rsid w:val="00F629B0"/>
    <w:rsid w:val="00F63916"/>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paragraph" w:styleId="NoSpacing">
    <w:name w:val="No Spacing"/>
    <w:uiPriority w:val="1"/>
    <w:qFormat/>
    <w:rsid w:val="003864A9"/>
    <w:pPr>
      <w:spacing w:after="0" w:line="240" w:lineRule="auto"/>
    </w:pPr>
  </w:style>
  <w:style w:type="character" w:styleId="SubtleEmphasis">
    <w:name w:val="Subtle Emphasis"/>
    <w:basedOn w:val="DefaultParagraphFont"/>
    <w:uiPriority w:val="19"/>
    <w:qFormat/>
    <w:rsid w:val="003864A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121384002">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173645589">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62360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jpg@01D68074.AF5E8FE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cid:image004.jpg@01D68074.AF5E8FE0"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B5456-B539-4135-A1BC-4DF994821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Jesse Clive Putra Manao</cp:lastModifiedBy>
  <cp:revision>13</cp:revision>
  <dcterms:created xsi:type="dcterms:W3CDTF">2020-08-20T13:25:00Z</dcterms:created>
  <dcterms:modified xsi:type="dcterms:W3CDTF">2020-10-01T13:42:00Z</dcterms:modified>
</cp:coreProperties>
</file>