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84B4B9"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516E1DFC" w14:textId="77777777" w:rsidTr="0051640D">
        <w:trPr>
          <w:cantSplit/>
          <w:trHeight w:hRule="exact" w:val="1791"/>
          <w:jc w:val="right"/>
        </w:trPr>
        <w:tc>
          <w:tcPr>
            <w:tcW w:w="9000" w:type="dxa"/>
            <w:shd w:val="clear" w:color="auto" w:fill="8DC63F"/>
            <w:vAlign w:val="center"/>
          </w:tcPr>
          <w:p w14:paraId="2C15BFC0" w14:textId="77777777" w:rsidR="00BD221D" w:rsidRPr="0051640D" w:rsidRDefault="00D0048A" w:rsidP="00BD221D">
            <w:pPr>
              <w:pStyle w:val="eTRMHeading1"/>
              <w:jc w:val="center"/>
              <w:rPr>
                <w:sz w:val="28"/>
              </w:rPr>
            </w:pPr>
            <w:r w:rsidRPr="0051640D">
              <w:rPr>
                <w:sz w:val="28"/>
              </w:rPr>
              <w:t>REFRIGERATION</w:t>
            </w:r>
          </w:p>
          <w:p w14:paraId="3B80215D" w14:textId="77777777" w:rsidR="00BD221D" w:rsidRPr="0051640D" w:rsidRDefault="009E36D6" w:rsidP="00B870A0">
            <w:pPr>
              <w:pStyle w:val="eTRMHeading2"/>
              <w:rPr>
                <w:color w:val="FFFFFF" w:themeColor="background1"/>
                <w:spacing w:val="60"/>
                <w:sz w:val="32"/>
              </w:rPr>
            </w:pPr>
            <w:r w:rsidRPr="0051640D">
              <w:rPr>
                <w:color w:val="FFFFFF" w:themeColor="background1"/>
                <w:spacing w:val="60"/>
                <w:sz w:val="32"/>
              </w:rPr>
              <w:t xml:space="preserve">reach-in refrigerator </w:t>
            </w:r>
            <w:r w:rsidR="0051640D" w:rsidRPr="0051640D">
              <w:rPr>
                <w:color w:val="FFFFFF" w:themeColor="background1"/>
                <w:spacing w:val="60"/>
                <w:sz w:val="32"/>
              </w:rPr>
              <w:t>or</w:t>
            </w:r>
            <w:r w:rsidRPr="0051640D">
              <w:rPr>
                <w:color w:val="FFFFFF" w:themeColor="background1"/>
                <w:spacing w:val="60"/>
                <w:sz w:val="32"/>
              </w:rPr>
              <w:t xml:space="preserve"> freezer</w:t>
            </w:r>
            <w:r w:rsidR="0051640D" w:rsidRPr="0051640D">
              <w:rPr>
                <w:color w:val="FFFFFF" w:themeColor="background1"/>
                <w:spacing w:val="60"/>
                <w:sz w:val="32"/>
              </w:rPr>
              <w:t>, Commercial</w:t>
            </w:r>
          </w:p>
          <w:p w14:paraId="5969F879" w14:textId="60B8C15D" w:rsidR="0051640D" w:rsidRPr="000110D9" w:rsidRDefault="0051640D" w:rsidP="00B870A0">
            <w:pPr>
              <w:pStyle w:val="eTRMHeading2"/>
              <w:rPr>
                <w:color w:val="FFFFFF" w:themeColor="background1"/>
              </w:rPr>
            </w:pPr>
            <w:r w:rsidRPr="00500A84">
              <w:rPr>
                <w:color w:val="FFFFFF" w:themeColor="background1"/>
                <w:spacing w:val="0"/>
                <w:sz w:val="28"/>
              </w:rPr>
              <w:t>SWCR01</w:t>
            </w:r>
            <w:r>
              <w:rPr>
                <w:color w:val="FFFFFF" w:themeColor="background1"/>
                <w:spacing w:val="0"/>
                <w:sz w:val="28"/>
              </w:rPr>
              <w:t>8-0</w:t>
            </w:r>
            <w:r w:rsidR="00581322">
              <w:rPr>
                <w:color w:val="FFFFFF" w:themeColor="background1"/>
                <w:spacing w:val="0"/>
                <w:sz w:val="28"/>
              </w:rPr>
              <w:t>2</w:t>
            </w:r>
          </w:p>
        </w:tc>
      </w:tr>
    </w:tbl>
    <w:p w14:paraId="08813932" w14:textId="77777777" w:rsidR="00BD221D" w:rsidRDefault="00BD221D" w:rsidP="00BD221D"/>
    <w:p w14:paraId="607BF52D" w14:textId="77777777" w:rsidR="00D12B8C" w:rsidRPr="00E14349" w:rsidRDefault="007E1F66" w:rsidP="0053748E">
      <w:pPr>
        <w:jc w:val="center"/>
        <w:rPr>
          <w:spacing w:val="80"/>
          <w:sz w:val="28"/>
        </w:rPr>
      </w:pPr>
      <w:r w:rsidRPr="00E14349">
        <w:rPr>
          <w:spacing w:val="80"/>
          <w:sz w:val="28"/>
        </w:rPr>
        <w:t>CONTENTS</w:t>
      </w:r>
    </w:p>
    <w:p w14:paraId="563C8A65" w14:textId="773C7A71" w:rsidR="00812D63" w:rsidRDefault="006E7009">
      <w:pPr>
        <w:pStyle w:val="TOC3"/>
        <w:rPr>
          <w:rFonts w:asciiTheme="minorHAnsi" w:hAnsiTheme="minorHAnsi"/>
          <w:noProof/>
          <w:szCs w:val="22"/>
        </w:rPr>
      </w:pPr>
      <w:r>
        <w:fldChar w:fldCharType="begin"/>
      </w:r>
      <w:r w:rsidR="001C6C9B">
        <w:instrText xml:space="preserve"> TOC \t "eTRM Heading 3,3" </w:instrText>
      </w:r>
      <w:r>
        <w:fldChar w:fldCharType="separate"/>
      </w:r>
      <w:r w:rsidR="00812D63">
        <w:rPr>
          <w:noProof/>
        </w:rPr>
        <w:t>Measure Name</w:t>
      </w:r>
      <w:r w:rsidR="00812D63">
        <w:rPr>
          <w:noProof/>
        </w:rPr>
        <w:tab/>
      </w:r>
      <w:r w:rsidR="00812D63">
        <w:rPr>
          <w:noProof/>
        </w:rPr>
        <w:fldChar w:fldCharType="begin"/>
      </w:r>
      <w:r w:rsidR="00812D63">
        <w:rPr>
          <w:noProof/>
        </w:rPr>
        <w:instrText xml:space="preserve"> PAGEREF _Toc1120808 \h </w:instrText>
      </w:r>
      <w:r w:rsidR="00812D63">
        <w:rPr>
          <w:noProof/>
        </w:rPr>
      </w:r>
      <w:r w:rsidR="00812D63">
        <w:rPr>
          <w:noProof/>
        </w:rPr>
        <w:fldChar w:fldCharType="separate"/>
      </w:r>
      <w:r w:rsidR="002C303D">
        <w:rPr>
          <w:noProof/>
        </w:rPr>
        <w:t>2</w:t>
      </w:r>
      <w:r w:rsidR="00812D63">
        <w:rPr>
          <w:noProof/>
        </w:rPr>
        <w:fldChar w:fldCharType="end"/>
      </w:r>
    </w:p>
    <w:p w14:paraId="6B962379" w14:textId="2CF35AEB" w:rsidR="00812D63" w:rsidRDefault="00812D63">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_Toc1120809 \h </w:instrText>
      </w:r>
      <w:r>
        <w:rPr>
          <w:noProof/>
        </w:rPr>
      </w:r>
      <w:r>
        <w:rPr>
          <w:noProof/>
        </w:rPr>
        <w:fldChar w:fldCharType="separate"/>
      </w:r>
      <w:r w:rsidR="002C303D">
        <w:rPr>
          <w:noProof/>
        </w:rPr>
        <w:t>2</w:t>
      </w:r>
      <w:r>
        <w:rPr>
          <w:noProof/>
        </w:rPr>
        <w:fldChar w:fldCharType="end"/>
      </w:r>
    </w:p>
    <w:p w14:paraId="79DBD08A" w14:textId="37ABEAC4" w:rsidR="00812D63" w:rsidRDefault="00812D63">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_Toc1120810 \h </w:instrText>
      </w:r>
      <w:r>
        <w:rPr>
          <w:noProof/>
        </w:rPr>
      </w:r>
      <w:r>
        <w:rPr>
          <w:noProof/>
        </w:rPr>
        <w:fldChar w:fldCharType="separate"/>
      </w:r>
      <w:r w:rsidR="002C303D">
        <w:rPr>
          <w:noProof/>
        </w:rPr>
        <w:t>2</w:t>
      </w:r>
      <w:r>
        <w:rPr>
          <w:noProof/>
        </w:rPr>
        <w:fldChar w:fldCharType="end"/>
      </w:r>
    </w:p>
    <w:p w14:paraId="00DC3A71" w14:textId="73CEDB3A" w:rsidR="00812D63" w:rsidRDefault="00812D63">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_Toc1120811 \h </w:instrText>
      </w:r>
      <w:r>
        <w:rPr>
          <w:noProof/>
        </w:rPr>
      </w:r>
      <w:r>
        <w:rPr>
          <w:noProof/>
        </w:rPr>
        <w:fldChar w:fldCharType="separate"/>
      </w:r>
      <w:r w:rsidR="002C303D">
        <w:rPr>
          <w:noProof/>
        </w:rPr>
        <w:t>2</w:t>
      </w:r>
      <w:r>
        <w:rPr>
          <w:noProof/>
        </w:rPr>
        <w:fldChar w:fldCharType="end"/>
      </w:r>
    </w:p>
    <w:p w14:paraId="1BBAC1B7" w14:textId="34BC2ABA" w:rsidR="00812D63" w:rsidRDefault="00812D63">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_Toc1120812 \h </w:instrText>
      </w:r>
      <w:r>
        <w:rPr>
          <w:noProof/>
        </w:rPr>
      </w:r>
      <w:r>
        <w:rPr>
          <w:noProof/>
        </w:rPr>
        <w:fldChar w:fldCharType="separate"/>
      </w:r>
      <w:r w:rsidR="002C303D">
        <w:rPr>
          <w:noProof/>
        </w:rPr>
        <w:t>3</w:t>
      </w:r>
      <w:r>
        <w:rPr>
          <w:noProof/>
        </w:rPr>
        <w:fldChar w:fldCharType="end"/>
      </w:r>
    </w:p>
    <w:p w14:paraId="66A659F4" w14:textId="2AC3F7D9" w:rsidR="00812D63" w:rsidRDefault="00812D63">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_Toc1120813 \h </w:instrText>
      </w:r>
      <w:r>
        <w:rPr>
          <w:noProof/>
        </w:rPr>
      </w:r>
      <w:r>
        <w:rPr>
          <w:noProof/>
        </w:rPr>
        <w:fldChar w:fldCharType="separate"/>
      </w:r>
      <w:r w:rsidR="002C303D">
        <w:rPr>
          <w:noProof/>
        </w:rPr>
        <w:t>3</w:t>
      </w:r>
      <w:r>
        <w:rPr>
          <w:noProof/>
        </w:rPr>
        <w:fldChar w:fldCharType="end"/>
      </w:r>
    </w:p>
    <w:p w14:paraId="16D5CE22" w14:textId="3D94B246" w:rsidR="00812D63" w:rsidRDefault="00812D63">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_Toc1120814 \h </w:instrText>
      </w:r>
      <w:r>
        <w:rPr>
          <w:noProof/>
        </w:rPr>
      </w:r>
      <w:r>
        <w:rPr>
          <w:noProof/>
        </w:rPr>
        <w:fldChar w:fldCharType="separate"/>
      </w:r>
      <w:r w:rsidR="002C303D">
        <w:rPr>
          <w:noProof/>
        </w:rPr>
        <w:t>4</w:t>
      </w:r>
      <w:r>
        <w:rPr>
          <w:noProof/>
        </w:rPr>
        <w:fldChar w:fldCharType="end"/>
      </w:r>
    </w:p>
    <w:p w14:paraId="23519A1D" w14:textId="579A31C4" w:rsidR="00812D63" w:rsidRDefault="00812D63">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_Toc1120815 \h </w:instrText>
      </w:r>
      <w:r>
        <w:rPr>
          <w:noProof/>
        </w:rPr>
      </w:r>
      <w:r>
        <w:rPr>
          <w:noProof/>
        </w:rPr>
        <w:fldChar w:fldCharType="separate"/>
      </w:r>
      <w:r w:rsidR="002C303D">
        <w:rPr>
          <w:noProof/>
        </w:rPr>
        <w:t>4</w:t>
      </w:r>
      <w:r>
        <w:rPr>
          <w:noProof/>
        </w:rPr>
        <w:fldChar w:fldCharType="end"/>
      </w:r>
    </w:p>
    <w:p w14:paraId="0C920103" w14:textId="6AF90717" w:rsidR="00812D63" w:rsidRDefault="00812D63">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_Toc1120816 \h </w:instrText>
      </w:r>
      <w:r>
        <w:rPr>
          <w:noProof/>
        </w:rPr>
      </w:r>
      <w:r>
        <w:rPr>
          <w:noProof/>
        </w:rPr>
        <w:fldChar w:fldCharType="separate"/>
      </w:r>
      <w:r w:rsidR="002C303D">
        <w:rPr>
          <w:noProof/>
        </w:rPr>
        <w:t>6</w:t>
      </w:r>
      <w:r>
        <w:rPr>
          <w:noProof/>
        </w:rPr>
        <w:fldChar w:fldCharType="end"/>
      </w:r>
    </w:p>
    <w:p w14:paraId="583D8596" w14:textId="6CF37FBB" w:rsidR="00812D63" w:rsidRDefault="00812D63">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_Toc1120817 \h </w:instrText>
      </w:r>
      <w:r>
        <w:rPr>
          <w:noProof/>
        </w:rPr>
      </w:r>
      <w:r>
        <w:rPr>
          <w:noProof/>
        </w:rPr>
        <w:fldChar w:fldCharType="separate"/>
      </w:r>
      <w:r w:rsidR="002C303D">
        <w:rPr>
          <w:noProof/>
        </w:rPr>
        <w:t>6</w:t>
      </w:r>
      <w:r>
        <w:rPr>
          <w:noProof/>
        </w:rPr>
        <w:fldChar w:fldCharType="end"/>
      </w:r>
    </w:p>
    <w:p w14:paraId="4B3ABFDB" w14:textId="20DA74F2" w:rsidR="00812D63" w:rsidRDefault="00812D63">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_Toc1120818 \h </w:instrText>
      </w:r>
      <w:r>
        <w:rPr>
          <w:noProof/>
        </w:rPr>
      </w:r>
      <w:r>
        <w:rPr>
          <w:noProof/>
        </w:rPr>
        <w:fldChar w:fldCharType="separate"/>
      </w:r>
      <w:r w:rsidR="002C303D">
        <w:rPr>
          <w:noProof/>
        </w:rPr>
        <w:t>6</w:t>
      </w:r>
      <w:r>
        <w:rPr>
          <w:noProof/>
        </w:rPr>
        <w:fldChar w:fldCharType="end"/>
      </w:r>
    </w:p>
    <w:p w14:paraId="27DF11C5" w14:textId="63FA0BFC" w:rsidR="00812D63" w:rsidRDefault="00812D63">
      <w:pPr>
        <w:pStyle w:val="TOC3"/>
        <w:rPr>
          <w:rFonts w:asciiTheme="minorHAnsi" w:hAnsiTheme="minorHAnsi"/>
          <w:noProof/>
          <w:szCs w:val="22"/>
        </w:rPr>
      </w:pPr>
      <w:r>
        <w:rPr>
          <w:noProof/>
        </w:rPr>
        <w:t>Electric Savings (</w:t>
      </w:r>
      <w:r w:rsidRPr="0024581F">
        <w:rPr>
          <w:noProof/>
        </w:rPr>
        <w:t>k</w:t>
      </w:r>
      <w:r>
        <w:rPr>
          <w:noProof/>
        </w:rPr>
        <w:t>W</w:t>
      </w:r>
      <w:r w:rsidRPr="0024581F">
        <w:rPr>
          <w:noProof/>
        </w:rPr>
        <w:t>h</w:t>
      </w:r>
      <w:r>
        <w:rPr>
          <w:noProof/>
        </w:rPr>
        <w:t>)</w:t>
      </w:r>
      <w:r>
        <w:rPr>
          <w:noProof/>
        </w:rPr>
        <w:tab/>
      </w:r>
      <w:r>
        <w:rPr>
          <w:noProof/>
        </w:rPr>
        <w:fldChar w:fldCharType="begin"/>
      </w:r>
      <w:r>
        <w:rPr>
          <w:noProof/>
        </w:rPr>
        <w:instrText xml:space="preserve"> PAGEREF _Toc1120819 \h </w:instrText>
      </w:r>
      <w:r>
        <w:rPr>
          <w:noProof/>
        </w:rPr>
      </w:r>
      <w:r>
        <w:rPr>
          <w:noProof/>
        </w:rPr>
        <w:fldChar w:fldCharType="separate"/>
      </w:r>
      <w:r w:rsidR="002C303D">
        <w:rPr>
          <w:noProof/>
        </w:rPr>
        <w:t>6</w:t>
      </w:r>
      <w:r>
        <w:rPr>
          <w:noProof/>
        </w:rPr>
        <w:fldChar w:fldCharType="end"/>
      </w:r>
    </w:p>
    <w:p w14:paraId="33B98AE8" w14:textId="4FD68146" w:rsidR="00812D63" w:rsidRDefault="00812D63">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_Toc1120820 \h </w:instrText>
      </w:r>
      <w:r>
        <w:rPr>
          <w:noProof/>
        </w:rPr>
      </w:r>
      <w:r>
        <w:rPr>
          <w:noProof/>
        </w:rPr>
        <w:fldChar w:fldCharType="separate"/>
      </w:r>
      <w:r w:rsidR="002C303D">
        <w:rPr>
          <w:noProof/>
        </w:rPr>
        <w:t>7</w:t>
      </w:r>
      <w:r>
        <w:rPr>
          <w:noProof/>
        </w:rPr>
        <w:fldChar w:fldCharType="end"/>
      </w:r>
    </w:p>
    <w:p w14:paraId="7012C609" w14:textId="339D1E54" w:rsidR="00812D63" w:rsidRDefault="00812D63">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_Toc1120821 \h </w:instrText>
      </w:r>
      <w:r>
        <w:rPr>
          <w:noProof/>
        </w:rPr>
      </w:r>
      <w:r>
        <w:rPr>
          <w:noProof/>
        </w:rPr>
        <w:fldChar w:fldCharType="separate"/>
      </w:r>
      <w:r w:rsidR="002C303D">
        <w:rPr>
          <w:noProof/>
        </w:rPr>
        <w:t>8</w:t>
      </w:r>
      <w:r>
        <w:rPr>
          <w:noProof/>
        </w:rPr>
        <w:fldChar w:fldCharType="end"/>
      </w:r>
    </w:p>
    <w:p w14:paraId="1B444CB8" w14:textId="1F304D1E" w:rsidR="00812D63" w:rsidRDefault="00812D63">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_Toc1120822 \h </w:instrText>
      </w:r>
      <w:r>
        <w:rPr>
          <w:noProof/>
        </w:rPr>
      </w:r>
      <w:r>
        <w:rPr>
          <w:noProof/>
        </w:rPr>
        <w:fldChar w:fldCharType="separate"/>
      </w:r>
      <w:r w:rsidR="002C303D">
        <w:rPr>
          <w:noProof/>
        </w:rPr>
        <w:t>8</w:t>
      </w:r>
      <w:r>
        <w:rPr>
          <w:noProof/>
        </w:rPr>
        <w:fldChar w:fldCharType="end"/>
      </w:r>
    </w:p>
    <w:p w14:paraId="263FF5A7" w14:textId="15FC1A04" w:rsidR="00812D63" w:rsidRDefault="00812D63">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_Toc1120823 \h </w:instrText>
      </w:r>
      <w:r>
        <w:rPr>
          <w:noProof/>
        </w:rPr>
      </w:r>
      <w:r>
        <w:rPr>
          <w:noProof/>
        </w:rPr>
        <w:fldChar w:fldCharType="separate"/>
      </w:r>
      <w:r w:rsidR="002C303D">
        <w:rPr>
          <w:noProof/>
        </w:rPr>
        <w:t>9</w:t>
      </w:r>
      <w:r>
        <w:rPr>
          <w:noProof/>
        </w:rPr>
        <w:fldChar w:fldCharType="end"/>
      </w:r>
    </w:p>
    <w:p w14:paraId="7EBFD417" w14:textId="32806A57" w:rsidR="00812D63" w:rsidRDefault="00812D63">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_Toc1120824 \h </w:instrText>
      </w:r>
      <w:r>
        <w:rPr>
          <w:noProof/>
        </w:rPr>
      </w:r>
      <w:r>
        <w:rPr>
          <w:noProof/>
        </w:rPr>
        <w:fldChar w:fldCharType="separate"/>
      </w:r>
      <w:r w:rsidR="002C303D">
        <w:rPr>
          <w:noProof/>
        </w:rPr>
        <w:t>9</w:t>
      </w:r>
      <w:r>
        <w:rPr>
          <w:noProof/>
        </w:rPr>
        <w:fldChar w:fldCharType="end"/>
      </w:r>
    </w:p>
    <w:p w14:paraId="2038810D" w14:textId="51D48B8F" w:rsidR="00812D63" w:rsidRDefault="00812D63">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_Toc1120825 \h </w:instrText>
      </w:r>
      <w:r>
        <w:rPr>
          <w:noProof/>
        </w:rPr>
      </w:r>
      <w:r>
        <w:rPr>
          <w:noProof/>
        </w:rPr>
        <w:fldChar w:fldCharType="separate"/>
      </w:r>
      <w:r w:rsidR="002C303D">
        <w:rPr>
          <w:noProof/>
        </w:rPr>
        <w:t>9</w:t>
      </w:r>
      <w:r>
        <w:rPr>
          <w:noProof/>
        </w:rPr>
        <w:fldChar w:fldCharType="end"/>
      </w:r>
    </w:p>
    <w:p w14:paraId="32BB8B97" w14:textId="6B2D9620" w:rsidR="00812D63" w:rsidRDefault="00812D63">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_Toc1120826 \h </w:instrText>
      </w:r>
      <w:r>
        <w:rPr>
          <w:noProof/>
        </w:rPr>
      </w:r>
      <w:r>
        <w:rPr>
          <w:noProof/>
        </w:rPr>
        <w:fldChar w:fldCharType="separate"/>
      </w:r>
      <w:r w:rsidR="002C303D">
        <w:rPr>
          <w:noProof/>
        </w:rPr>
        <w:t>10</w:t>
      </w:r>
      <w:r>
        <w:rPr>
          <w:noProof/>
        </w:rPr>
        <w:fldChar w:fldCharType="end"/>
      </w:r>
    </w:p>
    <w:p w14:paraId="5FE6FEB7" w14:textId="488592DB" w:rsidR="00812D63" w:rsidRDefault="00812D63">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_Toc1120827 \h </w:instrText>
      </w:r>
      <w:r>
        <w:rPr>
          <w:noProof/>
        </w:rPr>
      </w:r>
      <w:r>
        <w:rPr>
          <w:noProof/>
        </w:rPr>
        <w:fldChar w:fldCharType="separate"/>
      </w:r>
      <w:r w:rsidR="002C303D">
        <w:rPr>
          <w:noProof/>
        </w:rPr>
        <w:t>10</w:t>
      </w:r>
      <w:r>
        <w:rPr>
          <w:noProof/>
        </w:rPr>
        <w:fldChar w:fldCharType="end"/>
      </w:r>
    </w:p>
    <w:p w14:paraId="3BC68AAC" w14:textId="3D5A4041" w:rsidR="00812D63" w:rsidRDefault="00812D63">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_Toc1120828 \h </w:instrText>
      </w:r>
      <w:r>
        <w:rPr>
          <w:noProof/>
        </w:rPr>
      </w:r>
      <w:r>
        <w:rPr>
          <w:noProof/>
        </w:rPr>
        <w:fldChar w:fldCharType="separate"/>
      </w:r>
      <w:r w:rsidR="002C303D">
        <w:rPr>
          <w:noProof/>
        </w:rPr>
        <w:t>10</w:t>
      </w:r>
      <w:r>
        <w:rPr>
          <w:noProof/>
        </w:rPr>
        <w:fldChar w:fldCharType="end"/>
      </w:r>
    </w:p>
    <w:p w14:paraId="4AC2BA4E" w14:textId="58667F7F" w:rsidR="00812D63" w:rsidRDefault="00812D63">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_Toc1120829 \h </w:instrText>
      </w:r>
      <w:r>
        <w:rPr>
          <w:noProof/>
        </w:rPr>
      </w:r>
      <w:r>
        <w:rPr>
          <w:noProof/>
        </w:rPr>
        <w:fldChar w:fldCharType="separate"/>
      </w:r>
      <w:r w:rsidR="002C303D">
        <w:rPr>
          <w:noProof/>
        </w:rPr>
        <w:t>11</w:t>
      </w:r>
      <w:r>
        <w:rPr>
          <w:noProof/>
        </w:rPr>
        <w:fldChar w:fldCharType="end"/>
      </w:r>
    </w:p>
    <w:p w14:paraId="2B7229AA" w14:textId="0586A6B6" w:rsidR="00812D63" w:rsidRDefault="00812D63">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_Toc1120830 \h </w:instrText>
      </w:r>
      <w:r>
        <w:rPr>
          <w:noProof/>
        </w:rPr>
      </w:r>
      <w:r>
        <w:rPr>
          <w:noProof/>
        </w:rPr>
        <w:fldChar w:fldCharType="separate"/>
      </w:r>
      <w:r w:rsidR="002C303D">
        <w:rPr>
          <w:noProof/>
        </w:rPr>
        <w:t>11</w:t>
      </w:r>
      <w:r>
        <w:rPr>
          <w:noProof/>
        </w:rPr>
        <w:fldChar w:fldCharType="end"/>
      </w:r>
    </w:p>
    <w:p w14:paraId="55B524BD" w14:textId="03A2C457" w:rsidR="00812D63" w:rsidRDefault="00812D63">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_Toc1120831 \h </w:instrText>
      </w:r>
      <w:r>
        <w:rPr>
          <w:noProof/>
        </w:rPr>
      </w:r>
      <w:r>
        <w:rPr>
          <w:noProof/>
        </w:rPr>
        <w:fldChar w:fldCharType="separate"/>
      </w:r>
      <w:r w:rsidR="002C303D">
        <w:rPr>
          <w:noProof/>
        </w:rPr>
        <w:t>12</w:t>
      </w:r>
      <w:r>
        <w:rPr>
          <w:noProof/>
        </w:rPr>
        <w:fldChar w:fldCharType="end"/>
      </w:r>
    </w:p>
    <w:p w14:paraId="5BE87C58" w14:textId="10884144" w:rsidR="001C6C9B" w:rsidRPr="00D12B8C" w:rsidRDefault="006E7009" w:rsidP="00D12B8C">
      <w:r>
        <w:fldChar w:fldCharType="end"/>
      </w:r>
    </w:p>
    <w:p w14:paraId="00F7361C" w14:textId="77777777" w:rsidR="007E1F66" w:rsidRDefault="007E1F66" w:rsidP="00420958">
      <w:pPr>
        <w:pStyle w:val="eTRMHeading3"/>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745030D0" w14:textId="77777777" w:rsidR="008E3BE9" w:rsidRPr="007E1F66" w:rsidRDefault="008E3BE9" w:rsidP="00E14349">
      <w:pPr>
        <w:pStyle w:val="eTRMHeading3"/>
        <w:spacing w:before="20" w:after="20" w:line="280" w:lineRule="exact"/>
      </w:pPr>
      <w:bookmarkStart w:id="0" w:name="_Toc486490839"/>
      <w:bookmarkStart w:id="1" w:name="_Toc486580912"/>
      <w:bookmarkStart w:id="2" w:name="_Toc1120808"/>
      <w:r w:rsidRPr="007E1F66">
        <w:lastRenderedPageBreak/>
        <w:t>Measure Name</w:t>
      </w:r>
      <w:bookmarkEnd w:id="0"/>
      <w:bookmarkEnd w:id="1"/>
      <w:bookmarkEnd w:id="2"/>
    </w:p>
    <w:p w14:paraId="436D946C" w14:textId="34E786CF" w:rsidR="008E3BE9" w:rsidRDefault="008E3BE9" w:rsidP="00E14349">
      <w:pPr>
        <w:spacing w:before="20" w:after="20" w:line="280" w:lineRule="exact"/>
      </w:pPr>
      <w:r>
        <w:t xml:space="preserve">Reach-In Refrigerator </w:t>
      </w:r>
      <w:r w:rsidR="0051640D">
        <w:t>or</w:t>
      </w:r>
      <w:r>
        <w:t xml:space="preserve"> Freezer</w:t>
      </w:r>
      <w:r w:rsidR="0051640D">
        <w:t>, Commercial</w:t>
      </w:r>
    </w:p>
    <w:p w14:paraId="33E80859" w14:textId="77777777" w:rsidR="008E3BE9" w:rsidRPr="00401C43" w:rsidRDefault="008E3BE9" w:rsidP="00E14349">
      <w:pPr>
        <w:spacing w:before="20" w:after="20" w:line="280" w:lineRule="exact"/>
      </w:pPr>
    </w:p>
    <w:p w14:paraId="5DE3CC9F" w14:textId="77777777" w:rsidR="008E3BE9" w:rsidRPr="00074E3E" w:rsidRDefault="008E3BE9" w:rsidP="00E14349">
      <w:pPr>
        <w:pStyle w:val="eTRMHeading3"/>
        <w:spacing w:before="20" w:after="20" w:line="280" w:lineRule="exact"/>
      </w:pPr>
      <w:bookmarkStart w:id="3" w:name="_Toc486490840"/>
      <w:bookmarkStart w:id="4" w:name="_Toc486580913"/>
      <w:bookmarkStart w:id="5" w:name="_Toc1120809"/>
      <w:r>
        <w:t>Statewide Measure ID</w:t>
      </w:r>
      <w:bookmarkEnd w:id="3"/>
      <w:bookmarkEnd w:id="4"/>
      <w:bookmarkEnd w:id="5"/>
    </w:p>
    <w:p w14:paraId="35B57FC5" w14:textId="48CBA58D" w:rsidR="00196F2E" w:rsidRDefault="00196F2E" w:rsidP="00196F2E">
      <w:r w:rsidRPr="0051640D">
        <w:t>SW</w:t>
      </w:r>
      <w:r w:rsidR="0051640D" w:rsidRPr="0051640D">
        <w:t>CR</w:t>
      </w:r>
      <w:r w:rsidRPr="0051640D">
        <w:t>018</w:t>
      </w:r>
      <w:r w:rsidR="0051640D" w:rsidRPr="0051640D">
        <w:t>-0</w:t>
      </w:r>
      <w:r w:rsidR="00581322">
        <w:t>2</w:t>
      </w:r>
    </w:p>
    <w:p w14:paraId="5DBEC24D" w14:textId="77777777" w:rsidR="008E3BE9" w:rsidRPr="00401C43" w:rsidRDefault="008E3BE9" w:rsidP="00E14349">
      <w:pPr>
        <w:spacing w:before="20" w:after="20" w:line="280" w:lineRule="exact"/>
      </w:pPr>
    </w:p>
    <w:p w14:paraId="1F093AB6" w14:textId="77777777" w:rsidR="00E70CBD" w:rsidRPr="00154391" w:rsidRDefault="00E70CBD" w:rsidP="00420958">
      <w:pPr>
        <w:pStyle w:val="eTRMHeading3"/>
      </w:pPr>
      <w:bookmarkStart w:id="6" w:name="_Toc486490847"/>
      <w:bookmarkStart w:id="7" w:name="_Toc486580918"/>
      <w:bookmarkStart w:id="8" w:name="_Toc1120810"/>
      <w:r w:rsidRPr="00154391">
        <w:t>Technology Summary</w:t>
      </w:r>
      <w:bookmarkEnd w:id="6"/>
      <w:bookmarkEnd w:id="7"/>
      <w:bookmarkEnd w:id="8"/>
      <w:r w:rsidRPr="00154391">
        <w:t xml:space="preserve"> </w:t>
      </w:r>
    </w:p>
    <w:p w14:paraId="401E0A8B" w14:textId="188C223B" w:rsidR="00311697" w:rsidRPr="009357C7" w:rsidRDefault="00491FAB" w:rsidP="00311697">
      <w:pPr>
        <w:pStyle w:val="TableFootnote"/>
        <w:spacing w:before="0" w:after="120" w:line="240" w:lineRule="auto"/>
        <w:contextualSpacing w:val="0"/>
        <w:rPr>
          <w:rFonts w:cs="Calibri Light"/>
          <w:color w:val="auto"/>
          <w:sz w:val="22"/>
          <w:szCs w:val="22"/>
        </w:rPr>
      </w:pPr>
      <w:r w:rsidRPr="009357C7">
        <w:rPr>
          <w:rFonts w:cs="Calibri Light"/>
          <w:color w:val="auto"/>
          <w:sz w:val="22"/>
          <w:szCs w:val="22"/>
        </w:rPr>
        <w:t xml:space="preserve">This </w:t>
      </w:r>
      <w:r w:rsidR="00D0048A">
        <w:rPr>
          <w:rFonts w:cs="Calibri Light"/>
          <w:color w:val="auto"/>
          <w:sz w:val="22"/>
          <w:szCs w:val="22"/>
        </w:rPr>
        <w:t xml:space="preserve">measure pertains to the </w:t>
      </w:r>
      <w:r w:rsidRPr="009357C7">
        <w:rPr>
          <w:rFonts w:cs="Calibri Light"/>
          <w:color w:val="auto"/>
          <w:sz w:val="22"/>
          <w:szCs w:val="22"/>
        </w:rPr>
        <w:t>purchase</w:t>
      </w:r>
      <w:r w:rsidR="00D0048A">
        <w:rPr>
          <w:rFonts w:cs="Calibri Light"/>
          <w:color w:val="auto"/>
          <w:sz w:val="22"/>
          <w:szCs w:val="22"/>
        </w:rPr>
        <w:t xml:space="preserve"> of </w:t>
      </w:r>
      <w:r w:rsidR="0051640D">
        <w:rPr>
          <w:rFonts w:cs="Calibri Light"/>
          <w:color w:val="auto"/>
          <w:sz w:val="22"/>
          <w:szCs w:val="22"/>
        </w:rPr>
        <w:t xml:space="preserve">a </w:t>
      </w:r>
      <w:r w:rsidR="00D0048A">
        <w:rPr>
          <w:rFonts w:cs="Calibri Light"/>
          <w:color w:val="auto"/>
          <w:sz w:val="22"/>
          <w:szCs w:val="22"/>
        </w:rPr>
        <w:t>new or replacement</w:t>
      </w:r>
      <w:r w:rsidR="0051640D">
        <w:rPr>
          <w:rFonts w:cs="Calibri Light"/>
          <w:color w:val="auto"/>
          <w:sz w:val="22"/>
          <w:szCs w:val="22"/>
        </w:rPr>
        <w:t xml:space="preserve"> with an</w:t>
      </w:r>
      <w:r w:rsidR="00D0048A">
        <w:rPr>
          <w:rFonts w:cs="Calibri Light"/>
          <w:color w:val="auto"/>
          <w:sz w:val="22"/>
          <w:szCs w:val="22"/>
        </w:rPr>
        <w:t xml:space="preserve"> energy-</w:t>
      </w:r>
      <w:r w:rsidRPr="009357C7">
        <w:rPr>
          <w:rFonts w:cs="Calibri Light"/>
          <w:color w:val="auto"/>
          <w:sz w:val="22"/>
          <w:szCs w:val="22"/>
        </w:rPr>
        <w:t>efficient commercial reach-in solid and glass door refrigerator</w:t>
      </w:r>
      <w:r w:rsidR="0051640D">
        <w:rPr>
          <w:rFonts w:cs="Calibri Light"/>
          <w:color w:val="auto"/>
          <w:sz w:val="22"/>
          <w:szCs w:val="22"/>
        </w:rPr>
        <w:t xml:space="preserve"> or </w:t>
      </w:r>
      <w:r w:rsidRPr="009357C7">
        <w:rPr>
          <w:rFonts w:cs="Calibri Light"/>
          <w:color w:val="auto"/>
          <w:sz w:val="22"/>
          <w:szCs w:val="22"/>
        </w:rPr>
        <w:t>freezers, in vertical and chest configurations. In all catego</w:t>
      </w:r>
      <w:r w:rsidR="00311697" w:rsidRPr="009357C7">
        <w:rPr>
          <w:rFonts w:cs="Calibri Light"/>
          <w:color w:val="auto"/>
          <w:sz w:val="22"/>
          <w:szCs w:val="22"/>
        </w:rPr>
        <w:t>ries, the refrigeration system must</w:t>
      </w:r>
      <w:r w:rsidRPr="009357C7">
        <w:rPr>
          <w:rFonts w:cs="Calibri Light"/>
          <w:color w:val="auto"/>
          <w:sz w:val="22"/>
          <w:szCs w:val="22"/>
        </w:rPr>
        <w:t xml:space="preserve"> be built-in (packaged). </w:t>
      </w:r>
    </w:p>
    <w:p w14:paraId="5B8759B3" w14:textId="15414444" w:rsidR="00834E22" w:rsidRPr="00311697" w:rsidRDefault="00834E22" w:rsidP="00311697">
      <w:pPr>
        <w:pStyle w:val="TableFootnote"/>
        <w:spacing w:before="0" w:after="120" w:line="240" w:lineRule="auto"/>
        <w:contextualSpacing w:val="0"/>
        <w:rPr>
          <w:rFonts w:cs="Calibri Light"/>
          <w:color w:val="auto"/>
          <w:sz w:val="22"/>
          <w:szCs w:val="22"/>
        </w:rPr>
      </w:pPr>
      <w:r w:rsidRPr="009357C7">
        <w:rPr>
          <w:rFonts w:cs="Calibri Light"/>
          <w:color w:val="auto"/>
          <w:sz w:val="22"/>
          <w:szCs w:val="22"/>
        </w:rPr>
        <w:t xml:space="preserve">Reach-in refrigerators and freezers </w:t>
      </w:r>
      <w:r w:rsidR="00D0048A">
        <w:rPr>
          <w:rFonts w:cs="Calibri Light"/>
          <w:color w:val="auto"/>
          <w:sz w:val="22"/>
          <w:szCs w:val="22"/>
        </w:rPr>
        <w:t>store</w:t>
      </w:r>
      <w:r w:rsidRPr="009357C7">
        <w:rPr>
          <w:rFonts w:cs="Calibri Light"/>
          <w:color w:val="auto"/>
          <w:sz w:val="22"/>
          <w:szCs w:val="22"/>
        </w:rPr>
        <w:t xml:space="preserve"> perishable goods in supermarkets </w:t>
      </w:r>
      <w:r w:rsidR="00D0048A">
        <w:rPr>
          <w:rFonts w:cs="Calibri Light"/>
          <w:color w:val="auto"/>
          <w:sz w:val="22"/>
          <w:szCs w:val="22"/>
        </w:rPr>
        <w:t>and other food retail and food service establishments</w:t>
      </w:r>
      <w:r w:rsidRPr="009357C7">
        <w:rPr>
          <w:rFonts w:cs="Calibri Light"/>
          <w:color w:val="auto"/>
          <w:sz w:val="22"/>
          <w:szCs w:val="22"/>
        </w:rPr>
        <w:t>. They are typically constructed from stainless steel and have a thick layer of insulation in the walls, doors, and floor. The cabinets have one to three</w:t>
      </w:r>
      <w:r w:rsidR="00D0048A">
        <w:rPr>
          <w:rFonts w:cs="Calibri Light"/>
          <w:color w:val="auto"/>
          <w:sz w:val="22"/>
          <w:szCs w:val="22"/>
        </w:rPr>
        <w:t xml:space="preserve"> doors</w:t>
      </w:r>
      <w:r w:rsidRPr="009357C7">
        <w:rPr>
          <w:rFonts w:cs="Calibri Light"/>
          <w:color w:val="auto"/>
          <w:sz w:val="22"/>
          <w:szCs w:val="22"/>
        </w:rPr>
        <w:t xml:space="preserve"> made of either glass or </w:t>
      </w:r>
      <w:r w:rsidR="00437B13" w:rsidRPr="009357C7">
        <w:rPr>
          <w:rFonts w:cs="Calibri Light"/>
          <w:color w:val="auto"/>
          <w:sz w:val="22"/>
          <w:szCs w:val="22"/>
        </w:rPr>
        <w:t>steel and</w:t>
      </w:r>
      <w:r w:rsidRPr="009357C7">
        <w:rPr>
          <w:rFonts w:cs="Calibri Light"/>
          <w:color w:val="auto"/>
          <w:sz w:val="22"/>
          <w:szCs w:val="22"/>
        </w:rPr>
        <w:t xml:space="preserve"> come in a variety of sizes with storage capabilities up to 72</w:t>
      </w:r>
      <w:r w:rsidR="008C3753">
        <w:rPr>
          <w:rFonts w:cs="Calibri Light"/>
          <w:color w:val="auto"/>
          <w:sz w:val="22"/>
          <w:szCs w:val="22"/>
        </w:rPr>
        <w:t xml:space="preserve"> ft</w:t>
      </w:r>
      <w:r w:rsidR="008C3753" w:rsidRPr="008C3753">
        <w:rPr>
          <w:rFonts w:cs="Calibri Light"/>
          <w:color w:val="auto"/>
          <w:sz w:val="22"/>
          <w:szCs w:val="22"/>
          <w:vertAlign w:val="superscript"/>
        </w:rPr>
        <w:t>3</w:t>
      </w:r>
      <w:r w:rsidRPr="009357C7">
        <w:rPr>
          <w:rFonts w:cs="Calibri Light"/>
          <w:color w:val="auto"/>
          <w:sz w:val="22"/>
          <w:szCs w:val="22"/>
        </w:rPr>
        <w:t xml:space="preserve">. These units are </w:t>
      </w:r>
      <w:r w:rsidR="00D0048A">
        <w:rPr>
          <w:rFonts w:cs="Calibri Light"/>
          <w:color w:val="auto"/>
          <w:sz w:val="22"/>
          <w:szCs w:val="22"/>
        </w:rPr>
        <w:t>“</w:t>
      </w:r>
      <w:r w:rsidRPr="009357C7">
        <w:rPr>
          <w:rFonts w:cs="Calibri Light"/>
          <w:color w:val="auto"/>
          <w:sz w:val="22"/>
          <w:szCs w:val="22"/>
        </w:rPr>
        <w:t>self-contained</w:t>
      </w:r>
      <w:r w:rsidR="00D0048A">
        <w:rPr>
          <w:rFonts w:cs="Calibri Light"/>
          <w:color w:val="auto"/>
          <w:sz w:val="22"/>
          <w:szCs w:val="22"/>
        </w:rPr>
        <w:t>”</w:t>
      </w:r>
      <w:r w:rsidRPr="009357C7">
        <w:rPr>
          <w:rFonts w:cs="Calibri Light"/>
          <w:color w:val="auto"/>
          <w:sz w:val="22"/>
          <w:szCs w:val="22"/>
        </w:rPr>
        <w:t xml:space="preserve"> as they have an internal compressor for cooling rather than relying on an external compressor.</w:t>
      </w:r>
    </w:p>
    <w:p w14:paraId="728914BF" w14:textId="77777777" w:rsidR="00C97228" w:rsidRPr="00AB6C99" w:rsidRDefault="00C97228" w:rsidP="00AB6C99"/>
    <w:p w14:paraId="0FEDD2BC" w14:textId="77777777" w:rsidR="007D230B" w:rsidRPr="004B06E3" w:rsidRDefault="007D230B" w:rsidP="00420958">
      <w:pPr>
        <w:pStyle w:val="eTRMHeading3"/>
      </w:pPr>
      <w:bookmarkStart w:id="9" w:name="_Toc486490848"/>
      <w:bookmarkStart w:id="10" w:name="_Toc486580919"/>
      <w:bookmarkStart w:id="11" w:name="_Toc1120811"/>
      <w:r w:rsidRPr="004B06E3">
        <w:t>Measure Case Description</w:t>
      </w:r>
      <w:bookmarkEnd w:id="9"/>
      <w:bookmarkEnd w:id="10"/>
      <w:bookmarkEnd w:id="11"/>
    </w:p>
    <w:p w14:paraId="31BA26C7" w14:textId="3A2DB1EC" w:rsidR="00390EA0" w:rsidRDefault="00FF63E7" w:rsidP="00F627A4">
      <w:r>
        <w:t xml:space="preserve">The measure case </w:t>
      </w:r>
      <w:r w:rsidR="00F627A4">
        <w:t xml:space="preserve">is </w:t>
      </w:r>
      <w:r w:rsidR="0051640D">
        <w:t xml:space="preserve">defined as </w:t>
      </w:r>
      <w:r w:rsidR="00F627A4">
        <w:t xml:space="preserve">an ENERGY STAR®-qualified commercial reach-in refrigerator or freezer that replaces a standard efficiency unit of the same configuration and capacity. </w:t>
      </w:r>
      <w:r w:rsidR="00F25350">
        <w:t>Measure offerings are</w:t>
      </w:r>
      <w:r>
        <w:t xml:space="preserve"> </w:t>
      </w:r>
      <w:r w:rsidR="0028767F">
        <w:t>defined by configuration and internal volume</w:t>
      </w:r>
      <w:r w:rsidR="00B9406B">
        <w:t xml:space="preserve"> (V)</w:t>
      </w:r>
      <w:r w:rsidR="0028767F">
        <w:t xml:space="preserve">, as </w:t>
      </w:r>
      <w:r>
        <w:t>specified</w:t>
      </w:r>
      <w:r w:rsidR="00F627A4">
        <w:t xml:space="preserve"> in the </w:t>
      </w:r>
      <w:r w:rsidR="009F74EC" w:rsidRPr="00F627A4">
        <w:t>ENERGY STAR Commercial Refrigerators and Freezers Program Requirements</w:t>
      </w:r>
      <w:r w:rsidR="008C4160">
        <w:t xml:space="preserve"> </w:t>
      </w:r>
      <w:r w:rsidR="0051640D">
        <w:t>specified below</w:t>
      </w:r>
      <w:r w:rsidR="009F74EC" w:rsidRPr="00F627A4">
        <w:t>.</w:t>
      </w:r>
      <w:r w:rsidR="00B32420">
        <w:rPr>
          <w:rStyle w:val="FootnoteReference"/>
        </w:rPr>
        <w:footnoteReference w:id="1"/>
      </w:r>
    </w:p>
    <w:p w14:paraId="3FAD27FD" w14:textId="77777777" w:rsidR="002E18BF" w:rsidRDefault="002E18BF" w:rsidP="002E18BF">
      <w:pPr>
        <w:pStyle w:val="Caption"/>
        <w:keepNext w:val="0"/>
        <w:keepLines w:val="0"/>
      </w:pPr>
      <w:r w:rsidRPr="00574FC8">
        <w:t>Measure Case Specification – ENERGY STAR Requirements for Reach-In Refrigerators and Freezers (Version 4.0)</w:t>
      </w:r>
    </w:p>
    <w:tbl>
      <w:tblPr>
        <w:tblStyle w:val="TableGrid11"/>
        <w:tblW w:w="4056"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876"/>
        <w:gridCol w:w="3709"/>
      </w:tblGrid>
      <w:tr w:rsidR="002E18BF" w14:paraId="568AEDC3" w14:textId="77777777" w:rsidTr="00434A26">
        <w:trPr>
          <w:tblHeader/>
        </w:trPr>
        <w:tc>
          <w:tcPr>
            <w:tcW w:w="2555" w:type="pct"/>
            <w:shd w:val="clear" w:color="auto" w:fill="F2F2F2" w:themeFill="background1" w:themeFillShade="F2"/>
            <w:hideMark/>
          </w:tcPr>
          <w:p w14:paraId="2C84576D" w14:textId="65EF93C3" w:rsidR="002E18BF" w:rsidRPr="00574FC8" w:rsidRDefault="002E18BF" w:rsidP="002E18BF">
            <w:pPr>
              <w:spacing w:before="0" w:after="0" w:line="240" w:lineRule="auto"/>
              <w:rPr>
                <w:rFonts w:cs="Calibri Light"/>
                <w:b/>
                <w:bCs/>
                <w:sz w:val="20"/>
              </w:rPr>
            </w:pPr>
            <w:r w:rsidRPr="00574FC8">
              <w:rPr>
                <w:rFonts w:cs="Calibri Light"/>
                <w:b/>
                <w:bCs/>
                <w:sz w:val="20"/>
              </w:rPr>
              <w:t>Equipment Description (ft</w:t>
            </w:r>
            <w:r w:rsidRPr="00574FC8">
              <w:rPr>
                <w:rFonts w:cs="Calibri Light"/>
                <w:b/>
                <w:bCs/>
                <w:sz w:val="20"/>
                <w:vertAlign w:val="superscript"/>
              </w:rPr>
              <w:t>3</w:t>
            </w:r>
            <w:r w:rsidRPr="00574FC8">
              <w:rPr>
                <w:rFonts w:cs="Calibri Light"/>
                <w:b/>
                <w:bCs/>
                <w:sz w:val="20"/>
              </w:rPr>
              <w:t>)</w:t>
            </w:r>
          </w:p>
        </w:tc>
        <w:tc>
          <w:tcPr>
            <w:tcW w:w="2445" w:type="pct"/>
            <w:shd w:val="clear" w:color="auto" w:fill="F2F2F2" w:themeFill="background1" w:themeFillShade="F2"/>
            <w:hideMark/>
          </w:tcPr>
          <w:p w14:paraId="6C1AADD0" w14:textId="7B797F96" w:rsidR="002E18BF" w:rsidRPr="00574FC8" w:rsidRDefault="002E18BF" w:rsidP="002E18BF">
            <w:pPr>
              <w:spacing w:before="0" w:after="0" w:line="240" w:lineRule="auto"/>
              <w:rPr>
                <w:rFonts w:cs="Calibri Light"/>
                <w:b/>
                <w:sz w:val="20"/>
              </w:rPr>
            </w:pPr>
            <w:r w:rsidRPr="00574FC8">
              <w:rPr>
                <w:rFonts w:cs="Calibri Light"/>
                <w:b/>
                <w:bCs/>
                <w:sz w:val="20"/>
              </w:rPr>
              <w:t>Daily Energy Usage (kWh/day)</w:t>
            </w:r>
          </w:p>
        </w:tc>
      </w:tr>
      <w:tr w:rsidR="002E18BF" w14:paraId="4BA5452E" w14:textId="77777777" w:rsidTr="00434A26">
        <w:trPr>
          <w:trHeight w:val="243"/>
        </w:trPr>
        <w:tc>
          <w:tcPr>
            <w:tcW w:w="2555" w:type="pct"/>
            <w:hideMark/>
          </w:tcPr>
          <w:p w14:paraId="2AD02C94" w14:textId="77777777" w:rsidR="002E18BF" w:rsidRPr="00574FC8" w:rsidRDefault="002E18BF" w:rsidP="002E18BF">
            <w:pPr>
              <w:spacing w:before="0" w:after="0" w:line="240" w:lineRule="auto"/>
              <w:rPr>
                <w:rFonts w:cs="Calibri Light"/>
                <w:sz w:val="20"/>
              </w:rPr>
            </w:pPr>
            <w:r w:rsidRPr="00574FC8">
              <w:rPr>
                <w:rFonts w:cs="Calibri Light"/>
                <w:b/>
                <w:sz w:val="20"/>
              </w:rPr>
              <w:t>Solid-Door Reach-In Refrigerator (</w:t>
            </w:r>
            <w:r w:rsidRPr="00574FC8">
              <w:rPr>
                <w:rFonts w:cs="Calibri Light"/>
                <w:sz w:val="20"/>
              </w:rPr>
              <w:t>VCS.SC.M)</w:t>
            </w:r>
          </w:p>
        </w:tc>
        <w:tc>
          <w:tcPr>
            <w:tcW w:w="2445" w:type="pct"/>
          </w:tcPr>
          <w:p w14:paraId="0F4B0256" w14:textId="77777777" w:rsidR="002E18BF" w:rsidRPr="00574FC8" w:rsidRDefault="002E18BF" w:rsidP="002E18BF">
            <w:pPr>
              <w:spacing w:before="0" w:after="0" w:line="240" w:lineRule="auto"/>
              <w:rPr>
                <w:rFonts w:cs="Calibri Light"/>
                <w:sz w:val="20"/>
              </w:rPr>
            </w:pPr>
          </w:p>
        </w:tc>
      </w:tr>
      <w:tr w:rsidR="002E18BF" w14:paraId="23374FF8" w14:textId="77777777" w:rsidTr="00434A26">
        <w:trPr>
          <w:trHeight w:val="243"/>
        </w:trPr>
        <w:tc>
          <w:tcPr>
            <w:tcW w:w="2555" w:type="pct"/>
            <w:hideMark/>
          </w:tcPr>
          <w:p w14:paraId="1E5BC86F" w14:textId="77777777" w:rsidR="002E18BF" w:rsidRPr="00574FC8" w:rsidRDefault="002E18BF" w:rsidP="002E18BF">
            <w:pPr>
              <w:spacing w:before="0" w:after="0" w:line="240" w:lineRule="auto"/>
              <w:rPr>
                <w:rFonts w:cs="Calibri Light"/>
                <w:sz w:val="20"/>
              </w:rPr>
            </w:pPr>
            <w:r w:rsidRPr="00574FC8">
              <w:rPr>
                <w:rFonts w:cs="Calibri Light"/>
                <w:sz w:val="20"/>
              </w:rPr>
              <w:t>0 &lt; V &lt; 15</w:t>
            </w:r>
          </w:p>
        </w:tc>
        <w:tc>
          <w:tcPr>
            <w:tcW w:w="2445" w:type="pct"/>
            <w:hideMark/>
          </w:tcPr>
          <w:p w14:paraId="4225122E" w14:textId="77777777" w:rsidR="002E18BF" w:rsidRPr="00574FC8" w:rsidRDefault="002E18BF" w:rsidP="002E18BF">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0.022V* + 0.97</w:t>
            </w:r>
          </w:p>
        </w:tc>
      </w:tr>
      <w:tr w:rsidR="002E18BF" w14:paraId="65A9D26D" w14:textId="77777777" w:rsidTr="00434A26">
        <w:trPr>
          <w:trHeight w:val="243"/>
        </w:trPr>
        <w:tc>
          <w:tcPr>
            <w:tcW w:w="2555" w:type="pct"/>
            <w:hideMark/>
          </w:tcPr>
          <w:p w14:paraId="1C03AE18" w14:textId="77777777" w:rsidR="002E18BF" w:rsidRPr="00574FC8" w:rsidRDefault="002E18BF" w:rsidP="002E18BF">
            <w:pPr>
              <w:spacing w:before="0" w:after="0" w:line="240" w:lineRule="auto"/>
              <w:rPr>
                <w:rFonts w:cs="Calibri Light"/>
                <w:sz w:val="20"/>
              </w:rPr>
            </w:pPr>
            <w:r w:rsidRPr="00574FC8">
              <w:rPr>
                <w:rFonts w:cs="Calibri Light"/>
                <w:sz w:val="20"/>
              </w:rPr>
              <w:t xml:space="preserve">15 </w:t>
            </w:r>
            <w:r w:rsidRPr="00574FC8">
              <w:rPr>
                <w:rFonts w:cs="Calibri Light"/>
                <w:sz w:val="20"/>
              </w:rPr>
              <w:sym w:font="Symbol" w:char="F0A3"/>
            </w:r>
            <w:r w:rsidRPr="00574FC8">
              <w:rPr>
                <w:rFonts w:cs="Calibri Light"/>
                <w:sz w:val="20"/>
              </w:rPr>
              <w:t xml:space="preserve"> V &lt; 30</w:t>
            </w:r>
          </w:p>
        </w:tc>
        <w:tc>
          <w:tcPr>
            <w:tcW w:w="2445" w:type="pct"/>
            <w:hideMark/>
          </w:tcPr>
          <w:p w14:paraId="543A8FC1" w14:textId="77777777" w:rsidR="002E18BF" w:rsidRPr="00574FC8" w:rsidRDefault="002E18BF" w:rsidP="002E18BF">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0.066V + 0.31</w:t>
            </w:r>
          </w:p>
        </w:tc>
      </w:tr>
      <w:tr w:rsidR="002E18BF" w14:paraId="2D72FD4F" w14:textId="77777777" w:rsidTr="00434A26">
        <w:trPr>
          <w:trHeight w:val="243"/>
        </w:trPr>
        <w:tc>
          <w:tcPr>
            <w:tcW w:w="2555" w:type="pct"/>
            <w:hideMark/>
          </w:tcPr>
          <w:p w14:paraId="3EFA8E58" w14:textId="77777777" w:rsidR="002E18BF" w:rsidRPr="00574FC8" w:rsidRDefault="002E18BF" w:rsidP="002E18BF">
            <w:pPr>
              <w:spacing w:before="0" w:after="0" w:line="240" w:lineRule="auto"/>
              <w:rPr>
                <w:rFonts w:cs="Calibri Light"/>
                <w:sz w:val="20"/>
              </w:rPr>
            </w:pPr>
            <w:r w:rsidRPr="00574FC8">
              <w:rPr>
                <w:rFonts w:cs="Calibri Light"/>
                <w:sz w:val="20"/>
              </w:rPr>
              <w:t xml:space="preserve">30 </w:t>
            </w:r>
            <w:r w:rsidRPr="00574FC8">
              <w:rPr>
                <w:rFonts w:cs="Calibri Light"/>
                <w:sz w:val="20"/>
              </w:rPr>
              <w:sym w:font="Symbol" w:char="F0A3"/>
            </w:r>
            <w:r w:rsidRPr="00574FC8">
              <w:rPr>
                <w:rFonts w:cs="Calibri Light"/>
                <w:sz w:val="20"/>
              </w:rPr>
              <w:t xml:space="preserve"> V &lt; 50</w:t>
            </w:r>
          </w:p>
        </w:tc>
        <w:tc>
          <w:tcPr>
            <w:tcW w:w="2445" w:type="pct"/>
            <w:hideMark/>
          </w:tcPr>
          <w:p w14:paraId="2D338B47" w14:textId="77777777" w:rsidR="002E18BF" w:rsidRPr="00574FC8" w:rsidRDefault="002E18BF" w:rsidP="002E18BF">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0.04V + 1.09</w:t>
            </w:r>
          </w:p>
        </w:tc>
      </w:tr>
      <w:tr w:rsidR="002E18BF" w14:paraId="7DFF8C96" w14:textId="77777777" w:rsidTr="00434A26">
        <w:trPr>
          <w:trHeight w:val="243"/>
        </w:trPr>
        <w:tc>
          <w:tcPr>
            <w:tcW w:w="2555" w:type="pct"/>
            <w:hideMark/>
          </w:tcPr>
          <w:p w14:paraId="2F6C835C" w14:textId="77777777" w:rsidR="002E18BF" w:rsidRPr="00574FC8" w:rsidRDefault="002E18BF" w:rsidP="002E18BF">
            <w:pPr>
              <w:spacing w:before="0" w:after="0" w:line="240" w:lineRule="auto"/>
              <w:rPr>
                <w:rFonts w:cs="Calibri Light"/>
                <w:sz w:val="20"/>
              </w:rPr>
            </w:pPr>
            <w:r w:rsidRPr="00574FC8">
              <w:rPr>
                <w:rFonts w:cs="Calibri Light"/>
                <w:sz w:val="20"/>
              </w:rPr>
              <w:t xml:space="preserve">50 </w:t>
            </w:r>
            <w:r w:rsidRPr="00574FC8">
              <w:rPr>
                <w:rFonts w:cs="Calibri Light"/>
                <w:sz w:val="20"/>
              </w:rPr>
              <w:sym w:font="Symbol" w:char="F0A3"/>
            </w:r>
            <w:r w:rsidRPr="00574FC8">
              <w:rPr>
                <w:rFonts w:cs="Calibri Light"/>
                <w:sz w:val="20"/>
              </w:rPr>
              <w:t xml:space="preserve"> V</w:t>
            </w:r>
          </w:p>
        </w:tc>
        <w:tc>
          <w:tcPr>
            <w:tcW w:w="2445" w:type="pct"/>
            <w:hideMark/>
          </w:tcPr>
          <w:p w14:paraId="70F83B15" w14:textId="77777777" w:rsidR="002E18BF" w:rsidRPr="00574FC8" w:rsidRDefault="002E18BF" w:rsidP="002E18BF">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0.024V + 1.89</w:t>
            </w:r>
          </w:p>
        </w:tc>
      </w:tr>
      <w:tr w:rsidR="002E18BF" w14:paraId="237F5F38" w14:textId="77777777" w:rsidTr="00434A26">
        <w:trPr>
          <w:trHeight w:val="243"/>
        </w:trPr>
        <w:tc>
          <w:tcPr>
            <w:tcW w:w="2555" w:type="pct"/>
            <w:hideMark/>
          </w:tcPr>
          <w:p w14:paraId="4FC14F5A" w14:textId="77777777" w:rsidR="002E18BF" w:rsidRPr="00574FC8" w:rsidRDefault="002E18BF" w:rsidP="002E18BF">
            <w:pPr>
              <w:spacing w:before="0" w:after="0" w:line="240" w:lineRule="auto"/>
              <w:rPr>
                <w:rFonts w:cs="Calibri Light"/>
                <w:sz w:val="20"/>
              </w:rPr>
            </w:pPr>
            <w:r w:rsidRPr="00574FC8">
              <w:rPr>
                <w:rFonts w:cs="Calibri Light"/>
                <w:b/>
                <w:sz w:val="20"/>
              </w:rPr>
              <w:t>Solid-Door Reach-In Freezer (</w:t>
            </w:r>
            <w:r w:rsidRPr="00574FC8">
              <w:rPr>
                <w:rFonts w:cs="Calibri Light"/>
                <w:sz w:val="20"/>
              </w:rPr>
              <w:t>VCS.SC.L)</w:t>
            </w:r>
          </w:p>
        </w:tc>
        <w:tc>
          <w:tcPr>
            <w:tcW w:w="2445" w:type="pct"/>
          </w:tcPr>
          <w:p w14:paraId="460E0916" w14:textId="77777777" w:rsidR="002E18BF" w:rsidRPr="00574FC8" w:rsidRDefault="002E18BF" w:rsidP="002E18BF">
            <w:pPr>
              <w:spacing w:before="0" w:after="0" w:line="240" w:lineRule="auto"/>
              <w:rPr>
                <w:rFonts w:cs="Calibri Light"/>
                <w:sz w:val="20"/>
              </w:rPr>
            </w:pPr>
          </w:p>
        </w:tc>
      </w:tr>
      <w:tr w:rsidR="002E18BF" w14:paraId="1D7B2A55" w14:textId="77777777" w:rsidTr="00434A26">
        <w:trPr>
          <w:trHeight w:val="243"/>
        </w:trPr>
        <w:tc>
          <w:tcPr>
            <w:tcW w:w="2555" w:type="pct"/>
            <w:hideMark/>
          </w:tcPr>
          <w:p w14:paraId="6874B318" w14:textId="77777777" w:rsidR="002E18BF" w:rsidRPr="00574FC8" w:rsidRDefault="002E18BF" w:rsidP="002E18BF">
            <w:pPr>
              <w:spacing w:before="0" w:after="0" w:line="240" w:lineRule="auto"/>
              <w:rPr>
                <w:rFonts w:cs="Calibri Light"/>
                <w:sz w:val="20"/>
              </w:rPr>
            </w:pPr>
            <w:r w:rsidRPr="00574FC8">
              <w:rPr>
                <w:rFonts w:cs="Calibri Light"/>
                <w:sz w:val="20"/>
              </w:rPr>
              <w:t>0 &lt; V &lt; 15</w:t>
            </w:r>
          </w:p>
        </w:tc>
        <w:tc>
          <w:tcPr>
            <w:tcW w:w="2445" w:type="pct"/>
            <w:hideMark/>
          </w:tcPr>
          <w:p w14:paraId="6007920F" w14:textId="77777777" w:rsidR="002E18BF" w:rsidRPr="00574FC8" w:rsidRDefault="002E18BF" w:rsidP="002E18BF">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0.21V + 0.9</w:t>
            </w:r>
          </w:p>
        </w:tc>
      </w:tr>
      <w:tr w:rsidR="002E18BF" w14:paraId="612A2F1B" w14:textId="77777777" w:rsidTr="00434A26">
        <w:trPr>
          <w:trHeight w:val="243"/>
        </w:trPr>
        <w:tc>
          <w:tcPr>
            <w:tcW w:w="2555" w:type="pct"/>
            <w:hideMark/>
          </w:tcPr>
          <w:p w14:paraId="1913D367" w14:textId="77777777" w:rsidR="002E18BF" w:rsidRPr="00574FC8" w:rsidRDefault="002E18BF" w:rsidP="002E18BF">
            <w:pPr>
              <w:spacing w:before="0" w:after="0" w:line="240" w:lineRule="auto"/>
              <w:rPr>
                <w:rFonts w:cs="Calibri Light"/>
                <w:sz w:val="20"/>
              </w:rPr>
            </w:pPr>
            <w:r w:rsidRPr="00574FC8">
              <w:rPr>
                <w:rFonts w:cs="Calibri Light"/>
                <w:sz w:val="20"/>
              </w:rPr>
              <w:t xml:space="preserve">15 </w:t>
            </w:r>
            <w:r w:rsidRPr="00574FC8">
              <w:rPr>
                <w:rFonts w:cs="Calibri Light"/>
                <w:sz w:val="20"/>
              </w:rPr>
              <w:sym w:font="Symbol" w:char="F0A3"/>
            </w:r>
            <w:r w:rsidRPr="00574FC8">
              <w:rPr>
                <w:rFonts w:cs="Calibri Light"/>
                <w:sz w:val="20"/>
              </w:rPr>
              <w:t xml:space="preserve"> V &lt; 30</w:t>
            </w:r>
          </w:p>
        </w:tc>
        <w:tc>
          <w:tcPr>
            <w:tcW w:w="2445" w:type="pct"/>
            <w:hideMark/>
          </w:tcPr>
          <w:p w14:paraId="28A1C5B3" w14:textId="77777777" w:rsidR="002E18BF" w:rsidRPr="00574FC8" w:rsidRDefault="002E18BF" w:rsidP="002E18BF">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0.12V + 2.248</w:t>
            </w:r>
          </w:p>
        </w:tc>
      </w:tr>
      <w:tr w:rsidR="002E18BF" w14:paraId="189628FE" w14:textId="77777777" w:rsidTr="00434A26">
        <w:trPr>
          <w:trHeight w:val="243"/>
        </w:trPr>
        <w:tc>
          <w:tcPr>
            <w:tcW w:w="2555" w:type="pct"/>
            <w:hideMark/>
          </w:tcPr>
          <w:p w14:paraId="2A5DF8CD" w14:textId="77777777" w:rsidR="002E18BF" w:rsidRPr="00574FC8" w:rsidRDefault="002E18BF" w:rsidP="002E18BF">
            <w:pPr>
              <w:spacing w:before="0" w:after="0" w:line="240" w:lineRule="auto"/>
              <w:rPr>
                <w:rFonts w:cs="Calibri Light"/>
                <w:sz w:val="20"/>
              </w:rPr>
            </w:pPr>
            <w:r w:rsidRPr="00574FC8">
              <w:rPr>
                <w:rFonts w:cs="Calibri Light"/>
                <w:sz w:val="20"/>
              </w:rPr>
              <w:t xml:space="preserve">30 </w:t>
            </w:r>
            <w:r w:rsidRPr="00574FC8">
              <w:rPr>
                <w:rFonts w:cs="Calibri Light"/>
                <w:sz w:val="20"/>
              </w:rPr>
              <w:sym w:font="Symbol" w:char="F0A3"/>
            </w:r>
            <w:r w:rsidRPr="00574FC8">
              <w:rPr>
                <w:rFonts w:cs="Calibri Light"/>
                <w:sz w:val="20"/>
              </w:rPr>
              <w:t xml:space="preserve"> V &lt; 50</w:t>
            </w:r>
          </w:p>
        </w:tc>
        <w:tc>
          <w:tcPr>
            <w:tcW w:w="2445" w:type="pct"/>
            <w:hideMark/>
          </w:tcPr>
          <w:p w14:paraId="721E89B7" w14:textId="77777777" w:rsidR="002E18BF" w:rsidRPr="00574FC8" w:rsidRDefault="002E18BF" w:rsidP="002E18BF">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0.285V – 2.703</w:t>
            </w:r>
          </w:p>
        </w:tc>
      </w:tr>
      <w:tr w:rsidR="002E18BF" w14:paraId="3EDBFE63" w14:textId="77777777" w:rsidTr="00434A26">
        <w:trPr>
          <w:trHeight w:val="243"/>
        </w:trPr>
        <w:tc>
          <w:tcPr>
            <w:tcW w:w="2555" w:type="pct"/>
            <w:hideMark/>
          </w:tcPr>
          <w:p w14:paraId="53AF6752" w14:textId="77777777" w:rsidR="002E18BF" w:rsidRPr="00574FC8" w:rsidRDefault="002E18BF" w:rsidP="002E18BF">
            <w:pPr>
              <w:spacing w:before="0" w:after="0" w:line="240" w:lineRule="auto"/>
              <w:rPr>
                <w:rFonts w:cs="Calibri Light"/>
                <w:sz w:val="20"/>
              </w:rPr>
            </w:pPr>
            <w:r w:rsidRPr="00574FC8">
              <w:rPr>
                <w:rFonts w:cs="Calibri Light"/>
                <w:sz w:val="20"/>
              </w:rPr>
              <w:t xml:space="preserve">50 </w:t>
            </w:r>
            <w:r w:rsidRPr="00574FC8">
              <w:rPr>
                <w:rFonts w:cs="Calibri Light"/>
                <w:sz w:val="20"/>
              </w:rPr>
              <w:sym w:font="Symbol" w:char="F0A3"/>
            </w:r>
            <w:r w:rsidRPr="00574FC8">
              <w:rPr>
                <w:rFonts w:cs="Calibri Light"/>
                <w:sz w:val="20"/>
              </w:rPr>
              <w:t xml:space="preserve"> V</w:t>
            </w:r>
          </w:p>
        </w:tc>
        <w:tc>
          <w:tcPr>
            <w:tcW w:w="2445" w:type="pct"/>
            <w:hideMark/>
          </w:tcPr>
          <w:p w14:paraId="0B1BA6D5" w14:textId="77777777" w:rsidR="002E18BF" w:rsidRPr="00574FC8" w:rsidRDefault="002E18BF" w:rsidP="002E18BF">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0.142V + 4.445</w:t>
            </w:r>
          </w:p>
        </w:tc>
      </w:tr>
      <w:tr w:rsidR="002E18BF" w14:paraId="61C64353" w14:textId="77777777" w:rsidTr="00434A26">
        <w:trPr>
          <w:trHeight w:val="243"/>
        </w:trPr>
        <w:tc>
          <w:tcPr>
            <w:tcW w:w="2555" w:type="pct"/>
            <w:hideMark/>
          </w:tcPr>
          <w:p w14:paraId="18BB00F9" w14:textId="77777777" w:rsidR="002E18BF" w:rsidRPr="00574FC8" w:rsidRDefault="002E18BF" w:rsidP="002E18BF">
            <w:pPr>
              <w:spacing w:before="0" w:after="0" w:line="240" w:lineRule="auto"/>
              <w:rPr>
                <w:rFonts w:cs="Calibri Light"/>
                <w:sz w:val="20"/>
              </w:rPr>
            </w:pPr>
            <w:r w:rsidRPr="00574FC8">
              <w:rPr>
                <w:rFonts w:cs="Calibri Light"/>
                <w:b/>
                <w:sz w:val="20"/>
              </w:rPr>
              <w:t>Glass-Door Reach-In Refrigerator (</w:t>
            </w:r>
            <w:r w:rsidRPr="00574FC8">
              <w:rPr>
                <w:rFonts w:cs="Calibri Light"/>
                <w:sz w:val="20"/>
              </w:rPr>
              <w:t>VCT.SC.M)</w:t>
            </w:r>
          </w:p>
        </w:tc>
        <w:tc>
          <w:tcPr>
            <w:tcW w:w="2445" w:type="pct"/>
          </w:tcPr>
          <w:p w14:paraId="5920FE3D" w14:textId="77777777" w:rsidR="002E18BF" w:rsidRPr="00574FC8" w:rsidRDefault="002E18BF" w:rsidP="002E18BF">
            <w:pPr>
              <w:spacing w:before="0" w:after="0" w:line="240" w:lineRule="auto"/>
              <w:rPr>
                <w:rFonts w:cs="Calibri Light"/>
                <w:sz w:val="20"/>
              </w:rPr>
            </w:pPr>
          </w:p>
        </w:tc>
      </w:tr>
      <w:tr w:rsidR="002E18BF" w14:paraId="127DBDC7" w14:textId="77777777" w:rsidTr="00434A26">
        <w:trPr>
          <w:trHeight w:val="243"/>
        </w:trPr>
        <w:tc>
          <w:tcPr>
            <w:tcW w:w="2555" w:type="pct"/>
            <w:hideMark/>
          </w:tcPr>
          <w:p w14:paraId="0E11A6D7" w14:textId="77777777" w:rsidR="002E18BF" w:rsidRPr="00574FC8" w:rsidRDefault="002E18BF" w:rsidP="002E18BF">
            <w:pPr>
              <w:spacing w:before="0" w:after="0" w:line="240" w:lineRule="auto"/>
              <w:rPr>
                <w:rFonts w:cs="Calibri Light"/>
                <w:sz w:val="20"/>
              </w:rPr>
            </w:pPr>
            <w:r w:rsidRPr="00574FC8">
              <w:rPr>
                <w:rFonts w:cs="Calibri Light"/>
                <w:sz w:val="20"/>
              </w:rPr>
              <w:t>0 &lt; V &lt; 15</w:t>
            </w:r>
          </w:p>
        </w:tc>
        <w:tc>
          <w:tcPr>
            <w:tcW w:w="2445" w:type="pct"/>
            <w:hideMark/>
          </w:tcPr>
          <w:p w14:paraId="563A37DB" w14:textId="77777777" w:rsidR="002E18BF" w:rsidRPr="00574FC8" w:rsidRDefault="002E18BF" w:rsidP="002E18BF">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0.095V + 0.445</w:t>
            </w:r>
          </w:p>
        </w:tc>
      </w:tr>
      <w:tr w:rsidR="002E18BF" w14:paraId="4FB4EAEE" w14:textId="77777777" w:rsidTr="00434A26">
        <w:trPr>
          <w:trHeight w:val="243"/>
        </w:trPr>
        <w:tc>
          <w:tcPr>
            <w:tcW w:w="2555" w:type="pct"/>
            <w:hideMark/>
          </w:tcPr>
          <w:p w14:paraId="7CE64060" w14:textId="77777777" w:rsidR="002E18BF" w:rsidRPr="00574FC8" w:rsidRDefault="002E18BF" w:rsidP="002E18BF">
            <w:pPr>
              <w:spacing w:before="0" w:after="0" w:line="240" w:lineRule="auto"/>
              <w:rPr>
                <w:rFonts w:cs="Calibri Light"/>
                <w:sz w:val="20"/>
              </w:rPr>
            </w:pPr>
            <w:r w:rsidRPr="00574FC8">
              <w:rPr>
                <w:rFonts w:cs="Calibri Light"/>
                <w:sz w:val="20"/>
              </w:rPr>
              <w:t xml:space="preserve">15 </w:t>
            </w:r>
            <w:r w:rsidRPr="00574FC8">
              <w:rPr>
                <w:rFonts w:cs="Calibri Light"/>
                <w:sz w:val="20"/>
              </w:rPr>
              <w:sym w:font="Symbol" w:char="F0A3"/>
            </w:r>
            <w:r w:rsidRPr="00574FC8">
              <w:rPr>
                <w:rFonts w:cs="Calibri Light"/>
                <w:sz w:val="20"/>
              </w:rPr>
              <w:t xml:space="preserve"> V &lt; 30</w:t>
            </w:r>
          </w:p>
        </w:tc>
        <w:tc>
          <w:tcPr>
            <w:tcW w:w="2445" w:type="pct"/>
            <w:hideMark/>
          </w:tcPr>
          <w:p w14:paraId="28408ED9" w14:textId="77777777" w:rsidR="002E18BF" w:rsidRPr="00574FC8" w:rsidRDefault="002E18BF" w:rsidP="002E18BF">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0.05V + 1.12</w:t>
            </w:r>
          </w:p>
        </w:tc>
      </w:tr>
      <w:tr w:rsidR="002E18BF" w14:paraId="50DFA899" w14:textId="77777777" w:rsidTr="00434A26">
        <w:trPr>
          <w:trHeight w:val="243"/>
        </w:trPr>
        <w:tc>
          <w:tcPr>
            <w:tcW w:w="2555" w:type="pct"/>
            <w:hideMark/>
          </w:tcPr>
          <w:p w14:paraId="6AA58CF7" w14:textId="77777777" w:rsidR="002E18BF" w:rsidRPr="00574FC8" w:rsidRDefault="002E18BF" w:rsidP="002E18BF">
            <w:pPr>
              <w:spacing w:before="0" w:after="0" w:line="240" w:lineRule="auto"/>
              <w:rPr>
                <w:rFonts w:cs="Calibri Light"/>
                <w:sz w:val="20"/>
              </w:rPr>
            </w:pPr>
            <w:r w:rsidRPr="00574FC8">
              <w:rPr>
                <w:rFonts w:cs="Calibri Light"/>
                <w:sz w:val="20"/>
              </w:rPr>
              <w:lastRenderedPageBreak/>
              <w:t xml:space="preserve">30 </w:t>
            </w:r>
            <w:r w:rsidRPr="00574FC8">
              <w:rPr>
                <w:rFonts w:cs="Calibri Light"/>
                <w:sz w:val="20"/>
              </w:rPr>
              <w:sym w:font="Symbol" w:char="F0A3"/>
            </w:r>
            <w:r w:rsidRPr="00574FC8">
              <w:rPr>
                <w:rFonts w:cs="Calibri Light"/>
                <w:sz w:val="20"/>
              </w:rPr>
              <w:t xml:space="preserve"> V &lt; 50</w:t>
            </w:r>
          </w:p>
        </w:tc>
        <w:tc>
          <w:tcPr>
            <w:tcW w:w="2445" w:type="pct"/>
            <w:hideMark/>
          </w:tcPr>
          <w:p w14:paraId="6C1DDE22" w14:textId="77777777" w:rsidR="002E18BF" w:rsidRPr="00574FC8" w:rsidRDefault="002E18BF" w:rsidP="002E18BF">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0.076V + 0.34</w:t>
            </w:r>
          </w:p>
        </w:tc>
      </w:tr>
      <w:tr w:rsidR="002E18BF" w14:paraId="04A9ECC0" w14:textId="77777777" w:rsidTr="00434A26">
        <w:trPr>
          <w:trHeight w:val="243"/>
        </w:trPr>
        <w:tc>
          <w:tcPr>
            <w:tcW w:w="2555" w:type="pct"/>
            <w:hideMark/>
          </w:tcPr>
          <w:p w14:paraId="2F53E54D" w14:textId="77777777" w:rsidR="002E18BF" w:rsidRPr="00574FC8" w:rsidRDefault="002E18BF" w:rsidP="002E18BF">
            <w:pPr>
              <w:spacing w:before="0" w:after="0" w:line="240" w:lineRule="auto"/>
              <w:rPr>
                <w:rFonts w:cs="Calibri Light"/>
                <w:sz w:val="20"/>
              </w:rPr>
            </w:pPr>
            <w:r w:rsidRPr="00574FC8">
              <w:rPr>
                <w:rFonts w:cs="Calibri Light"/>
                <w:sz w:val="20"/>
              </w:rPr>
              <w:t xml:space="preserve">50 </w:t>
            </w:r>
            <w:r w:rsidRPr="00574FC8">
              <w:rPr>
                <w:rFonts w:cs="Calibri Light"/>
                <w:sz w:val="20"/>
              </w:rPr>
              <w:sym w:font="Symbol" w:char="F0A3"/>
            </w:r>
            <w:r w:rsidRPr="00574FC8">
              <w:rPr>
                <w:rFonts w:cs="Calibri Light"/>
                <w:sz w:val="20"/>
              </w:rPr>
              <w:t xml:space="preserve"> V</w:t>
            </w:r>
          </w:p>
        </w:tc>
        <w:tc>
          <w:tcPr>
            <w:tcW w:w="2445" w:type="pct"/>
            <w:hideMark/>
          </w:tcPr>
          <w:p w14:paraId="40908E25" w14:textId="77777777" w:rsidR="002E18BF" w:rsidRPr="00574FC8" w:rsidRDefault="002E18BF" w:rsidP="002E18BF">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0.105V - 1.111</w:t>
            </w:r>
          </w:p>
        </w:tc>
      </w:tr>
      <w:tr w:rsidR="002E18BF" w14:paraId="36529CAC" w14:textId="77777777" w:rsidTr="00434A26">
        <w:trPr>
          <w:trHeight w:val="243"/>
        </w:trPr>
        <w:tc>
          <w:tcPr>
            <w:tcW w:w="2555" w:type="pct"/>
            <w:hideMark/>
          </w:tcPr>
          <w:p w14:paraId="05EC23EC" w14:textId="77777777" w:rsidR="002E18BF" w:rsidRPr="00574FC8" w:rsidRDefault="002E18BF" w:rsidP="002E18BF">
            <w:pPr>
              <w:spacing w:before="0" w:after="0" w:line="240" w:lineRule="auto"/>
              <w:rPr>
                <w:rFonts w:cs="Calibri Light"/>
                <w:sz w:val="20"/>
              </w:rPr>
            </w:pPr>
            <w:r w:rsidRPr="00574FC8">
              <w:rPr>
                <w:rFonts w:cs="Calibri Light"/>
                <w:b/>
                <w:sz w:val="20"/>
              </w:rPr>
              <w:t>Glass-Door Reach-In Freezer (</w:t>
            </w:r>
            <w:r w:rsidRPr="00574FC8">
              <w:rPr>
                <w:rFonts w:cs="Calibri Light"/>
                <w:sz w:val="20"/>
              </w:rPr>
              <w:t>VCT.SC.L)</w:t>
            </w:r>
          </w:p>
        </w:tc>
        <w:tc>
          <w:tcPr>
            <w:tcW w:w="2445" w:type="pct"/>
          </w:tcPr>
          <w:p w14:paraId="4F2AC19E" w14:textId="77777777" w:rsidR="002E18BF" w:rsidRPr="00574FC8" w:rsidRDefault="002E18BF" w:rsidP="002E18BF">
            <w:pPr>
              <w:spacing w:before="0" w:after="0" w:line="240" w:lineRule="auto"/>
              <w:rPr>
                <w:rFonts w:cs="Calibri Light"/>
                <w:sz w:val="20"/>
              </w:rPr>
            </w:pPr>
          </w:p>
        </w:tc>
      </w:tr>
      <w:tr w:rsidR="002E18BF" w14:paraId="6345744F" w14:textId="77777777" w:rsidTr="00434A26">
        <w:trPr>
          <w:trHeight w:val="243"/>
        </w:trPr>
        <w:tc>
          <w:tcPr>
            <w:tcW w:w="2555" w:type="pct"/>
            <w:hideMark/>
          </w:tcPr>
          <w:p w14:paraId="1A5136E6" w14:textId="77777777" w:rsidR="002E18BF" w:rsidRPr="00574FC8" w:rsidRDefault="002E18BF" w:rsidP="002E18BF">
            <w:pPr>
              <w:spacing w:before="0" w:after="0" w:line="240" w:lineRule="auto"/>
              <w:rPr>
                <w:rFonts w:cs="Calibri Light"/>
                <w:sz w:val="20"/>
              </w:rPr>
            </w:pPr>
            <w:r w:rsidRPr="00574FC8">
              <w:rPr>
                <w:rFonts w:cs="Calibri Light"/>
                <w:sz w:val="20"/>
              </w:rPr>
              <w:t>0 &lt; V &lt; 15</w:t>
            </w:r>
          </w:p>
        </w:tc>
        <w:tc>
          <w:tcPr>
            <w:tcW w:w="2445" w:type="pct"/>
            <w:vMerge w:val="restart"/>
            <w:vAlign w:val="center"/>
            <w:hideMark/>
          </w:tcPr>
          <w:p w14:paraId="38B3C2D0" w14:textId="77777777" w:rsidR="002E18BF" w:rsidRPr="00574FC8" w:rsidRDefault="002E18BF" w:rsidP="002E18BF">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0.232V + 2.36</w:t>
            </w:r>
          </w:p>
        </w:tc>
      </w:tr>
      <w:tr w:rsidR="002E18BF" w14:paraId="7FD7D2AC" w14:textId="77777777" w:rsidTr="00434A26">
        <w:trPr>
          <w:trHeight w:val="243"/>
        </w:trPr>
        <w:tc>
          <w:tcPr>
            <w:tcW w:w="2555" w:type="pct"/>
            <w:hideMark/>
          </w:tcPr>
          <w:p w14:paraId="7A8BF73A" w14:textId="77777777" w:rsidR="002E18BF" w:rsidRPr="00574FC8" w:rsidRDefault="002E18BF" w:rsidP="002E18BF">
            <w:pPr>
              <w:spacing w:before="0" w:after="0" w:line="240" w:lineRule="auto"/>
              <w:rPr>
                <w:rFonts w:cs="Calibri Light"/>
                <w:sz w:val="20"/>
              </w:rPr>
            </w:pPr>
            <w:r w:rsidRPr="00574FC8">
              <w:rPr>
                <w:rFonts w:cs="Calibri Light"/>
                <w:sz w:val="20"/>
              </w:rPr>
              <w:t xml:space="preserve">15 </w:t>
            </w:r>
            <w:r w:rsidRPr="00574FC8">
              <w:rPr>
                <w:rFonts w:cs="Calibri Light"/>
                <w:sz w:val="20"/>
              </w:rPr>
              <w:sym w:font="Symbol" w:char="F0A3"/>
            </w:r>
            <w:r w:rsidRPr="00574FC8">
              <w:rPr>
                <w:rFonts w:cs="Calibri Light"/>
                <w:sz w:val="20"/>
              </w:rPr>
              <w:t xml:space="preserve"> V &lt; 30</w:t>
            </w:r>
          </w:p>
        </w:tc>
        <w:tc>
          <w:tcPr>
            <w:tcW w:w="0" w:type="auto"/>
            <w:vMerge/>
            <w:vAlign w:val="center"/>
            <w:hideMark/>
          </w:tcPr>
          <w:p w14:paraId="669867ED" w14:textId="77777777" w:rsidR="002E18BF" w:rsidRPr="00574FC8" w:rsidRDefault="002E18BF" w:rsidP="002E18BF">
            <w:pPr>
              <w:spacing w:before="0" w:after="0" w:line="240" w:lineRule="auto"/>
              <w:rPr>
                <w:rFonts w:cs="Calibri Light"/>
                <w:sz w:val="20"/>
              </w:rPr>
            </w:pPr>
          </w:p>
        </w:tc>
      </w:tr>
      <w:tr w:rsidR="002E18BF" w14:paraId="74F062A5" w14:textId="77777777" w:rsidTr="00434A26">
        <w:trPr>
          <w:trHeight w:val="243"/>
        </w:trPr>
        <w:tc>
          <w:tcPr>
            <w:tcW w:w="2555" w:type="pct"/>
            <w:hideMark/>
          </w:tcPr>
          <w:p w14:paraId="15BA200D" w14:textId="77777777" w:rsidR="002E18BF" w:rsidRPr="00574FC8" w:rsidRDefault="002E18BF" w:rsidP="002E18BF">
            <w:pPr>
              <w:spacing w:before="0" w:after="0" w:line="240" w:lineRule="auto"/>
              <w:rPr>
                <w:rFonts w:cs="Calibri Light"/>
                <w:sz w:val="20"/>
              </w:rPr>
            </w:pPr>
            <w:r w:rsidRPr="00574FC8">
              <w:rPr>
                <w:rFonts w:cs="Calibri Light"/>
                <w:sz w:val="20"/>
              </w:rPr>
              <w:t xml:space="preserve">30 </w:t>
            </w:r>
            <w:r w:rsidRPr="00574FC8">
              <w:rPr>
                <w:rFonts w:cs="Calibri Light"/>
                <w:sz w:val="20"/>
              </w:rPr>
              <w:sym w:font="Symbol" w:char="F0A3"/>
            </w:r>
            <w:r w:rsidRPr="00574FC8">
              <w:rPr>
                <w:rFonts w:cs="Calibri Light"/>
                <w:sz w:val="20"/>
              </w:rPr>
              <w:t xml:space="preserve"> V &lt; 50</w:t>
            </w:r>
          </w:p>
        </w:tc>
        <w:tc>
          <w:tcPr>
            <w:tcW w:w="0" w:type="auto"/>
            <w:vMerge/>
            <w:vAlign w:val="center"/>
            <w:hideMark/>
          </w:tcPr>
          <w:p w14:paraId="206C471A" w14:textId="77777777" w:rsidR="002E18BF" w:rsidRPr="00574FC8" w:rsidRDefault="002E18BF" w:rsidP="002E18BF">
            <w:pPr>
              <w:spacing w:before="0" w:after="0" w:line="240" w:lineRule="auto"/>
              <w:rPr>
                <w:rFonts w:cs="Calibri Light"/>
                <w:sz w:val="20"/>
              </w:rPr>
            </w:pPr>
          </w:p>
        </w:tc>
      </w:tr>
      <w:tr w:rsidR="002E18BF" w14:paraId="20651BA3" w14:textId="77777777" w:rsidTr="00434A26">
        <w:trPr>
          <w:trHeight w:val="243"/>
        </w:trPr>
        <w:tc>
          <w:tcPr>
            <w:tcW w:w="2555" w:type="pct"/>
            <w:hideMark/>
          </w:tcPr>
          <w:p w14:paraId="4505489B" w14:textId="77777777" w:rsidR="002E18BF" w:rsidRPr="00574FC8" w:rsidRDefault="002E18BF" w:rsidP="002E18BF">
            <w:pPr>
              <w:spacing w:before="0" w:after="0" w:line="240" w:lineRule="auto"/>
              <w:rPr>
                <w:rFonts w:cs="Calibri Light"/>
                <w:sz w:val="20"/>
              </w:rPr>
            </w:pPr>
            <w:r w:rsidRPr="00574FC8">
              <w:rPr>
                <w:rFonts w:cs="Calibri Light"/>
                <w:sz w:val="20"/>
              </w:rPr>
              <w:t xml:space="preserve">50 </w:t>
            </w:r>
            <w:r w:rsidRPr="00574FC8">
              <w:rPr>
                <w:rFonts w:cs="Calibri Light"/>
                <w:sz w:val="20"/>
              </w:rPr>
              <w:sym w:font="Symbol" w:char="F0A3"/>
            </w:r>
            <w:r w:rsidRPr="00574FC8">
              <w:rPr>
                <w:rFonts w:cs="Calibri Light"/>
                <w:sz w:val="20"/>
              </w:rPr>
              <w:t xml:space="preserve"> V</w:t>
            </w:r>
          </w:p>
        </w:tc>
        <w:tc>
          <w:tcPr>
            <w:tcW w:w="0" w:type="auto"/>
            <w:vMerge/>
            <w:vAlign w:val="center"/>
            <w:hideMark/>
          </w:tcPr>
          <w:p w14:paraId="76BF351A" w14:textId="77777777" w:rsidR="002E18BF" w:rsidRPr="00574FC8" w:rsidRDefault="002E18BF" w:rsidP="002E18BF">
            <w:pPr>
              <w:spacing w:before="0" w:after="0" w:line="240" w:lineRule="auto"/>
              <w:rPr>
                <w:rFonts w:cs="Calibri Light"/>
                <w:sz w:val="20"/>
              </w:rPr>
            </w:pPr>
          </w:p>
        </w:tc>
      </w:tr>
    </w:tbl>
    <w:p w14:paraId="61E1F2FC" w14:textId="6F6D2DA0" w:rsidR="002E18BF" w:rsidRDefault="002E18BF" w:rsidP="00574FC8">
      <w:pPr>
        <w:pStyle w:val="eTRMTableFootnote"/>
        <w:rPr>
          <w:rFonts w:eastAsia="Times New Roman"/>
        </w:rPr>
      </w:pPr>
      <w:r>
        <w:t>V = internal volume in cubic feet.</w:t>
      </w:r>
    </w:p>
    <w:p w14:paraId="3E5D92B2" w14:textId="77777777" w:rsidR="00B9406B" w:rsidRPr="004B06E3" w:rsidRDefault="00B9406B" w:rsidP="00DE339F"/>
    <w:p w14:paraId="25A0D494" w14:textId="77777777" w:rsidR="00E70CBD" w:rsidRPr="00171BB8" w:rsidRDefault="00E70CBD" w:rsidP="00420958">
      <w:pPr>
        <w:pStyle w:val="eTRMHeading3"/>
      </w:pPr>
      <w:bookmarkStart w:id="12" w:name="_Toc486490849"/>
      <w:bookmarkStart w:id="13" w:name="_Toc486580920"/>
      <w:bookmarkStart w:id="14" w:name="_Toc1120812"/>
      <w:r w:rsidRPr="004B06E3">
        <w:t>Base Case Description</w:t>
      </w:r>
      <w:bookmarkEnd w:id="12"/>
      <w:bookmarkEnd w:id="13"/>
      <w:bookmarkEnd w:id="14"/>
      <w:r w:rsidRPr="00171BB8">
        <w:t xml:space="preserve"> </w:t>
      </w:r>
    </w:p>
    <w:p w14:paraId="19F1F62E" w14:textId="6CFDFE3F" w:rsidR="00C97228" w:rsidRDefault="00B46A8B" w:rsidP="00C97228">
      <w:pPr>
        <w:rPr>
          <w:rFonts w:cs="Calibri Light"/>
          <w:szCs w:val="22"/>
        </w:rPr>
      </w:pPr>
      <w:r w:rsidRPr="00B46A8B">
        <w:rPr>
          <w:rFonts w:cs="Calibri Light"/>
          <w:szCs w:val="22"/>
        </w:rPr>
        <w:t xml:space="preserve">The base case </w:t>
      </w:r>
      <w:r w:rsidR="008C3753">
        <w:rPr>
          <w:rFonts w:cs="Calibri Light"/>
          <w:szCs w:val="22"/>
        </w:rPr>
        <w:t>measure</w:t>
      </w:r>
      <w:r w:rsidRPr="00B46A8B">
        <w:rPr>
          <w:rFonts w:cs="Calibri Light"/>
          <w:szCs w:val="22"/>
        </w:rPr>
        <w:t xml:space="preserve"> includes </w:t>
      </w:r>
      <w:r w:rsidR="004D6F5B">
        <w:rPr>
          <w:rFonts w:cs="Calibri Light"/>
          <w:szCs w:val="22"/>
        </w:rPr>
        <w:t>standard-</w:t>
      </w:r>
      <w:r w:rsidR="00E642DE">
        <w:rPr>
          <w:rFonts w:cs="Calibri Light"/>
          <w:szCs w:val="22"/>
        </w:rPr>
        <w:t>efficiency</w:t>
      </w:r>
      <w:r w:rsidR="008C3753">
        <w:rPr>
          <w:rFonts w:cs="Calibri Light"/>
          <w:szCs w:val="22"/>
        </w:rPr>
        <w:t>,</w:t>
      </w:r>
      <w:r w:rsidR="00E642DE">
        <w:rPr>
          <w:rFonts w:cs="Calibri Light"/>
          <w:szCs w:val="22"/>
        </w:rPr>
        <w:t xml:space="preserve"> </w:t>
      </w:r>
      <w:r w:rsidRPr="00B46A8B">
        <w:rPr>
          <w:rFonts w:cs="Calibri Light"/>
          <w:szCs w:val="22"/>
        </w:rPr>
        <w:t>r</w:t>
      </w:r>
      <w:r w:rsidR="008E0A55" w:rsidRPr="00B46A8B">
        <w:rPr>
          <w:rFonts w:cs="Calibri Light"/>
          <w:szCs w:val="22"/>
        </w:rPr>
        <w:t>each-in solid and glass</w:t>
      </w:r>
      <w:r w:rsidR="004F72A7">
        <w:rPr>
          <w:rFonts w:cs="Calibri Light"/>
          <w:szCs w:val="22"/>
        </w:rPr>
        <w:t xml:space="preserve"> door refrigerators and freezer are defined </w:t>
      </w:r>
      <w:r w:rsidR="002E18BF">
        <w:rPr>
          <w:rFonts w:cs="Calibri Light"/>
          <w:szCs w:val="22"/>
        </w:rPr>
        <w:t>by the U.S. Department of Energy (DOE) federal requirements</w:t>
      </w:r>
      <w:r w:rsidR="00413B70">
        <w:rPr>
          <w:rFonts w:cs="Calibri Light"/>
          <w:szCs w:val="22"/>
        </w:rPr>
        <w:t>.</w:t>
      </w:r>
      <w:r w:rsidR="00413B70">
        <w:rPr>
          <w:rStyle w:val="FootnoteReference"/>
          <w:rFonts w:cs="Calibri Light"/>
          <w:szCs w:val="22"/>
        </w:rPr>
        <w:footnoteReference w:id="2"/>
      </w:r>
      <w:r w:rsidR="00413B70">
        <w:rPr>
          <w:rFonts w:cs="Calibri Light"/>
          <w:szCs w:val="22"/>
        </w:rPr>
        <w:t xml:space="preserve"> </w:t>
      </w:r>
      <w:r w:rsidR="002E0D62">
        <w:rPr>
          <w:rFonts w:cs="Calibri Light"/>
          <w:szCs w:val="22"/>
        </w:rPr>
        <w:t>(See Code Requirements)</w:t>
      </w:r>
      <w:r w:rsidR="002E18BF">
        <w:rPr>
          <w:rFonts w:cs="Calibri Light"/>
          <w:szCs w:val="22"/>
        </w:rPr>
        <w:t>, as</w:t>
      </w:r>
      <w:r w:rsidR="002E0D62">
        <w:rPr>
          <w:rFonts w:cs="Calibri Light"/>
          <w:szCs w:val="22"/>
        </w:rPr>
        <w:t xml:space="preserve"> </w:t>
      </w:r>
      <w:r w:rsidR="0051640D">
        <w:rPr>
          <w:rFonts w:cs="Calibri Light"/>
          <w:szCs w:val="22"/>
        </w:rPr>
        <w:t>specified below</w:t>
      </w:r>
      <w:r w:rsidR="008E0A55" w:rsidRPr="00B46A8B">
        <w:rPr>
          <w:rFonts w:cs="Calibri Light"/>
          <w:szCs w:val="22"/>
        </w:rPr>
        <w:t>.</w:t>
      </w:r>
    </w:p>
    <w:p w14:paraId="73B5364A" w14:textId="303F206E" w:rsidR="002E18BF" w:rsidRDefault="002E18BF" w:rsidP="002E18BF">
      <w:pPr>
        <w:pStyle w:val="Caption"/>
      </w:pPr>
      <w:r>
        <w:t>Base Case Specification– Federal DOE</w:t>
      </w:r>
      <w:r>
        <w:rPr>
          <w:vertAlign w:val="superscript"/>
        </w:rPr>
        <w:t xml:space="preserve"> </w:t>
      </w:r>
      <w:r>
        <w:t>Requirements for Reach-In Refrigerators and Freezers</w:t>
      </w:r>
      <w:r w:rsidR="00182C89">
        <w:t>,</w:t>
      </w:r>
      <w:r>
        <w:t xml:space="preserve"> </w:t>
      </w:r>
      <w:r w:rsidR="00182C89">
        <w:t>E</w:t>
      </w:r>
      <w:r>
        <w:t>ffective March 2017</w:t>
      </w:r>
    </w:p>
    <w:tbl>
      <w:tblPr>
        <w:tblStyle w:val="TableGrid11"/>
        <w:tblW w:w="5132"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0"/>
        <w:gridCol w:w="1758"/>
        <w:gridCol w:w="3251"/>
        <w:gridCol w:w="1758"/>
      </w:tblGrid>
      <w:tr w:rsidR="002E18BF" w:rsidRPr="002E18BF" w14:paraId="14B2251B" w14:textId="77777777" w:rsidTr="009726AB">
        <w:tc>
          <w:tcPr>
            <w:tcW w:w="1474" w:type="pct"/>
            <w:shd w:val="clear" w:color="auto" w:fill="F2F2F2" w:themeFill="background1" w:themeFillShade="F2"/>
            <w:vAlign w:val="bottom"/>
            <w:hideMark/>
          </w:tcPr>
          <w:p w14:paraId="09F0B743" w14:textId="77777777" w:rsidR="002E18BF" w:rsidRPr="002E18BF" w:rsidRDefault="002E18BF" w:rsidP="009726AB">
            <w:pPr>
              <w:spacing w:before="0" w:after="0" w:line="240" w:lineRule="auto"/>
              <w:jc w:val="center"/>
              <w:rPr>
                <w:rFonts w:cs="Calibri Light"/>
                <w:b/>
                <w:bCs/>
                <w:sz w:val="20"/>
              </w:rPr>
            </w:pPr>
            <w:r w:rsidRPr="002E18BF">
              <w:rPr>
                <w:rFonts w:cs="Calibri Light"/>
                <w:b/>
                <w:bCs/>
                <w:sz w:val="20"/>
              </w:rPr>
              <w:t>Equipment Description (ft</w:t>
            </w:r>
            <w:r w:rsidRPr="002E18BF">
              <w:rPr>
                <w:rFonts w:cs="Calibri Light"/>
                <w:b/>
                <w:bCs/>
                <w:sz w:val="20"/>
                <w:vertAlign w:val="superscript"/>
              </w:rPr>
              <w:t>3</w:t>
            </w:r>
            <w:r w:rsidRPr="002E18BF">
              <w:rPr>
                <w:rFonts w:cs="Calibri Light"/>
                <w:b/>
                <w:bCs/>
                <w:sz w:val="20"/>
              </w:rPr>
              <w:t>)</w:t>
            </w:r>
          </w:p>
        </w:tc>
        <w:tc>
          <w:tcPr>
            <w:tcW w:w="916" w:type="pct"/>
            <w:shd w:val="clear" w:color="auto" w:fill="F2F2F2" w:themeFill="background1" w:themeFillShade="F2"/>
            <w:vAlign w:val="bottom"/>
            <w:hideMark/>
          </w:tcPr>
          <w:p w14:paraId="72B33AE9" w14:textId="77777777" w:rsidR="002E18BF" w:rsidRPr="002E18BF" w:rsidRDefault="002E18BF" w:rsidP="009726AB">
            <w:pPr>
              <w:spacing w:before="0" w:after="0" w:line="240" w:lineRule="auto"/>
              <w:jc w:val="center"/>
              <w:rPr>
                <w:rFonts w:cs="Calibri Light"/>
                <w:b/>
                <w:sz w:val="20"/>
              </w:rPr>
            </w:pPr>
            <w:r w:rsidRPr="002E18BF">
              <w:rPr>
                <w:rFonts w:cs="Calibri Light"/>
                <w:b/>
                <w:bCs/>
                <w:sz w:val="20"/>
              </w:rPr>
              <w:t>DOE Refrigeration Type Designation</w:t>
            </w:r>
          </w:p>
        </w:tc>
        <w:tc>
          <w:tcPr>
            <w:tcW w:w="1694" w:type="pct"/>
            <w:shd w:val="clear" w:color="auto" w:fill="F2F2F2" w:themeFill="background1" w:themeFillShade="F2"/>
            <w:vAlign w:val="bottom"/>
            <w:hideMark/>
          </w:tcPr>
          <w:p w14:paraId="60E7F7FA" w14:textId="77777777" w:rsidR="002E18BF" w:rsidRPr="002E18BF" w:rsidRDefault="002E18BF" w:rsidP="009726AB">
            <w:pPr>
              <w:spacing w:before="0" w:after="0" w:line="240" w:lineRule="auto"/>
              <w:jc w:val="center"/>
              <w:rPr>
                <w:rFonts w:cs="Calibri Light"/>
                <w:b/>
                <w:bCs/>
                <w:sz w:val="20"/>
              </w:rPr>
            </w:pPr>
            <w:r w:rsidRPr="002E18BF">
              <w:rPr>
                <w:rFonts w:cs="Calibri Light"/>
                <w:b/>
                <w:bCs/>
                <w:sz w:val="20"/>
              </w:rPr>
              <w:t>DOE description</w:t>
            </w:r>
          </w:p>
        </w:tc>
        <w:tc>
          <w:tcPr>
            <w:tcW w:w="916" w:type="pct"/>
            <w:shd w:val="clear" w:color="auto" w:fill="F2F2F2" w:themeFill="background1" w:themeFillShade="F2"/>
            <w:vAlign w:val="bottom"/>
            <w:hideMark/>
          </w:tcPr>
          <w:p w14:paraId="3E210B0F" w14:textId="77777777" w:rsidR="002E18BF" w:rsidRPr="002E18BF" w:rsidRDefault="002E18BF" w:rsidP="009726AB">
            <w:pPr>
              <w:spacing w:before="0" w:after="0" w:line="240" w:lineRule="auto"/>
              <w:jc w:val="center"/>
              <w:rPr>
                <w:rFonts w:cs="Calibri Light"/>
                <w:b/>
                <w:sz w:val="20"/>
              </w:rPr>
            </w:pPr>
            <w:r w:rsidRPr="002E18BF">
              <w:rPr>
                <w:rFonts w:cs="Calibri Light"/>
                <w:b/>
                <w:bCs/>
                <w:sz w:val="20"/>
              </w:rPr>
              <w:t>Daily Energy Usage</w:t>
            </w:r>
            <w:r w:rsidRPr="002E18BF">
              <w:rPr>
                <w:rFonts w:cs="Calibri Light"/>
                <w:b/>
                <w:bCs/>
                <w:sz w:val="20"/>
              </w:rPr>
              <w:br/>
              <w:t>(kWh/day)</w:t>
            </w:r>
          </w:p>
        </w:tc>
      </w:tr>
      <w:tr w:rsidR="002E18BF" w:rsidRPr="002E18BF" w14:paraId="78AD7A83" w14:textId="77777777" w:rsidTr="009726AB">
        <w:trPr>
          <w:trHeight w:val="243"/>
        </w:trPr>
        <w:tc>
          <w:tcPr>
            <w:tcW w:w="1474" w:type="pct"/>
            <w:hideMark/>
          </w:tcPr>
          <w:p w14:paraId="11462A71" w14:textId="77777777" w:rsidR="002E18BF" w:rsidRPr="002E18BF" w:rsidRDefault="002E18BF" w:rsidP="009726AB">
            <w:pPr>
              <w:spacing w:before="0" w:after="0" w:line="240" w:lineRule="auto"/>
              <w:rPr>
                <w:rFonts w:cs="Calibri Light"/>
                <w:sz w:val="20"/>
              </w:rPr>
            </w:pPr>
            <w:r w:rsidRPr="002E18BF">
              <w:rPr>
                <w:rFonts w:cs="Calibri Light"/>
                <w:sz w:val="20"/>
              </w:rPr>
              <w:t>Solid-Door Reach-In Refrigerator</w:t>
            </w:r>
          </w:p>
        </w:tc>
        <w:tc>
          <w:tcPr>
            <w:tcW w:w="916" w:type="pct"/>
            <w:hideMark/>
          </w:tcPr>
          <w:p w14:paraId="4BD6FC47" w14:textId="77777777" w:rsidR="002E18BF" w:rsidRPr="002E18BF" w:rsidRDefault="002E18BF" w:rsidP="009726AB">
            <w:pPr>
              <w:spacing w:before="0" w:after="0" w:line="240" w:lineRule="auto"/>
              <w:rPr>
                <w:rFonts w:cs="Calibri Light"/>
                <w:sz w:val="20"/>
              </w:rPr>
            </w:pPr>
            <w:r w:rsidRPr="002E18BF">
              <w:rPr>
                <w:rFonts w:cs="Calibri Light"/>
                <w:sz w:val="20"/>
              </w:rPr>
              <w:t>VCS.SC.M</w:t>
            </w:r>
          </w:p>
        </w:tc>
        <w:tc>
          <w:tcPr>
            <w:tcW w:w="1694" w:type="pct"/>
            <w:hideMark/>
          </w:tcPr>
          <w:p w14:paraId="119917B9" w14:textId="77777777" w:rsidR="002E18BF" w:rsidRPr="002E18BF" w:rsidRDefault="002E18BF" w:rsidP="009726AB">
            <w:pPr>
              <w:spacing w:before="0" w:after="0" w:line="240" w:lineRule="auto"/>
              <w:rPr>
                <w:rFonts w:cs="Calibri Light"/>
                <w:sz w:val="20"/>
              </w:rPr>
            </w:pPr>
            <w:r w:rsidRPr="002E18BF">
              <w:rPr>
                <w:rFonts w:cs="Calibri Light"/>
                <w:sz w:val="20"/>
              </w:rPr>
              <w:t>Vertical Closed Solid, Self-Contained, Medium temp</w:t>
            </w:r>
          </w:p>
        </w:tc>
        <w:tc>
          <w:tcPr>
            <w:tcW w:w="916" w:type="pct"/>
            <w:hideMark/>
          </w:tcPr>
          <w:p w14:paraId="392FC536" w14:textId="77777777" w:rsidR="002E18BF" w:rsidRPr="002E18BF" w:rsidRDefault="002E18BF" w:rsidP="009726AB">
            <w:pPr>
              <w:spacing w:before="0" w:after="0" w:line="240" w:lineRule="auto"/>
              <w:rPr>
                <w:rFonts w:cs="Calibri Light"/>
                <w:sz w:val="20"/>
              </w:rPr>
            </w:pPr>
            <w:r w:rsidRPr="002E18BF">
              <w:rPr>
                <w:rFonts w:cs="Calibri Light"/>
                <w:sz w:val="20"/>
              </w:rPr>
              <w:sym w:font="Symbol" w:char="F0A3"/>
            </w:r>
            <w:r w:rsidRPr="002E18BF">
              <w:rPr>
                <w:rFonts w:cs="Calibri Light"/>
                <w:sz w:val="20"/>
              </w:rPr>
              <w:t xml:space="preserve"> 0.05V*+1.36</w:t>
            </w:r>
          </w:p>
        </w:tc>
      </w:tr>
      <w:tr w:rsidR="002E18BF" w:rsidRPr="002E18BF" w14:paraId="67F9F33C" w14:textId="77777777" w:rsidTr="009726AB">
        <w:trPr>
          <w:trHeight w:val="243"/>
        </w:trPr>
        <w:tc>
          <w:tcPr>
            <w:tcW w:w="1474" w:type="pct"/>
            <w:hideMark/>
          </w:tcPr>
          <w:p w14:paraId="3241E1E3" w14:textId="77777777" w:rsidR="002E18BF" w:rsidRPr="002E18BF" w:rsidRDefault="002E18BF" w:rsidP="009726AB">
            <w:pPr>
              <w:spacing w:before="0" w:after="0" w:line="240" w:lineRule="auto"/>
              <w:rPr>
                <w:rFonts w:cs="Calibri Light"/>
                <w:sz w:val="20"/>
              </w:rPr>
            </w:pPr>
            <w:r w:rsidRPr="002E18BF">
              <w:rPr>
                <w:rFonts w:cs="Calibri Light"/>
                <w:sz w:val="20"/>
              </w:rPr>
              <w:t>Solid-Door Reach-In Freezer</w:t>
            </w:r>
          </w:p>
        </w:tc>
        <w:tc>
          <w:tcPr>
            <w:tcW w:w="916" w:type="pct"/>
            <w:hideMark/>
          </w:tcPr>
          <w:p w14:paraId="24838354" w14:textId="77777777" w:rsidR="002E18BF" w:rsidRPr="002E18BF" w:rsidRDefault="002E18BF" w:rsidP="009726AB">
            <w:pPr>
              <w:spacing w:before="0" w:after="0" w:line="240" w:lineRule="auto"/>
              <w:rPr>
                <w:rFonts w:cs="Calibri Light"/>
                <w:sz w:val="20"/>
              </w:rPr>
            </w:pPr>
            <w:r w:rsidRPr="002E18BF">
              <w:rPr>
                <w:rFonts w:cs="Calibri Light"/>
                <w:sz w:val="20"/>
              </w:rPr>
              <w:t>VCS.SC.L</w:t>
            </w:r>
          </w:p>
        </w:tc>
        <w:tc>
          <w:tcPr>
            <w:tcW w:w="1694" w:type="pct"/>
            <w:hideMark/>
          </w:tcPr>
          <w:p w14:paraId="6451FA64" w14:textId="77777777" w:rsidR="002E18BF" w:rsidRPr="002E18BF" w:rsidRDefault="002E18BF" w:rsidP="009726AB">
            <w:pPr>
              <w:spacing w:before="0" w:after="0" w:line="240" w:lineRule="auto"/>
              <w:rPr>
                <w:rFonts w:cs="Calibri Light"/>
                <w:sz w:val="20"/>
              </w:rPr>
            </w:pPr>
            <w:r w:rsidRPr="002E18BF">
              <w:rPr>
                <w:rFonts w:cs="Calibri Light"/>
                <w:sz w:val="20"/>
              </w:rPr>
              <w:t>Vertical Closed Solid, Self-Contained, Low temp</w:t>
            </w:r>
          </w:p>
        </w:tc>
        <w:tc>
          <w:tcPr>
            <w:tcW w:w="916" w:type="pct"/>
            <w:hideMark/>
          </w:tcPr>
          <w:p w14:paraId="37FFB61B" w14:textId="77777777" w:rsidR="002E18BF" w:rsidRPr="002E18BF" w:rsidRDefault="002E18BF" w:rsidP="009726AB">
            <w:pPr>
              <w:spacing w:before="0" w:after="0" w:line="240" w:lineRule="auto"/>
              <w:rPr>
                <w:rFonts w:cs="Calibri Light"/>
                <w:sz w:val="20"/>
              </w:rPr>
            </w:pPr>
            <w:r w:rsidRPr="002E18BF">
              <w:rPr>
                <w:rFonts w:cs="Calibri Light"/>
                <w:sz w:val="20"/>
              </w:rPr>
              <w:sym w:font="Symbol" w:char="F0A3"/>
            </w:r>
            <w:r w:rsidRPr="002E18BF">
              <w:rPr>
                <w:rFonts w:cs="Calibri Light"/>
                <w:sz w:val="20"/>
              </w:rPr>
              <w:t xml:space="preserve"> 0.22V+1.38</w:t>
            </w:r>
          </w:p>
        </w:tc>
      </w:tr>
      <w:tr w:rsidR="002E18BF" w:rsidRPr="002E18BF" w14:paraId="4864D4F4" w14:textId="77777777" w:rsidTr="009726AB">
        <w:trPr>
          <w:trHeight w:val="243"/>
        </w:trPr>
        <w:tc>
          <w:tcPr>
            <w:tcW w:w="1474" w:type="pct"/>
            <w:hideMark/>
          </w:tcPr>
          <w:p w14:paraId="7AF5454C" w14:textId="77777777" w:rsidR="002E18BF" w:rsidRPr="002E18BF" w:rsidRDefault="002E18BF" w:rsidP="009726AB">
            <w:pPr>
              <w:spacing w:before="0" w:after="0" w:line="240" w:lineRule="auto"/>
              <w:rPr>
                <w:rFonts w:cs="Calibri Light"/>
                <w:sz w:val="20"/>
              </w:rPr>
            </w:pPr>
            <w:r w:rsidRPr="002E18BF">
              <w:rPr>
                <w:rFonts w:cs="Calibri Light"/>
                <w:sz w:val="20"/>
              </w:rPr>
              <w:t>Glass-Door Reach-In Refrigerator</w:t>
            </w:r>
          </w:p>
        </w:tc>
        <w:tc>
          <w:tcPr>
            <w:tcW w:w="916" w:type="pct"/>
            <w:hideMark/>
          </w:tcPr>
          <w:p w14:paraId="2E706228" w14:textId="77777777" w:rsidR="002E18BF" w:rsidRPr="002E18BF" w:rsidRDefault="002E18BF" w:rsidP="009726AB">
            <w:pPr>
              <w:spacing w:before="0" w:after="0" w:line="240" w:lineRule="auto"/>
              <w:rPr>
                <w:rFonts w:cs="Calibri Light"/>
                <w:sz w:val="20"/>
              </w:rPr>
            </w:pPr>
            <w:r w:rsidRPr="002E18BF">
              <w:rPr>
                <w:rFonts w:cs="Calibri Light"/>
                <w:sz w:val="20"/>
              </w:rPr>
              <w:t>VCT.SC.M</w:t>
            </w:r>
          </w:p>
        </w:tc>
        <w:tc>
          <w:tcPr>
            <w:tcW w:w="1694" w:type="pct"/>
            <w:hideMark/>
          </w:tcPr>
          <w:p w14:paraId="28726197" w14:textId="77777777" w:rsidR="002E18BF" w:rsidRPr="002E18BF" w:rsidRDefault="002E18BF" w:rsidP="009726AB">
            <w:pPr>
              <w:spacing w:before="0" w:after="0" w:line="240" w:lineRule="auto"/>
              <w:rPr>
                <w:rFonts w:cs="Calibri Light"/>
                <w:sz w:val="20"/>
              </w:rPr>
            </w:pPr>
            <w:r w:rsidRPr="002E18BF">
              <w:rPr>
                <w:rFonts w:cs="Calibri Light"/>
                <w:sz w:val="20"/>
              </w:rPr>
              <w:t>Vertical Closed Transparent, Self-Contained, Medium temp</w:t>
            </w:r>
          </w:p>
        </w:tc>
        <w:tc>
          <w:tcPr>
            <w:tcW w:w="916" w:type="pct"/>
            <w:hideMark/>
          </w:tcPr>
          <w:p w14:paraId="47169527" w14:textId="77777777" w:rsidR="002E18BF" w:rsidRPr="002E18BF" w:rsidRDefault="002E18BF" w:rsidP="009726AB">
            <w:pPr>
              <w:spacing w:before="0" w:after="0" w:line="240" w:lineRule="auto"/>
              <w:rPr>
                <w:rFonts w:cs="Calibri Light"/>
                <w:sz w:val="20"/>
              </w:rPr>
            </w:pPr>
            <w:r w:rsidRPr="002E18BF">
              <w:rPr>
                <w:rFonts w:cs="Calibri Light"/>
                <w:sz w:val="20"/>
              </w:rPr>
              <w:sym w:font="Symbol" w:char="F0A3"/>
            </w:r>
            <w:r w:rsidRPr="002E18BF">
              <w:rPr>
                <w:rFonts w:cs="Calibri Light"/>
                <w:sz w:val="20"/>
              </w:rPr>
              <w:t xml:space="preserve"> 0.1V+0.86 </w:t>
            </w:r>
          </w:p>
        </w:tc>
      </w:tr>
      <w:tr w:rsidR="002E18BF" w:rsidRPr="002E18BF" w14:paraId="3567916D" w14:textId="77777777" w:rsidTr="009726AB">
        <w:trPr>
          <w:trHeight w:val="243"/>
        </w:trPr>
        <w:tc>
          <w:tcPr>
            <w:tcW w:w="1474" w:type="pct"/>
            <w:hideMark/>
          </w:tcPr>
          <w:p w14:paraId="5F4A8209" w14:textId="77777777" w:rsidR="002E18BF" w:rsidRPr="002E18BF" w:rsidRDefault="002E18BF" w:rsidP="009726AB">
            <w:pPr>
              <w:spacing w:before="0" w:after="0" w:line="240" w:lineRule="auto"/>
              <w:rPr>
                <w:rFonts w:cs="Calibri Light"/>
                <w:sz w:val="20"/>
              </w:rPr>
            </w:pPr>
            <w:r w:rsidRPr="002E18BF">
              <w:rPr>
                <w:rFonts w:cs="Calibri Light"/>
                <w:sz w:val="20"/>
              </w:rPr>
              <w:t>Glass-Door Reach-In Freezer</w:t>
            </w:r>
          </w:p>
        </w:tc>
        <w:tc>
          <w:tcPr>
            <w:tcW w:w="916" w:type="pct"/>
            <w:hideMark/>
          </w:tcPr>
          <w:p w14:paraId="486B749A" w14:textId="77777777" w:rsidR="002E18BF" w:rsidRPr="002E18BF" w:rsidRDefault="002E18BF" w:rsidP="009726AB">
            <w:pPr>
              <w:spacing w:before="0" w:after="0" w:line="240" w:lineRule="auto"/>
              <w:rPr>
                <w:rFonts w:cs="Calibri Light"/>
                <w:sz w:val="20"/>
              </w:rPr>
            </w:pPr>
            <w:r w:rsidRPr="002E18BF">
              <w:rPr>
                <w:rFonts w:cs="Calibri Light"/>
                <w:sz w:val="20"/>
              </w:rPr>
              <w:t>VCT.SC.L</w:t>
            </w:r>
          </w:p>
        </w:tc>
        <w:tc>
          <w:tcPr>
            <w:tcW w:w="1694" w:type="pct"/>
            <w:hideMark/>
          </w:tcPr>
          <w:p w14:paraId="5D650FE9" w14:textId="77777777" w:rsidR="002E18BF" w:rsidRPr="002E18BF" w:rsidRDefault="002E18BF" w:rsidP="009726AB">
            <w:pPr>
              <w:spacing w:before="0" w:after="0" w:line="240" w:lineRule="auto"/>
              <w:rPr>
                <w:rFonts w:cs="Calibri Light"/>
                <w:sz w:val="20"/>
              </w:rPr>
            </w:pPr>
            <w:r w:rsidRPr="002E18BF">
              <w:rPr>
                <w:rFonts w:cs="Calibri Light"/>
                <w:sz w:val="20"/>
              </w:rPr>
              <w:t>Vertical Closed Transparent, Self-Contained, Low temp</w:t>
            </w:r>
          </w:p>
        </w:tc>
        <w:tc>
          <w:tcPr>
            <w:tcW w:w="916" w:type="pct"/>
            <w:hideMark/>
          </w:tcPr>
          <w:p w14:paraId="092040EE" w14:textId="77777777" w:rsidR="002E18BF" w:rsidRPr="002E18BF" w:rsidRDefault="002E18BF" w:rsidP="009726AB">
            <w:pPr>
              <w:spacing w:before="0" w:after="0" w:line="240" w:lineRule="auto"/>
              <w:rPr>
                <w:rFonts w:cs="Calibri Light"/>
                <w:sz w:val="20"/>
              </w:rPr>
            </w:pPr>
            <w:r w:rsidRPr="002E18BF">
              <w:rPr>
                <w:rFonts w:cs="Calibri Light"/>
                <w:sz w:val="20"/>
              </w:rPr>
              <w:sym w:font="Symbol" w:char="F0A3"/>
            </w:r>
            <w:r w:rsidRPr="002E18BF">
              <w:rPr>
                <w:rFonts w:cs="Calibri Light"/>
                <w:sz w:val="20"/>
              </w:rPr>
              <w:t xml:space="preserve"> 0.29V+2.95</w:t>
            </w:r>
          </w:p>
        </w:tc>
      </w:tr>
    </w:tbl>
    <w:p w14:paraId="6142C774" w14:textId="77777777" w:rsidR="002E18BF" w:rsidRDefault="002E18BF" w:rsidP="002E18BF">
      <w:pPr>
        <w:pStyle w:val="eTRMTableFootnote"/>
        <w:rPr>
          <w:rFonts w:eastAsia="Times New Roman" w:cs="Times New Roman"/>
        </w:rPr>
      </w:pPr>
      <w:r>
        <w:t>V = internal volume in cubic feet.</w:t>
      </w:r>
    </w:p>
    <w:p w14:paraId="75FE39E8" w14:textId="0DD459D8" w:rsidR="00CB2FF0" w:rsidRDefault="00CB2FF0" w:rsidP="00CB2FF0">
      <w:pPr>
        <w:spacing w:before="0" w:line="240" w:lineRule="auto"/>
        <w:rPr>
          <w:rFonts w:cs="Calibri Light"/>
          <w:szCs w:val="22"/>
        </w:rPr>
      </w:pPr>
    </w:p>
    <w:p w14:paraId="350081CD" w14:textId="77777777" w:rsidR="007D230B" w:rsidRPr="00171BB8" w:rsidRDefault="007D230B" w:rsidP="00420958">
      <w:pPr>
        <w:pStyle w:val="eTRMHeading3"/>
      </w:pPr>
      <w:bookmarkStart w:id="15" w:name="_Toc486490850"/>
      <w:bookmarkStart w:id="16" w:name="_Toc486580921"/>
      <w:bookmarkStart w:id="17" w:name="_Toc1120813"/>
      <w:r w:rsidRPr="004B06E3">
        <w:t>Code Requirements</w:t>
      </w:r>
      <w:bookmarkEnd w:id="15"/>
      <w:bookmarkEnd w:id="16"/>
      <w:bookmarkEnd w:id="17"/>
    </w:p>
    <w:p w14:paraId="2CF624D7" w14:textId="047CB4C9" w:rsidR="00FD6D32" w:rsidRDefault="0051640D" w:rsidP="00EC31C1">
      <w:pPr>
        <w:rPr>
          <w:rFonts w:cs="Calibri Light"/>
          <w:szCs w:val="22"/>
        </w:rPr>
      </w:pPr>
      <w:r>
        <w:rPr>
          <w:rFonts w:cs="Calibri Light"/>
          <w:szCs w:val="22"/>
        </w:rPr>
        <w:t>B</w:t>
      </w:r>
      <w:r w:rsidR="002B6870" w:rsidRPr="005F7298">
        <w:rPr>
          <w:rFonts w:cs="Calibri Light"/>
          <w:szCs w:val="22"/>
        </w:rPr>
        <w:t xml:space="preserve">oth </w:t>
      </w:r>
      <w:r w:rsidR="002B6870">
        <w:rPr>
          <w:rFonts w:cs="Calibri Light"/>
          <w:szCs w:val="22"/>
        </w:rPr>
        <w:t>commercial refrigerators and freezers</w:t>
      </w:r>
      <w:r w:rsidR="002B6870" w:rsidRPr="005F7298">
        <w:rPr>
          <w:rFonts w:cs="Calibri Light"/>
          <w:szCs w:val="22"/>
        </w:rPr>
        <w:t xml:space="preserve"> must comply with federal </w:t>
      </w:r>
      <w:r w:rsidR="002B6870">
        <w:rPr>
          <w:rFonts w:cs="Calibri Light"/>
          <w:szCs w:val="22"/>
        </w:rPr>
        <w:t xml:space="preserve">energy use </w:t>
      </w:r>
      <w:r w:rsidR="002B6870" w:rsidRPr="005F7298">
        <w:rPr>
          <w:rFonts w:cs="Calibri Light"/>
          <w:szCs w:val="22"/>
        </w:rPr>
        <w:t>standards</w:t>
      </w:r>
      <w:r w:rsidR="002B6870">
        <w:rPr>
          <w:rFonts w:cs="Calibri Light"/>
          <w:szCs w:val="22"/>
        </w:rPr>
        <w:t xml:space="preserve"> – the Energy Conservation Standards of the Code of Federal Regulations,</w:t>
      </w:r>
      <w:r w:rsidR="0021488F">
        <w:rPr>
          <w:rStyle w:val="FootnoteReference"/>
          <w:rFonts w:cs="Calibri Light"/>
          <w:szCs w:val="22"/>
        </w:rPr>
        <w:footnoteReference w:id="3"/>
      </w:r>
      <w:r w:rsidR="002B6870">
        <w:rPr>
          <w:rFonts w:cs="Calibri Light"/>
          <w:szCs w:val="22"/>
        </w:rPr>
        <w:t xml:space="preserve"> </w:t>
      </w:r>
      <w:r w:rsidR="004F72A7">
        <w:rPr>
          <w:rFonts w:cs="Calibri Light"/>
          <w:szCs w:val="22"/>
        </w:rPr>
        <w:t>and the California Appliance Efficiency Regulations (Title 20)</w:t>
      </w:r>
      <w:r w:rsidR="002B6870" w:rsidRPr="005F7298">
        <w:rPr>
          <w:rFonts w:cs="Calibri Light"/>
          <w:szCs w:val="22"/>
        </w:rPr>
        <w:t xml:space="preserve">. </w:t>
      </w:r>
      <w:r w:rsidR="00587F8C">
        <w:rPr>
          <w:rFonts w:cs="Calibri Light"/>
          <w:szCs w:val="22"/>
        </w:rPr>
        <w:t>Title 20 aligns with the federal regulations, which are specified below.</w:t>
      </w:r>
    </w:p>
    <w:p w14:paraId="0A74230B" w14:textId="0B265745" w:rsidR="00373646" w:rsidRDefault="00373646" w:rsidP="0051640D">
      <w:pPr>
        <w:pStyle w:val="Caption"/>
        <w:keepNext w:val="0"/>
        <w:keepLines w:val="0"/>
      </w:pPr>
      <w:r>
        <w:t xml:space="preserve">Applicable State and Federal </w:t>
      </w:r>
      <w:r w:rsidRPr="00CD6698">
        <w:t>Code</w:t>
      </w:r>
      <w:r>
        <w:t>s and Standards</w:t>
      </w:r>
      <w:r w:rsidRPr="002C39E3">
        <w:t xml:space="preserve"> </w:t>
      </w:r>
    </w:p>
    <w:tbl>
      <w:tblPr>
        <w:tblW w:w="9247"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320"/>
        <w:gridCol w:w="2970"/>
        <w:gridCol w:w="1957"/>
      </w:tblGrid>
      <w:tr w:rsidR="008C3753" w:rsidRPr="008C3753" w14:paraId="27BFEF09" w14:textId="77777777" w:rsidTr="002E7F37">
        <w:trPr>
          <w:trHeight w:val="20"/>
          <w:tblHeader/>
        </w:trPr>
        <w:tc>
          <w:tcPr>
            <w:tcW w:w="4320" w:type="dxa"/>
            <w:shd w:val="clear" w:color="auto" w:fill="F2F2F2" w:themeFill="background1" w:themeFillShade="F2"/>
            <w:vAlign w:val="center"/>
          </w:tcPr>
          <w:p w14:paraId="24710216" w14:textId="77777777" w:rsidR="00373646" w:rsidRPr="008C3753" w:rsidRDefault="00373646" w:rsidP="0051640D">
            <w:pPr>
              <w:spacing w:before="20" w:after="20"/>
              <w:rPr>
                <w:b/>
                <w:sz w:val="20"/>
                <w:szCs w:val="20"/>
              </w:rPr>
            </w:pPr>
            <w:r w:rsidRPr="008C3753">
              <w:rPr>
                <w:b/>
                <w:sz w:val="20"/>
                <w:szCs w:val="20"/>
              </w:rPr>
              <w:t>Code</w:t>
            </w:r>
          </w:p>
        </w:tc>
        <w:tc>
          <w:tcPr>
            <w:tcW w:w="2970" w:type="dxa"/>
            <w:shd w:val="clear" w:color="auto" w:fill="F2F2F2" w:themeFill="background1" w:themeFillShade="F2"/>
            <w:vAlign w:val="center"/>
          </w:tcPr>
          <w:p w14:paraId="1E69DC76" w14:textId="77777777" w:rsidR="00373646" w:rsidRPr="008C3753" w:rsidRDefault="00373646" w:rsidP="0051640D">
            <w:pPr>
              <w:spacing w:before="20" w:after="20"/>
              <w:jc w:val="center"/>
              <w:rPr>
                <w:b/>
                <w:sz w:val="20"/>
                <w:szCs w:val="20"/>
              </w:rPr>
            </w:pPr>
            <w:r w:rsidRPr="008C3753">
              <w:rPr>
                <w:b/>
                <w:sz w:val="20"/>
                <w:szCs w:val="20"/>
              </w:rPr>
              <w:t>Applicable Code Reference</w:t>
            </w:r>
          </w:p>
        </w:tc>
        <w:tc>
          <w:tcPr>
            <w:tcW w:w="1957" w:type="dxa"/>
            <w:shd w:val="clear" w:color="auto" w:fill="F2F2F2" w:themeFill="background1" w:themeFillShade="F2"/>
            <w:vAlign w:val="center"/>
          </w:tcPr>
          <w:p w14:paraId="5E3B65DE" w14:textId="77777777" w:rsidR="00373646" w:rsidRPr="008C3753" w:rsidRDefault="00373646" w:rsidP="0051640D">
            <w:pPr>
              <w:spacing w:before="20" w:after="20"/>
              <w:jc w:val="center"/>
              <w:rPr>
                <w:b/>
                <w:sz w:val="20"/>
                <w:szCs w:val="20"/>
              </w:rPr>
            </w:pPr>
            <w:r w:rsidRPr="008C3753">
              <w:rPr>
                <w:b/>
                <w:sz w:val="20"/>
                <w:szCs w:val="20"/>
              </w:rPr>
              <w:t>Effective Date</w:t>
            </w:r>
          </w:p>
        </w:tc>
      </w:tr>
      <w:tr w:rsidR="008C3753" w:rsidRPr="008C3753" w14:paraId="0D0A2D19" w14:textId="77777777" w:rsidTr="002E7F37">
        <w:trPr>
          <w:trHeight w:val="20"/>
        </w:trPr>
        <w:tc>
          <w:tcPr>
            <w:tcW w:w="4320" w:type="dxa"/>
            <w:shd w:val="clear" w:color="auto" w:fill="auto"/>
            <w:vAlign w:val="center"/>
          </w:tcPr>
          <w:p w14:paraId="0941E9A4" w14:textId="35BDFF17" w:rsidR="00373646" w:rsidRPr="008C3753" w:rsidRDefault="00373646" w:rsidP="0051640D">
            <w:pPr>
              <w:spacing w:before="20" w:after="20"/>
              <w:rPr>
                <w:sz w:val="20"/>
                <w:szCs w:val="20"/>
              </w:rPr>
            </w:pPr>
            <w:r w:rsidRPr="008C3753">
              <w:rPr>
                <w:sz w:val="20"/>
                <w:szCs w:val="20"/>
              </w:rPr>
              <w:t xml:space="preserve">CA Appliance Efficiency Regulations – Title 20 </w:t>
            </w:r>
            <w:r w:rsidR="00000E96">
              <w:rPr>
                <w:sz w:val="20"/>
                <w:szCs w:val="20"/>
              </w:rPr>
              <w:t>(201</w:t>
            </w:r>
            <w:r w:rsidR="00587F8C">
              <w:rPr>
                <w:sz w:val="20"/>
                <w:szCs w:val="20"/>
              </w:rPr>
              <w:t>6</w:t>
            </w:r>
            <w:r w:rsidR="00000E96">
              <w:rPr>
                <w:sz w:val="20"/>
                <w:szCs w:val="20"/>
              </w:rPr>
              <w:t>)</w:t>
            </w:r>
          </w:p>
        </w:tc>
        <w:tc>
          <w:tcPr>
            <w:tcW w:w="2970" w:type="dxa"/>
            <w:shd w:val="clear" w:color="auto" w:fill="auto"/>
            <w:vAlign w:val="center"/>
          </w:tcPr>
          <w:p w14:paraId="40ACE2FD" w14:textId="55EFDE05" w:rsidR="00373646" w:rsidRPr="00000E96" w:rsidRDefault="00000E96" w:rsidP="0051640D">
            <w:pPr>
              <w:spacing w:before="20" w:after="20"/>
              <w:rPr>
                <w:sz w:val="20"/>
                <w:szCs w:val="20"/>
              </w:rPr>
            </w:pPr>
            <w:r w:rsidRPr="00000E96">
              <w:rPr>
                <w:sz w:val="20"/>
              </w:rPr>
              <w:t>Section 1605.1(2), Table A-4</w:t>
            </w:r>
            <w:r w:rsidR="00587F8C">
              <w:rPr>
                <w:sz w:val="20"/>
              </w:rPr>
              <w:t>, aligns with CFR</w:t>
            </w:r>
          </w:p>
        </w:tc>
        <w:tc>
          <w:tcPr>
            <w:tcW w:w="1957" w:type="dxa"/>
            <w:shd w:val="clear" w:color="auto" w:fill="auto"/>
            <w:vAlign w:val="center"/>
          </w:tcPr>
          <w:p w14:paraId="438CD668" w14:textId="5A5BD128" w:rsidR="00373646" w:rsidRPr="008C3753" w:rsidRDefault="00000E96" w:rsidP="0051640D">
            <w:pPr>
              <w:spacing w:before="20" w:after="20"/>
              <w:rPr>
                <w:sz w:val="20"/>
                <w:szCs w:val="20"/>
              </w:rPr>
            </w:pPr>
            <w:r w:rsidRPr="008C3753">
              <w:rPr>
                <w:rFonts w:cstheme="minorHAnsi"/>
                <w:sz w:val="20"/>
                <w:szCs w:val="20"/>
              </w:rPr>
              <w:t>January 1, 2010</w:t>
            </w:r>
          </w:p>
        </w:tc>
      </w:tr>
      <w:tr w:rsidR="008C3753" w:rsidRPr="008C3753" w14:paraId="1AF8A2ED" w14:textId="77777777" w:rsidTr="002E7F37">
        <w:trPr>
          <w:trHeight w:val="20"/>
        </w:trPr>
        <w:tc>
          <w:tcPr>
            <w:tcW w:w="4320" w:type="dxa"/>
            <w:shd w:val="clear" w:color="auto" w:fill="auto"/>
            <w:vAlign w:val="center"/>
          </w:tcPr>
          <w:p w14:paraId="5A70DF56" w14:textId="77777777" w:rsidR="00373646" w:rsidRPr="008C3753" w:rsidRDefault="00373646" w:rsidP="0051640D">
            <w:pPr>
              <w:spacing w:before="20" w:after="20"/>
              <w:rPr>
                <w:sz w:val="20"/>
                <w:szCs w:val="20"/>
              </w:rPr>
            </w:pPr>
            <w:r w:rsidRPr="008C3753">
              <w:rPr>
                <w:sz w:val="20"/>
                <w:szCs w:val="20"/>
              </w:rPr>
              <w:t xml:space="preserve">CA Building Energy Efficiency Standards – Title 24 </w:t>
            </w:r>
          </w:p>
        </w:tc>
        <w:tc>
          <w:tcPr>
            <w:tcW w:w="2970" w:type="dxa"/>
            <w:shd w:val="clear" w:color="auto" w:fill="auto"/>
            <w:vAlign w:val="center"/>
          </w:tcPr>
          <w:p w14:paraId="3734DC7B" w14:textId="77777777" w:rsidR="00373646" w:rsidRPr="008C3753" w:rsidRDefault="00373646" w:rsidP="0051640D">
            <w:pPr>
              <w:spacing w:before="20" w:after="20"/>
              <w:rPr>
                <w:sz w:val="20"/>
                <w:szCs w:val="20"/>
              </w:rPr>
            </w:pPr>
            <w:r w:rsidRPr="008C3753">
              <w:rPr>
                <w:rFonts w:cstheme="minorHAnsi"/>
                <w:sz w:val="20"/>
                <w:szCs w:val="20"/>
              </w:rPr>
              <w:t>None.</w:t>
            </w:r>
          </w:p>
        </w:tc>
        <w:tc>
          <w:tcPr>
            <w:tcW w:w="1957" w:type="dxa"/>
            <w:shd w:val="clear" w:color="auto" w:fill="auto"/>
            <w:vAlign w:val="center"/>
          </w:tcPr>
          <w:p w14:paraId="01FB264A" w14:textId="77777777" w:rsidR="00373646" w:rsidRPr="008C3753" w:rsidRDefault="00373646" w:rsidP="0051640D">
            <w:pPr>
              <w:spacing w:before="20" w:after="20"/>
              <w:rPr>
                <w:sz w:val="20"/>
                <w:szCs w:val="20"/>
              </w:rPr>
            </w:pPr>
            <w:r w:rsidRPr="008C3753">
              <w:rPr>
                <w:rFonts w:cstheme="minorHAnsi"/>
                <w:sz w:val="20"/>
                <w:szCs w:val="20"/>
              </w:rPr>
              <w:t>n/a</w:t>
            </w:r>
          </w:p>
        </w:tc>
      </w:tr>
      <w:tr w:rsidR="008C3753" w:rsidRPr="008C3753" w14:paraId="691D5144" w14:textId="77777777" w:rsidTr="002E7F37">
        <w:trPr>
          <w:trHeight w:val="20"/>
        </w:trPr>
        <w:tc>
          <w:tcPr>
            <w:tcW w:w="4320" w:type="dxa"/>
            <w:shd w:val="clear" w:color="auto" w:fill="auto"/>
            <w:vAlign w:val="center"/>
          </w:tcPr>
          <w:p w14:paraId="4F8F20DC" w14:textId="61C2BE7C" w:rsidR="00373646" w:rsidRPr="008C3753" w:rsidRDefault="00000E96" w:rsidP="0051640D">
            <w:pPr>
              <w:spacing w:before="20" w:after="20"/>
              <w:rPr>
                <w:sz w:val="20"/>
                <w:szCs w:val="20"/>
              </w:rPr>
            </w:pPr>
            <w:r>
              <w:rPr>
                <w:sz w:val="20"/>
                <w:szCs w:val="20"/>
              </w:rPr>
              <w:t xml:space="preserve">Federal Standards </w:t>
            </w:r>
            <w:r w:rsidR="00373646" w:rsidRPr="008C3753">
              <w:rPr>
                <w:rFonts w:cstheme="minorHAnsi"/>
                <w:sz w:val="20"/>
                <w:szCs w:val="20"/>
              </w:rPr>
              <w:t xml:space="preserve"> </w:t>
            </w:r>
          </w:p>
        </w:tc>
        <w:tc>
          <w:tcPr>
            <w:tcW w:w="2970" w:type="dxa"/>
            <w:shd w:val="clear" w:color="auto" w:fill="auto"/>
            <w:vAlign w:val="center"/>
          </w:tcPr>
          <w:p w14:paraId="40EC82B2" w14:textId="238DB784" w:rsidR="00373646" w:rsidRPr="008C3753" w:rsidRDefault="00373646" w:rsidP="0051640D">
            <w:pPr>
              <w:spacing w:before="20" w:after="20"/>
              <w:rPr>
                <w:sz w:val="20"/>
                <w:szCs w:val="20"/>
              </w:rPr>
            </w:pPr>
            <w:r w:rsidRPr="008C3753">
              <w:rPr>
                <w:rFonts w:cs="Calibri Light"/>
                <w:sz w:val="20"/>
                <w:szCs w:val="20"/>
              </w:rPr>
              <w:t>10</w:t>
            </w:r>
            <w:r w:rsidR="007C4AC5">
              <w:rPr>
                <w:rFonts w:cs="Calibri Light"/>
                <w:sz w:val="20"/>
                <w:szCs w:val="20"/>
              </w:rPr>
              <w:t xml:space="preserve"> </w:t>
            </w:r>
            <w:r w:rsidRPr="008C3753">
              <w:rPr>
                <w:rFonts w:cs="Calibri Light"/>
                <w:sz w:val="20"/>
                <w:szCs w:val="20"/>
              </w:rPr>
              <w:t>CFR § 431.66</w:t>
            </w:r>
          </w:p>
        </w:tc>
        <w:tc>
          <w:tcPr>
            <w:tcW w:w="1957" w:type="dxa"/>
            <w:shd w:val="clear" w:color="auto" w:fill="auto"/>
            <w:vAlign w:val="center"/>
          </w:tcPr>
          <w:p w14:paraId="4C5EBA49" w14:textId="30D0027B" w:rsidR="00373646" w:rsidRPr="008C3753" w:rsidRDefault="00587F8C" w:rsidP="0051640D">
            <w:pPr>
              <w:spacing w:before="20" w:after="20"/>
              <w:rPr>
                <w:sz w:val="20"/>
                <w:szCs w:val="20"/>
              </w:rPr>
            </w:pPr>
            <w:r>
              <w:rPr>
                <w:rFonts w:cstheme="minorHAnsi"/>
                <w:sz w:val="20"/>
                <w:szCs w:val="20"/>
              </w:rPr>
              <w:t>March 28, 2017</w:t>
            </w:r>
          </w:p>
        </w:tc>
      </w:tr>
    </w:tbl>
    <w:p w14:paraId="0C9BD231" w14:textId="0EAE6ADD" w:rsidR="002B6870" w:rsidRDefault="002B6870" w:rsidP="002E0D62"/>
    <w:p w14:paraId="28A3960A" w14:textId="6297C4AC" w:rsidR="00587F8C" w:rsidRDefault="00587F8C" w:rsidP="00587F8C">
      <w:pPr>
        <w:rPr>
          <w:rFonts w:cs="Calibri Light"/>
          <w:szCs w:val="22"/>
        </w:rPr>
      </w:pPr>
      <w:r>
        <w:rPr>
          <w:rFonts w:cs="Calibri Light"/>
          <w:szCs w:val="22"/>
        </w:rPr>
        <w:t>Each</w:t>
      </w:r>
      <w:r w:rsidRPr="00BF7A7A">
        <w:rPr>
          <w:rFonts w:cs="Calibri Light"/>
          <w:szCs w:val="22"/>
        </w:rPr>
        <w:t xml:space="preserve"> commercial refrigerator, freezer, and refrigerator-freezer with a self-contained condensing unit designed for holding temperature applications</w:t>
      </w:r>
      <w:r>
        <w:rPr>
          <w:rFonts w:cs="Calibri Light"/>
          <w:szCs w:val="22"/>
        </w:rPr>
        <w:t>,</w:t>
      </w:r>
      <w:r w:rsidRPr="00BF7A7A">
        <w:rPr>
          <w:rFonts w:cs="Calibri Light"/>
          <w:szCs w:val="22"/>
        </w:rPr>
        <w:t xml:space="preserve"> manufactured on or after </w:t>
      </w:r>
      <w:r w:rsidR="002E18BF">
        <w:rPr>
          <w:rFonts w:cs="Calibri Light"/>
          <w:szCs w:val="22"/>
        </w:rPr>
        <w:t>March</w:t>
      </w:r>
      <w:r w:rsidRPr="00BF7A7A">
        <w:rPr>
          <w:rFonts w:cs="Calibri Light"/>
          <w:szCs w:val="22"/>
        </w:rPr>
        <w:t xml:space="preserve"> 1, 201</w:t>
      </w:r>
      <w:r w:rsidR="002E18BF">
        <w:rPr>
          <w:rFonts w:cs="Calibri Light"/>
          <w:szCs w:val="22"/>
        </w:rPr>
        <w:t>7</w:t>
      </w:r>
      <w:r w:rsidRPr="00BF7A7A">
        <w:rPr>
          <w:rFonts w:cs="Calibri Light"/>
          <w:szCs w:val="22"/>
        </w:rPr>
        <w:t xml:space="preserve">, shall have a daily energy </w:t>
      </w:r>
      <w:r w:rsidR="006D508D">
        <w:rPr>
          <w:rFonts w:cs="Calibri Light"/>
          <w:szCs w:val="22"/>
        </w:rPr>
        <w:t>usage</w:t>
      </w:r>
      <w:r w:rsidRPr="00BF7A7A">
        <w:rPr>
          <w:rFonts w:cs="Calibri Light"/>
          <w:szCs w:val="22"/>
        </w:rPr>
        <w:t xml:space="preserve"> that does not exceed </w:t>
      </w:r>
      <w:r>
        <w:rPr>
          <w:rFonts w:cs="Calibri Light"/>
          <w:szCs w:val="22"/>
        </w:rPr>
        <w:t xml:space="preserve">usage specified in the table below. </w:t>
      </w:r>
    </w:p>
    <w:p w14:paraId="29C33379" w14:textId="6F58DEDA" w:rsidR="002E18BF" w:rsidRDefault="002E18BF" w:rsidP="002E18BF">
      <w:pPr>
        <w:pStyle w:val="Caption"/>
      </w:pPr>
      <w:r>
        <w:t>Federal DOE</w:t>
      </w:r>
      <w:r>
        <w:rPr>
          <w:vertAlign w:val="superscript"/>
        </w:rPr>
        <w:t xml:space="preserve"> </w:t>
      </w:r>
      <w:r>
        <w:t xml:space="preserve">Requirements for Reach-In Refrigerators and Freezers </w:t>
      </w:r>
    </w:p>
    <w:tbl>
      <w:tblPr>
        <w:tblStyle w:val="TableGrid11"/>
        <w:tblW w:w="4991"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29"/>
        <w:gridCol w:w="1759"/>
        <w:gridCol w:w="3252"/>
        <w:gridCol w:w="1493"/>
      </w:tblGrid>
      <w:tr w:rsidR="002E18BF" w:rsidRPr="002E18BF" w14:paraId="4DC9D706" w14:textId="77777777" w:rsidTr="00533411">
        <w:tc>
          <w:tcPr>
            <w:tcW w:w="1515" w:type="pct"/>
            <w:shd w:val="clear" w:color="auto" w:fill="F2F2F2" w:themeFill="background1" w:themeFillShade="F2"/>
            <w:vAlign w:val="bottom"/>
            <w:hideMark/>
          </w:tcPr>
          <w:p w14:paraId="023CA1EC" w14:textId="6351F398" w:rsidR="002E18BF" w:rsidRPr="002E18BF" w:rsidRDefault="002E18BF" w:rsidP="002E18BF">
            <w:pPr>
              <w:spacing w:before="0" w:after="0" w:line="240" w:lineRule="auto"/>
              <w:jc w:val="center"/>
              <w:rPr>
                <w:rFonts w:cs="Calibri Light"/>
                <w:b/>
                <w:bCs/>
                <w:sz w:val="20"/>
              </w:rPr>
            </w:pPr>
            <w:r w:rsidRPr="002E18BF">
              <w:rPr>
                <w:rFonts w:cs="Calibri Light"/>
                <w:b/>
                <w:bCs/>
                <w:sz w:val="20"/>
              </w:rPr>
              <w:t>Equipment Description (ft</w:t>
            </w:r>
            <w:r w:rsidRPr="002E18BF">
              <w:rPr>
                <w:rFonts w:cs="Calibri Light"/>
                <w:b/>
                <w:bCs/>
                <w:sz w:val="20"/>
                <w:vertAlign w:val="superscript"/>
              </w:rPr>
              <w:t>3</w:t>
            </w:r>
            <w:r w:rsidRPr="002E18BF">
              <w:rPr>
                <w:rFonts w:cs="Calibri Light"/>
                <w:b/>
                <w:bCs/>
                <w:sz w:val="20"/>
              </w:rPr>
              <w:t>)</w:t>
            </w:r>
          </w:p>
        </w:tc>
        <w:tc>
          <w:tcPr>
            <w:tcW w:w="942" w:type="pct"/>
            <w:shd w:val="clear" w:color="auto" w:fill="F2F2F2" w:themeFill="background1" w:themeFillShade="F2"/>
            <w:vAlign w:val="bottom"/>
            <w:hideMark/>
          </w:tcPr>
          <w:p w14:paraId="6B1C9E8B" w14:textId="77777777" w:rsidR="002E18BF" w:rsidRPr="002E18BF" w:rsidRDefault="002E18BF" w:rsidP="002E18BF">
            <w:pPr>
              <w:spacing w:before="0" w:after="0" w:line="240" w:lineRule="auto"/>
              <w:jc w:val="center"/>
              <w:rPr>
                <w:rFonts w:cs="Calibri Light"/>
                <w:b/>
                <w:sz w:val="20"/>
              </w:rPr>
            </w:pPr>
            <w:r w:rsidRPr="002E18BF">
              <w:rPr>
                <w:rFonts w:cs="Calibri Light"/>
                <w:b/>
                <w:bCs/>
                <w:sz w:val="20"/>
              </w:rPr>
              <w:t>DOE Refrigeration Type Designation</w:t>
            </w:r>
          </w:p>
        </w:tc>
        <w:tc>
          <w:tcPr>
            <w:tcW w:w="1742" w:type="pct"/>
            <w:shd w:val="clear" w:color="auto" w:fill="F2F2F2" w:themeFill="background1" w:themeFillShade="F2"/>
            <w:vAlign w:val="bottom"/>
            <w:hideMark/>
          </w:tcPr>
          <w:p w14:paraId="43FB2319" w14:textId="77777777" w:rsidR="002E18BF" w:rsidRPr="002E18BF" w:rsidRDefault="002E18BF" w:rsidP="002E18BF">
            <w:pPr>
              <w:spacing w:before="0" w:after="0" w:line="240" w:lineRule="auto"/>
              <w:jc w:val="center"/>
              <w:rPr>
                <w:rFonts w:cs="Calibri Light"/>
                <w:b/>
                <w:bCs/>
                <w:sz w:val="20"/>
              </w:rPr>
            </w:pPr>
            <w:r w:rsidRPr="002E18BF">
              <w:rPr>
                <w:rFonts w:cs="Calibri Light"/>
                <w:b/>
                <w:bCs/>
                <w:sz w:val="20"/>
              </w:rPr>
              <w:t>DOE description</w:t>
            </w:r>
          </w:p>
        </w:tc>
        <w:tc>
          <w:tcPr>
            <w:tcW w:w="800" w:type="pct"/>
            <w:shd w:val="clear" w:color="auto" w:fill="F2F2F2" w:themeFill="background1" w:themeFillShade="F2"/>
            <w:vAlign w:val="bottom"/>
            <w:hideMark/>
          </w:tcPr>
          <w:p w14:paraId="147E5685" w14:textId="77777777" w:rsidR="002E18BF" w:rsidRPr="002E18BF" w:rsidRDefault="002E18BF" w:rsidP="002E18BF">
            <w:pPr>
              <w:spacing w:before="0" w:after="0" w:line="240" w:lineRule="auto"/>
              <w:jc w:val="center"/>
              <w:rPr>
                <w:rFonts w:cs="Calibri Light"/>
                <w:b/>
                <w:sz w:val="20"/>
              </w:rPr>
            </w:pPr>
            <w:r w:rsidRPr="002E18BF">
              <w:rPr>
                <w:rFonts w:cs="Calibri Light"/>
                <w:b/>
                <w:bCs/>
                <w:sz w:val="20"/>
              </w:rPr>
              <w:t>Daily Energy Usage</w:t>
            </w:r>
            <w:r w:rsidRPr="002E18BF">
              <w:rPr>
                <w:rFonts w:cs="Calibri Light"/>
                <w:b/>
                <w:bCs/>
                <w:sz w:val="20"/>
              </w:rPr>
              <w:br/>
              <w:t>(kWh/day)</w:t>
            </w:r>
          </w:p>
        </w:tc>
      </w:tr>
      <w:tr w:rsidR="002E18BF" w:rsidRPr="002E18BF" w14:paraId="31D983C2" w14:textId="77777777" w:rsidTr="00533411">
        <w:trPr>
          <w:trHeight w:val="243"/>
        </w:trPr>
        <w:tc>
          <w:tcPr>
            <w:tcW w:w="1515" w:type="pct"/>
            <w:vAlign w:val="center"/>
            <w:hideMark/>
          </w:tcPr>
          <w:p w14:paraId="534AEF8C" w14:textId="77777777" w:rsidR="002E18BF" w:rsidRPr="002E18BF" w:rsidRDefault="002E18BF" w:rsidP="002E18BF">
            <w:pPr>
              <w:spacing w:before="0" w:after="0" w:line="240" w:lineRule="auto"/>
              <w:rPr>
                <w:rFonts w:cs="Calibri Light"/>
                <w:sz w:val="20"/>
              </w:rPr>
            </w:pPr>
            <w:r w:rsidRPr="002E18BF">
              <w:rPr>
                <w:rFonts w:cs="Calibri Light"/>
                <w:sz w:val="20"/>
              </w:rPr>
              <w:t>Solid-Door Reach-In Refrigerator</w:t>
            </w:r>
          </w:p>
        </w:tc>
        <w:tc>
          <w:tcPr>
            <w:tcW w:w="942" w:type="pct"/>
            <w:vAlign w:val="center"/>
            <w:hideMark/>
          </w:tcPr>
          <w:p w14:paraId="7CD4BD0D" w14:textId="77777777" w:rsidR="002E18BF" w:rsidRPr="002E18BF" w:rsidRDefault="002E18BF" w:rsidP="002E18BF">
            <w:pPr>
              <w:spacing w:before="0" w:after="0" w:line="240" w:lineRule="auto"/>
              <w:jc w:val="center"/>
              <w:rPr>
                <w:rFonts w:cs="Calibri Light"/>
                <w:sz w:val="20"/>
              </w:rPr>
            </w:pPr>
            <w:r w:rsidRPr="002E18BF">
              <w:rPr>
                <w:rFonts w:cs="Calibri Light"/>
                <w:sz w:val="20"/>
              </w:rPr>
              <w:t>VCS.SC.M</w:t>
            </w:r>
          </w:p>
        </w:tc>
        <w:tc>
          <w:tcPr>
            <w:tcW w:w="1742" w:type="pct"/>
            <w:vAlign w:val="center"/>
            <w:hideMark/>
          </w:tcPr>
          <w:p w14:paraId="08658AD8" w14:textId="77777777" w:rsidR="002E18BF" w:rsidRPr="002E18BF" w:rsidRDefault="002E18BF" w:rsidP="002E18BF">
            <w:pPr>
              <w:spacing w:before="0" w:after="0" w:line="240" w:lineRule="auto"/>
              <w:rPr>
                <w:rFonts w:cs="Calibri Light"/>
                <w:sz w:val="20"/>
              </w:rPr>
            </w:pPr>
            <w:r w:rsidRPr="002E18BF">
              <w:rPr>
                <w:rFonts w:cs="Calibri Light"/>
                <w:sz w:val="20"/>
              </w:rPr>
              <w:t>Vertical Closed Solid, Self-Contained, Medium temp</w:t>
            </w:r>
          </w:p>
        </w:tc>
        <w:tc>
          <w:tcPr>
            <w:tcW w:w="800" w:type="pct"/>
            <w:vAlign w:val="center"/>
            <w:hideMark/>
          </w:tcPr>
          <w:p w14:paraId="3A8C4255" w14:textId="77777777" w:rsidR="002E18BF" w:rsidRPr="002E18BF" w:rsidRDefault="002E18BF" w:rsidP="002E18BF">
            <w:pPr>
              <w:spacing w:before="0" w:after="0" w:line="240" w:lineRule="auto"/>
              <w:jc w:val="center"/>
              <w:rPr>
                <w:rFonts w:cs="Calibri Light"/>
                <w:sz w:val="20"/>
              </w:rPr>
            </w:pPr>
            <w:r w:rsidRPr="002E18BF">
              <w:rPr>
                <w:rFonts w:cs="Calibri Light"/>
                <w:sz w:val="20"/>
              </w:rPr>
              <w:sym w:font="Symbol" w:char="F0A3"/>
            </w:r>
            <w:r w:rsidRPr="002E18BF">
              <w:rPr>
                <w:rFonts w:cs="Calibri Light"/>
                <w:sz w:val="20"/>
              </w:rPr>
              <w:t xml:space="preserve"> 0.05V*+1.36</w:t>
            </w:r>
          </w:p>
        </w:tc>
      </w:tr>
      <w:tr w:rsidR="002E18BF" w:rsidRPr="002E18BF" w14:paraId="73BC14B8" w14:textId="77777777" w:rsidTr="00533411">
        <w:trPr>
          <w:trHeight w:val="243"/>
        </w:trPr>
        <w:tc>
          <w:tcPr>
            <w:tcW w:w="1515" w:type="pct"/>
            <w:vAlign w:val="center"/>
            <w:hideMark/>
          </w:tcPr>
          <w:p w14:paraId="00A06AE5" w14:textId="77777777" w:rsidR="002E18BF" w:rsidRPr="002E18BF" w:rsidRDefault="002E18BF" w:rsidP="002E18BF">
            <w:pPr>
              <w:spacing w:before="0" w:after="0" w:line="240" w:lineRule="auto"/>
              <w:rPr>
                <w:rFonts w:cs="Calibri Light"/>
                <w:sz w:val="20"/>
              </w:rPr>
            </w:pPr>
            <w:r w:rsidRPr="002E18BF">
              <w:rPr>
                <w:rFonts w:cs="Calibri Light"/>
                <w:sz w:val="20"/>
              </w:rPr>
              <w:t>Solid-Door Reach-In Freezer</w:t>
            </w:r>
          </w:p>
        </w:tc>
        <w:tc>
          <w:tcPr>
            <w:tcW w:w="942" w:type="pct"/>
            <w:vAlign w:val="center"/>
            <w:hideMark/>
          </w:tcPr>
          <w:p w14:paraId="25317643" w14:textId="77777777" w:rsidR="002E18BF" w:rsidRPr="002E18BF" w:rsidRDefault="002E18BF" w:rsidP="002E18BF">
            <w:pPr>
              <w:spacing w:before="0" w:after="0" w:line="240" w:lineRule="auto"/>
              <w:jc w:val="center"/>
              <w:rPr>
                <w:rFonts w:cs="Calibri Light"/>
                <w:sz w:val="20"/>
              </w:rPr>
            </w:pPr>
            <w:r w:rsidRPr="002E18BF">
              <w:rPr>
                <w:rFonts w:cs="Calibri Light"/>
                <w:sz w:val="20"/>
              </w:rPr>
              <w:t>VCS.SC.L</w:t>
            </w:r>
          </w:p>
        </w:tc>
        <w:tc>
          <w:tcPr>
            <w:tcW w:w="1742" w:type="pct"/>
            <w:vAlign w:val="center"/>
            <w:hideMark/>
          </w:tcPr>
          <w:p w14:paraId="75929C1D" w14:textId="77777777" w:rsidR="002E18BF" w:rsidRPr="002E18BF" w:rsidRDefault="002E18BF" w:rsidP="002E18BF">
            <w:pPr>
              <w:spacing w:before="0" w:after="0" w:line="240" w:lineRule="auto"/>
              <w:rPr>
                <w:rFonts w:cs="Calibri Light"/>
                <w:sz w:val="20"/>
              </w:rPr>
            </w:pPr>
            <w:r w:rsidRPr="002E18BF">
              <w:rPr>
                <w:rFonts w:cs="Calibri Light"/>
                <w:sz w:val="20"/>
              </w:rPr>
              <w:t>Vertical Closed Solid, Self-Contained, Low temp</w:t>
            </w:r>
          </w:p>
        </w:tc>
        <w:tc>
          <w:tcPr>
            <w:tcW w:w="800" w:type="pct"/>
            <w:vAlign w:val="center"/>
            <w:hideMark/>
          </w:tcPr>
          <w:p w14:paraId="147BFD96" w14:textId="77777777" w:rsidR="002E18BF" w:rsidRPr="002E18BF" w:rsidRDefault="002E18BF" w:rsidP="002E18BF">
            <w:pPr>
              <w:spacing w:before="0" w:after="0" w:line="240" w:lineRule="auto"/>
              <w:jc w:val="center"/>
              <w:rPr>
                <w:rFonts w:cs="Calibri Light"/>
                <w:sz w:val="20"/>
              </w:rPr>
            </w:pPr>
            <w:r w:rsidRPr="002E18BF">
              <w:rPr>
                <w:rFonts w:cs="Calibri Light"/>
                <w:sz w:val="20"/>
              </w:rPr>
              <w:sym w:font="Symbol" w:char="F0A3"/>
            </w:r>
            <w:r w:rsidRPr="002E18BF">
              <w:rPr>
                <w:rFonts w:cs="Calibri Light"/>
                <w:sz w:val="20"/>
              </w:rPr>
              <w:t xml:space="preserve"> 0.22V+1.38</w:t>
            </w:r>
          </w:p>
        </w:tc>
      </w:tr>
      <w:tr w:rsidR="002E18BF" w:rsidRPr="002E18BF" w14:paraId="3BEF8168" w14:textId="77777777" w:rsidTr="00533411">
        <w:trPr>
          <w:trHeight w:val="243"/>
        </w:trPr>
        <w:tc>
          <w:tcPr>
            <w:tcW w:w="1515" w:type="pct"/>
            <w:vAlign w:val="center"/>
            <w:hideMark/>
          </w:tcPr>
          <w:p w14:paraId="1173BDA6" w14:textId="77777777" w:rsidR="002E18BF" w:rsidRPr="002E18BF" w:rsidRDefault="002E18BF" w:rsidP="002E18BF">
            <w:pPr>
              <w:spacing w:before="0" w:after="0" w:line="240" w:lineRule="auto"/>
              <w:rPr>
                <w:rFonts w:cs="Calibri Light"/>
                <w:sz w:val="20"/>
              </w:rPr>
            </w:pPr>
            <w:r w:rsidRPr="002E18BF">
              <w:rPr>
                <w:rFonts w:cs="Calibri Light"/>
                <w:sz w:val="20"/>
              </w:rPr>
              <w:t>Glass-Door Reach-In Refrigerator</w:t>
            </w:r>
          </w:p>
        </w:tc>
        <w:tc>
          <w:tcPr>
            <w:tcW w:w="942" w:type="pct"/>
            <w:vAlign w:val="center"/>
            <w:hideMark/>
          </w:tcPr>
          <w:p w14:paraId="203F44E0" w14:textId="77777777" w:rsidR="002E18BF" w:rsidRPr="002E18BF" w:rsidRDefault="002E18BF" w:rsidP="002E18BF">
            <w:pPr>
              <w:spacing w:before="0" w:after="0" w:line="240" w:lineRule="auto"/>
              <w:jc w:val="center"/>
              <w:rPr>
                <w:rFonts w:cs="Calibri Light"/>
                <w:sz w:val="20"/>
              </w:rPr>
            </w:pPr>
            <w:r w:rsidRPr="002E18BF">
              <w:rPr>
                <w:rFonts w:cs="Calibri Light"/>
                <w:sz w:val="20"/>
              </w:rPr>
              <w:t>VCT.SC.M</w:t>
            </w:r>
          </w:p>
        </w:tc>
        <w:tc>
          <w:tcPr>
            <w:tcW w:w="1742" w:type="pct"/>
            <w:vAlign w:val="center"/>
            <w:hideMark/>
          </w:tcPr>
          <w:p w14:paraId="3642085D" w14:textId="77777777" w:rsidR="002E18BF" w:rsidRPr="002E18BF" w:rsidRDefault="002E18BF" w:rsidP="002E18BF">
            <w:pPr>
              <w:spacing w:before="0" w:after="0" w:line="240" w:lineRule="auto"/>
              <w:rPr>
                <w:rFonts w:cs="Calibri Light"/>
                <w:sz w:val="20"/>
              </w:rPr>
            </w:pPr>
            <w:r w:rsidRPr="002E18BF">
              <w:rPr>
                <w:rFonts w:cs="Calibri Light"/>
                <w:sz w:val="20"/>
              </w:rPr>
              <w:t>Vertical Closed Transparent, Self-Contained, Medium temp</w:t>
            </w:r>
          </w:p>
        </w:tc>
        <w:tc>
          <w:tcPr>
            <w:tcW w:w="800" w:type="pct"/>
            <w:vAlign w:val="center"/>
            <w:hideMark/>
          </w:tcPr>
          <w:p w14:paraId="1E479A19" w14:textId="670FB537" w:rsidR="002E18BF" w:rsidRPr="002E18BF" w:rsidRDefault="002E18BF" w:rsidP="002E18BF">
            <w:pPr>
              <w:spacing w:before="0" w:after="0" w:line="240" w:lineRule="auto"/>
              <w:jc w:val="center"/>
              <w:rPr>
                <w:rFonts w:cs="Calibri Light"/>
                <w:sz w:val="20"/>
              </w:rPr>
            </w:pPr>
            <w:r w:rsidRPr="002E18BF">
              <w:rPr>
                <w:rFonts w:cs="Calibri Light"/>
                <w:sz w:val="20"/>
              </w:rPr>
              <w:sym w:font="Symbol" w:char="F0A3"/>
            </w:r>
            <w:r w:rsidRPr="002E18BF">
              <w:rPr>
                <w:rFonts w:cs="Calibri Light"/>
                <w:sz w:val="20"/>
              </w:rPr>
              <w:t xml:space="preserve"> 0.1V+0.86</w:t>
            </w:r>
          </w:p>
        </w:tc>
      </w:tr>
      <w:tr w:rsidR="002E18BF" w:rsidRPr="002E18BF" w14:paraId="0E5E8428" w14:textId="77777777" w:rsidTr="00533411">
        <w:trPr>
          <w:trHeight w:val="243"/>
        </w:trPr>
        <w:tc>
          <w:tcPr>
            <w:tcW w:w="1515" w:type="pct"/>
            <w:vAlign w:val="center"/>
            <w:hideMark/>
          </w:tcPr>
          <w:p w14:paraId="6E4441D4" w14:textId="77777777" w:rsidR="002E18BF" w:rsidRPr="002E18BF" w:rsidRDefault="002E18BF" w:rsidP="002E18BF">
            <w:pPr>
              <w:spacing w:before="0" w:after="0" w:line="240" w:lineRule="auto"/>
              <w:rPr>
                <w:rFonts w:cs="Calibri Light"/>
                <w:sz w:val="20"/>
              </w:rPr>
            </w:pPr>
            <w:r w:rsidRPr="002E18BF">
              <w:rPr>
                <w:rFonts w:cs="Calibri Light"/>
                <w:sz w:val="20"/>
              </w:rPr>
              <w:t>Glass-Door Reach-In Freezer</w:t>
            </w:r>
          </w:p>
        </w:tc>
        <w:tc>
          <w:tcPr>
            <w:tcW w:w="942" w:type="pct"/>
            <w:vAlign w:val="center"/>
            <w:hideMark/>
          </w:tcPr>
          <w:p w14:paraId="4B9E540E" w14:textId="77777777" w:rsidR="002E18BF" w:rsidRPr="002E18BF" w:rsidRDefault="002E18BF" w:rsidP="002E18BF">
            <w:pPr>
              <w:spacing w:before="0" w:after="0" w:line="240" w:lineRule="auto"/>
              <w:jc w:val="center"/>
              <w:rPr>
                <w:rFonts w:cs="Calibri Light"/>
                <w:sz w:val="20"/>
              </w:rPr>
            </w:pPr>
            <w:r w:rsidRPr="002E18BF">
              <w:rPr>
                <w:rFonts w:cs="Calibri Light"/>
                <w:sz w:val="20"/>
              </w:rPr>
              <w:t>VCT.SC.L</w:t>
            </w:r>
          </w:p>
        </w:tc>
        <w:tc>
          <w:tcPr>
            <w:tcW w:w="1742" w:type="pct"/>
            <w:vAlign w:val="center"/>
            <w:hideMark/>
          </w:tcPr>
          <w:p w14:paraId="140B889C" w14:textId="77777777" w:rsidR="002E18BF" w:rsidRPr="002E18BF" w:rsidRDefault="002E18BF" w:rsidP="002E18BF">
            <w:pPr>
              <w:spacing w:before="0" w:after="0" w:line="240" w:lineRule="auto"/>
              <w:rPr>
                <w:rFonts w:cs="Calibri Light"/>
                <w:sz w:val="20"/>
              </w:rPr>
            </w:pPr>
            <w:r w:rsidRPr="002E18BF">
              <w:rPr>
                <w:rFonts w:cs="Calibri Light"/>
                <w:sz w:val="20"/>
              </w:rPr>
              <w:t>Vertical Closed Transparent, Self-Contained, Low temp</w:t>
            </w:r>
          </w:p>
        </w:tc>
        <w:tc>
          <w:tcPr>
            <w:tcW w:w="800" w:type="pct"/>
            <w:vAlign w:val="center"/>
            <w:hideMark/>
          </w:tcPr>
          <w:p w14:paraId="19849540" w14:textId="77777777" w:rsidR="002E18BF" w:rsidRPr="002E18BF" w:rsidRDefault="002E18BF" w:rsidP="002E18BF">
            <w:pPr>
              <w:spacing w:before="0" w:after="0" w:line="240" w:lineRule="auto"/>
              <w:jc w:val="center"/>
              <w:rPr>
                <w:rFonts w:cs="Calibri Light"/>
                <w:sz w:val="20"/>
              </w:rPr>
            </w:pPr>
            <w:r w:rsidRPr="002E18BF">
              <w:rPr>
                <w:rFonts w:cs="Calibri Light"/>
                <w:sz w:val="20"/>
              </w:rPr>
              <w:sym w:font="Symbol" w:char="F0A3"/>
            </w:r>
            <w:r w:rsidRPr="002E18BF">
              <w:rPr>
                <w:rFonts w:cs="Calibri Light"/>
                <w:sz w:val="20"/>
              </w:rPr>
              <w:t xml:space="preserve"> 0.29V+2.95</w:t>
            </w:r>
          </w:p>
        </w:tc>
      </w:tr>
    </w:tbl>
    <w:p w14:paraId="5B00A615" w14:textId="460517BC" w:rsidR="002E18BF" w:rsidRDefault="002E18BF" w:rsidP="002E18BF">
      <w:pPr>
        <w:pStyle w:val="eTRMTableFootnote"/>
        <w:rPr>
          <w:rFonts w:eastAsia="Times New Roman" w:cs="Times New Roman"/>
        </w:rPr>
      </w:pPr>
      <w:r>
        <w:t>V = internal volume in cubic feet.</w:t>
      </w:r>
    </w:p>
    <w:p w14:paraId="09E8FBC9" w14:textId="4A100039" w:rsidR="002E18BF" w:rsidRDefault="002E18BF" w:rsidP="002B6870">
      <w:pPr>
        <w:spacing w:before="0" w:line="240" w:lineRule="auto"/>
        <w:rPr>
          <w:rFonts w:cs="Calibri Light"/>
          <w:szCs w:val="22"/>
        </w:rPr>
      </w:pPr>
    </w:p>
    <w:p w14:paraId="27473F50" w14:textId="2068CB3B" w:rsidR="00587F8C" w:rsidRDefault="00587F8C" w:rsidP="002B6870">
      <w:pPr>
        <w:spacing w:before="0" w:line="240" w:lineRule="auto"/>
        <w:rPr>
          <w:rFonts w:cs="Calibri Light"/>
          <w:szCs w:val="22"/>
        </w:rPr>
      </w:pPr>
      <w:r>
        <w:rPr>
          <w:rFonts w:cs="Calibri Light"/>
          <w:szCs w:val="22"/>
        </w:rPr>
        <w:t xml:space="preserve">The California Building Energy Efficiency Standards (Title 24) do not apply because solid door and class door reach-in refrigerators and freezers. </w:t>
      </w:r>
    </w:p>
    <w:p w14:paraId="13898ECF" w14:textId="77777777" w:rsidR="00587F8C" w:rsidRDefault="00587F8C" w:rsidP="002B6870">
      <w:pPr>
        <w:spacing w:before="0" w:line="240" w:lineRule="auto"/>
        <w:rPr>
          <w:rFonts w:cs="Calibri Light"/>
          <w:szCs w:val="22"/>
        </w:rPr>
      </w:pPr>
    </w:p>
    <w:p w14:paraId="50DB5580" w14:textId="77777777" w:rsidR="007D230B" w:rsidRPr="00171BB8" w:rsidRDefault="007D230B" w:rsidP="00420958">
      <w:pPr>
        <w:pStyle w:val="eTRMHeading3"/>
      </w:pPr>
      <w:bookmarkStart w:id="18" w:name="_Toc486490851"/>
      <w:bookmarkStart w:id="19" w:name="_Toc486580922"/>
      <w:bookmarkStart w:id="20" w:name="_Toc1120814"/>
      <w:r w:rsidRPr="00A83458">
        <w:t>Normalizing</w:t>
      </w:r>
      <w:r w:rsidRPr="00171BB8">
        <w:t xml:space="preserve"> Unit</w:t>
      </w:r>
      <w:bookmarkEnd w:id="18"/>
      <w:bookmarkEnd w:id="19"/>
      <w:bookmarkEnd w:id="20"/>
    </w:p>
    <w:p w14:paraId="096BF615" w14:textId="3CC3DEB5" w:rsidR="007D230B" w:rsidRDefault="00F76BA7" w:rsidP="00486585">
      <w:r>
        <w:t>Each</w:t>
      </w:r>
    </w:p>
    <w:p w14:paraId="0DCC2A4C" w14:textId="77777777" w:rsidR="00226EEF" w:rsidRPr="007D230B" w:rsidRDefault="00226EEF" w:rsidP="00486585"/>
    <w:p w14:paraId="6C7F4E98" w14:textId="77777777" w:rsidR="007D230B" w:rsidRPr="004B06E3" w:rsidRDefault="007D230B" w:rsidP="0051640D">
      <w:pPr>
        <w:pStyle w:val="eTRMHeading3"/>
        <w:keepNext w:val="0"/>
        <w:keepLines w:val="0"/>
      </w:pPr>
      <w:bookmarkStart w:id="21" w:name="_Toc486490852"/>
      <w:bookmarkStart w:id="22" w:name="_Toc486580923"/>
      <w:bookmarkStart w:id="23" w:name="_Toc1120815"/>
      <w:r w:rsidRPr="004B06E3">
        <w:t>Program Requirements</w:t>
      </w:r>
      <w:bookmarkEnd w:id="21"/>
      <w:bookmarkEnd w:id="22"/>
      <w:bookmarkEnd w:id="23"/>
      <w:r w:rsidRPr="004B06E3">
        <w:t xml:space="preserve"> </w:t>
      </w:r>
    </w:p>
    <w:p w14:paraId="1678E629" w14:textId="77777777" w:rsidR="00100DF1" w:rsidRPr="000229F1" w:rsidRDefault="00100DF1" w:rsidP="0051640D">
      <w:pPr>
        <w:pStyle w:val="eTRMHeading5"/>
      </w:pPr>
      <w:bookmarkStart w:id="24" w:name="_Hlk516047641"/>
      <w:r>
        <w:t xml:space="preserve">Measure </w:t>
      </w:r>
      <w:r w:rsidRPr="000229F1">
        <w:t>Implementation Eligibility</w:t>
      </w:r>
    </w:p>
    <w:p w14:paraId="331C6C44" w14:textId="77777777" w:rsidR="0051640D" w:rsidRDefault="0051640D" w:rsidP="0051640D">
      <w:bookmarkStart w:id="25" w:name="_Hlk527543844"/>
      <w:bookmarkStart w:id="26"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5"/>
    </w:p>
    <w:bookmarkEnd w:id="26"/>
    <w:p w14:paraId="647240C5" w14:textId="77777777" w:rsidR="0051640D" w:rsidRPr="00CC4643" w:rsidRDefault="0051640D" w:rsidP="0051640D">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bookmarkEnd w:id="24"/>
    <w:p w14:paraId="7AD4A201" w14:textId="77777777" w:rsidR="00F25350" w:rsidRDefault="00F25350" w:rsidP="00F25350">
      <w:pPr>
        <w:pStyle w:val="Caption"/>
        <w:keepNext w:val="0"/>
        <w:keepLines w:val="0"/>
      </w:pPr>
      <w:r>
        <w:t>Implementation Eligibility for Investor-Owned Utilities</w:t>
      </w:r>
    </w:p>
    <w:tbl>
      <w:tblPr>
        <w:tblW w:w="907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263"/>
        <w:gridCol w:w="2790"/>
        <w:gridCol w:w="3024"/>
      </w:tblGrid>
      <w:tr w:rsidR="00F25350" w14:paraId="7E163460" w14:textId="77777777" w:rsidTr="00A67A70">
        <w:trPr>
          <w:cantSplit/>
          <w:trHeight w:val="20"/>
          <w:tblHeader/>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4A580210" w14:textId="77777777" w:rsidR="00F25350" w:rsidRPr="00830614" w:rsidRDefault="00F25350" w:rsidP="00A67A70">
            <w:pPr>
              <w:spacing w:before="0" w:after="0" w:line="240" w:lineRule="exact"/>
              <w:rPr>
                <w:b/>
                <w:bCs/>
                <w:sz w:val="20"/>
                <w:szCs w:val="20"/>
              </w:rPr>
            </w:pPr>
            <w:r w:rsidRPr="00830614">
              <w:rPr>
                <w:b/>
                <w:bCs/>
                <w:sz w:val="20"/>
                <w:szCs w:val="20"/>
              </w:rPr>
              <w:t>Measure Application Type</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2D5409D6" w14:textId="77777777" w:rsidR="00F25350" w:rsidRPr="00830614" w:rsidRDefault="00F25350" w:rsidP="00A67A70">
            <w:pPr>
              <w:spacing w:before="0" w:after="0" w:line="240" w:lineRule="exact"/>
              <w:rPr>
                <w:b/>
                <w:bCs/>
                <w:sz w:val="20"/>
                <w:szCs w:val="20"/>
              </w:rPr>
            </w:pPr>
            <w:r w:rsidRPr="00830614">
              <w:rPr>
                <w:b/>
                <w:bCs/>
                <w:sz w:val="20"/>
                <w:szCs w:val="20"/>
              </w:rPr>
              <w:t>Delivery Type</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0C0A3169" w14:textId="77777777" w:rsidR="00F25350" w:rsidRPr="00830614" w:rsidRDefault="00F25350" w:rsidP="00A67A70">
            <w:pPr>
              <w:spacing w:before="0" w:after="0" w:line="240" w:lineRule="exact"/>
              <w:rPr>
                <w:b/>
                <w:bCs/>
                <w:sz w:val="20"/>
                <w:szCs w:val="20"/>
              </w:rPr>
            </w:pPr>
            <w:r w:rsidRPr="00830614">
              <w:rPr>
                <w:b/>
                <w:bCs/>
                <w:sz w:val="20"/>
                <w:szCs w:val="20"/>
              </w:rPr>
              <w:t>Sector</w:t>
            </w:r>
          </w:p>
        </w:tc>
      </w:tr>
      <w:tr w:rsidR="00F25350" w14:paraId="59EB0E86" w14:textId="77777777" w:rsidTr="00A67A7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A55DC0A" w14:textId="77777777" w:rsidR="00F25350" w:rsidRPr="00830614" w:rsidRDefault="00F25350" w:rsidP="00A67A70">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AE731D7" w14:textId="298A95CC" w:rsidR="00F25350" w:rsidRPr="00830614" w:rsidRDefault="00B41D07" w:rsidP="00A67A70">
            <w:pPr>
              <w:spacing w:before="0" w:after="0" w:line="240" w:lineRule="exact"/>
              <w:rPr>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26FE683" w14:textId="77777777" w:rsidR="00F25350" w:rsidRPr="00830614" w:rsidRDefault="00F25350" w:rsidP="00A67A70">
            <w:pPr>
              <w:spacing w:before="0" w:after="0" w:line="240" w:lineRule="exact"/>
              <w:rPr>
                <w:color w:val="000000"/>
                <w:sz w:val="20"/>
                <w:szCs w:val="20"/>
              </w:rPr>
            </w:pPr>
            <w:r w:rsidRPr="00830614">
              <w:rPr>
                <w:rFonts w:cs="Calibri Light"/>
                <w:color w:val="000000"/>
                <w:sz w:val="20"/>
                <w:szCs w:val="20"/>
              </w:rPr>
              <w:t>Ag</w:t>
            </w:r>
          </w:p>
        </w:tc>
      </w:tr>
      <w:tr w:rsidR="00B41D07" w14:paraId="117B7899" w14:textId="77777777" w:rsidTr="00A67A7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99909D7" w14:textId="77777777" w:rsidR="00B41D07" w:rsidRPr="00830614" w:rsidRDefault="00B41D07" w:rsidP="00B41D07">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F1B4ACE" w14:textId="4EC71E68" w:rsidR="00B41D07" w:rsidRPr="00830614" w:rsidRDefault="00B41D07" w:rsidP="00B41D07">
            <w:pPr>
              <w:spacing w:before="0" w:after="0" w:line="240" w:lineRule="exact"/>
              <w:rPr>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511A88A" w14:textId="77777777" w:rsidR="00B41D07" w:rsidRPr="00830614" w:rsidRDefault="00B41D07" w:rsidP="00B41D07">
            <w:pPr>
              <w:spacing w:before="0" w:after="0" w:line="240" w:lineRule="exact"/>
              <w:rPr>
                <w:color w:val="000000"/>
                <w:sz w:val="20"/>
                <w:szCs w:val="20"/>
              </w:rPr>
            </w:pPr>
            <w:r w:rsidRPr="00830614">
              <w:rPr>
                <w:rFonts w:cs="Calibri Light"/>
                <w:color w:val="000000"/>
                <w:sz w:val="20"/>
                <w:szCs w:val="20"/>
              </w:rPr>
              <w:t>Ind</w:t>
            </w:r>
          </w:p>
        </w:tc>
      </w:tr>
      <w:tr w:rsidR="00B41D07" w14:paraId="5CBB8CDB" w14:textId="77777777" w:rsidTr="00A67A7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8CE3D7A" w14:textId="77777777" w:rsidR="00B41D07" w:rsidRPr="00830614" w:rsidRDefault="00B41D07" w:rsidP="00B41D07">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B195E7E" w14:textId="6CBCCBEB" w:rsidR="00B41D07" w:rsidRPr="00830614" w:rsidRDefault="00B41D07" w:rsidP="00B41D07">
            <w:pPr>
              <w:spacing w:before="0" w:after="0" w:line="240" w:lineRule="exact"/>
              <w:rPr>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74AD434" w14:textId="77777777" w:rsidR="00B41D07" w:rsidRPr="00830614" w:rsidRDefault="00B41D07" w:rsidP="00B41D07">
            <w:pPr>
              <w:spacing w:before="0" w:after="0" w:line="240" w:lineRule="exact"/>
              <w:rPr>
                <w:color w:val="000000"/>
                <w:sz w:val="20"/>
                <w:szCs w:val="20"/>
              </w:rPr>
            </w:pPr>
            <w:r w:rsidRPr="00830614">
              <w:rPr>
                <w:rFonts w:cs="Calibri Light"/>
                <w:color w:val="000000"/>
                <w:sz w:val="20"/>
                <w:szCs w:val="20"/>
              </w:rPr>
              <w:t>Com</w:t>
            </w:r>
          </w:p>
        </w:tc>
      </w:tr>
      <w:tr w:rsidR="00F25350" w:rsidRPr="002F2E43" w14:paraId="3193571A" w14:textId="77777777" w:rsidTr="00A67A7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2178FB8" w14:textId="77777777" w:rsidR="00F25350" w:rsidRPr="002F2E43" w:rsidRDefault="00F25350" w:rsidP="00A67A70">
            <w:pPr>
              <w:spacing w:before="0" w:after="0" w:line="240" w:lineRule="exact"/>
              <w:rPr>
                <w:rFonts w:cs="Calibri Light"/>
                <w:color w:val="000000"/>
                <w:sz w:val="20"/>
                <w:szCs w:val="20"/>
              </w:rPr>
            </w:pPr>
            <w:r w:rsidRPr="002F2E43">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CF1375E" w14:textId="7707F627" w:rsidR="00F25350" w:rsidRPr="002F2E43" w:rsidRDefault="00B41D07" w:rsidP="00A67A70">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CE613D3" w14:textId="77777777" w:rsidR="00F25350" w:rsidRPr="002F2E43" w:rsidRDefault="00F25350" w:rsidP="00A67A70">
            <w:pPr>
              <w:spacing w:before="0" w:after="0" w:line="240" w:lineRule="exact"/>
              <w:rPr>
                <w:rFonts w:cs="Calibri Light"/>
                <w:color w:val="000000"/>
                <w:sz w:val="20"/>
                <w:szCs w:val="20"/>
              </w:rPr>
            </w:pPr>
            <w:r w:rsidRPr="002F2E43">
              <w:rPr>
                <w:rFonts w:cs="Calibri Light"/>
                <w:color w:val="000000"/>
                <w:sz w:val="20"/>
                <w:szCs w:val="20"/>
              </w:rPr>
              <w:t>Ag</w:t>
            </w:r>
          </w:p>
        </w:tc>
      </w:tr>
      <w:tr w:rsidR="00B41D07" w:rsidRPr="002F2E43" w14:paraId="7D759D1B" w14:textId="77777777" w:rsidTr="00A67A7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C8144ED" w14:textId="77777777" w:rsidR="00B41D07" w:rsidRPr="002F2E43" w:rsidRDefault="00B41D07" w:rsidP="00B41D07">
            <w:pPr>
              <w:spacing w:before="0" w:after="0" w:line="240" w:lineRule="exact"/>
              <w:rPr>
                <w:rFonts w:cs="Calibri Light"/>
                <w:color w:val="000000"/>
                <w:sz w:val="20"/>
                <w:szCs w:val="20"/>
              </w:rPr>
            </w:pPr>
            <w:r w:rsidRPr="002F2E43">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63E390E" w14:textId="4B332B26" w:rsidR="00B41D07" w:rsidRPr="002F2E43" w:rsidRDefault="00B41D07" w:rsidP="00B41D07">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C1F726E" w14:textId="77777777" w:rsidR="00B41D07" w:rsidRPr="002F2E43" w:rsidRDefault="00B41D07" w:rsidP="00B41D07">
            <w:pPr>
              <w:spacing w:before="0" w:after="0" w:line="240" w:lineRule="exact"/>
              <w:rPr>
                <w:rFonts w:cs="Calibri Light"/>
                <w:color w:val="000000"/>
                <w:sz w:val="20"/>
                <w:szCs w:val="20"/>
              </w:rPr>
            </w:pPr>
            <w:r w:rsidRPr="002F2E43">
              <w:rPr>
                <w:rFonts w:cs="Calibri Light"/>
                <w:color w:val="000000"/>
                <w:sz w:val="20"/>
                <w:szCs w:val="20"/>
              </w:rPr>
              <w:t>Ind</w:t>
            </w:r>
          </w:p>
        </w:tc>
      </w:tr>
      <w:tr w:rsidR="00B41D07" w14:paraId="77224641" w14:textId="77777777" w:rsidTr="00A67A7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4190906" w14:textId="77777777" w:rsidR="00B41D07" w:rsidRPr="002F2E43" w:rsidRDefault="00B41D07" w:rsidP="00B41D07">
            <w:pPr>
              <w:spacing w:before="0" w:after="0" w:line="240" w:lineRule="exact"/>
              <w:rPr>
                <w:rFonts w:cs="Calibri Light"/>
                <w:color w:val="000000"/>
                <w:sz w:val="20"/>
                <w:szCs w:val="20"/>
              </w:rPr>
            </w:pPr>
            <w:r w:rsidRPr="002F2E43">
              <w:rPr>
                <w:rFonts w:cs="Calibri Light"/>
                <w:color w:val="000000"/>
                <w:sz w:val="20"/>
                <w:szCs w:val="20"/>
              </w:rPr>
              <w:lastRenderedPageBreak/>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F7BFA87" w14:textId="6E9BD52F" w:rsidR="00B41D07" w:rsidRPr="002F2E43" w:rsidRDefault="00B41D07" w:rsidP="00B41D07">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246F499" w14:textId="77777777" w:rsidR="00B41D07" w:rsidRPr="00830614" w:rsidRDefault="00B41D07" w:rsidP="00B41D07">
            <w:pPr>
              <w:spacing w:before="0" w:after="0" w:line="240" w:lineRule="exact"/>
              <w:rPr>
                <w:rFonts w:cs="Calibri Light"/>
                <w:color w:val="000000"/>
                <w:sz w:val="20"/>
                <w:szCs w:val="20"/>
              </w:rPr>
            </w:pPr>
            <w:r w:rsidRPr="002F2E43">
              <w:rPr>
                <w:rFonts w:cs="Calibri Light"/>
                <w:color w:val="000000"/>
                <w:sz w:val="20"/>
                <w:szCs w:val="20"/>
              </w:rPr>
              <w:t>Com</w:t>
            </w:r>
          </w:p>
        </w:tc>
      </w:tr>
      <w:tr w:rsidR="00F25350" w14:paraId="553F750B" w14:textId="77777777" w:rsidTr="00A67A7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8EE200D" w14:textId="77777777" w:rsidR="00F25350" w:rsidRPr="00830614" w:rsidRDefault="00F25350" w:rsidP="00A67A70">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2508DFA" w14:textId="710EA6B0" w:rsidR="00F25350" w:rsidRPr="00830614" w:rsidRDefault="00B41D07" w:rsidP="00A67A70">
            <w:pPr>
              <w:spacing w:before="0" w:after="0" w:line="240" w:lineRule="exact"/>
              <w:rPr>
                <w:rFonts w:cs="Calibri Light"/>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763A861" w14:textId="77777777" w:rsidR="00F25350" w:rsidRPr="00830614" w:rsidRDefault="00F25350" w:rsidP="00A67A70">
            <w:pPr>
              <w:spacing w:before="0" w:after="0" w:line="240" w:lineRule="exact"/>
              <w:rPr>
                <w:rFonts w:cs="Calibri Light"/>
                <w:color w:val="000000"/>
                <w:sz w:val="20"/>
                <w:szCs w:val="20"/>
              </w:rPr>
            </w:pPr>
            <w:r w:rsidRPr="00830614">
              <w:rPr>
                <w:rFonts w:cs="Calibri Light"/>
                <w:color w:val="000000"/>
                <w:sz w:val="20"/>
                <w:szCs w:val="20"/>
              </w:rPr>
              <w:t>Ag</w:t>
            </w:r>
          </w:p>
        </w:tc>
      </w:tr>
      <w:tr w:rsidR="00B41D07" w14:paraId="7B4569D7" w14:textId="77777777" w:rsidTr="00A67A7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E79FEBC" w14:textId="77777777" w:rsidR="00B41D07" w:rsidRPr="00830614" w:rsidRDefault="00B41D07" w:rsidP="00B41D07">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92E6709" w14:textId="49493E56" w:rsidR="00B41D07" w:rsidRPr="00830614" w:rsidRDefault="00B41D07" w:rsidP="00B41D07">
            <w:pPr>
              <w:spacing w:before="0" w:after="0" w:line="240" w:lineRule="exact"/>
              <w:rPr>
                <w:rFonts w:cs="Calibri Light"/>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4339E1B" w14:textId="77777777" w:rsidR="00B41D07" w:rsidRPr="00830614" w:rsidRDefault="00B41D07" w:rsidP="00B41D07">
            <w:pPr>
              <w:spacing w:before="0" w:after="0" w:line="240" w:lineRule="exact"/>
              <w:rPr>
                <w:rFonts w:cs="Calibri Light"/>
                <w:color w:val="000000"/>
                <w:sz w:val="20"/>
                <w:szCs w:val="20"/>
              </w:rPr>
            </w:pPr>
            <w:r w:rsidRPr="00830614">
              <w:rPr>
                <w:rFonts w:cs="Calibri Light"/>
                <w:color w:val="000000"/>
                <w:sz w:val="20"/>
                <w:szCs w:val="20"/>
              </w:rPr>
              <w:t>Ind</w:t>
            </w:r>
          </w:p>
        </w:tc>
      </w:tr>
      <w:tr w:rsidR="00B41D07" w14:paraId="6128EF39" w14:textId="77777777" w:rsidTr="00A67A7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0FA5D02" w14:textId="77777777" w:rsidR="00B41D07" w:rsidRPr="00830614" w:rsidRDefault="00B41D07" w:rsidP="00B41D07">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FCEF1F7" w14:textId="22D98429" w:rsidR="00B41D07" w:rsidRPr="00830614" w:rsidRDefault="00B41D07" w:rsidP="00B41D07">
            <w:pPr>
              <w:spacing w:before="0" w:after="0" w:line="240" w:lineRule="exact"/>
              <w:rPr>
                <w:rFonts w:cs="Calibri Light"/>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1255B36" w14:textId="77777777" w:rsidR="00B41D07" w:rsidRPr="00830614" w:rsidRDefault="00B41D07" w:rsidP="00B41D07">
            <w:pPr>
              <w:spacing w:before="0" w:after="0" w:line="240" w:lineRule="exact"/>
              <w:rPr>
                <w:rFonts w:cs="Calibri Light"/>
                <w:color w:val="000000"/>
                <w:sz w:val="20"/>
                <w:szCs w:val="20"/>
              </w:rPr>
            </w:pPr>
            <w:r w:rsidRPr="00830614">
              <w:rPr>
                <w:rFonts w:cs="Calibri Light"/>
                <w:color w:val="000000"/>
                <w:sz w:val="20"/>
                <w:szCs w:val="20"/>
              </w:rPr>
              <w:t>Com</w:t>
            </w:r>
          </w:p>
        </w:tc>
      </w:tr>
      <w:tr w:rsidR="00AF320B" w14:paraId="0573117F" w14:textId="77777777" w:rsidTr="00A67A7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E14DD79" w14:textId="77777777" w:rsidR="00AF320B" w:rsidRPr="00830614" w:rsidRDefault="00AF320B" w:rsidP="00AF320B">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1815D13" w14:textId="3FFF9ABD" w:rsidR="00AF320B" w:rsidRPr="00830614" w:rsidRDefault="00AF320B" w:rsidP="00AF320B">
            <w:pPr>
              <w:spacing w:before="0" w:after="0" w:line="240" w:lineRule="exact"/>
              <w:rPr>
                <w:rFonts w:cs="Calibri Light"/>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ADC6DF4" w14:textId="77777777" w:rsidR="00AF320B" w:rsidRPr="00830614" w:rsidRDefault="00AF320B" w:rsidP="00AF320B">
            <w:pPr>
              <w:spacing w:before="0" w:after="0" w:line="240" w:lineRule="exact"/>
              <w:rPr>
                <w:rFonts w:cs="Calibri Light"/>
                <w:color w:val="000000"/>
                <w:sz w:val="20"/>
                <w:szCs w:val="20"/>
              </w:rPr>
            </w:pPr>
            <w:r w:rsidRPr="00830614">
              <w:rPr>
                <w:rFonts w:cs="Calibri Light"/>
                <w:color w:val="000000"/>
                <w:sz w:val="20"/>
                <w:szCs w:val="20"/>
              </w:rPr>
              <w:t>Ag</w:t>
            </w:r>
          </w:p>
        </w:tc>
      </w:tr>
      <w:tr w:rsidR="00AF320B" w14:paraId="65FDF51E" w14:textId="77777777" w:rsidTr="00A67A7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A72DF2C" w14:textId="77777777" w:rsidR="00AF320B" w:rsidRPr="00830614" w:rsidRDefault="00AF320B" w:rsidP="00AF320B">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3E87101" w14:textId="6DC00009" w:rsidR="00AF320B" w:rsidRPr="00830614" w:rsidRDefault="00AF320B" w:rsidP="00AF320B">
            <w:pPr>
              <w:spacing w:before="0" w:after="0" w:line="240" w:lineRule="exact"/>
              <w:rPr>
                <w:rFonts w:cs="Calibri Light"/>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743FAEB" w14:textId="77777777" w:rsidR="00AF320B" w:rsidRPr="00830614" w:rsidRDefault="00AF320B" w:rsidP="00AF320B">
            <w:pPr>
              <w:spacing w:before="0" w:after="0" w:line="240" w:lineRule="exact"/>
              <w:rPr>
                <w:rFonts w:cs="Calibri Light"/>
                <w:color w:val="000000"/>
                <w:sz w:val="20"/>
                <w:szCs w:val="20"/>
              </w:rPr>
            </w:pPr>
            <w:r w:rsidRPr="00830614">
              <w:rPr>
                <w:rFonts w:cs="Calibri Light"/>
                <w:color w:val="000000"/>
                <w:sz w:val="20"/>
                <w:szCs w:val="20"/>
              </w:rPr>
              <w:t>Ind</w:t>
            </w:r>
          </w:p>
        </w:tc>
      </w:tr>
      <w:tr w:rsidR="00AF320B" w14:paraId="4CEE98F9" w14:textId="77777777" w:rsidTr="00A67A7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AB16161" w14:textId="77777777" w:rsidR="00AF320B" w:rsidRPr="00830614" w:rsidRDefault="00AF320B" w:rsidP="00AF320B">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1F1AC24" w14:textId="79432B9E" w:rsidR="00AF320B" w:rsidRPr="00830614" w:rsidRDefault="00AF320B" w:rsidP="00AF320B">
            <w:pPr>
              <w:spacing w:before="0" w:after="0" w:line="240" w:lineRule="exact"/>
              <w:rPr>
                <w:rFonts w:cs="Calibri Light"/>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F65BC1F" w14:textId="77777777" w:rsidR="00AF320B" w:rsidRPr="00830614" w:rsidRDefault="00AF320B" w:rsidP="00AF320B">
            <w:pPr>
              <w:spacing w:before="0" w:after="0" w:line="240" w:lineRule="exact"/>
              <w:rPr>
                <w:rFonts w:cs="Calibri Light"/>
                <w:color w:val="000000"/>
                <w:sz w:val="20"/>
                <w:szCs w:val="20"/>
              </w:rPr>
            </w:pPr>
            <w:r w:rsidRPr="00830614">
              <w:rPr>
                <w:rFonts w:cs="Calibri Light"/>
                <w:color w:val="000000"/>
                <w:sz w:val="20"/>
                <w:szCs w:val="20"/>
              </w:rPr>
              <w:t>Com</w:t>
            </w:r>
          </w:p>
        </w:tc>
      </w:tr>
      <w:tr w:rsidR="00B41D07" w:rsidRPr="002F2E43" w14:paraId="10ECC312" w14:textId="77777777" w:rsidTr="00A67A7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86F6CA2" w14:textId="77777777" w:rsidR="00B41D07" w:rsidRPr="002F2E43" w:rsidRDefault="00B41D07" w:rsidP="00B41D07">
            <w:pPr>
              <w:spacing w:before="0" w:after="0" w:line="240" w:lineRule="exact"/>
              <w:rPr>
                <w:sz w:val="20"/>
                <w:szCs w:val="20"/>
              </w:rPr>
            </w:pPr>
            <w:r w:rsidRPr="002F2E43">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5A77D6F" w14:textId="500C49E0" w:rsidR="00B41D07" w:rsidRPr="002F2E43" w:rsidRDefault="00B41D07" w:rsidP="00B41D07">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583EB75" w14:textId="77777777" w:rsidR="00B41D07" w:rsidRPr="002F2E43" w:rsidRDefault="00B41D07" w:rsidP="00B41D07">
            <w:pPr>
              <w:spacing w:before="0" w:after="0" w:line="240" w:lineRule="exact"/>
              <w:rPr>
                <w:rFonts w:cs="Calibri Light"/>
                <w:color w:val="000000"/>
                <w:sz w:val="20"/>
                <w:szCs w:val="20"/>
              </w:rPr>
            </w:pPr>
            <w:r w:rsidRPr="002F2E43">
              <w:rPr>
                <w:rFonts w:cs="Calibri Light"/>
                <w:color w:val="000000"/>
                <w:sz w:val="20"/>
                <w:szCs w:val="20"/>
              </w:rPr>
              <w:t>Ag</w:t>
            </w:r>
          </w:p>
        </w:tc>
      </w:tr>
      <w:tr w:rsidR="00B41D07" w:rsidRPr="002F2E43" w14:paraId="62DBE907" w14:textId="77777777" w:rsidTr="00A67A7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6043BAA" w14:textId="77777777" w:rsidR="00B41D07" w:rsidRPr="002F2E43" w:rsidRDefault="00B41D07" w:rsidP="00B41D07">
            <w:pPr>
              <w:spacing w:before="0" w:after="0" w:line="240" w:lineRule="exact"/>
              <w:rPr>
                <w:sz w:val="20"/>
                <w:szCs w:val="20"/>
              </w:rPr>
            </w:pPr>
            <w:r w:rsidRPr="002F2E43">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B71D674" w14:textId="405B8B4B" w:rsidR="00B41D07" w:rsidRPr="002F2E43" w:rsidRDefault="00B41D07" w:rsidP="00B41D07">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93CF6FB" w14:textId="77777777" w:rsidR="00B41D07" w:rsidRPr="002F2E43" w:rsidRDefault="00B41D07" w:rsidP="00B41D07">
            <w:pPr>
              <w:spacing w:before="0" w:after="0" w:line="240" w:lineRule="exact"/>
              <w:rPr>
                <w:rFonts w:cs="Calibri Light"/>
                <w:color w:val="000000"/>
                <w:sz w:val="20"/>
                <w:szCs w:val="20"/>
              </w:rPr>
            </w:pPr>
            <w:r w:rsidRPr="002F2E43">
              <w:rPr>
                <w:rFonts w:cs="Calibri Light"/>
                <w:color w:val="000000"/>
                <w:sz w:val="20"/>
                <w:szCs w:val="20"/>
              </w:rPr>
              <w:t>Ind</w:t>
            </w:r>
          </w:p>
        </w:tc>
      </w:tr>
      <w:tr w:rsidR="00B41D07" w14:paraId="6603421E" w14:textId="77777777" w:rsidTr="00A67A7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9879653" w14:textId="77777777" w:rsidR="00B41D07" w:rsidRPr="002F2E43" w:rsidRDefault="00B41D07" w:rsidP="00B41D07">
            <w:pPr>
              <w:spacing w:before="0" w:after="0" w:line="240" w:lineRule="exact"/>
              <w:rPr>
                <w:sz w:val="20"/>
                <w:szCs w:val="20"/>
              </w:rPr>
            </w:pPr>
            <w:r w:rsidRPr="002F2E43">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19EAD64" w14:textId="56BFC96D" w:rsidR="00B41D07" w:rsidRPr="002F2E43" w:rsidRDefault="00B41D07" w:rsidP="00B41D07">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F6EBADB" w14:textId="77777777" w:rsidR="00B41D07" w:rsidRPr="00830614" w:rsidRDefault="00B41D07" w:rsidP="00B41D07">
            <w:pPr>
              <w:spacing w:before="0" w:after="0" w:line="240" w:lineRule="exact"/>
              <w:rPr>
                <w:rFonts w:cs="Calibri Light"/>
                <w:color w:val="000000"/>
                <w:sz w:val="20"/>
                <w:szCs w:val="20"/>
              </w:rPr>
            </w:pPr>
            <w:r w:rsidRPr="002F2E43">
              <w:rPr>
                <w:rFonts w:cs="Calibri Light"/>
                <w:color w:val="000000"/>
                <w:sz w:val="20"/>
                <w:szCs w:val="20"/>
              </w:rPr>
              <w:t>Com</w:t>
            </w:r>
          </w:p>
        </w:tc>
      </w:tr>
      <w:tr w:rsidR="00B41D07" w14:paraId="48027938" w14:textId="77777777" w:rsidTr="00A67A7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60C5B95" w14:textId="77777777" w:rsidR="00B41D07" w:rsidRPr="00830614" w:rsidRDefault="00B41D07" w:rsidP="00B41D07">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3221F12" w14:textId="4FED0120" w:rsidR="00B41D07" w:rsidRPr="00830614" w:rsidRDefault="00B41D07" w:rsidP="00B41D07">
            <w:pPr>
              <w:spacing w:before="0" w:after="0" w:line="240" w:lineRule="exact"/>
              <w:rPr>
                <w:rFonts w:cs="Calibri Light"/>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F0EDB5F" w14:textId="77777777" w:rsidR="00B41D07" w:rsidRPr="00830614" w:rsidRDefault="00B41D07" w:rsidP="00B41D07">
            <w:pPr>
              <w:spacing w:before="0" w:after="0" w:line="240" w:lineRule="exact"/>
              <w:rPr>
                <w:rFonts w:cs="Calibri Light"/>
                <w:color w:val="000000"/>
                <w:sz w:val="20"/>
                <w:szCs w:val="20"/>
              </w:rPr>
            </w:pPr>
            <w:r w:rsidRPr="00830614">
              <w:rPr>
                <w:rFonts w:cs="Calibri Light"/>
                <w:color w:val="000000"/>
                <w:sz w:val="20"/>
                <w:szCs w:val="20"/>
              </w:rPr>
              <w:t>Ag</w:t>
            </w:r>
          </w:p>
        </w:tc>
      </w:tr>
      <w:tr w:rsidR="00B41D07" w14:paraId="0334FED7" w14:textId="77777777" w:rsidTr="00A67A7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1F12B8B" w14:textId="77777777" w:rsidR="00B41D07" w:rsidRPr="00830614" w:rsidRDefault="00B41D07" w:rsidP="00B41D07">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C2030F0" w14:textId="07659197" w:rsidR="00B41D07" w:rsidRPr="00830614" w:rsidRDefault="00B41D07" w:rsidP="00B41D07">
            <w:pPr>
              <w:spacing w:before="0" w:after="0" w:line="240" w:lineRule="exact"/>
              <w:rPr>
                <w:rFonts w:cs="Calibri Light"/>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A023EEE" w14:textId="77777777" w:rsidR="00B41D07" w:rsidRPr="00830614" w:rsidRDefault="00B41D07" w:rsidP="00B41D07">
            <w:pPr>
              <w:spacing w:before="0" w:after="0" w:line="240" w:lineRule="exact"/>
              <w:rPr>
                <w:rFonts w:cs="Calibri Light"/>
                <w:color w:val="000000"/>
                <w:sz w:val="20"/>
                <w:szCs w:val="20"/>
              </w:rPr>
            </w:pPr>
            <w:r w:rsidRPr="00830614">
              <w:rPr>
                <w:rFonts w:cs="Calibri Light"/>
                <w:color w:val="000000"/>
                <w:sz w:val="20"/>
                <w:szCs w:val="20"/>
              </w:rPr>
              <w:t>Ind</w:t>
            </w:r>
          </w:p>
        </w:tc>
      </w:tr>
      <w:tr w:rsidR="00B41D07" w14:paraId="4B387367" w14:textId="77777777" w:rsidTr="00A67A7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321316F" w14:textId="77777777" w:rsidR="00B41D07" w:rsidRPr="00830614" w:rsidRDefault="00B41D07" w:rsidP="00B41D07">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B723310" w14:textId="2E4FD5C5" w:rsidR="00B41D07" w:rsidRPr="00830614" w:rsidRDefault="00B41D07" w:rsidP="00B41D07">
            <w:pPr>
              <w:spacing w:before="0" w:after="0" w:line="240" w:lineRule="exact"/>
              <w:rPr>
                <w:rFonts w:cs="Calibri Light"/>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71DBF15" w14:textId="77777777" w:rsidR="00B41D07" w:rsidRPr="00830614" w:rsidRDefault="00B41D07" w:rsidP="00B41D07">
            <w:pPr>
              <w:spacing w:before="0" w:after="0" w:line="240" w:lineRule="exact"/>
              <w:rPr>
                <w:rFonts w:cs="Calibri Light"/>
                <w:color w:val="000000"/>
                <w:sz w:val="20"/>
                <w:szCs w:val="20"/>
              </w:rPr>
            </w:pPr>
            <w:r w:rsidRPr="00830614">
              <w:rPr>
                <w:rFonts w:cs="Calibri Light"/>
                <w:color w:val="000000"/>
                <w:sz w:val="20"/>
                <w:szCs w:val="20"/>
              </w:rPr>
              <w:t>Com</w:t>
            </w:r>
          </w:p>
        </w:tc>
      </w:tr>
    </w:tbl>
    <w:p w14:paraId="19AF0C76" w14:textId="500708E5" w:rsidR="00AA46AF" w:rsidRDefault="00196649" w:rsidP="0051640D">
      <w:pPr>
        <w:pStyle w:val="eTRMHeading5"/>
      </w:pPr>
      <w:r>
        <w:t>Eligible Products</w:t>
      </w:r>
    </w:p>
    <w:p w14:paraId="6B7DCFA6" w14:textId="3CA1B2DB" w:rsidR="009F178D" w:rsidRDefault="004D6F5B" w:rsidP="0051640D">
      <w:r>
        <w:t xml:space="preserve">Eligible products include ENERGY STAR®-qualified commercial reach-in refrigerators and freezers that replace a standard efficiency unit of the same configuration and capacity. </w:t>
      </w:r>
      <w:r w:rsidRPr="00B46A8B">
        <w:t xml:space="preserve">There </w:t>
      </w:r>
      <w:r>
        <w:t xml:space="preserve">are </w:t>
      </w:r>
      <w:r w:rsidRPr="00B46A8B">
        <w:t xml:space="preserve">16 </w:t>
      </w:r>
      <w:r>
        <w:t xml:space="preserve">eligible </w:t>
      </w:r>
      <w:r w:rsidRPr="00B46A8B">
        <w:t>measure</w:t>
      </w:r>
      <w:r w:rsidR="00477E9A">
        <w:t xml:space="preserve"> offerings</w:t>
      </w:r>
      <w:r>
        <w:t xml:space="preserve"> defined by configuration and internal volume, as specified in the </w:t>
      </w:r>
      <w:r w:rsidRPr="00F627A4">
        <w:t>ENERGY STAR Commercial Refrigerators and Freezers Program Requirements</w:t>
      </w:r>
      <w:r>
        <w:t>.</w:t>
      </w:r>
      <w:r w:rsidR="00B32420">
        <w:rPr>
          <w:rStyle w:val="FootnoteReference"/>
        </w:rPr>
        <w:footnoteReference w:id="4"/>
      </w:r>
      <w:r w:rsidR="00B32420">
        <w:t xml:space="preserve"> </w:t>
      </w:r>
    </w:p>
    <w:p w14:paraId="03959C47" w14:textId="77777777" w:rsidR="00182C89" w:rsidRDefault="00182C89" w:rsidP="00182C89">
      <w:pPr>
        <w:pStyle w:val="Caption"/>
        <w:keepNext w:val="0"/>
        <w:keepLines w:val="0"/>
      </w:pPr>
      <w:r w:rsidRPr="00574FC8">
        <w:t>Measure Case Specification – ENERGY STAR Requirements for Reach-In Refrigerators and Freezers (Version 4.0)</w:t>
      </w:r>
    </w:p>
    <w:tbl>
      <w:tblPr>
        <w:tblStyle w:val="TableGrid11"/>
        <w:tblW w:w="4056"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876"/>
        <w:gridCol w:w="3709"/>
      </w:tblGrid>
      <w:tr w:rsidR="00182C89" w14:paraId="4C2261B0" w14:textId="77777777" w:rsidTr="00812D63">
        <w:trPr>
          <w:tblHeader/>
        </w:trPr>
        <w:tc>
          <w:tcPr>
            <w:tcW w:w="2555" w:type="pct"/>
            <w:shd w:val="clear" w:color="auto" w:fill="F2F2F2" w:themeFill="background1" w:themeFillShade="F2"/>
            <w:hideMark/>
          </w:tcPr>
          <w:p w14:paraId="1D98FD5A" w14:textId="77777777" w:rsidR="00182C89" w:rsidRPr="00574FC8" w:rsidRDefault="00182C89" w:rsidP="009726AB">
            <w:pPr>
              <w:spacing w:before="0" w:after="0" w:line="240" w:lineRule="auto"/>
              <w:rPr>
                <w:rFonts w:cs="Calibri Light"/>
                <w:b/>
                <w:bCs/>
                <w:sz w:val="20"/>
              </w:rPr>
            </w:pPr>
            <w:r w:rsidRPr="00574FC8">
              <w:rPr>
                <w:rFonts w:cs="Calibri Light"/>
                <w:b/>
                <w:bCs/>
                <w:sz w:val="20"/>
              </w:rPr>
              <w:t>Equipment Description (ft</w:t>
            </w:r>
            <w:r w:rsidRPr="00574FC8">
              <w:rPr>
                <w:rFonts w:cs="Calibri Light"/>
                <w:b/>
                <w:bCs/>
                <w:sz w:val="20"/>
                <w:vertAlign w:val="superscript"/>
              </w:rPr>
              <w:t>3</w:t>
            </w:r>
            <w:r w:rsidRPr="00574FC8">
              <w:rPr>
                <w:rFonts w:cs="Calibri Light"/>
                <w:b/>
                <w:bCs/>
                <w:sz w:val="20"/>
              </w:rPr>
              <w:t>)</w:t>
            </w:r>
          </w:p>
        </w:tc>
        <w:tc>
          <w:tcPr>
            <w:tcW w:w="2445" w:type="pct"/>
            <w:shd w:val="clear" w:color="auto" w:fill="F2F2F2" w:themeFill="background1" w:themeFillShade="F2"/>
            <w:hideMark/>
          </w:tcPr>
          <w:p w14:paraId="113C29F5" w14:textId="77777777" w:rsidR="00182C89" w:rsidRPr="00574FC8" w:rsidRDefault="00182C89" w:rsidP="009726AB">
            <w:pPr>
              <w:spacing w:before="0" w:after="0" w:line="240" w:lineRule="auto"/>
              <w:rPr>
                <w:rFonts w:cs="Calibri Light"/>
                <w:b/>
                <w:sz w:val="20"/>
              </w:rPr>
            </w:pPr>
            <w:r w:rsidRPr="00574FC8">
              <w:rPr>
                <w:rFonts w:cs="Calibri Light"/>
                <w:b/>
                <w:bCs/>
                <w:sz w:val="20"/>
              </w:rPr>
              <w:t>Daily Energy Usage (kWh/day)</w:t>
            </w:r>
          </w:p>
        </w:tc>
      </w:tr>
      <w:tr w:rsidR="00182C89" w14:paraId="08C20247" w14:textId="77777777" w:rsidTr="00812D63">
        <w:trPr>
          <w:trHeight w:val="243"/>
        </w:trPr>
        <w:tc>
          <w:tcPr>
            <w:tcW w:w="2555" w:type="pct"/>
            <w:hideMark/>
          </w:tcPr>
          <w:p w14:paraId="5E0A73EE" w14:textId="77777777" w:rsidR="00182C89" w:rsidRPr="00574FC8" w:rsidRDefault="00182C89" w:rsidP="009726AB">
            <w:pPr>
              <w:spacing w:before="0" w:after="0" w:line="240" w:lineRule="auto"/>
              <w:rPr>
                <w:rFonts w:cs="Calibri Light"/>
                <w:sz w:val="20"/>
              </w:rPr>
            </w:pPr>
            <w:r w:rsidRPr="00574FC8">
              <w:rPr>
                <w:rFonts w:cs="Calibri Light"/>
                <w:b/>
                <w:sz w:val="20"/>
              </w:rPr>
              <w:t>Solid-Door Reach-In Refrigerator (</w:t>
            </w:r>
            <w:r w:rsidRPr="00574FC8">
              <w:rPr>
                <w:rFonts w:cs="Calibri Light"/>
                <w:sz w:val="20"/>
              </w:rPr>
              <w:t>VCS.SC.M)</w:t>
            </w:r>
          </w:p>
        </w:tc>
        <w:tc>
          <w:tcPr>
            <w:tcW w:w="2445" w:type="pct"/>
          </w:tcPr>
          <w:p w14:paraId="520E46E1" w14:textId="77777777" w:rsidR="00182C89" w:rsidRPr="00574FC8" w:rsidRDefault="00182C89" w:rsidP="009726AB">
            <w:pPr>
              <w:spacing w:before="0" w:after="0" w:line="240" w:lineRule="auto"/>
              <w:rPr>
                <w:rFonts w:cs="Calibri Light"/>
                <w:sz w:val="20"/>
              </w:rPr>
            </w:pPr>
          </w:p>
        </w:tc>
      </w:tr>
      <w:tr w:rsidR="00182C89" w14:paraId="1F5A20CB" w14:textId="77777777" w:rsidTr="00812D63">
        <w:trPr>
          <w:trHeight w:val="243"/>
        </w:trPr>
        <w:tc>
          <w:tcPr>
            <w:tcW w:w="2555" w:type="pct"/>
            <w:hideMark/>
          </w:tcPr>
          <w:p w14:paraId="15DE1DC9" w14:textId="77777777" w:rsidR="00182C89" w:rsidRPr="00574FC8" w:rsidRDefault="00182C89" w:rsidP="009726AB">
            <w:pPr>
              <w:spacing w:before="0" w:after="0" w:line="240" w:lineRule="auto"/>
              <w:rPr>
                <w:rFonts w:cs="Calibri Light"/>
                <w:sz w:val="20"/>
              </w:rPr>
            </w:pPr>
            <w:r w:rsidRPr="00574FC8">
              <w:rPr>
                <w:rFonts w:cs="Calibri Light"/>
                <w:sz w:val="20"/>
              </w:rPr>
              <w:t>0 &lt; V &lt; 15</w:t>
            </w:r>
          </w:p>
        </w:tc>
        <w:tc>
          <w:tcPr>
            <w:tcW w:w="2445" w:type="pct"/>
            <w:hideMark/>
          </w:tcPr>
          <w:p w14:paraId="05296025" w14:textId="77777777" w:rsidR="00182C89" w:rsidRPr="00574FC8" w:rsidRDefault="00182C89" w:rsidP="009726AB">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0.022V* + 0.97</w:t>
            </w:r>
          </w:p>
        </w:tc>
      </w:tr>
      <w:tr w:rsidR="00182C89" w14:paraId="2D3C4343" w14:textId="77777777" w:rsidTr="00812D63">
        <w:trPr>
          <w:trHeight w:val="243"/>
        </w:trPr>
        <w:tc>
          <w:tcPr>
            <w:tcW w:w="2555" w:type="pct"/>
            <w:hideMark/>
          </w:tcPr>
          <w:p w14:paraId="5FA8CBCF" w14:textId="77777777" w:rsidR="00182C89" w:rsidRPr="00574FC8" w:rsidRDefault="00182C89" w:rsidP="009726AB">
            <w:pPr>
              <w:spacing w:before="0" w:after="0" w:line="240" w:lineRule="auto"/>
              <w:rPr>
                <w:rFonts w:cs="Calibri Light"/>
                <w:sz w:val="20"/>
              </w:rPr>
            </w:pPr>
            <w:r w:rsidRPr="00574FC8">
              <w:rPr>
                <w:rFonts w:cs="Calibri Light"/>
                <w:sz w:val="20"/>
              </w:rPr>
              <w:t xml:space="preserve">15 </w:t>
            </w:r>
            <w:r w:rsidRPr="00574FC8">
              <w:rPr>
                <w:rFonts w:cs="Calibri Light"/>
                <w:sz w:val="20"/>
              </w:rPr>
              <w:sym w:font="Symbol" w:char="F0A3"/>
            </w:r>
            <w:r w:rsidRPr="00574FC8">
              <w:rPr>
                <w:rFonts w:cs="Calibri Light"/>
                <w:sz w:val="20"/>
              </w:rPr>
              <w:t xml:space="preserve"> V &lt; 30</w:t>
            </w:r>
          </w:p>
        </w:tc>
        <w:tc>
          <w:tcPr>
            <w:tcW w:w="2445" w:type="pct"/>
            <w:hideMark/>
          </w:tcPr>
          <w:p w14:paraId="699FA9A6" w14:textId="77777777" w:rsidR="00182C89" w:rsidRPr="00574FC8" w:rsidRDefault="00182C89" w:rsidP="009726AB">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0.066V + 0.31</w:t>
            </w:r>
          </w:p>
        </w:tc>
      </w:tr>
      <w:tr w:rsidR="00182C89" w14:paraId="4DDCC121" w14:textId="77777777" w:rsidTr="00812D63">
        <w:trPr>
          <w:trHeight w:val="243"/>
        </w:trPr>
        <w:tc>
          <w:tcPr>
            <w:tcW w:w="2555" w:type="pct"/>
            <w:hideMark/>
          </w:tcPr>
          <w:p w14:paraId="7BED21C6" w14:textId="77777777" w:rsidR="00182C89" w:rsidRPr="00574FC8" w:rsidRDefault="00182C89" w:rsidP="009726AB">
            <w:pPr>
              <w:spacing w:before="0" w:after="0" w:line="240" w:lineRule="auto"/>
              <w:rPr>
                <w:rFonts w:cs="Calibri Light"/>
                <w:sz w:val="20"/>
              </w:rPr>
            </w:pPr>
            <w:r w:rsidRPr="00574FC8">
              <w:rPr>
                <w:rFonts w:cs="Calibri Light"/>
                <w:sz w:val="20"/>
              </w:rPr>
              <w:t xml:space="preserve">30 </w:t>
            </w:r>
            <w:r w:rsidRPr="00574FC8">
              <w:rPr>
                <w:rFonts w:cs="Calibri Light"/>
                <w:sz w:val="20"/>
              </w:rPr>
              <w:sym w:font="Symbol" w:char="F0A3"/>
            </w:r>
            <w:r w:rsidRPr="00574FC8">
              <w:rPr>
                <w:rFonts w:cs="Calibri Light"/>
                <w:sz w:val="20"/>
              </w:rPr>
              <w:t xml:space="preserve"> V &lt; 50</w:t>
            </w:r>
          </w:p>
        </w:tc>
        <w:tc>
          <w:tcPr>
            <w:tcW w:w="2445" w:type="pct"/>
            <w:hideMark/>
          </w:tcPr>
          <w:p w14:paraId="5335B139" w14:textId="77777777" w:rsidR="00182C89" w:rsidRPr="00574FC8" w:rsidRDefault="00182C89" w:rsidP="009726AB">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0.04V + 1.09</w:t>
            </w:r>
          </w:p>
        </w:tc>
      </w:tr>
      <w:tr w:rsidR="00182C89" w14:paraId="5A973D82" w14:textId="77777777" w:rsidTr="00812D63">
        <w:trPr>
          <w:trHeight w:val="243"/>
        </w:trPr>
        <w:tc>
          <w:tcPr>
            <w:tcW w:w="2555" w:type="pct"/>
            <w:hideMark/>
          </w:tcPr>
          <w:p w14:paraId="28E9FEA2" w14:textId="77777777" w:rsidR="00182C89" w:rsidRPr="00574FC8" w:rsidRDefault="00182C89" w:rsidP="009726AB">
            <w:pPr>
              <w:spacing w:before="0" w:after="0" w:line="240" w:lineRule="auto"/>
              <w:rPr>
                <w:rFonts w:cs="Calibri Light"/>
                <w:sz w:val="20"/>
              </w:rPr>
            </w:pPr>
            <w:r w:rsidRPr="00574FC8">
              <w:rPr>
                <w:rFonts w:cs="Calibri Light"/>
                <w:sz w:val="20"/>
              </w:rPr>
              <w:t xml:space="preserve">50 </w:t>
            </w:r>
            <w:r w:rsidRPr="00574FC8">
              <w:rPr>
                <w:rFonts w:cs="Calibri Light"/>
                <w:sz w:val="20"/>
              </w:rPr>
              <w:sym w:font="Symbol" w:char="F0A3"/>
            </w:r>
            <w:r w:rsidRPr="00574FC8">
              <w:rPr>
                <w:rFonts w:cs="Calibri Light"/>
                <w:sz w:val="20"/>
              </w:rPr>
              <w:t xml:space="preserve"> V</w:t>
            </w:r>
          </w:p>
        </w:tc>
        <w:tc>
          <w:tcPr>
            <w:tcW w:w="2445" w:type="pct"/>
            <w:hideMark/>
          </w:tcPr>
          <w:p w14:paraId="33DA590E" w14:textId="77777777" w:rsidR="00182C89" w:rsidRPr="00574FC8" w:rsidRDefault="00182C89" w:rsidP="009726AB">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0.024V + 1.89</w:t>
            </w:r>
          </w:p>
        </w:tc>
      </w:tr>
      <w:tr w:rsidR="00182C89" w14:paraId="653A3F31" w14:textId="77777777" w:rsidTr="00812D63">
        <w:trPr>
          <w:trHeight w:val="243"/>
        </w:trPr>
        <w:tc>
          <w:tcPr>
            <w:tcW w:w="2555" w:type="pct"/>
            <w:hideMark/>
          </w:tcPr>
          <w:p w14:paraId="771F92BE" w14:textId="77777777" w:rsidR="00182C89" w:rsidRPr="00574FC8" w:rsidRDefault="00182C89" w:rsidP="009726AB">
            <w:pPr>
              <w:spacing w:before="0" w:after="0" w:line="240" w:lineRule="auto"/>
              <w:rPr>
                <w:rFonts w:cs="Calibri Light"/>
                <w:sz w:val="20"/>
              </w:rPr>
            </w:pPr>
            <w:r w:rsidRPr="00574FC8">
              <w:rPr>
                <w:rFonts w:cs="Calibri Light"/>
                <w:b/>
                <w:sz w:val="20"/>
              </w:rPr>
              <w:t>Solid-Door Reach-In Freezer (</w:t>
            </w:r>
            <w:r w:rsidRPr="00574FC8">
              <w:rPr>
                <w:rFonts w:cs="Calibri Light"/>
                <w:sz w:val="20"/>
              </w:rPr>
              <w:t>VCS.SC.L)</w:t>
            </w:r>
          </w:p>
        </w:tc>
        <w:tc>
          <w:tcPr>
            <w:tcW w:w="2445" w:type="pct"/>
          </w:tcPr>
          <w:p w14:paraId="114D8028" w14:textId="77777777" w:rsidR="00182C89" w:rsidRPr="00574FC8" w:rsidRDefault="00182C89" w:rsidP="009726AB">
            <w:pPr>
              <w:spacing w:before="0" w:after="0" w:line="240" w:lineRule="auto"/>
              <w:rPr>
                <w:rFonts w:cs="Calibri Light"/>
                <w:sz w:val="20"/>
              </w:rPr>
            </w:pPr>
          </w:p>
        </w:tc>
      </w:tr>
      <w:tr w:rsidR="00182C89" w14:paraId="5B7EE953" w14:textId="77777777" w:rsidTr="00812D63">
        <w:trPr>
          <w:trHeight w:val="243"/>
        </w:trPr>
        <w:tc>
          <w:tcPr>
            <w:tcW w:w="2555" w:type="pct"/>
            <w:hideMark/>
          </w:tcPr>
          <w:p w14:paraId="069731A4" w14:textId="77777777" w:rsidR="00182C89" w:rsidRPr="00574FC8" w:rsidRDefault="00182C89" w:rsidP="009726AB">
            <w:pPr>
              <w:spacing w:before="0" w:after="0" w:line="240" w:lineRule="auto"/>
              <w:rPr>
                <w:rFonts w:cs="Calibri Light"/>
                <w:sz w:val="20"/>
              </w:rPr>
            </w:pPr>
            <w:r w:rsidRPr="00574FC8">
              <w:rPr>
                <w:rFonts w:cs="Calibri Light"/>
                <w:sz w:val="20"/>
              </w:rPr>
              <w:t>0 &lt; V &lt; 15</w:t>
            </w:r>
          </w:p>
        </w:tc>
        <w:tc>
          <w:tcPr>
            <w:tcW w:w="2445" w:type="pct"/>
            <w:hideMark/>
          </w:tcPr>
          <w:p w14:paraId="71581733" w14:textId="77777777" w:rsidR="00182C89" w:rsidRPr="00574FC8" w:rsidRDefault="00182C89" w:rsidP="009726AB">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0.21V + 0.9</w:t>
            </w:r>
          </w:p>
        </w:tc>
      </w:tr>
      <w:tr w:rsidR="00182C89" w14:paraId="0871A5A1" w14:textId="77777777" w:rsidTr="00812D63">
        <w:trPr>
          <w:trHeight w:val="243"/>
        </w:trPr>
        <w:tc>
          <w:tcPr>
            <w:tcW w:w="2555" w:type="pct"/>
            <w:hideMark/>
          </w:tcPr>
          <w:p w14:paraId="2ECA0146" w14:textId="77777777" w:rsidR="00182C89" w:rsidRPr="00574FC8" w:rsidRDefault="00182C89" w:rsidP="009726AB">
            <w:pPr>
              <w:spacing w:before="0" w:after="0" w:line="240" w:lineRule="auto"/>
              <w:rPr>
                <w:rFonts w:cs="Calibri Light"/>
                <w:sz w:val="20"/>
              </w:rPr>
            </w:pPr>
            <w:r w:rsidRPr="00574FC8">
              <w:rPr>
                <w:rFonts w:cs="Calibri Light"/>
                <w:sz w:val="20"/>
              </w:rPr>
              <w:t xml:space="preserve">15 </w:t>
            </w:r>
            <w:r w:rsidRPr="00574FC8">
              <w:rPr>
                <w:rFonts w:cs="Calibri Light"/>
                <w:sz w:val="20"/>
              </w:rPr>
              <w:sym w:font="Symbol" w:char="F0A3"/>
            </w:r>
            <w:r w:rsidRPr="00574FC8">
              <w:rPr>
                <w:rFonts w:cs="Calibri Light"/>
                <w:sz w:val="20"/>
              </w:rPr>
              <w:t xml:space="preserve"> V &lt; 30</w:t>
            </w:r>
          </w:p>
        </w:tc>
        <w:tc>
          <w:tcPr>
            <w:tcW w:w="2445" w:type="pct"/>
            <w:hideMark/>
          </w:tcPr>
          <w:p w14:paraId="169FB865" w14:textId="77777777" w:rsidR="00182C89" w:rsidRPr="00574FC8" w:rsidRDefault="00182C89" w:rsidP="009726AB">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0.12V + 2.248</w:t>
            </w:r>
          </w:p>
        </w:tc>
      </w:tr>
      <w:tr w:rsidR="00182C89" w14:paraId="69EC8353" w14:textId="77777777" w:rsidTr="00812D63">
        <w:trPr>
          <w:trHeight w:val="243"/>
        </w:trPr>
        <w:tc>
          <w:tcPr>
            <w:tcW w:w="2555" w:type="pct"/>
            <w:hideMark/>
          </w:tcPr>
          <w:p w14:paraId="0AEBC80A" w14:textId="77777777" w:rsidR="00182C89" w:rsidRPr="00574FC8" w:rsidRDefault="00182C89" w:rsidP="009726AB">
            <w:pPr>
              <w:spacing w:before="0" w:after="0" w:line="240" w:lineRule="auto"/>
              <w:rPr>
                <w:rFonts w:cs="Calibri Light"/>
                <w:sz w:val="20"/>
              </w:rPr>
            </w:pPr>
            <w:r w:rsidRPr="00574FC8">
              <w:rPr>
                <w:rFonts w:cs="Calibri Light"/>
                <w:sz w:val="20"/>
              </w:rPr>
              <w:t xml:space="preserve">30 </w:t>
            </w:r>
            <w:r w:rsidRPr="00574FC8">
              <w:rPr>
                <w:rFonts w:cs="Calibri Light"/>
                <w:sz w:val="20"/>
              </w:rPr>
              <w:sym w:font="Symbol" w:char="F0A3"/>
            </w:r>
            <w:r w:rsidRPr="00574FC8">
              <w:rPr>
                <w:rFonts w:cs="Calibri Light"/>
                <w:sz w:val="20"/>
              </w:rPr>
              <w:t xml:space="preserve"> V &lt; 50</w:t>
            </w:r>
          </w:p>
        </w:tc>
        <w:tc>
          <w:tcPr>
            <w:tcW w:w="2445" w:type="pct"/>
            <w:hideMark/>
          </w:tcPr>
          <w:p w14:paraId="1265E41A" w14:textId="77777777" w:rsidR="00182C89" w:rsidRPr="00574FC8" w:rsidRDefault="00182C89" w:rsidP="009726AB">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0.285V – 2.703</w:t>
            </w:r>
          </w:p>
        </w:tc>
      </w:tr>
      <w:tr w:rsidR="00182C89" w14:paraId="4D8968D6" w14:textId="77777777" w:rsidTr="00812D63">
        <w:trPr>
          <w:trHeight w:val="243"/>
        </w:trPr>
        <w:tc>
          <w:tcPr>
            <w:tcW w:w="2555" w:type="pct"/>
            <w:hideMark/>
          </w:tcPr>
          <w:p w14:paraId="3176E4BD" w14:textId="77777777" w:rsidR="00182C89" w:rsidRPr="00574FC8" w:rsidRDefault="00182C89" w:rsidP="009726AB">
            <w:pPr>
              <w:spacing w:before="0" w:after="0" w:line="240" w:lineRule="auto"/>
              <w:rPr>
                <w:rFonts w:cs="Calibri Light"/>
                <w:sz w:val="20"/>
              </w:rPr>
            </w:pPr>
            <w:r w:rsidRPr="00574FC8">
              <w:rPr>
                <w:rFonts w:cs="Calibri Light"/>
                <w:sz w:val="20"/>
              </w:rPr>
              <w:t xml:space="preserve">50 </w:t>
            </w:r>
            <w:r w:rsidRPr="00574FC8">
              <w:rPr>
                <w:rFonts w:cs="Calibri Light"/>
                <w:sz w:val="20"/>
              </w:rPr>
              <w:sym w:font="Symbol" w:char="F0A3"/>
            </w:r>
            <w:r w:rsidRPr="00574FC8">
              <w:rPr>
                <w:rFonts w:cs="Calibri Light"/>
                <w:sz w:val="20"/>
              </w:rPr>
              <w:t xml:space="preserve"> V</w:t>
            </w:r>
          </w:p>
        </w:tc>
        <w:tc>
          <w:tcPr>
            <w:tcW w:w="2445" w:type="pct"/>
            <w:hideMark/>
          </w:tcPr>
          <w:p w14:paraId="3931FB7B" w14:textId="77777777" w:rsidR="00182C89" w:rsidRPr="00574FC8" w:rsidRDefault="00182C89" w:rsidP="009726AB">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0.142V + 4.445</w:t>
            </w:r>
          </w:p>
        </w:tc>
      </w:tr>
      <w:tr w:rsidR="00182C89" w14:paraId="0441D97B" w14:textId="77777777" w:rsidTr="00812D63">
        <w:trPr>
          <w:trHeight w:val="243"/>
        </w:trPr>
        <w:tc>
          <w:tcPr>
            <w:tcW w:w="2555" w:type="pct"/>
            <w:hideMark/>
          </w:tcPr>
          <w:p w14:paraId="2B87BAB3" w14:textId="77777777" w:rsidR="00182C89" w:rsidRPr="00574FC8" w:rsidRDefault="00182C89" w:rsidP="009726AB">
            <w:pPr>
              <w:spacing w:before="0" w:after="0" w:line="240" w:lineRule="auto"/>
              <w:rPr>
                <w:rFonts w:cs="Calibri Light"/>
                <w:sz w:val="20"/>
              </w:rPr>
            </w:pPr>
            <w:r w:rsidRPr="00574FC8">
              <w:rPr>
                <w:rFonts w:cs="Calibri Light"/>
                <w:b/>
                <w:sz w:val="20"/>
              </w:rPr>
              <w:t>Glass-Door Reach-In Refrigerator (</w:t>
            </w:r>
            <w:r w:rsidRPr="00574FC8">
              <w:rPr>
                <w:rFonts w:cs="Calibri Light"/>
                <w:sz w:val="20"/>
              </w:rPr>
              <w:t>VCT.SC.M)</w:t>
            </w:r>
          </w:p>
        </w:tc>
        <w:tc>
          <w:tcPr>
            <w:tcW w:w="2445" w:type="pct"/>
          </w:tcPr>
          <w:p w14:paraId="11124085" w14:textId="77777777" w:rsidR="00182C89" w:rsidRPr="00574FC8" w:rsidRDefault="00182C89" w:rsidP="009726AB">
            <w:pPr>
              <w:spacing w:before="0" w:after="0" w:line="240" w:lineRule="auto"/>
              <w:rPr>
                <w:rFonts w:cs="Calibri Light"/>
                <w:sz w:val="20"/>
              </w:rPr>
            </w:pPr>
          </w:p>
        </w:tc>
      </w:tr>
      <w:tr w:rsidR="00182C89" w14:paraId="14177636" w14:textId="77777777" w:rsidTr="00812D63">
        <w:trPr>
          <w:trHeight w:val="243"/>
        </w:trPr>
        <w:tc>
          <w:tcPr>
            <w:tcW w:w="2555" w:type="pct"/>
            <w:hideMark/>
          </w:tcPr>
          <w:p w14:paraId="6D40E8C5" w14:textId="77777777" w:rsidR="00182C89" w:rsidRPr="00574FC8" w:rsidRDefault="00182C89" w:rsidP="009726AB">
            <w:pPr>
              <w:spacing w:before="0" w:after="0" w:line="240" w:lineRule="auto"/>
              <w:rPr>
                <w:rFonts w:cs="Calibri Light"/>
                <w:sz w:val="20"/>
              </w:rPr>
            </w:pPr>
            <w:r w:rsidRPr="00574FC8">
              <w:rPr>
                <w:rFonts w:cs="Calibri Light"/>
                <w:sz w:val="20"/>
              </w:rPr>
              <w:t>0 &lt; V &lt; 15</w:t>
            </w:r>
          </w:p>
        </w:tc>
        <w:tc>
          <w:tcPr>
            <w:tcW w:w="2445" w:type="pct"/>
            <w:hideMark/>
          </w:tcPr>
          <w:p w14:paraId="6E2ECA65" w14:textId="77777777" w:rsidR="00182C89" w:rsidRPr="00574FC8" w:rsidRDefault="00182C89" w:rsidP="009726AB">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0.095V + 0.445</w:t>
            </w:r>
          </w:p>
        </w:tc>
      </w:tr>
      <w:tr w:rsidR="00182C89" w14:paraId="470DBE39" w14:textId="77777777" w:rsidTr="00812D63">
        <w:trPr>
          <w:trHeight w:val="243"/>
        </w:trPr>
        <w:tc>
          <w:tcPr>
            <w:tcW w:w="2555" w:type="pct"/>
            <w:hideMark/>
          </w:tcPr>
          <w:p w14:paraId="631EB049" w14:textId="77777777" w:rsidR="00182C89" w:rsidRPr="00574FC8" w:rsidRDefault="00182C89" w:rsidP="009726AB">
            <w:pPr>
              <w:spacing w:before="0" w:after="0" w:line="240" w:lineRule="auto"/>
              <w:rPr>
                <w:rFonts w:cs="Calibri Light"/>
                <w:sz w:val="20"/>
              </w:rPr>
            </w:pPr>
            <w:r w:rsidRPr="00574FC8">
              <w:rPr>
                <w:rFonts w:cs="Calibri Light"/>
                <w:sz w:val="20"/>
              </w:rPr>
              <w:t xml:space="preserve">15 </w:t>
            </w:r>
            <w:r w:rsidRPr="00574FC8">
              <w:rPr>
                <w:rFonts w:cs="Calibri Light"/>
                <w:sz w:val="20"/>
              </w:rPr>
              <w:sym w:font="Symbol" w:char="F0A3"/>
            </w:r>
            <w:r w:rsidRPr="00574FC8">
              <w:rPr>
                <w:rFonts w:cs="Calibri Light"/>
                <w:sz w:val="20"/>
              </w:rPr>
              <w:t xml:space="preserve"> V &lt; 30</w:t>
            </w:r>
          </w:p>
        </w:tc>
        <w:tc>
          <w:tcPr>
            <w:tcW w:w="2445" w:type="pct"/>
            <w:hideMark/>
          </w:tcPr>
          <w:p w14:paraId="2B5DC2FA" w14:textId="77777777" w:rsidR="00182C89" w:rsidRPr="00574FC8" w:rsidRDefault="00182C89" w:rsidP="009726AB">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0.05V + 1.12</w:t>
            </w:r>
          </w:p>
        </w:tc>
      </w:tr>
      <w:tr w:rsidR="00182C89" w14:paraId="51953751" w14:textId="77777777" w:rsidTr="00812D63">
        <w:trPr>
          <w:trHeight w:val="243"/>
        </w:trPr>
        <w:tc>
          <w:tcPr>
            <w:tcW w:w="2555" w:type="pct"/>
            <w:hideMark/>
          </w:tcPr>
          <w:p w14:paraId="75475C88" w14:textId="77777777" w:rsidR="00182C89" w:rsidRPr="00574FC8" w:rsidRDefault="00182C89" w:rsidP="009726AB">
            <w:pPr>
              <w:spacing w:before="0" w:after="0" w:line="240" w:lineRule="auto"/>
              <w:rPr>
                <w:rFonts w:cs="Calibri Light"/>
                <w:sz w:val="20"/>
              </w:rPr>
            </w:pPr>
            <w:r w:rsidRPr="00574FC8">
              <w:rPr>
                <w:rFonts w:cs="Calibri Light"/>
                <w:sz w:val="20"/>
              </w:rPr>
              <w:t xml:space="preserve">30 </w:t>
            </w:r>
            <w:r w:rsidRPr="00574FC8">
              <w:rPr>
                <w:rFonts w:cs="Calibri Light"/>
                <w:sz w:val="20"/>
              </w:rPr>
              <w:sym w:font="Symbol" w:char="F0A3"/>
            </w:r>
            <w:r w:rsidRPr="00574FC8">
              <w:rPr>
                <w:rFonts w:cs="Calibri Light"/>
                <w:sz w:val="20"/>
              </w:rPr>
              <w:t xml:space="preserve"> V &lt; 50</w:t>
            </w:r>
          </w:p>
        </w:tc>
        <w:tc>
          <w:tcPr>
            <w:tcW w:w="2445" w:type="pct"/>
            <w:hideMark/>
          </w:tcPr>
          <w:p w14:paraId="4DB5C6B7" w14:textId="77777777" w:rsidR="00182C89" w:rsidRPr="00574FC8" w:rsidRDefault="00182C89" w:rsidP="009726AB">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0.076V + 0.34</w:t>
            </w:r>
          </w:p>
        </w:tc>
      </w:tr>
      <w:tr w:rsidR="00182C89" w14:paraId="7A79D94F" w14:textId="77777777" w:rsidTr="00812D63">
        <w:trPr>
          <w:trHeight w:val="243"/>
        </w:trPr>
        <w:tc>
          <w:tcPr>
            <w:tcW w:w="2555" w:type="pct"/>
            <w:hideMark/>
          </w:tcPr>
          <w:p w14:paraId="6477FA49" w14:textId="77777777" w:rsidR="00182C89" w:rsidRPr="00574FC8" w:rsidRDefault="00182C89" w:rsidP="009726AB">
            <w:pPr>
              <w:spacing w:before="0" w:after="0" w:line="240" w:lineRule="auto"/>
              <w:rPr>
                <w:rFonts w:cs="Calibri Light"/>
                <w:sz w:val="20"/>
              </w:rPr>
            </w:pPr>
            <w:r w:rsidRPr="00574FC8">
              <w:rPr>
                <w:rFonts w:cs="Calibri Light"/>
                <w:sz w:val="20"/>
              </w:rPr>
              <w:t xml:space="preserve">50 </w:t>
            </w:r>
            <w:r w:rsidRPr="00574FC8">
              <w:rPr>
                <w:rFonts w:cs="Calibri Light"/>
                <w:sz w:val="20"/>
              </w:rPr>
              <w:sym w:font="Symbol" w:char="F0A3"/>
            </w:r>
            <w:r w:rsidRPr="00574FC8">
              <w:rPr>
                <w:rFonts w:cs="Calibri Light"/>
                <w:sz w:val="20"/>
              </w:rPr>
              <w:t xml:space="preserve"> V</w:t>
            </w:r>
          </w:p>
        </w:tc>
        <w:tc>
          <w:tcPr>
            <w:tcW w:w="2445" w:type="pct"/>
            <w:hideMark/>
          </w:tcPr>
          <w:p w14:paraId="69C9B6E2" w14:textId="77777777" w:rsidR="00182C89" w:rsidRPr="00574FC8" w:rsidRDefault="00182C89" w:rsidP="009726AB">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0.105V - 1.111</w:t>
            </w:r>
          </w:p>
        </w:tc>
      </w:tr>
      <w:tr w:rsidR="00182C89" w14:paraId="1FC2AA4E" w14:textId="77777777" w:rsidTr="00812D63">
        <w:trPr>
          <w:trHeight w:val="243"/>
        </w:trPr>
        <w:tc>
          <w:tcPr>
            <w:tcW w:w="2555" w:type="pct"/>
            <w:hideMark/>
          </w:tcPr>
          <w:p w14:paraId="2F92AA67" w14:textId="77777777" w:rsidR="00182C89" w:rsidRPr="00574FC8" w:rsidRDefault="00182C89" w:rsidP="009726AB">
            <w:pPr>
              <w:spacing w:before="0" w:after="0" w:line="240" w:lineRule="auto"/>
              <w:rPr>
                <w:rFonts w:cs="Calibri Light"/>
                <w:sz w:val="20"/>
              </w:rPr>
            </w:pPr>
            <w:r w:rsidRPr="00574FC8">
              <w:rPr>
                <w:rFonts w:cs="Calibri Light"/>
                <w:b/>
                <w:sz w:val="20"/>
              </w:rPr>
              <w:t>Glass-Door Reach-In Freezer (</w:t>
            </w:r>
            <w:r w:rsidRPr="00574FC8">
              <w:rPr>
                <w:rFonts w:cs="Calibri Light"/>
                <w:sz w:val="20"/>
              </w:rPr>
              <w:t>VCT.SC.L)</w:t>
            </w:r>
          </w:p>
        </w:tc>
        <w:tc>
          <w:tcPr>
            <w:tcW w:w="2445" w:type="pct"/>
          </w:tcPr>
          <w:p w14:paraId="28A01141" w14:textId="77777777" w:rsidR="00182C89" w:rsidRPr="00574FC8" w:rsidRDefault="00182C89" w:rsidP="009726AB">
            <w:pPr>
              <w:spacing w:before="0" w:after="0" w:line="240" w:lineRule="auto"/>
              <w:rPr>
                <w:rFonts w:cs="Calibri Light"/>
                <w:sz w:val="20"/>
              </w:rPr>
            </w:pPr>
          </w:p>
        </w:tc>
      </w:tr>
      <w:tr w:rsidR="00182C89" w14:paraId="7B085B19" w14:textId="77777777" w:rsidTr="00812D63">
        <w:trPr>
          <w:trHeight w:val="243"/>
        </w:trPr>
        <w:tc>
          <w:tcPr>
            <w:tcW w:w="2555" w:type="pct"/>
            <w:hideMark/>
          </w:tcPr>
          <w:p w14:paraId="0A0C34F3" w14:textId="77777777" w:rsidR="00182C89" w:rsidRPr="00574FC8" w:rsidRDefault="00182C89" w:rsidP="009726AB">
            <w:pPr>
              <w:spacing w:before="0" w:after="0" w:line="240" w:lineRule="auto"/>
              <w:rPr>
                <w:rFonts w:cs="Calibri Light"/>
                <w:sz w:val="20"/>
              </w:rPr>
            </w:pPr>
            <w:r w:rsidRPr="00574FC8">
              <w:rPr>
                <w:rFonts w:cs="Calibri Light"/>
                <w:sz w:val="20"/>
              </w:rPr>
              <w:t>0 &lt; V &lt; 15</w:t>
            </w:r>
          </w:p>
        </w:tc>
        <w:tc>
          <w:tcPr>
            <w:tcW w:w="2445" w:type="pct"/>
            <w:vMerge w:val="restart"/>
            <w:vAlign w:val="center"/>
            <w:hideMark/>
          </w:tcPr>
          <w:p w14:paraId="1158141D" w14:textId="77777777" w:rsidR="00182C89" w:rsidRPr="00574FC8" w:rsidRDefault="00182C89" w:rsidP="009726AB">
            <w:pPr>
              <w:spacing w:before="0" w:after="0" w:line="240" w:lineRule="auto"/>
              <w:rPr>
                <w:rFonts w:cs="Calibri Light"/>
                <w:sz w:val="20"/>
              </w:rPr>
            </w:pPr>
            <w:r w:rsidRPr="00574FC8">
              <w:rPr>
                <w:rFonts w:cs="Calibri Light"/>
                <w:sz w:val="20"/>
              </w:rPr>
              <w:sym w:font="Symbol" w:char="F0A3"/>
            </w:r>
            <w:r w:rsidRPr="00574FC8">
              <w:rPr>
                <w:rFonts w:cs="Calibri Light"/>
                <w:sz w:val="20"/>
              </w:rPr>
              <w:t xml:space="preserve"> 0.232V + 2.36</w:t>
            </w:r>
          </w:p>
        </w:tc>
      </w:tr>
      <w:tr w:rsidR="00182C89" w14:paraId="3A764169" w14:textId="77777777" w:rsidTr="00812D63">
        <w:trPr>
          <w:trHeight w:val="243"/>
        </w:trPr>
        <w:tc>
          <w:tcPr>
            <w:tcW w:w="2555" w:type="pct"/>
            <w:hideMark/>
          </w:tcPr>
          <w:p w14:paraId="0A9BC1A0" w14:textId="77777777" w:rsidR="00182C89" w:rsidRPr="00574FC8" w:rsidRDefault="00182C89" w:rsidP="009726AB">
            <w:pPr>
              <w:spacing w:before="0" w:after="0" w:line="240" w:lineRule="auto"/>
              <w:rPr>
                <w:rFonts w:cs="Calibri Light"/>
                <w:sz w:val="20"/>
              </w:rPr>
            </w:pPr>
            <w:r w:rsidRPr="00574FC8">
              <w:rPr>
                <w:rFonts w:cs="Calibri Light"/>
                <w:sz w:val="20"/>
              </w:rPr>
              <w:t xml:space="preserve">15 </w:t>
            </w:r>
            <w:r w:rsidRPr="00574FC8">
              <w:rPr>
                <w:rFonts w:cs="Calibri Light"/>
                <w:sz w:val="20"/>
              </w:rPr>
              <w:sym w:font="Symbol" w:char="F0A3"/>
            </w:r>
            <w:r w:rsidRPr="00574FC8">
              <w:rPr>
                <w:rFonts w:cs="Calibri Light"/>
                <w:sz w:val="20"/>
              </w:rPr>
              <w:t xml:space="preserve"> V &lt; 30</w:t>
            </w:r>
          </w:p>
        </w:tc>
        <w:tc>
          <w:tcPr>
            <w:tcW w:w="0" w:type="auto"/>
            <w:vMerge/>
            <w:vAlign w:val="center"/>
            <w:hideMark/>
          </w:tcPr>
          <w:p w14:paraId="145FCE33" w14:textId="77777777" w:rsidR="00182C89" w:rsidRPr="00574FC8" w:rsidRDefault="00182C89" w:rsidP="009726AB">
            <w:pPr>
              <w:spacing w:before="0" w:after="0" w:line="240" w:lineRule="auto"/>
              <w:rPr>
                <w:rFonts w:cs="Calibri Light"/>
                <w:sz w:val="20"/>
              </w:rPr>
            </w:pPr>
          </w:p>
        </w:tc>
      </w:tr>
      <w:tr w:rsidR="00182C89" w14:paraId="1B750E24" w14:textId="77777777" w:rsidTr="00812D63">
        <w:trPr>
          <w:trHeight w:val="243"/>
        </w:trPr>
        <w:tc>
          <w:tcPr>
            <w:tcW w:w="2555" w:type="pct"/>
            <w:hideMark/>
          </w:tcPr>
          <w:p w14:paraId="65B82C8A" w14:textId="77777777" w:rsidR="00182C89" w:rsidRPr="00574FC8" w:rsidRDefault="00182C89" w:rsidP="009726AB">
            <w:pPr>
              <w:spacing w:before="0" w:after="0" w:line="240" w:lineRule="auto"/>
              <w:rPr>
                <w:rFonts w:cs="Calibri Light"/>
                <w:sz w:val="20"/>
              </w:rPr>
            </w:pPr>
            <w:r w:rsidRPr="00574FC8">
              <w:rPr>
                <w:rFonts w:cs="Calibri Light"/>
                <w:sz w:val="20"/>
              </w:rPr>
              <w:t xml:space="preserve">30 </w:t>
            </w:r>
            <w:r w:rsidRPr="00574FC8">
              <w:rPr>
                <w:rFonts w:cs="Calibri Light"/>
                <w:sz w:val="20"/>
              </w:rPr>
              <w:sym w:font="Symbol" w:char="F0A3"/>
            </w:r>
            <w:r w:rsidRPr="00574FC8">
              <w:rPr>
                <w:rFonts w:cs="Calibri Light"/>
                <w:sz w:val="20"/>
              </w:rPr>
              <w:t xml:space="preserve"> V &lt; 50</w:t>
            </w:r>
          </w:p>
        </w:tc>
        <w:tc>
          <w:tcPr>
            <w:tcW w:w="0" w:type="auto"/>
            <w:vMerge/>
            <w:vAlign w:val="center"/>
            <w:hideMark/>
          </w:tcPr>
          <w:p w14:paraId="65918A57" w14:textId="77777777" w:rsidR="00182C89" w:rsidRPr="00574FC8" w:rsidRDefault="00182C89" w:rsidP="009726AB">
            <w:pPr>
              <w:spacing w:before="0" w:after="0" w:line="240" w:lineRule="auto"/>
              <w:rPr>
                <w:rFonts w:cs="Calibri Light"/>
                <w:sz w:val="20"/>
              </w:rPr>
            </w:pPr>
          </w:p>
        </w:tc>
      </w:tr>
      <w:tr w:rsidR="00182C89" w14:paraId="1F41BE6D" w14:textId="77777777" w:rsidTr="00812D63">
        <w:trPr>
          <w:trHeight w:val="243"/>
        </w:trPr>
        <w:tc>
          <w:tcPr>
            <w:tcW w:w="2555" w:type="pct"/>
            <w:hideMark/>
          </w:tcPr>
          <w:p w14:paraId="74AC2915" w14:textId="77777777" w:rsidR="00182C89" w:rsidRPr="00574FC8" w:rsidRDefault="00182C89" w:rsidP="009726AB">
            <w:pPr>
              <w:spacing w:before="0" w:after="0" w:line="240" w:lineRule="auto"/>
              <w:rPr>
                <w:rFonts w:cs="Calibri Light"/>
                <w:sz w:val="20"/>
              </w:rPr>
            </w:pPr>
            <w:r w:rsidRPr="00574FC8">
              <w:rPr>
                <w:rFonts w:cs="Calibri Light"/>
                <w:sz w:val="20"/>
              </w:rPr>
              <w:t xml:space="preserve">50 </w:t>
            </w:r>
            <w:r w:rsidRPr="00574FC8">
              <w:rPr>
                <w:rFonts w:cs="Calibri Light"/>
                <w:sz w:val="20"/>
              </w:rPr>
              <w:sym w:font="Symbol" w:char="F0A3"/>
            </w:r>
            <w:r w:rsidRPr="00574FC8">
              <w:rPr>
                <w:rFonts w:cs="Calibri Light"/>
                <w:sz w:val="20"/>
              </w:rPr>
              <w:t xml:space="preserve"> V</w:t>
            </w:r>
          </w:p>
        </w:tc>
        <w:tc>
          <w:tcPr>
            <w:tcW w:w="0" w:type="auto"/>
            <w:vMerge/>
            <w:vAlign w:val="center"/>
            <w:hideMark/>
          </w:tcPr>
          <w:p w14:paraId="0BB0F8B4" w14:textId="77777777" w:rsidR="00182C89" w:rsidRPr="00574FC8" w:rsidRDefault="00182C89" w:rsidP="009726AB">
            <w:pPr>
              <w:spacing w:before="0" w:after="0" w:line="240" w:lineRule="auto"/>
              <w:rPr>
                <w:rFonts w:cs="Calibri Light"/>
                <w:sz w:val="20"/>
              </w:rPr>
            </w:pPr>
          </w:p>
        </w:tc>
      </w:tr>
    </w:tbl>
    <w:p w14:paraId="38331571" w14:textId="77777777" w:rsidR="00182C89" w:rsidRDefault="00182C89" w:rsidP="00182C89">
      <w:pPr>
        <w:pStyle w:val="eTRMTableFootnote"/>
        <w:rPr>
          <w:rFonts w:eastAsia="Times New Roman"/>
        </w:rPr>
      </w:pPr>
      <w:r>
        <w:t>V = internal volume in cubic feet.</w:t>
      </w:r>
    </w:p>
    <w:p w14:paraId="1A35233D" w14:textId="77777777" w:rsidR="00182C89" w:rsidRPr="004B06E3" w:rsidRDefault="00182C89" w:rsidP="008538B6"/>
    <w:p w14:paraId="18A3E8FE" w14:textId="77777777" w:rsidR="007B6A74" w:rsidRDefault="007B6A74" w:rsidP="00401C43">
      <w:pPr>
        <w:pStyle w:val="eTRMHeading5"/>
      </w:pPr>
      <w:r w:rsidRPr="00401C43">
        <w:t>Eligible Building Types</w:t>
      </w:r>
    </w:p>
    <w:p w14:paraId="632E0AEC" w14:textId="380CC36C" w:rsidR="009217D3" w:rsidRDefault="009217D3" w:rsidP="009217D3">
      <w:r>
        <w:t xml:space="preserve">These measures are applicable </w:t>
      </w:r>
      <w:r w:rsidR="00477E9A">
        <w:t>for</w:t>
      </w:r>
      <w:r w:rsidR="002021EB">
        <w:t xml:space="preserve"> </w:t>
      </w:r>
      <w:r w:rsidR="00522AC4">
        <w:t>any existing commercial</w:t>
      </w:r>
      <w:r w:rsidR="00E5331E">
        <w:t xml:space="preserve"> building </w:t>
      </w:r>
      <w:r w:rsidR="00522AC4">
        <w:t>type of any vintage.</w:t>
      </w:r>
    </w:p>
    <w:p w14:paraId="48A351EC" w14:textId="77777777" w:rsidR="009217D3" w:rsidRPr="009217D3" w:rsidRDefault="009217D3" w:rsidP="009217D3"/>
    <w:p w14:paraId="3C8AACBE" w14:textId="77777777" w:rsidR="007B6A74" w:rsidRPr="004B06E3" w:rsidRDefault="00196649" w:rsidP="00154391">
      <w:pPr>
        <w:pStyle w:val="eTRMHeading5"/>
      </w:pPr>
      <w:r>
        <w:t>Eligible Climate Zones</w:t>
      </w:r>
    </w:p>
    <w:p w14:paraId="2F11BEFB" w14:textId="4593FDAB" w:rsidR="006C41AD" w:rsidRDefault="009217D3" w:rsidP="004B06E3">
      <w:r>
        <w:t>These measures are</w:t>
      </w:r>
      <w:r w:rsidR="007E60DF">
        <w:t xml:space="preserve"> applicable in </w:t>
      </w:r>
      <w:r w:rsidR="00477E9A">
        <w:t>all</w:t>
      </w:r>
      <w:r w:rsidR="007E60DF">
        <w:t xml:space="preserve"> California climate zones.</w:t>
      </w:r>
    </w:p>
    <w:p w14:paraId="56D8615F" w14:textId="77777777" w:rsidR="00B53AF7" w:rsidRPr="004B06E3" w:rsidRDefault="00B53AF7" w:rsidP="004B06E3"/>
    <w:p w14:paraId="461C7093" w14:textId="77777777" w:rsidR="007D230B" w:rsidRPr="004B06E3" w:rsidRDefault="007D230B" w:rsidP="00E14349">
      <w:pPr>
        <w:pStyle w:val="eTRMHeading3"/>
      </w:pPr>
      <w:bookmarkStart w:id="27" w:name="_Toc486490853"/>
      <w:bookmarkStart w:id="28" w:name="_Toc486580924"/>
      <w:bookmarkStart w:id="29" w:name="_Toc1120816"/>
      <w:r w:rsidRPr="004B06E3">
        <w:t>Program Exclusions</w:t>
      </w:r>
      <w:bookmarkEnd w:id="27"/>
      <w:bookmarkEnd w:id="28"/>
      <w:bookmarkEnd w:id="29"/>
      <w:r w:rsidRPr="004B06E3">
        <w:t xml:space="preserve"> </w:t>
      </w:r>
    </w:p>
    <w:p w14:paraId="6445AB15" w14:textId="77777777" w:rsidR="00754680" w:rsidRPr="00CF769A" w:rsidRDefault="00754680" w:rsidP="00754680">
      <w:pPr>
        <w:rPr>
          <w:rFonts w:cs="Calibri Light"/>
          <w:szCs w:val="22"/>
        </w:rPr>
      </w:pPr>
      <w:r w:rsidRPr="00CF769A">
        <w:rPr>
          <w:rFonts w:cs="Calibri Light"/>
          <w:szCs w:val="22"/>
        </w:rPr>
        <w:t>Units with remote refrigeration systems do not qualif</w:t>
      </w:r>
      <w:r w:rsidR="009F178D">
        <w:rPr>
          <w:rFonts w:cs="Calibri Light"/>
          <w:szCs w:val="22"/>
        </w:rPr>
        <w:t>y and u</w:t>
      </w:r>
      <w:r w:rsidRPr="00CF769A">
        <w:rPr>
          <w:rFonts w:cs="Calibri Light"/>
          <w:szCs w:val="22"/>
        </w:rPr>
        <w:t>sed or rebuilt equipment is not eligible.</w:t>
      </w:r>
    </w:p>
    <w:p w14:paraId="2D65FF96" w14:textId="77777777" w:rsidR="007B6A74" w:rsidRPr="004B06E3" w:rsidRDefault="007B6A74" w:rsidP="004B06E3"/>
    <w:p w14:paraId="3D0AE49A" w14:textId="77777777" w:rsidR="007D230B" w:rsidRPr="004B06E3" w:rsidRDefault="007D230B" w:rsidP="00E14349">
      <w:pPr>
        <w:pStyle w:val="eTRMHeading3"/>
      </w:pPr>
      <w:bookmarkStart w:id="30" w:name="_Toc486490854"/>
      <w:bookmarkStart w:id="31" w:name="_Toc486580925"/>
      <w:bookmarkStart w:id="32" w:name="_Toc1120817"/>
      <w:r w:rsidRPr="004B06E3">
        <w:t>Data Collection Requirements</w:t>
      </w:r>
      <w:bookmarkEnd w:id="30"/>
      <w:bookmarkEnd w:id="31"/>
      <w:bookmarkEnd w:id="32"/>
      <w:r w:rsidRPr="004B06E3">
        <w:t xml:space="preserve"> </w:t>
      </w:r>
    </w:p>
    <w:p w14:paraId="0B685E99" w14:textId="703E522D" w:rsidR="00FB6B4F" w:rsidRPr="00196F2E" w:rsidRDefault="00196F2E" w:rsidP="00196F2E">
      <w:bookmarkStart w:id="33" w:name="_Hlk516048718"/>
      <w:r>
        <w:t>Data requirements are to be determined.</w:t>
      </w:r>
    </w:p>
    <w:bookmarkEnd w:id="33"/>
    <w:p w14:paraId="5CB216F2" w14:textId="77777777" w:rsidR="007D230B" w:rsidRPr="004B06E3" w:rsidRDefault="007D230B" w:rsidP="004B06E3">
      <w:pPr>
        <w:pStyle w:val="TableFootnote"/>
      </w:pPr>
    </w:p>
    <w:p w14:paraId="37272592" w14:textId="77777777" w:rsidR="007D230B" w:rsidRPr="004B06E3" w:rsidRDefault="007D230B" w:rsidP="00E14349">
      <w:pPr>
        <w:pStyle w:val="eTRMHeading3"/>
      </w:pPr>
      <w:bookmarkStart w:id="34" w:name="_Toc486490855"/>
      <w:bookmarkStart w:id="35" w:name="_Toc486580926"/>
      <w:bookmarkStart w:id="36" w:name="_Toc1120818"/>
      <w:r w:rsidRPr="004B06E3">
        <w:t>Use Category</w:t>
      </w:r>
      <w:bookmarkEnd w:id="34"/>
      <w:bookmarkEnd w:id="35"/>
      <w:bookmarkEnd w:id="36"/>
    </w:p>
    <w:p w14:paraId="7422C34B" w14:textId="77777777" w:rsidR="000F2804" w:rsidRDefault="000F2804" w:rsidP="000F2804">
      <w:r>
        <w:t>Commercial refrigeration (ComRefrig)</w:t>
      </w:r>
    </w:p>
    <w:p w14:paraId="6B0E0415" w14:textId="77777777" w:rsidR="00226EEF" w:rsidRPr="00226EEF" w:rsidRDefault="00226EEF" w:rsidP="00226EEF"/>
    <w:p w14:paraId="1EFD01D6" w14:textId="77777777" w:rsidR="00902FB3" w:rsidRDefault="00902FB3" w:rsidP="00902FB3">
      <w:pPr>
        <w:pStyle w:val="eTRMHeading3"/>
      </w:pPr>
      <w:bookmarkStart w:id="37" w:name="_Toc506890113"/>
      <w:bookmarkStart w:id="38" w:name="_Toc517178421"/>
      <w:bookmarkStart w:id="39" w:name="_Toc1120819"/>
      <w:r>
        <w:t>Electric Savings (</w:t>
      </w:r>
      <w:r>
        <w:rPr>
          <w:caps w:val="0"/>
        </w:rPr>
        <w:t>k</w:t>
      </w:r>
      <w:r>
        <w:t>W</w:t>
      </w:r>
      <w:r>
        <w:rPr>
          <w:caps w:val="0"/>
        </w:rPr>
        <w:t>h</w:t>
      </w:r>
      <w:r>
        <w:t>)</w:t>
      </w:r>
      <w:bookmarkEnd w:id="37"/>
      <w:bookmarkEnd w:id="38"/>
      <w:bookmarkEnd w:id="39"/>
    </w:p>
    <w:p w14:paraId="10A7A681" w14:textId="7360EF12" w:rsidR="00B9406B" w:rsidRDefault="00FE6F83" w:rsidP="00477E9A">
      <w:pPr>
        <w:rPr>
          <w:bCs/>
        </w:rPr>
      </w:pPr>
      <w:r>
        <w:rPr>
          <w:bCs/>
        </w:rPr>
        <w:t xml:space="preserve">The annual unit energy savings (UES) was calculated as the difference between the </w:t>
      </w:r>
      <w:r w:rsidR="0051640D">
        <w:rPr>
          <w:bCs/>
        </w:rPr>
        <w:t>baseline</w:t>
      </w:r>
      <w:r>
        <w:rPr>
          <w:bCs/>
        </w:rPr>
        <w:t xml:space="preserve"> and measure case </w:t>
      </w:r>
      <w:r w:rsidR="00574FC8">
        <w:rPr>
          <w:bCs/>
        </w:rPr>
        <w:t>unit energy consumption (</w:t>
      </w:r>
      <w:r>
        <w:rPr>
          <w:bCs/>
        </w:rPr>
        <w:t>UEC</w:t>
      </w:r>
      <w:r w:rsidR="00574FC8">
        <w:rPr>
          <w:bCs/>
        </w:rPr>
        <w:t>)</w:t>
      </w:r>
      <w:r>
        <w:rPr>
          <w:bCs/>
        </w:rPr>
        <w:t xml:space="preserve"> for each refrigerator and freezer configuration. </w:t>
      </w:r>
    </w:p>
    <w:p w14:paraId="5CBB2D5D" w14:textId="77777777" w:rsidR="00CE732B" w:rsidRPr="00FD02A1" w:rsidRDefault="00CE732B" w:rsidP="00CE732B">
      <w:pPr>
        <w:tabs>
          <w:tab w:val="left" w:pos="720"/>
        </w:tabs>
        <w:ind w:left="720"/>
        <w:rPr>
          <w:sz w:val="18"/>
          <w:szCs w:val="18"/>
        </w:rPr>
      </w:pPr>
      <w:bookmarkStart w:id="40" w:name="_Hlk522370366"/>
      <w:bookmarkStart w:id="41" w:name="_Hlk526854124"/>
      <m:oMathPara>
        <m:oMathParaPr>
          <m:jc m:val="left"/>
        </m:oMathParaPr>
        <m:oMath>
          <m:r>
            <w:rPr>
              <w:rFonts w:ascii="Cambria Math" w:hAnsi="Cambria Math"/>
              <w:sz w:val="18"/>
              <w:szCs w:val="18"/>
            </w:rPr>
            <m:t>UE</m:t>
          </m:r>
          <m:sSub>
            <m:sSubPr>
              <m:ctrlPr>
                <w:rPr>
                  <w:rFonts w:ascii="Cambria Math" w:hAnsi="Cambria Math"/>
                  <w:i/>
                  <w:sz w:val="18"/>
                  <w:szCs w:val="18"/>
                </w:rPr>
              </m:ctrlPr>
            </m:sSubPr>
            <m:e>
              <m:r>
                <w:rPr>
                  <w:rFonts w:ascii="Cambria Math" w:hAnsi="Cambria Math"/>
                  <w:sz w:val="18"/>
                  <w:szCs w:val="18"/>
                </w:rPr>
                <m:t>S</m:t>
              </m:r>
            </m:e>
            <m:sub>
              <m:r>
                <w:rPr>
                  <w:rFonts w:ascii="Cambria Math" w:hAnsi="Cambria Math"/>
                  <w:sz w:val="18"/>
                  <w:szCs w:val="18"/>
                </w:rPr>
                <m:t>YEAR</m:t>
              </m:r>
            </m:sub>
          </m:sSub>
          <m:r>
            <w:rPr>
              <w:rFonts w:ascii="Cambria Math" w:hAnsi="Cambria Math"/>
              <w:sz w:val="18"/>
              <w:szCs w:val="18"/>
            </w:rPr>
            <m:t>=</m:t>
          </m:r>
          <m:d>
            <m:dPr>
              <m:begChr m:val="["/>
              <m:endChr m:val="]"/>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Base</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Measure</m:t>
                  </m:r>
                </m:sub>
              </m:sSub>
            </m:e>
          </m:d>
        </m:oMath>
      </m:oMathPara>
    </w:p>
    <w:bookmarkEnd w:id="40"/>
    <w:p w14:paraId="13C82985" w14:textId="77777777" w:rsidR="00CE732B" w:rsidRPr="00E00DBE" w:rsidRDefault="00CE732B" w:rsidP="00CE732B">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UEC_YEAR =</w:t>
      </w:r>
      <w:r>
        <w:rPr>
          <w:rFonts w:ascii="Cambria Math" w:hAnsi="Cambria Math" w:cs="Calibri Light"/>
          <w:i/>
          <w:sz w:val="18"/>
          <w:szCs w:val="20"/>
        </w:rPr>
        <w:tab/>
        <w:t>Annual UEC, baseline or measure (kWh/year)</w:t>
      </w:r>
    </w:p>
    <w:p w14:paraId="00ED99E7" w14:textId="77777777" w:rsidR="00CE732B" w:rsidRDefault="00CE732B" w:rsidP="00CE732B">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UES_YEAR=</w:t>
      </w:r>
      <w:r>
        <w:rPr>
          <w:rFonts w:ascii="Cambria Math" w:hAnsi="Cambria Math" w:cs="Calibri Light"/>
          <w:i/>
          <w:sz w:val="18"/>
          <w:szCs w:val="20"/>
        </w:rPr>
        <w:tab/>
        <w:t>Annual UES (kWh/year)</w:t>
      </w:r>
    </w:p>
    <w:bookmarkEnd w:id="41"/>
    <w:p w14:paraId="23C96427" w14:textId="389A95D3" w:rsidR="00CE732B" w:rsidRDefault="00CE732B" w:rsidP="00477E9A">
      <w:pPr>
        <w:rPr>
          <w:bCs/>
        </w:rPr>
      </w:pPr>
    </w:p>
    <w:p w14:paraId="4D3B6DB1" w14:textId="7D1239D7" w:rsidR="00574FC8" w:rsidRDefault="00574FC8" w:rsidP="00574FC8">
      <w:r>
        <w:t>T</w:t>
      </w:r>
      <w:r w:rsidRPr="004B543E">
        <w:t xml:space="preserve">he </w:t>
      </w:r>
      <w:r>
        <w:t xml:space="preserve">UEC </w:t>
      </w:r>
      <w:r w:rsidRPr="004B543E">
        <w:t xml:space="preserve">for </w:t>
      </w:r>
      <w:r>
        <w:t xml:space="preserve">a </w:t>
      </w:r>
      <w:r w:rsidRPr="004B543E">
        <w:t xml:space="preserve">typical unit was </w:t>
      </w:r>
      <w:r>
        <w:t>derived</w:t>
      </w:r>
      <w:r w:rsidRPr="004B543E">
        <w:t xml:space="preserve"> by </w:t>
      </w:r>
      <w:r>
        <w:t>calculating</w:t>
      </w:r>
      <w:r w:rsidRPr="004B543E">
        <w:t xml:space="preserve"> the </w:t>
      </w:r>
      <w:r>
        <w:t xml:space="preserve">baseline and measure case </w:t>
      </w:r>
      <w:r w:rsidRPr="004B543E">
        <w:t xml:space="preserve">daily energy </w:t>
      </w:r>
      <w:r>
        <w:t>usage for each configuration according to the</w:t>
      </w:r>
      <w:r w:rsidRPr="004B543E">
        <w:t xml:space="preserve"> </w:t>
      </w:r>
      <w:r>
        <w:t>equations</w:t>
      </w:r>
      <w:r w:rsidRPr="004B543E">
        <w:t xml:space="preserve"> </w:t>
      </w:r>
      <w:r>
        <w:t>in the Measure Case Description and Base Case Description, respectively.</w:t>
      </w:r>
    </w:p>
    <w:p w14:paraId="3C04EA67" w14:textId="49BE7778" w:rsidR="00CE732B" w:rsidRDefault="00CE732B" w:rsidP="00CE732B">
      <w:r w:rsidRPr="004B543E">
        <w:t xml:space="preserve">The calculated annual </w:t>
      </w:r>
      <w:r>
        <w:t xml:space="preserve">unit </w:t>
      </w:r>
      <w:r w:rsidRPr="004B543E">
        <w:t xml:space="preserve">energy </w:t>
      </w:r>
      <w:r>
        <w:t>consumption</w:t>
      </w:r>
      <w:r w:rsidRPr="004B543E">
        <w:t xml:space="preserve"> </w:t>
      </w:r>
      <w:r>
        <w:t xml:space="preserve">(UEC) </w:t>
      </w:r>
      <w:r w:rsidRPr="004B543E">
        <w:t xml:space="preserve">was based on </w:t>
      </w:r>
      <w:r>
        <w:t>the equipment operation assumptions specified below.</w:t>
      </w:r>
      <w:r w:rsidR="00574FC8" w:rsidRPr="00574FC8">
        <w:rPr>
          <w:rFonts w:asciiTheme="minorHAnsi" w:hAnsiTheme="minorHAnsi"/>
          <w:bCs/>
          <w:szCs w:val="22"/>
        </w:rPr>
        <w:t xml:space="preserve"> </w:t>
      </w:r>
      <w:r w:rsidR="00574FC8" w:rsidRPr="00574FC8">
        <w:t>The nominal size and internal volume range are based on standard widths and each standard width may include multiple (French style) doors and/or multiple sections.</w:t>
      </w:r>
    </w:p>
    <w:p w14:paraId="23A14BA2" w14:textId="27A9518A" w:rsidR="00CE732B" w:rsidRDefault="001F4DB0" w:rsidP="00A172C1">
      <w:pPr>
        <w:pStyle w:val="Caption"/>
      </w:pPr>
      <w:r>
        <w:t>Equipment</w:t>
      </w:r>
      <w:r w:rsidR="00CE732B">
        <w:t xml:space="preserve"> Operation Assumptions</w:t>
      </w:r>
    </w:p>
    <w:tbl>
      <w:tblPr>
        <w:tblW w:w="3801" w:type="pct"/>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719"/>
        <w:gridCol w:w="1232"/>
        <w:gridCol w:w="3157"/>
      </w:tblGrid>
      <w:tr w:rsidR="00CE732B" w:rsidRPr="00CE732B" w14:paraId="6229073A" w14:textId="77777777" w:rsidTr="009B5129">
        <w:trPr>
          <w:cantSplit/>
          <w:trHeight w:val="20"/>
        </w:trPr>
        <w:tc>
          <w:tcPr>
            <w:tcW w:w="2790" w:type="dxa"/>
            <w:shd w:val="clear" w:color="auto" w:fill="F2F2F2" w:themeFill="background1" w:themeFillShade="F2"/>
            <w:vAlign w:val="center"/>
          </w:tcPr>
          <w:p w14:paraId="3D727B21" w14:textId="170E6841" w:rsidR="00CE732B" w:rsidRPr="00CE732B" w:rsidRDefault="00CE732B" w:rsidP="00A172C1">
            <w:pPr>
              <w:keepNext/>
              <w:keepLines/>
              <w:spacing w:before="20" w:after="20" w:line="220" w:lineRule="exact"/>
              <w:rPr>
                <w:rFonts w:cstheme="minorHAnsi"/>
                <w:b/>
                <w:sz w:val="20"/>
                <w:szCs w:val="20"/>
              </w:rPr>
            </w:pPr>
            <w:r w:rsidRPr="00CE732B">
              <w:rPr>
                <w:rFonts w:cstheme="minorHAnsi"/>
                <w:b/>
                <w:sz w:val="20"/>
                <w:szCs w:val="20"/>
              </w:rPr>
              <w:t>Parameter</w:t>
            </w:r>
          </w:p>
        </w:tc>
        <w:tc>
          <w:tcPr>
            <w:tcW w:w="1260" w:type="dxa"/>
            <w:shd w:val="clear" w:color="auto" w:fill="F2F2F2" w:themeFill="background1" w:themeFillShade="F2"/>
            <w:vAlign w:val="center"/>
          </w:tcPr>
          <w:p w14:paraId="6BEA7834" w14:textId="57E61CC0" w:rsidR="00CE732B" w:rsidRPr="00CE732B" w:rsidRDefault="00CE732B" w:rsidP="00A172C1">
            <w:pPr>
              <w:keepNext/>
              <w:keepLines/>
              <w:spacing w:before="20" w:after="20" w:line="220" w:lineRule="exact"/>
              <w:ind w:right="-24"/>
              <w:jc w:val="center"/>
              <w:rPr>
                <w:rFonts w:cstheme="minorHAnsi"/>
                <w:b/>
                <w:sz w:val="20"/>
                <w:szCs w:val="20"/>
              </w:rPr>
            </w:pPr>
            <w:r w:rsidRPr="00CE732B">
              <w:rPr>
                <w:rFonts w:cstheme="minorHAnsi"/>
                <w:b/>
                <w:sz w:val="20"/>
                <w:szCs w:val="20"/>
              </w:rPr>
              <w:t>Value</w:t>
            </w:r>
          </w:p>
        </w:tc>
        <w:tc>
          <w:tcPr>
            <w:tcW w:w="3240" w:type="dxa"/>
            <w:shd w:val="clear" w:color="auto" w:fill="F2F2F2" w:themeFill="background1" w:themeFillShade="F2"/>
            <w:vAlign w:val="center"/>
          </w:tcPr>
          <w:p w14:paraId="1D124D37" w14:textId="7AD8E5B5" w:rsidR="00CE732B" w:rsidRPr="00CE732B" w:rsidRDefault="00CE732B" w:rsidP="00A172C1">
            <w:pPr>
              <w:keepNext/>
              <w:keepLines/>
              <w:spacing w:before="20" w:after="20" w:line="220" w:lineRule="exact"/>
              <w:ind w:right="-24"/>
              <w:jc w:val="center"/>
              <w:rPr>
                <w:rFonts w:cstheme="minorHAnsi"/>
                <w:b/>
                <w:sz w:val="20"/>
                <w:szCs w:val="20"/>
              </w:rPr>
            </w:pPr>
            <w:r w:rsidRPr="00CE732B">
              <w:rPr>
                <w:rFonts w:cstheme="minorHAnsi"/>
                <w:b/>
                <w:sz w:val="20"/>
                <w:szCs w:val="20"/>
              </w:rPr>
              <w:t>Source</w:t>
            </w:r>
          </w:p>
        </w:tc>
      </w:tr>
      <w:tr w:rsidR="00CE732B" w:rsidRPr="00D323BC" w14:paraId="6F33A5D4" w14:textId="77777777" w:rsidTr="009B5129">
        <w:trPr>
          <w:cantSplit/>
          <w:trHeight w:val="20"/>
        </w:trPr>
        <w:tc>
          <w:tcPr>
            <w:tcW w:w="2790" w:type="dxa"/>
            <w:vAlign w:val="center"/>
          </w:tcPr>
          <w:p w14:paraId="56EBF896" w14:textId="77777777" w:rsidR="00CE732B" w:rsidRPr="00CA53C8" w:rsidRDefault="00CE732B" w:rsidP="00A172C1">
            <w:pPr>
              <w:keepNext/>
              <w:keepLines/>
              <w:spacing w:before="20" w:after="20" w:line="220" w:lineRule="exact"/>
              <w:rPr>
                <w:rFonts w:cstheme="minorHAnsi"/>
                <w:sz w:val="20"/>
                <w:szCs w:val="20"/>
              </w:rPr>
            </w:pPr>
            <w:r w:rsidRPr="00CA53C8">
              <w:rPr>
                <w:rFonts w:cstheme="minorHAnsi"/>
                <w:sz w:val="20"/>
                <w:szCs w:val="20"/>
              </w:rPr>
              <w:t>Operating Hours/Day</w:t>
            </w:r>
            <w:r>
              <w:rPr>
                <w:rFonts w:cstheme="minorHAnsi"/>
                <w:sz w:val="20"/>
                <w:szCs w:val="20"/>
              </w:rPr>
              <w:t xml:space="preserve"> (hours)</w:t>
            </w:r>
          </w:p>
        </w:tc>
        <w:tc>
          <w:tcPr>
            <w:tcW w:w="1260" w:type="dxa"/>
            <w:vAlign w:val="center"/>
          </w:tcPr>
          <w:p w14:paraId="35AC8848" w14:textId="69D526FA" w:rsidR="00CE732B" w:rsidRPr="00D323BC" w:rsidRDefault="00CE732B" w:rsidP="0059571D">
            <w:pPr>
              <w:keepNext/>
              <w:keepLines/>
              <w:spacing w:before="20" w:after="20" w:line="220" w:lineRule="exact"/>
              <w:jc w:val="right"/>
              <w:rPr>
                <w:rFonts w:cstheme="minorHAnsi"/>
                <w:sz w:val="20"/>
                <w:szCs w:val="20"/>
              </w:rPr>
            </w:pPr>
            <w:r>
              <w:rPr>
                <w:rFonts w:cstheme="minorHAnsi"/>
                <w:sz w:val="20"/>
                <w:szCs w:val="20"/>
              </w:rPr>
              <w:t>24</w:t>
            </w:r>
          </w:p>
        </w:tc>
        <w:tc>
          <w:tcPr>
            <w:tcW w:w="3240" w:type="dxa"/>
            <w:vMerge w:val="restart"/>
            <w:vAlign w:val="center"/>
          </w:tcPr>
          <w:p w14:paraId="36F4FA50" w14:textId="4AE08BD8" w:rsidR="00CE732B" w:rsidRPr="00CE732B" w:rsidRDefault="00CE732B" w:rsidP="00A172C1">
            <w:pPr>
              <w:keepNext/>
              <w:keepLines/>
              <w:spacing w:before="20" w:after="20" w:line="220" w:lineRule="exact"/>
              <w:ind w:right="-24"/>
              <w:rPr>
                <w:rFonts w:cstheme="minorHAnsi"/>
                <w:sz w:val="18"/>
                <w:szCs w:val="20"/>
              </w:rPr>
            </w:pPr>
            <w:r w:rsidRPr="00CE732B">
              <w:rPr>
                <w:rFonts w:cstheme="minorHAnsi"/>
                <w:sz w:val="18"/>
                <w:szCs w:val="20"/>
              </w:rPr>
              <w:t>Professional judgement</w:t>
            </w:r>
          </w:p>
        </w:tc>
      </w:tr>
      <w:tr w:rsidR="00CE732B" w:rsidRPr="00D323BC" w14:paraId="495A100D" w14:textId="77777777" w:rsidTr="009B5129">
        <w:trPr>
          <w:cantSplit/>
          <w:trHeight w:val="20"/>
        </w:trPr>
        <w:tc>
          <w:tcPr>
            <w:tcW w:w="2790" w:type="dxa"/>
            <w:vAlign w:val="center"/>
          </w:tcPr>
          <w:p w14:paraId="2B6D9CE5" w14:textId="77777777" w:rsidR="00CE732B" w:rsidRPr="00CA53C8" w:rsidRDefault="00CE732B" w:rsidP="00A172C1">
            <w:pPr>
              <w:keepNext/>
              <w:keepLines/>
              <w:spacing w:before="20" w:after="20" w:line="220" w:lineRule="exact"/>
              <w:rPr>
                <w:rFonts w:cstheme="minorHAnsi"/>
                <w:sz w:val="20"/>
                <w:szCs w:val="20"/>
              </w:rPr>
            </w:pPr>
            <w:r w:rsidRPr="00CA53C8">
              <w:rPr>
                <w:rFonts w:cstheme="minorHAnsi"/>
                <w:sz w:val="20"/>
                <w:szCs w:val="20"/>
              </w:rPr>
              <w:t>Operating Days/Year</w:t>
            </w:r>
            <w:r>
              <w:rPr>
                <w:rFonts w:cstheme="minorHAnsi"/>
                <w:sz w:val="20"/>
                <w:szCs w:val="20"/>
              </w:rPr>
              <w:t xml:space="preserve"> (days)</w:t>
            </w:r>
          </w:p>
        </w:tc>
        <w:tc>
          <w:tcPr>
            <w:tcW w:w="1260" w:type="dxa"/>
            <w:vAlign w:val="center"/>
          </w:tcPr>
          <w:p w14:paraId="2728BFCE" w14:textId="77777777" w:rsidR="00CE732B" w:rsidRPr="00D323BC" w:rsidRDefault="00CE732B" w:rsidP="0059571D">
            <w:pPr>
              <w:keepNext/>
              <w:keepLines/>
              <w:spacing w:before="20" w:after="20" w:line="220" w:lineRule="exact"/>
              <w:jc w:val="right"/>
              <w:rPr>
                <w:rFonts w:cstheme="minorHAnsi"/>
                <w:sz w:val="20"/>
                <w:szCs w:val="20"/>
              </w:rPr>
            </w:pPr>
            <w:r w:rsidRPr="00D323BC">
              <w:rPr>
                <w:rFonts w:cstheme="minorHAnsi"/>
                <w:sz w:val="20"/>
                <w:szCs w:val="20"/>
              </w:rPr>
              <w:t>365</w:t>
            </w:r>
          </w:p>
        </w:tc>
        <w:tc>
          <w:tcPr>
            <w:tcW w:w="3240" w:type="dxa"/>
            <w:vMerge/>
            <w:vAlign w:val="center"/>
          </w:tcPr>
          <w:p w14:paraId="615307AB" w14:textId="5F56A655" w:rsidR="00CE732B" w:rsidRPr="00D323BC" w:rsidRDefault="00CE732B" w:rsidP="00A172C1">
            <w:pPr>
              <w:keepNext/>
              <w:keepLines/>
              <w:spacing w:before="20" w:after="20" w:line="220" w:lineRule="exact"/>
              <w:ind w:right="-24"/>
              <w:jc w:val="center"/>
              <w:rPr>
                <w:rFonts w:cstheme="minorHAnsi"/>
                <w:sz w:val="20"/>
                <w:szCs w:val="20"/>
              </w:rPr>
            </w:pPr>
          </w:p>
        </w:tc>
      </w:tr>
    </w:tbl>
    <w:p w14:paraId="1AF1743C" w14:textId="77777777" w:rsidR="00CE732B" w:rsidRPr="004B543E" w:rsidRDefault="00CE732B" w:rsidP="00477E9A">
      <w:pPr>
        <w:rPr>
          <w:bCs/>
        </w:rPr>
      </w:pPr>
    </w:p>
    <w:p w14:paraId="4C0AD14F" w14:textId="77777777" w:rsidR="00574FC8" w:rsidRDefault="00574FC8" w:rsidP="00574FC8">
      <w:bookmarkStart w:id="42" w:name="_Ref249235066"/>
      <w:r>
        <w:t>A sample calculation showing the daily and annual energy savings of a Solid-Door Reach-In Refrigerator with total volume between 15 ft</w:t>
      </w:r>
      <w:r>
        <w:rPr>
          <w:vertAlign w:val="superscript"/>
        </w:rPr>
        <w:t>3</w:t>
      </w:r>
      <w:r>
        <w:t>and 29 ft</w:t>
      </w:r>
      <w:r>
        <w:rPr>
          <w:vertAlign w:val="superscript"/>
        </w:rPr>
        <w:t>3</w:t>
      </w:r>
      <w:r>
        <w:t xml:space="preserve"> (15 &lt; V &lt; 29 ft</w:t>
      </w:r>
      <w:r>
        <w:rPr>
          <w:vertAlign w:val="superscript"/>
        </w:rPr>
        <w:t>3</w:t>
      </w:r>
      <w:r>
        <w:t>) is provided below.</w:t>
      </w:r>
    </w:p>
    <w:p w14:paraId="633AF58B" w14:textId="194D6AE1" w:rsidR="00574FC8" w:rsidRPr="00574FC8" w:rsidRDefault="00574FC8" w:rsidP="0052440C">
      <w:pPr>
        <w:spacing w:before="0" w:after="0"/>
        <w:ind w:firstLine="720"/>
        <w:rPr>
          <w:rFonts w:ascii="Cambria Math" w:hAnsi="Cambria Math"/>
          <w:i/>
          <w:sz w:val="18"/>
        </w:rPr>
      </w:pPr>
      <w:r w:rsidRPr="00574FC8">
        <w:rPr>
          <w:rFonts w:ascii="Cambria Math" w:hAnsi="Cambria Math"/>
          <w:i/>
          <w:sz w:val="18"/>
        </w:rPr>
        <w:lastRenderedPageBreak/>
        <w:t>Volume (V) = 24 ft</w:t>
      </w:r>
      <w:r w:rsidRPr="00574FC8">
        <w:rPr>
          <w:rFonts w:ascii="Cambria Math" w:hAnsi="Cambria Math"/>
          <w:i/>
          <w:sz w:val="18"/>
          <w:vertAlign w:val="superscript"/>
        </w:rPr>
        <w:t>3</w:t>
      </w:r>
    </w:p>
    <w:p w14:paraId="68DBC0E1" w14:textId="77777777" w:rsidR="00574FC8" w:rsidRPr="00574FC8" w:rsidRDefault="00574FC8" w:rsidP="0052440C">
      <w:pPr>
        <w:spacing w:before="0" w:after="0"/>
        <w:ind w:left="720"/>
        <w:rPr>
          <w:rFonts w:ascii="Cambria Math" w:hAnsi="Cambria Math"/>
          <w:i/>
          <w:sz w:val="18"/>
        </w:rPr>
      </w:pPr>
      <w:r w:rsidRPr="00574FC8">
        <w:rPr>
          <w:rFonts w:ascii="Cambria Math" w:hAnsi="Cambria Math"/>
          <w:i/>
          <w:sz w:val="18"/>
        </w:rPr>
        <w:t>Measure Case Daily Energy Usage</w:t>
      </w:r>
    </w:p>
    <w:p w14:paraId="67EACCB4" w14:textId="38F6C8BF" w:rsidR="00574FC8" w:rsidRPr="00574FC8" w:rsidRDefault="00574FC8" w:rsidP="0052440C">
      <w:pPr>
        <w:spacing w:before="0" w:after="0"/>
        <w:ind w:left="720" w:firstLine="720"/>
        <w:rPr>
          <w:rFonts w:ascii="Cambria Math" w:hAnsi="Cambria Math"/>
          <w:i/>
          <w:sz w:val="18"/>
        </w:rPr>
      </w:pPr>
      <w:r w:rsidRPr="00574FC8">
        <w:rPr>
          <w:rFonts w:ascii="Cambria Math" w:hAnsi="Cambria Math"/>
          <w:i/>
          <w:sz w:val="18"/>
        </w:rPr>
        <w:t>= 0.066 x V + 0.31 (See Measure Case Table)</w:t>
      </w:r>
    </w:p>
    <w:p w14:paraId="0B86DA8A" w14:textId="2B3533D9" w:rsidR="00574FC8" w:rsidRPr="00574FC8" w:rsidRDefault="00574FC8" w:rsidP="0052440C">
      <w:pPr>
        <w:spacing w:before="0" w:after="0"/>
        <w:ind w:left="720" w:firstLine="720"/>
        <w:rPr>
          <w:rFonts w:ascii="Cambria Math" w:hAnsi="Cambria Math"/>
          <w:i/>
          <w:sz w:val="18"/>
        </w:rPr>
      </w:pPr>
      <w:r w:rsidRPr="00574FC8">
        <w:rPr>
          <w:rFonts w:ascii="Cambria Math" w:hAnsi="Cambria Math"/>
          <w:i/>
          <w:sz w:val="18"/>
        </w:rPr>
        <w:t>= 0.066 x 24 + 0.31 = 1.89 kWh / day</w:t>
      </w:r>
    </w:p>
    <w:p w14:paraId="40BBEB74" w14:textId="77777777" w:rsidR="00574FC8" w:rsidRPr="00574FC8" w:rsidRDefault="00574FC8" w:rsidP="0052440C">
      <w:pPr>
        <w:spacing w:before="0" w:after="0"/>
        <w:ind w:left="720"/>
        <w:rPr>
          <w:rFonts w:ascii="Cambria Math" w:hAnsi="Cambria Math"/>
          <w:i/>
          <w:sz w:val="18"/>
        </w:rPr>
      </w:pPr>
      <w:r w:rsidRPr="00574FC8">
        <w:rPr>
          <w:rFonts w:ascii="Cambria Math" w:hAnsi="Cambria Math"/>
          <w:i/>
          <w:sz w:val="18"/>
        </w:rPr>
        <w:t>Measure Case Annual Energy Usage</w:t>
      </w:r>
    </w:p>
    <w:p w14:paraId="4F7AA7C3" w14:textId="0444A65F" w:rsidR="00574FC8" w:rsidRPr="00574FC8" w:rsidRDefault="00574FC8" w:rsidP="0052440C">
      <w:pPr>
        <w:spacing w:before="0" w:after="0"/>
        <w:ind w:left="720" w:firstLine="720"/>
        <w:rPr>
          <w:rFonts w:ascii="Cambria Math" w:hAnsi="Cambria Math"/>
          <w:i/>
          <w:sz w:val="18"/>
        </w:rPr>
      </w:pPr>
      <w:r w:rsidRPr="00574FC8">
        <w:rPr>
          <w:rFonts w:ascii="Cambria Math" w:hAnsi="Cambria Math"/>
          <w:i/>
          <w:sz w:val="18"/>
        </w:rPr>
        <w:t>= (Daily Energy Usage) x 365 days per year</w:t>
      </w:r>
    </w:p>
    <w:p w14:paraId="496DE2F2" w14:textId="10468F9D" w:rsidR="00574FC8" w:rsidRPr="00574FC8" w:rsidRDefault="00574FC8" w:rsidP="0052440C">
      <w:pPr>
        <w:spacing w:before="0" w:after="0"/>
        <w:ind w:left="720" w:firstLine="720"/>
        <w:rPr>
          <w:rFonts w:ascii="Cambria Math" w:hAnsi="Cambria Math"/>
          <w:i/>
          <w:sz w:val="18"/>
        </w:rPr>
      </w:pPr>
      <w:r w:rsidRPr="00574FC8">
        <w:rPr>
          <w:rFonts w:ascii="Cambria Math" w:hAnsi="Cambria Math"/>
          <w:i/>
          <w:sz w:val="18"/>
        </w:rPr>
        <w:t>= 1.89 kWh / day x 365 days / year = 691 kWh / year</w:t>
      </w:r>
    </w:p>
    <w:p w14:paraId="58316A54" w14:textId="77777777" w:rsidR="00574FC8" w:rsidRPr="00574FC8" w:rsidRDefault="00574FC8" w:rsidP="0052440C">
      <w:pPr>
        <w:spacing w:before="0" w:after="0"/>
        <w:ind w:left="720"/>
        <w:rPr>
          <w:rFonts w:ascii="Cambria Math" w:hAnsi="Cambria Math"/>
          <w:i/>
          <w:sz w:val="18"/>
        </w:rPr>
      </w:pPr>
      <w:r w:rsidRPr="00574FC8">
        <w:rPr>
          <w:rFonts w:ascii="Cambria Math" w:hAnsi="Cambria Math"/>
          <w:i/>
          <w:sz w:val="18"/>
        </w:rPr>
        <w:t>Baseline Daily Energy Usage</w:t>
      </w:r>
    </w:p>
    <w:p w14:paraId="17A84432" w14:textId="433655F6" w:rsidR="00574FC8" w:rsidRPr="00574FC8" w:rsidRDefault="00574FC8" w:rsidP="0052440C">
      <w:pPr>
        <w:spacing w:before="0" w:after="0"/>
        <w:ind w:left="720" w:firstLine="720"/>
        <w:rPr>
          <w:rFonts w:ascii="Cambria Math" w:hAnsi="Cambria Math"/>
          <w:i/>
          <w:sz w:val="18"/>
        </w:rPr>
      </w:pPr>
      <w:r w:rsidRPr="00574FC8">
        <w:rPr>
          <w:rFonts w:ascii="Cambria Math" w:hAnsi="Cambria Math"/>
          <w:i/>
          <w:sz w:val="18"/>
        </w:rPr>
        <w:t>= 0.05 x V + 1.36 (See Base Case Table)</w:t>
      </w:r>
    </w:p>
    <w:p w14:paraId="79B97A42" w14:textId="27A45E5D" w:rsidR="00574FC8" w:rsidRPr="00574FC8" w:rsidRDefault="00574FC8" w:rsidP="0052440C">
      <w:pPr>
        <w:spacing w:before="0" w:after="0"/>
        <w:ind w:left="720" w:firstLine="720"/>
        <w:rPr>
          <w:rFonts w:ascii="Cambria Math" w:hAnsi="Cambria Math"/>
          <w:i/>
          <w:sz w:val="18"/>
        </w:rPr>
      </w:pPr>
      <w:r w:rsidRPr="00574FC8">
        <w:rPr>
          <w:rFonts w:ascii="Cambria Math" w:hAnsi="Cambria Math"/>
          <w:i/>
          <w:sz w:val="18"/>
        </w:rPr>
        <w:t>= 0.05 x 24 + 1.36 = 2.56 kWh / day</w:t>
      </w:r>
    </w:p>
    <w:p w14:paraId="7C9F733E" w14:textId="77777777" w:rsidR="00574FC8" w:rsidRPr="00574FC8" w:rsidRDefault="00574FC8" w:rsidP="0052440C">
      <w:pPr>
        <w:spacing w:before="0" w:after="0"/>
        <w:ind w:left="720"/>
        <w:rPr>
          <w:rFonts w:ascii="Cambria Math" w:hAnsi="Cambria Math"/>
          <w:i/>
          <w:sz w:val="18"/>
        </w:rPr>
      </w:pPr>
      <w:r w:rsidRPr="00574FC8">
        <w:rPr>
          <w:rFonts w:ascii="Cambria Math" w:hAnsi="Cambria Math"/>
          <w:i/>
          <w:sz w:val="18"/>
        </w:rPr>
        <w:t>Base Case Annual Energy Usage</w:t>
      </w:r>
      <w:r w:rsidRPr="00574FC8">
        <w:rPr>
          <w:rFonts w:ascii="Cambria Math" w:hAnsi="Cambria Math"/>
          <w:i/>
          <w:sz w:val="18"/>
        </w:rPr>
        <w:tab/>
      </w:r>
    </w:p>
    <w:p w14:paraId="5B941C07" w14:textId="348C121B" w:rsidR="00574FC8" w:rsidRPr="00574FC8" w:rsidRDefault="00574FC8" w:rsidP="0052440C">
      <w:pPr>
        <w:spacing w:before="0" w:after="0"/>
        <w:ind w:left="1440"/>
        <w:rPr>
          <w:rFonts w:ascii="Cambria Math" w:hAnsi="Cambria Math"/>
          <w:i/>
          <w:sz w:val="18"/>
        </w:rPr>
      </w:pPr>
      <w:r w:rsidRPr="00574FC8">
        <w:rPr>
          <w:rFonts w:ascii="Cambria Math" w:hAnsi="Cambria Math"/>
          <w:i/>
          <w:sz w:val="18"/>
        </w:rPr>
        <w:t>= (Daily Energy Usage) x 365 days per year</w:t>
      </w:r>
    </w:p>
    <w:p w14:paraId="258C70E5" w14:textId="2F7F89A5" w:rsidR="00574FC8" w:rsidRPr="00574FC8" w:rsidRDefault="00574FC8" w:rsidP="0052440C">
      <w:pPr>
        <w:spacing w:before="0" w:after="0"/>
        <w:ind w:left="1440"/>
        <w:rPr>
          <w:rFonts w:ascii="Cambria Math" w:hAnsi="Cambria Math"/>
          <w:i/>
          <w:sz w:val="18"/>
        </w:rPr>
      </w:pPr>
      <w:r w:rsidRPr="00574FC8">
        <w:rPr>
          <w:rFonts w:ascii="Cambria Math" w:hAnsi="Cambria Math"/>
          <w:i/>
          <w:sz w:val="18"/>
        </w:rPr>
        <w:t>= 2.56 kWh / day x 365 days / year = 934 kWh / year</w:t>
      </w:r>
    </w:p>
    <w:p w14:paraId="1C7E9F1D" w14:textId="77777777" w:rsidR="00574FC8" w:rsidRPr="00574FC8" w:rsidRDefault="00574FC8" w:rsidP="0052440C">
      <w:pPr>
        <w:spacing w:before="0" w:after="0"/>
        <w:ind w:left="720"/>
        <w:rPr>
          <w:rFonts w:ascii="Cambria Math" w:hAnsi="Cambria Math"/>
          <w:i/>
          <w:sz w:val="18"/>
        </w:rPr>
      </w:pPr>
      <w:r w:rsidRPr="00574FC8">
        <w:rPr>
          <w:rFonts w:ascii="Cambria Math" w:hAnsi="Cambria Math"/>
          <w:i/>
          <w:sz w:val="18"/>
        </w:rPr>
        <w:t>Annual Energy Savings</w:t>
      </w:r>
      <w:r w:rsidRPr="00574FC8">
        <w:rPr>
          <w:rFonts w:ascii="Cambria Math" w:hAnsi="Cambria Math"/>
          <w:i/>
          <w:sz w:val="18"/>
        </w:rPr>
        <w:tab/>
      </w:r>
    </w:p>
    <w:p w14:paraId="17D3B784" w14:textId="5E2497E4" w:rsidR="00574FC8" w:rsidRPr="00574FC8" w:rsidRDefault="00574FC8" w:rsidP="0052440C">
      <w:pPr>
        <w:spacing w:before="0" w:after="0"/>
        <w:ind w:left="720" w:firstLine="720"/>
        <w:rPr>
          <w:rFonts w:ascii="Cambria Math" w:hAnsi="Cambria Math"/>
          <w:i/>
          <w:sz w:val="18"/>
        </w:rPr>
      </w:pPr>
      <w:r w:rsidRPr="00574FC8">
        <w:rPr>
          <w:rFonts w:ascii="Cambria Math" w:hAnsi="Cambria Math"/>
          <w:i/>
          <w:sz w:val="18"/>
        </w:rPr>
        <w:t>= Baseline Annual Usage – Measure Case Annual Usage</w:t>
      </w:r>
    </w:p>
    <w:p w14:paraId="58785DFB" w14:textId="495F2E62" w:rsidR="00574FC8" w:rsidRPr="00574FC8" w:rsidRDefault="00574FC8" w:rsidP="0052440C">
      <w:pPr>
        <w:spacing w:before="0" w:after="0"/>
        <w:ind w:left="720" w:firstLine="720"/>
        <w:rPr>
          <w:rFonts w:ascii="Cambria Math" w:hAnsi="Cambria Math"/>
          <w:i/>
          <w:sz w:val="18"/>
        </w:rPr>
      </w:pPr>
      <w:r w:rsidRPr="00574FC8">
        <w:rPr>
          <w:rFonts w:ascii="Cambria Math" w:hAnsi="Cambria Math"/>
          <w:i/>
          <w:sz w:val="18"/>
        </w:rPr>
        <w:t xml:space="preserve">= 934 – 691 kWh / year = 243 kWh / year </w:t>
      </w:r>
    </w:p>
    <w:p w14:paraId="16B87B13" w14:textId="77777777" w:rsidR="005B5277" w:rsidRPr="00520B56" w:rsidRDefault="005B5277" w:rsidP="005B5277">
      <w:pPr>
        <w:rPr>
          <w:szCs w:val="22"/>
        </w:rPr>
      </w:pPr>
    </w:p>
    <w:p w14:paraId="78B0F84C" w14:textId="77777777" w:rsidR="006F54FA" w:rsidRPr="004B06E3" w:rsidRDefault="006F54FA" w:rsidP="006F54FA">
      <w:pPr>
        <w:pStyle w:val="eTRMHeading3"/>
      </w:pPr>
      <w:bookmarkStart w:id="43" w:name="_Toc486490856"/>
      <w:bookmarkStart w:id="44" w:name="_Toc486580927"/>
      <w:bookmarkStart w:id="45" w:name="_Toc1120820"/>
      <w:bookmarkEnd w:id="42"/>
      <w:r w:rsidRPr="004B06E3">
        <w:t>Peak Electric Demand Reduction (</w:t>
      </w:r>
      <w:r w:rsidRPr="00CA5558">
        <w:rPr>
          <w:caps w:val="0"/>
        </w:rPr>
        <w:t>kW)</w:t>
      </w:r>
      <w:bookmarkEnd w:id="43"/>
      <w:bookmarkEnd w:id="44"/>
      <w:bookmarkEnd w:id="45"/>
    </w:p>
    <w:p w14:paraId="6D6F2F34" w14:textId="1F6463F4" w:rsidR="00CE732B" w:rsidRPr="005D7440" w:rsidRDefault="006F54FA" w:rsidP="00CE732B">
      <w:pPr>
        <w:rPr>
          <w:rFonts w:cs="Calibri Light"/>
          <w:szCs w:val="22"/>
          <w:shd w:val="clear" w:color="auto" w:fill="FFFFFF"/>
        </w:rPr>
      </w:pPr>
      <w:r w:rsidRPr="005448F5">
        <w:rPr>
          <w:szCs w:val="22"/>
        </w:rPr>
        <w:t xml:space="preserve">The </w:t>
      </w:r>
      <w:r w:rsidR="00CE732B">
        <w:rPr>
          <w:szCs w:val="22"/>
        </w:rPr>
        <w:t xml:space="preserve">peak </w:t>
      </w:r>
      <w:r w:rsidRPr="005448F5">
        <w:rPr>
          <w:szCs w:val="22"/>
        </w:rPr>
        <w:t>d</w:t>
      </w:r>
      <w:r>
        <w:rPr>
          <w:szCs w:val="22"/>
        </w:rPr>
        <w:t>emand reduction was calculated</w:t>
      </w:r>
      <w:r w:rsidRPr="005448F5">
        <w:rPr>
          <w:szCs w:val="22"/>
        </w:rPr>
        <w:t xml:space="preserve"> by </w:t>
      </w:r>
      <w:r>
        <w:rPr>
          <w:szCs w:val="22"/>
        </w:rPr>
        <w:t xml:space="preserve">dividing the daily </w:t>
      </w:r>
      <w:r w:rsidR="00CE732B">
        <w:rPr>
          <w:szCs w:val="22"/>
        </w:rPr>
        <w:t>unit energy consumption (UEC)</w:t>
      </w:r>
      <w:r>
        <w:rPr>
          <w:szCs w:val="22"/>
        </w:rPr>
        <w:t xml:space="preserve"> by</w:t>
      </w:r>
      <w:r w:rsidR="00CE732B">
        <w:rPr>
          <w:szCs w:val="22"/>
        </w:rPr>
        <w:t xml:space="preserve"> the assumed hours of operation. </w:t>
      </w:r>
      <w:r w:rsidR="00CE732B">
        <w:rPr>
          <w:rFonts w:cs="Calibri Light"/>
          <w:szCs w:val="22"/>
          <w:shd w:val="clear" w:color="auto" w:fill="FFFFFF"/>
        </w:rPr>
        <w:t xml:space="preserve">It is assumed that this measure operates </w:t>
      </w:r>
      <w:r w:rsidR="00F25350">
        <w:rPr>
          <w:rFonts w:cs="Calibri Light"/>
          <w:szCs w:val="22"/>
          <w:shd w:val="clear" w:color="auto" w:fill="FFFFFF"/>
        </w:rPr>
        <w:t xml:space="preserve">24 hours per day, 365 days per year - </w:t>
      </w:r>
      <w:r w:rsidR="00CE732B">
        <w:rPr>
          <w:rFonts w:cs="Calibri Light"/>
          <w:szCs w:val="22"/>
          <w:shd w:val="clear" w:color="auto" w:fill="FFFFFF"/>
        </w:rPr>
        <w:t>within the Database of Energy Efficient Resources (DEER) peak period of 4 p.m. to 9 p.m. on weekdays</w:t>
      </w:r>
      <w:r w:rsidR="00CE732B">
        <w:rPr>
          <w:rStyle w:val="FootnoteReference"/>
          <w:rFonts w:cs="Calibri Light"/>
          <w:szCs w:val="22"/>
          <w:shd w:val="clear" w:color="auto" w:fill="FFFFFF"/>
        </w:rPr>
        <w:footnoteReference w:id="5"/>
      </w:r>
      <w:r w:rsidR="00CE732B">
        <w:rPr>
          <w:rFonts w:cs="Calibri Light"/>
          <w:szCs w:val="22"/>
          <w:shd w:val="clear" w:color="auto" w:fill="FFFFFF"/>
        </w:rPr>
        <w:t xml:space="preserve"> at a constant load throughout the day. </w:t>
      </w:r>
      <w:r w:rsidR="00CE732B" w:rsidRPr="005D7440">
        <w:rPr>
          <w:rFonts w:cs="Calibri Light"/>
          <w:szCs w:val="22"/>
          <w:shd w:val="clear" w:color="auto" w:fill="FFFFFF"/>
        </w:rPr>
        <w:t>The average and peak demand reduction calculation</w:t>
      </w:r>
      <w:r w:rsidR="00CE732B">
        <w:rPr>
          <w:rFonts w:cs="Calibri Light"/>
          <w:szCs w:val="22"/>
          <w:shd w:val="clear" w:color="auto" w:fill="FFFFFF"/>
        </w:rPr>
        <w:t>s</w:t>
      </w:r>
      <w:r w:rsidR="00CE732B" w:rsidRPr="005D7440">
        <w:rPr>
          <w:rFonts w:cs="Calibri Light"/>
          <w:szCs w:val="22"/>
          <w:shd w:val="clear" w:color="auto" w:fill="FFFFFF"/>
        </w:rPr>
        <w:t xml:space="preserve"> utilize the measured data of base case and measure case </w:t>
      </w:r>
      <w:r w:rsidR="00CE732B">
        <w:rPr>
          <w:rFonts w:cs="Calibri Light"/>
          <w:szCs w:val="22"/>
          <w:shd w:val="clear" w:color="auto" w:fill="FFFFFF"/>
        </w:rPr>
        <w:t>griddles</w:t>
      </w:r>
      <w:r w:rsidR="00CE732B" w:rsidRPr="005D7440">
        <w:rPr>
          <w:rFonts w:cs="Calibri Light"/>
          <w:szCs w:val="22"/>
          <w:shd w:val="clear" w:color="auto" w:fill="FFFFFF"/>
        </w:rPr>
        <w:t xml:space="preserve"> specified for Electric Savings.  The </w:t>
      </w:r>
      <w:r w:rsidR="00CE732B" w:rsidRPr="005D7440">
        <w:rPr>
          <w:rStyle w:val="Strong"/>
          <w:rFonts w:cs="Calibri Light"/>
          <w:color w:val="292929"/>
          <w:szCs w:val="22"/>
          <w:shd w:val="clear" w:color="auto" w:fill="FFFFFF"/>
        </w:rPr>
        <w:t>average demand </w:t>
      </w:r>
      <w:r w:rsidR="00CE732B" w:rsidRPr="005D7440">
        <w:rPr>
          <w:rFonts w:cs="Calibri Light"/>
          <w:szCs w:val="22"/>
          <w:shd w:val="clear" w:color="auto" w:fill="FFFFFF"/>
        </w:rPr>
        <w:t xml:space="preserve">(baseline or measure case) is equal to the </w:t>
      </w:r>
      <w:r w:rsidR="00480A74">
        <w:rPr>
          <w:rFonts w:cs="Calibri Light"/>
          <w:szCs w:val="22"/>
          <w:shd w:val="clear" w:color="auto" w:fill="FFFFFF"/>
        </w:rPr>
        <w:t>daily</w:t>
      </w:r>
      <w:r w:rsidR="00CE732B" w:rsidRPr="005D7440">
        <w:rPr>
          <w:rFonts w:cs="Calibri Light"/>
          <w:szCs w:val="22"/>
          <w:shd w:val="clear" w:color="auto" w:fill="FFFFFF"/>
        </w:rPr>
        <w:t xml:space="preserve"> unit energy consumption (UEC) divided by the assumed </w:t>
      </w:r>
      <w:r w:rsidR="00FF1776">
        <w:rPr>
          <w:rFonts w:cs="Calibri Light"/>
          <w:szCs w:val="22"/>
          <w:shd w:val="clear" w:color="auto" w:fill="FFFFFF"/>
        </w:rPr>
        <w:t>daily</w:t>
      </w:r>
      <w:r w:rsidR="00CE732B" w:rsidRPr="005D7440">
        <w:rPr>
          <w:rFonts w:cs="Calibri Light"/>
          <w:szCs w:val="22"/>
          <w:shd w:val="clear" w:color="auto" w:fill="FFFFFF"/>
        </w:rPr>
        <w:t xml:space="preserve"> hours of operation. </w:t>
      </w:r>
    </w:p>
    <w:p w14:paraId="5D72DCBE" w14:textId="5115717F" w:rsidR="00CE732B" w:rsidRPr="00626CDF" w:rsidRDefault="008964EB" w:rsidP="00CE732B">
      <w:pPr>
        <w:ind w:left="720"/>
        <w:rPr>
          <w:sz w:val="18"/>
        </w:rPr>
      </w:pPr>
      <m:oMathPara>
        <m:oMathParaPr>
          <m:jc m:val="left"/>
        </m:oMathParaPr>
        <m:oMath>
          <m:sSub>
            <m:sSubPr>
              <m:ctrlPr>
                <w:rPr>
                  <w:rFonts w:ascii="Cambria Math" w:hAnsi="Cambria Math"/>
                  <w:i/>
                  <w:sz w:val="18"/>
                </w:rPr>
              </m:ctrlPr>
            </m:sSubPr>
            <m:e>
              <m:r>
                <w:rPr>
                  <w:rFonts w:ascii="Cambria Math" w:hAnsi="Cambria Math"/>
                  <w:sz w:val="18"/>
                </w:rPr>
                <m:t>Demand</m:t>
              </m:r>
            </m:e>
            <m:sub>
              <m:r>
                <w:rPr>
                  <w:rFonts w:ascii="Cambria Math" w:hAnsi="Cambria Math"/>
                  <w:sz w:val="18"/>
                </w:rPr>
                <m:t>avg</m:t>
              </m:r>
            </m:sub>
          </m:sSub>
          <m:r>
            <w:rPr>
              <w:rFonts w:ascii="Cambria Math" w:hAnsi="Cambria Math"/>
              <w:sz w:val="18"/>
            </w:rPr>
            <m:t>=</m:t>
          </m:r>
          <m:f>
            <m:fPr>
              <m:ctrlPr>
                <w:rPr>
                  <w:rFonts w:ascii="Cambria Math" w:hAnsi="Cambria Math"/>
                  <w:i/>
                  <w:sz w:val="18"/>
                </w:rPr>
              </m:ctrlPr>
            </m:fPr>
            <m:num>
              <m:sSub>
                <m:sSubPr>
                  <m:ctrlPr>
                    <w:rPr>
                      <w:rFonts w:ascii="Cambria Math" w:hAnsi="Cambria Math"/>
                      <w:i/>
                      <w:sz w:val="18"/>
                    </w:rPr>
                  </m:ctrlPr>
                </m:sSubPr>
                <m:e>
                  <m:r>
                    <w:rPr>
                      <w:rFonts w:ascii="Cambria Math" w:hAnsi="Cambria Math" w:cs="Calibri Light"/>
                      <w:sz w:val="18"/>
                      <w:szCs w:val="20"/>
                    </w:rPr>
                    <m:t xml:space="preserve">UEC_DAY </m:t>
                  </m:r>
                </m:e>
                <m:sub>
                  <m:r>
                    <w:rPr>
                      <w:rFonts w:ascii="Cambria Math" w:hAnsi="Cambria Math"/>
                      <w:sz w:val="18"/>
                    </w:rPr>
                    <m:t>kWh</m:t>
                  </m:r>
                </m:sub>
              </m:sSub>
            </m:num>
            <m:den>
              <m:r>
                <w:rPr>
                  <w:rFonts w:ascii="Cambria Math" w:hAnsi="Cambria Math"/>
                  <w:sz w:val="18"/>
                </w:rPr>
                <m:t>EHOUR</m:t>
              </m:r>
            </m:den>
          </m:f>
        </m:oMath>
      </m:oMathPara>
    </w:p>
    <w:p w14:paraId="1A8B52CC" w14:textId="3DA1B223" w:rsidR="00CE732B" w:rsidRPr="00E00DBE" w:rsidRDefault="00CE732B" w:rsidP="00CE732B">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UEC_</w:t>
      </w:r>
      <w:r w:rsidR="00FF1776">
        <w:rPr>
          <w:rFonts w:ascii="Cambria Math" w:hAnsi="Cambria Math" w:cs="Calibri Light"/>
          <w:i/>
          <w:sz w:val="18"/>
          <w:szCs w:val="20"/>
        </w:rPr>
        <w:t>DAY</w:t>
      </w:r>
      <w:r>
        <w:rPr>
          <w:rFonts w:ascii="Cambria Math" w:hAnsi="Cambria Math" w:cs="Calibri Light"/>
          <w:i/>
          <w:sz w:val="18"/>
          <w:szCs w:val="20"/>
        </w:rPr>
        <w:t xml:space="preserve"> =</w:t>
      </w:r>
      <w:r>
        <w:rPr>
          <w:rFonts w:ascii="Cambria Math" w:hAnsi="Cambria Math" w:cs="Calibri Light"/>
          <w:i/>
          <w:sz w:val="18"/>
          <w:szCs w:val="20"/>
        </w:rPr>
        <w:tab/>
        <w:t>Annual UEC, baseline or measure (kWh/year)</w:t>
      </w:r>
    </w:p>
    <w:p w14:paraId="479F184F" w14:textId="77777777" w:rsidR="00CE732B" w:rsidRDefault="00CE732B" w:rsidP="00CE732B">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EHOU</w:t>
      </w:r>
      <w:r>
        <w:rPr>
          <w:rFonts w:ascii="Cambria Math" w:hAnsi="Cambria Math" w:cs="Arial"/>
          <w:i/>
          <w:sz w:val="18"/>
          <w:szCs w:val="20"/>
        </w:rPr>
        <w:t>R</w:t>
      </w:r>
      <w:r w:rsidRPr="00EA25BC">
        <w:rPr>
          <w:rFonts w:ascii="Cambria Math" w:hAnsi="Cambria Math" w:cs="Arial"/>
          <w:i/>
          <w:sz w:val="18"/>
          <w:szCs w:val="20"/>
        </w:rPr>
        <w:t>=</w:t>
      </w:r>
      <w:r w:rsidRPr="00EA25BC">
        <w:rPr>
          <w:rFonts w:ascii="Cambria Math" w:hAnsi="Cambria Math" w:cs="Arial"/>
          <w:i/>
          <w:sz w:val="18"/>
          <w:szCs w:val="20"/>
        </w:rPr>
        <w:tab/>
        <w:t xml:space="preserve">Estimated </w:t>
      </w:r>
      <w:r>
        <w:rPr>
          <w:rFonts w:ascii="Cambria Math" w:hAnsi="Cambria Math" w:cs="Arial"/>
          <w:i/>
          <w:sz w:val="18"/>
          <w:szCs w:val="20"/>
        </w:rPr>
        <w:t>operating hours per day (</w:t>
      </w:r>
      <w:proofErr w:type="spellStart"/>
      <w:r>
        <w:rPr>
          <w:rFonts w:ascii="Cambria Math" w:hAnsi="Cambria Math" w:cs="Arial"/>
          <w:i/>
          <w:sz w:val="18"/>
          <w:szCs w:val="20"/>
        </w:rPr>
        <w:t>hrs</w:t>
      </w:r>
      <w:proofErr w:type="spellEnd"/>
      <w:r>
        <w:rPr>
          <w:rFonts w:ascii="Cambria Math" w:hAnsi="Cambria Math" w:cs="Arial"/>
          <w:i/>
          <w:sz w:val="18"/>
          <w:szCs w:val="20"/>
        </w:rPr>
        <w:t>)</w:t>
      </w:r>
    </w:p>
    <w:p w14:paraId="3D7473EE" w14:textId="77777777" w:rsidR="00CE732B" w:rsidRDefault="00CE732B" w:rsidP="00CE732B"/>
    <w:p w14:paraId="37903426" w14:textId="77777777" w:rsidR="00CE732B" w:rsidRPr="00626CDF" w:rsidRDefault="00CE732B" w:rsidP="00CE732B">
      <w:pPr>
        <w:rPr>
          <w:rFonts w:cs="Calibri Light"/>
          <w:szCs w:val="22"/>
        </w:rPr>
      </w:pPr>
      <w:bookmarkStart w:id="46" w:name="_Hlk526862977"/>
      <w:r w:rsidRPr="00626CDF">
        <w:rPr>
          <w:rFonts w:cs="Calibri Light"/>
          <w:szCs w:val="22"/>
          <w:shd w:val="clear" w:color="auto" w:fill="FFFFFF"/>
        </w:rPr>
        <w:t xml:space="preserve">The </w:t>
      </w:r>
      <w:r w:rsidRPr="00DC31F9">
        <w:rPr>
          <w:rFonts w:cs="Calibri Light"/>
          <w:szCs w:val="22"/>
          <w:shd w:val="clear" w:color="auto" w:fill="FFFFFF"/>
        </w:rPr>
        <w:t>average demand reduction</w:t>
      </w:r>
      <w:r w:rsidRPr="00626CDF">
        <w:rPr>
          <w:rFonts w:cs="Calibri Light"/>
          <w:szCs w:val="22"/>
          <w:shd w:val="clear" w:color="auto" w:fill="FFFFFF"/>
        </w:rPr>
        <w:t>, therefore, is the difference between the baseline and measure case average demand. The estimated </w:t>
      </w:r>
      <w:r w:rsidRPr="00626CDF">
        <w:rPr>
          <w:rStyle w:val="Strong"/>
          <w:rFonts w:cs="Calibri Light"/>
          <w:color w:val="292929"/>
          <w:szCs w:val="22"/>
          <w:shd w:val="clear" w:color="auto" w:fill="FFFFFF"/>
        </w:rPr>
        <w:t>peak demand reduction</w:t>
      </w:r>
      <w:r w:rsidRPr="00626CDF">
        <w:rPr>
          <w:rFonts w:cs="Calibri Light"/>
          <w:szCs w:val="22"/>
          <w:shd w:val="clear" w:color="auto" w:fill="FFFFFF"/>
        </w:rPr>
        <w:t> is calculated as the average demand reduction multiplied by the coincident demand factor (CDF).</w:t>
      </w:r>
      <w:r w:rsidRPr="0019062F">
        <w:rPr>
          <w:rFonts w:cs="Calibri Light"/>
          <w:szCs w:val="22"/>
          <w:shd w:val="clear" w:color="auto" w:fill="FFFFFF"/>
        </w:rPr>
        <w:t xml:space="preserve"> </w:t>
      </w:r>
    </w:p>
    <w:p w14:paraId="322D629B" w14:textId="77777777" w:rsidR="00CE732B" w:rsidRPr="00AB04D4" w:rsidRDefault="00CE732B" w:rsidP="00CE732B">
      <w:pPr>
        <w:ind w:left="720"/>
      </w:pPr>
      <w:bookmarkStart w:id="47" w:name="_Hlk526526818"/>
      <w:bookmarkEnd w:id="46"/>
      <m:oMathPara>
        <m:oMathParaPr>
          <m:jc m:val="left"/>
        </m:oMathParaPr>
        <m:oMath>
          <m:r>
            <w:rPr>
              <w:rFonts w:ascii="Cambria Math" w:hAnsi="Cambria Math"/>
              <w:sz w:val="18"/>
            </w:rPr>
            <m:t>PeakDemandReduction=</m:t>
          </m:r>
          <m:d>
            <m:dPr>
              <m:begChr m:val="["/>
              <m:endChr m:val="]"/>
              <m:ctrlPr>
                <w:rPr>
                  <w:rFonts w:ascii="Cambria Math" w:hAnsi="Cambria Math"/>
                  <w:i/>
                  <w:sz w:val="18"/>
                </w:rPr>
              </m:ctrlPr>
            </m:dPr>
            <m:e>
              <m:d>
                <m:dPr>
                  <m:ctrlPr>
                    <w:rPr>
                      <w:rFonts w:ascii="Cambria Math" w:hAnsi="Cambria Math"/>
                      <w:i/>
                      <w:sz w:val="18"/>
                    </w:rPr>
                  </m:ctrlPr>
                </m:dPr>
                <m:e>
                  <m:sSub>
                    <m:sSubPr>
                      <m:ctrlPr>
                        <w:rPr>
                          <w:rFonts w:ascii="Cambria Math" w:hAnsi="Cambria Math"/>
                          <w:i/>
                          <w:sz w:val="18"/>
                        </w:rPr>
                      </m:ctrlPr>
                    </m:sSubPr>
                    <m:e>
                      <m:r>
                        <w:rPr>
                          <w:rFonts w:ascii="Cambria Math" w:hAnsi="Cambria Math"/>
                          <w:sz w:val="18"/>
                        </w:rPr>
                        <m:t>Demand</m:t>
                      </m:r>
                    </m:e>
                    <m:sub>
                      <m:r>
                        <w:rPr>
                          <w:rFonts w:ascii="Cambria Math" w:hAnsi="Cambria Math"/>
                          <w:sz w:val="18"/>
                        </w:rPr>
                        <m:t>avg, base</m:t>
                      </m:r>
                    </m:sub>
                  </m:sSub>
                  <m:r>
                    <w:rPr>
                      <w:rFonts w:ascii="Cambria Math" w:hAnsi="Cambria Math"/>
                      <w:sz w:val="18"/>
                    </w:rPr>
                    <m:t>-</m:t>
                  </m:r>
                  <m:sSub>
                    <m:sSubPr>
                      <m:ctrlPr>
                        <w:rPr>
                          <w:rFonts w:ascii="Cambria Math" w:hAnsi="Cambria Math"/>
                          <w:i/>
                          <w:sz w:val="18"/>
                        </w:rPr>
                      </m:ctrlPr>
                    </m:sSubPr>
                    <m:e>
                      <m:r>
                        <w:rPr>
                          <w:rFonts w:ascii="Cambria Math" w:hAnsi="Cambria Math"/>
                          <w:sz w:val="18"/>
                        </w:rPr>
                        <m:t>Demand</m:t>
                      </m:r>
                    </m:e>
                    <m:sub>
                      <m:r>
                        <w:rPr>
                          <w:rFonts w:ascii="Cambria Math" w:hAnsi="Cambria Math"/>
                          <w:sz w:val="18"/>
                        </w:rPr>
                        <m:t>avg, measure</m:t>
                      </m:r>
                    </m:sub>
                  </m:sSub>
                  <m:r>
                    <w:rPr>
                      <w:rFonts w:ascii="Cambria Math" w:hAnsi="Cambria Math"/>
                      <w:sz w:val="18"/>
                    </w:rPr>
                    <m:t xml:space="preserve"> </m:t>
                  </m:r>
                </m:e>
              </m:d>
              <m:r>
                <w:rPr>
                  <w:rFonts w:ascii="Cambria Math" w:hAnsi="Cambria Math"/>
                  <w:sz w:val="18"/>
                </w:rPr>
                <m:t>×CDF</m:t>
              </m:r>
            </m:e>
          </m:d>
        </m:oMath>
      </m:oMathPara>
    </w:p>
    <w:p w14:paraId="122CB51E" w14:textId="77777777" w:rsidR="00CE732B" w:rsidRPr="00626CDF" w:rsidRDefault="00CE732B" w:rsidP="00CE732B">
      <w:pPr>
        <w:tabs>
          <w:tab w:val="left" w:pos="2880"/>
        </w:tabs>
        <w:spacing w:beforeLines="20" w:before="48" w:afterLines="20" w:after="48" w:line="240" w:lineRule="auto"/>
        <w:ind w:left="1440"/>
        <w:rPr>
          <w:rFonts w:ascii="Cambria Math" w:hAnsi="Cambria Math"/>
          <w:i/>
          <w:sz w:val="18"/>
        </w:rPr>
      </w:pPr>
      <w:proofErr w:type="spellStart"/>
      <w:r>
        <w:rPr>
          <w:rFonts w:ascii="Cambria Math" w:hAnsi="Cambria Math"/>
          <w:i/>
          <w:sz w:val="18"/>
        </w:rPr>
        <w:t>Demand</w:t>
      </w:r>
      <w:r w:rsidRPr="00626CDF">
        <w:rPr>
          <w:rFonts w:ascii="Cambria Math" w:hAnsi="Cambria Math"/>
          <w:i/>
          <w:sz w:val="18"/>
          <w:vertAlign w:val="subscript"/>
        </w:rPr>
        <w:t>avg</w:t>
      </w:r>
      <w:proofErr w:type="spellEnd"/>
      <w:r>
        <w:rPr>
          <w:rFonts w:ascii="Cambria Math" w:hAnsi="Cambria Math"/>
          <w:i/>
          <w:sz w:val="18"/>
        </w:rPr>
        <w:t xml:space="preserve"> = </w:t>
      </w:r>
      <w:r>
        <w:rPr>
          <w:rFonts w:ascii="Cambria Math" w:hAnsi="Cambria Math"/>
          <w:i/>
          <w:sz w:val="18"/>
        </w:rPr>
        <w:tab/>
        <w:t>Average demand, base or measure case (kW)</w:t>
      </w:r>
    </w:p>
    <w:p w14:paraId="582D0D73" w14:textId="77777777" w:rsidR="00CE732B" w:rsidRPr="00441622" w:rsidRDefault="00CE732B" w:rsidP="00CE732B">
      <w:pPr>
        <w:tabs>
          <w:tab w:val="left" w:pos="2880"/>
        </w:tabs>
        <w:spacing w:beforeLines="20" w:before="48" w:afterLines="20" w:after="48" w:line="240" w:lineRule="auto"/>
        <w:ind w:left="1440"/>
        <w:rPr>
          <w:rFonts w:ascii="Cambria Math" w:hAnsi="Cambria Math"/>
          <w:i/>
          <w:sz w:val="18"/>
        </w:rPr>
      </w:pPr>
      <w:r w:rsidRPr="00441622">
        <w:rPr>
          <w:rFonts w:ascii="Cambria Math" w:hAnsi="Cambria Math"/>
          <w:i/>
          <w:sz w:val="18"/>
        </w:rPr>
        <w:t xml:space="preserve">CDF = </w:t>
      </w:r>
      <w:r>
        <w:rPr>
          <w:rFonts w:ascii="Cambria Math" w:hAnsi="Cambria Math"/>
          <w:i/>
          <w:sz w:val="18"/>
        </w:rPr>
        <w:tab/>
      </w:r>
      <w:r w:rsidRPr="00441622">
        <w:rPr>
          <w:rFonts w:ascii="Cambria Math" w:hAnsi="Cambria Math"/>
          <w:i/>
          <w:sz w:val="18"/>
        </w:rPr>
        <w:t>Coincident demand factor</w:t>
      </w:r>
    </w:p>
    <w:bookmarkEnd w:id="47"/>
    <w:p w14:paraId="5369CE8A" w14:textId="3D778547" w:rsidR="00CE732B" w:rsidRDefault="00CE732B" w:rsidP="00CE732B"/>
    <w:p w14:paraId="2D40BB14" w14:textId="4D2F6918" w:rsidR="001F4DB0" w:rsidRDefault="001F4DB0" w:rsidP="00CE732B">
      <w:r>
        <w:t xml:space="preserve">The assumptions and inputs to calculate peak demand reduction are specified in the following table. </w:t>
      </w:r>
      <w:r w:rsidRPr="005448F5">
        <w:rPr>
          <w:szCs w:val="22"/>
        </w:rPr>
        <w:t xml:space="preserve">A </w:t>
      </w:r>
      <w:r w:rsidR="00D559A4">
        <w:rPr>
          <w:szCs w:val="22"/>
        </w:rPr>
        <w:t>CDF</w:t>
      </w:r>
      <w:r w:rsidRPr="005448F5">
        <w:rPr>
          <w:szCs w:val="22"/>
        </w:rPr>
        <w:t xml:space="preserve"> is </w:t>
      </w:r>
      <w:r>
        <w:rPr>
          <w:szCs w:val="22"/>
        </w:rPr>
        <w:t>applied</w:t>
      </w:r>
      <w:r w:rsidRPr="005448F5">
        <w:rPr>
          <w:szCs w:val="22"/>
        </w:rPr>
        <w:t xml:space="preserve"> to conservatively estimate the peak demand reduction during the DEER peak period for </w:t>
      </w:r>
      <w:r>
        <w:rPr>
          <w:szCs w:val="22"/>
        </w:rPr>
        <w:t>each</w:t>
      </w:r>
      <w:r w:rsidRPr="005448F5">
        <w:rPr>
          <w:szCs w:val="22"/>
        </w:rPr>
        <w:t xml:space="preserve"> climate zone.</w:t>
      </w:r>
      <w:r w:rsidR="0052440C">
        <w:rPr>
          <w:szCs w:val="22"/>
        </w:rPr>
        <w:t xml:space="preserve"> </w:t>
      </w:r>
    </w:p>
    <w:p w14:paraId="0782364A" w14:textId="6DB33F0D" w:rsidR="001F4DB0" w:rsidRDefault="0052440C" w:rsidP="001F4DB0">
      <w:pPr>
        <w:pStyle w:val="Caption"/>
      </w:pPr>
      <w:r>
        <w:lastRenderedPageBreak/>
        <w:t>Demand Reduction Inputs</w:t>
      </w:r>
    </w:p>
    <w:tbl>
      <w:tblPr>
        <w:tblW w:w="4692" w:type="pct"/>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896"/>
        <w:gridCol w:w="1057"/>
        <w:gridCol w:w="4821"/>
      </w:tblGrid>
      <w:tr w:rsidR="001F4DB0" w:rsidRPr="00CE732B" w14:paraId="3EA30B84" w14:textId="77777777" w:rsidTr="0052440C">
        <w:trPr>
          <w:cantSplit/>
          <w:trHeight w:val="20"/>
        </w:trPr>
        <w:tc>
          <w:tcPr>
            <w:tcW w:w="2970" w:type="dxa"/>
            <w:shd w:val="clear" w:color="auto" w:fill="F2F2F2" w:themeFill="background1" w:themeFillShade="F2"/>
            <w:vAlign w:val="center"/>
          </w:tcPr>
          <w:p w14:paraId="29697672" w14:textId="77777777" w:rsidR="001F4DB0" w:rsidRPr="00CE732B" w:rsidRDefault="001F4DB0" w:rsidP="00A67A70">
            <w:pPr>
              <w:spacing w:before="20" w:after="20" w:line="220" w:lineRule="exact"/>
              <w:rPr>
                <w:rFonts w:cstheme="minorHAnsi"/>
                <w:b/>
                <w:sz w:val="20"/>
                <w:szCs w:val="20"/>
              </w:rPr>
            </w:pPr>
            <w:r w:rsidRPr="00CE732B">
              <w:rPr>
                <w:rFonts w:cstheme="minorHAnsi"/>
                <w:b/>
                <w:sz w:val="20"/>
                <w:szCs w:val="20"/>
              </w:rPr>
              <w:t>Parameter</w:t>
            </w:r>
          </w:p>
        </w:tc>
        <w:tc>
          <w:tcPr>
            <w:tcW w:w="1080" w:type="dxa"/>
            <w:shd w:val="clear" w:color="auto" w:fill="F2F2F2" w:themeFill="background1" w:themeFillShade="F2"/>
            <w:vAlign w:val="center"/>
          </w:tcPr>
          <w:p w14:paraId="4DF1CAC8" w14:textId="77777777" w:rsidR="001F4DB0" w:rsidRPr="00CE732B" w:rsidRDefault="001F4DB0" w:rsidP="00A67A70">
            <w:pPr>
              <w:spacing w:before="20" w:after="20" w:line="220" w:lineRule="exact"/>
              <w:ind w:right="-24"/>
              <w:jc w:val="center"/>
              <w:rPr>
                <w:rFonts w:cstheme="minorHAnsi"/>
                <w:b/>
                <w:sz w:val="20"/>
                <w:szCs w:val="20"/>
              </w:rPr>
            </w:pPr>
            <w:r w:rsidRPr="00CE732B">
              <w:rPr>
                <w:rFonts w:cstheme="minorHAnsi"/>
                <w:b/>
                <w:sz w:val="20"/>
                <w:szCs w:val="20"/>
              </w:rPr>
              <w:t>Value</w:t>
            </w:r>
          </w:p>
        </w:tc>
        <w:tc>
          <w:tcPr>
            <w:tcW w:w="4949" w:type="dxa"/>
            <w:shd w:val="clear" w:color="auto" w:fill="F2F2F2" w:themeFill="background1" w:themeFillShade="F2"/>
            <w:vAlign w:val="center"/>
          </w:tcPr>
          <w:p w14:paraId="4FFD2C8D" w14:textId="77777777" w:rsidR="001F4DB0" w:rsidRPr="00CE732B" w:rsidRDefault="001F4DB0" w:rsidP="00A67A70">
            <w:pPr>
              <w:spacing w:before="20" w:after="20" w:line="220" w:lineRule="exact"/>
              <w:ind w:right="-24"/>
              <w:jc w:val="center"/>
              <w:rPr>
                <w:rFonts w:cstheme="minorHAnsi"/>
                <w:b/>
                <w:sz w:val="20"/>
                <w:szCs w:val="20"/>
              </w:rPr>
            </w:pPr>
            <w:r w:rsidRPr="00CE732B">
              <w:rPr>
                <w:rFonts w:cstheme="minorHAnsi"/>
                <w:b/>
                <w:sz w:val="20"/>
                <w:szCs w:val="20"/>
              </w:rPr>
              <w:t>Source</w:t>
            </w:r>
          </w:p>
        </w:tc>
      </w:tr>
      <w:tr w:rsidR="00D559A4" w:rsidRPr="00D323BC" w14:paraId="504D1E7F" w14:textId="77777777" w:rsidTr="0052440C">
        <w:trPr>
          <w:cantSplit/>
          <w:trHeight w:val="20"/>
        </w:trPr>
        <w:tc>
          <w:tcPr>
            <w:tcW w:w="2970" w:type="dxa"/>
            <w:vAlign w:val="center"/>
          </w:tcPr>
          <w:p w14:paraId="0FFDAF2E" w14:textId="77777777" w:rsidR="00D559A4" w:rsidRPr="00CA53C8" w:rsidRDefault="00D559A4" w:rsidP="00A67A70">
            <w:pPr>
              <w:spacing w:before="20" w:after="20" w:line="220" w:lineRule="exact"/>
              <w:rPr>
                <w:rFonts w:cstheme="minorHAnsi"/>
                <w:sz w:val="20"/>
                <w:szCs w:val="20"/>
              </w:rPr>
            </w:pPr>
            <w:r w:rsidRPr="00CA53C8">
              <w:rPr>
                <w:rFonts w:cstheme="minorHAnsi"/>
                <w:sz w:val="20"/>
                <w:szCs w:val="20"/>
              </w:rPr>
              <w:t>Operating Hours/Day</w:t>
            </w:r>
            <w:r>
              <w:rPr>
                <w:rFonts w:cstheme="minorHAnsi"/>
                <w:sz w:val="20"/>
                <w:szCs w:val="20"/>
              </w:rPr>
              <w:t xml:space="preserve"> (hours)</w:t>
            </w:r>
          </w:p>
        </w:tc>
        <w:tc>
          <w:tcPr>
            <w:tcW w:w="1080" w:type="dxa"/>
            <w:vAlign w:val="center"/>
          </w:tcPr>
          <w:p w14:paraId="12364497" w14:textId="77777777" w:rsidR="00D559A4" w:rsidRPr="00D323BC" w:rsidRDefault="00D559A4" w:rsidP="0052440C">
            <w:pPr>
              <w:spacing w:before="20" w:after="20" w:line="220" w:lineRule="exact"/>
              <w:ind w:right="67"/>
              <w:jc w:val="right"/>
              <w:rPr>
                <w:rFonts w:cstheme="minorHAnsi"/>
                <w:sz w:val="20"/>
                <w:szCs w:val="20"/>
              </w:rPr>
            </w:pPr>
            <w:r>
              <w:rPr>
                <w:rFonts w:cstheme="minorHAnsi"/>
                <w:sz w:val="20"/>
                <w:szCs w:val="20"/>
              </w:rPr>
              <w:t>24</w:t>
            </w:r>
          </w:p>
        </w:tc>
        <w:tc>
          <w:tcPr>
            <w:tcW w:w="4949" w:type="dxa"/>
            <w:vMerge w:val="restart"/>
            <w:vAlign w:val="center"/>
          </w:tcPr>
          <w:p w14:paraId="46F21645" w14:textId="77777777" w:rsidR="00D559A4" w:rsidRPr="00CE732B" w:rsidRDefault="00D559A4" w:rsidP="00A67A70">
            <w:pPr>
              <w:spacing w:before="20" w:after="20" w:line="220" w:lineRule="exact"/>
              <w:ind w:right="-24"/>
              <w:rPr>
                <w:rFonts w:cstheme="minorHAnsi"/>
                <w:sz w:val="18"/>
                <w:szCs w:val="20"/>
              </w:rPr>
            </w:pPr>
            <w:r w:rsidRPr="00CE732B">
              <w:rPr>
                <w:rFonts w:cstheme="minorHAnsi"/>
                <w:sz w:val="18"/>
                <w:szCs w:val="20"/>
              </w:rPr>
              <w:t>Professional judgement</w:t>
            </w:r>
          </w:p>
        </w:tc>
      </w:tr>
      <w:tr w:rsidR="00D559A4" w:rsidRPr="00D323BC" w14:paraId="229EB44C" w14:textId="77777777" w:rsidTr="0052440C">
        <w:trPr>
          <w:cantSplit/>
          <w:trHeight w:val="20"/>
        </w:trPr>
        <w:tc>
          <w:tcPr>
            <w:tcW w:w="2970" w:type="dxa"/>
            <w:vAlign w:val="center"/>
          </w:tcPr>
          <w:p w14:paraId="3997C847" w14:textId="77777777" w:rsidR="00D559A4" w:rsidRPr="00CA53C8" w:rsidRDefault="00D559A4" w:rsidP="00A67A70">
            <w:pPr>
              <w:spacing w:before="20" w:after="20" w:line="220" w:lineRule="exact"/>
              <w:rPr>
                <w:rFonts w:cstheme="minorHAnsi"/>
                <w:sz w:val="20"/>
                <w:szCs w:val="20"/>
              </w:rPr>
            </w:pPr>
            <w:r w:rsidRPr="00CA53C8">
              <w:rPr>
                <w:rFonts w:cstheme="minorHAnsi"/>
                <w:sz w:val="20"/>
                <w:szCs w:val="20"/>
              </w:rPr>
              <w:t>Operating Days/Year</w:t>
            </w:r>
            <w:r>
              <w:rPr>
                <w:rFonts w:cstheme="minorHAnsi"/>
                <w:sz w:val="20"/>
                <w:szCs w:val="20"/>
              </w:rPr>
              <w:t xml:space="preserve"> (days)</w:t>
            </w:r>
          </w:p>
        </w:tc>
        <w:tc>
          <w:tcPr>
            <w:tcW w:w="1080" w:type="dxa"/>
            <w:vAlign w:val="center"/>
          </w:tcPr>
          <w:p w14:paraId="0EEB12FA" w14:textId="77777777" w:rsidR="00D559A4" w:rsidRPr="00D323BC" w:rsidRDefault="00D559A4" w:rsidP="0052440C">
            <w:pPr>
              <w:spacing w:before="20" w:after="20" w:line="220" w:lineRule="exact"/>
              <w:ind w:right="67"/>
              <w:jc w:val="right"/>
              <w:rPr>
                <w:rFonts w:cstheme="minorHAnsi"/>
                <w:sz w:val="20"/>
                <w:szCs w:val="20"/>
              </w:rPr>
            </w:pPr>
            <w:r w:rsidRPr="00D323BC">
              <w:rPr>
                <w:rFonts w:cstheme="minorHAnsi"/>
                <w:sz w:val="20"/>
                <w:szCs w:val="20"/>
              </w:rPr>
              <w:t>365</w:t>
            </w:r>
          </w:p>
        </w:tc>
        <w:tc>
          <w:tcPr>
            <w:tcW w:w="4949" w:type="dxa"/>
            <w:vMerge/>
            <w:vAlign w:val="center"/>
          </w:tcPr>
          <w:p w14:paraId="6B43C9B9" w14:textId="77777777" w:rsidR="00D559A4" w:rsidRPr="00D323BC" w:rsidRDefault="00D559A4" w:rsidP="00A67A70">
            <w:pPr>
              <w:spacing w:before="20" w:after="20" w:line="220" w:lineRule="exact"/>
              <w:ind w:right="-24"/>
              <w:jc w:val="center"/>
              <w:rPr>
                <w:rFonts w:cstheme="minorHAnsi"/>
                <w:sz w:val="20"/>
                <w:szCs w:val="20"/>
              </w:rPr>
            </w:pPr>
          </w:p>
        </w:tc>
      </w:tr>
      <w:tr w:rsidR="00D559A4" w:rsidRPr="00D323BC" w14:paraId="05632012" w14:textId="77777777" w:rsidTr="0052440C">
        <w:trPr>
          <w:cantSplit/>
          <w:trHeight w:val="20"/>
        </w:trPr>
        <w:tc>
          <w:tcPr>
            <w:tcW w:w="2970" w:type="dxa"/>
            <w:vAlign w:val="center"/>
          </w:tcPr>
          <w:p w14:paraId="5D454B93" w14:textId="2202AF5A" w:rsidR="00D559A4" w:rsidRPr="00CA53C8" w:rsidRDefault="00D559A4" w:rsidP="0052440C">
            <w:pPr>
              <w:spacing w:before="20" w:after="20" w:line="220" w:lineRule="exact"/>
              <w:rPr>
                <w:rFonts w:cstheme="minorHAnsi"/>
                <w:sz w:val="20"/>
                <w:szCs w:val="20"/>
              </w:rPr>
            </w:pPr>
            <w:r>
              <w:rPr>
                <w:rFonts w:cstheme="minorHAnsi"/>
                <w:sz w:val="20"/>
                <w:szCs w:val="20"/>
              </w:rPr>
              <w:t>Coincident demand factor (CDF)</w:t>
            </w:r>
          </w:p>
        </w:tc>
        <w:tc>
          <w:tcPr>
            <w:tcW w:w="1080" w:type="dxa"/>
            <w:vAlign w:val="center"/>
          </w:tcPr>
          <w:p w14:paraId="46711E85" w14:textId="4C62D8B8" w:rsidR="00D559A4" w:rsidRPr="00D323BC" w:rsidRDefault="00D559A4" w:rsidP="0052440C">
            <w:pPr>
              <w:spacing w:before="20" w:after="20" w:line="220" w:lineRule="exact"/>
              <w:ind w:right="67"/>
              <w:jc w:val="right"/>
              <w:rPr>
                <w:rFonts w:cstheme="minorHAnsi"/>
                <w:sz w:val="20"/>
                <w:szCs w:val="20"/>
              </w:rPr>
            </w:pPr>
            <w:r>
              <w:rPr>
                <w:rFonts w:cstheme="minorHAnsi"/>
                <w:sz w:val="20"/>
                <w:szCs w:val="20"/>
              </w:rPr>
              <w:t>1.0</w:t>
            </w:r>
          </w:p>
        </w:tc>
        <w:tc>
          <w:tcPr>
            <w:tcW w:w="4949" w:type="dxa"/>
            <w:vMerge/>
            <w:vAlign w:val="center"/>
          </w:tcPr>
          <w:p w14:paraId="7CAC9F2B" w14:textId="0720D6AD" w:rsidR="00D559A4" w:rsidRPr="00D323BC" w:rsidRDefault="00D559A4" w:rsidP="0052440C">
            <w:pPr>
              <w:spacing w:before="20" w:after="20" w:line="220" w:lineRule="exact"/>
              <w:ind w:right="-24"/>
              <w:rPr>
                <w:rFonts w:cstheme="minorHAnsi"/>
                <w:sz w:val="20"/>
                <w:szCs w:val="20"/>
              </w:rPr>
            </w:pPr>
          </w:p>
        </w:tc>
      </w:tr>
    </w:tbl>
    <w:p w14:paraId="6C3004FF" w14:textId="77777777" w:rsidR="00CE732B" w:rsidRDefault="00CE732B" w:rsidP="006F54FA"/>
    <w:p w14:paraId="32BB3656" w14:textId="77777777" w:rsidR="0052440C" w:rsidRDefault="0052440C" w:rsidP="0052440C">
      <w:r>
        <w:t>A sample calculation showing the daily and annual energy savings of a Solid-Door Reach-In Refrigerator with total volume between 15 ft</w:t>
      </w:r>
      <w:r>
        <w:rPr>
          <w:vertAlign w:val="superscript"/>
        </w:rPr>
        <w:t>3</w:t>
      </w:r>
      <w:r>
        <w:t>and 29 ft</w:t>
      </w:r>
      <w:r>
        <w:rPr>
          <w:vertAlign w:val="superscript"/>
        </w:rPr>
        <w:t>3</w:t>
      </w:r>
      <w:r>
        <w:t xml:space="preserve"> (15 &lt; V &lt; 29 ft</w:t>
      </w:r>
      <w:r>
        <w:rPr>
          <w:vertAlign w:val="superscript"/>
        </w:rPr>
        <w:t>3</w:t>
      </w:r>
      <w:r>
        <w:t>) is provided below.</w:t>
      </w:r>
    </w:p>
    <w:p w14:paraId="4997F8FE" w14:textId="77777777" w:rsidR="0052440C" w:rsidRPr="0052440C" w:rsidRDefault="0052440C" w:rsidP="0052440C">
      <w:pPr>
        <w:spacing w:before="0" w:after="0"/>
        <w:ind w:left="720"/>
        <w:rPr>
          <w:rFonts w:ascii="Cambria Math" w:hAnsi="Cambria Math"/>
          <w:i/>
          <w:sz w:val="18"/>
          <w:szCs w:val="22"/>
        </w:rPr>
      </w:pPr>
      <w:r w:rsidRPr="0052440C">
        <w:rPr>
          <w:rFonts w:ascii="Cambria Math" w:hAnsi="Cambria Math"/>
          <w:i/>
          <w:sz w:val="18"/>
          <w:szCs w:val="22"/>
        </w:rPr>
        <w:t>Volume (V) = 24 ft</w:t>
      </w:r>
      <w:r w:rsidRPr="0052440C">
        <w:rPr>
          <w:rFonts w:ascii="Cambria Math" w:hAnsi="Cambria Math"/>
          <w:i/>
          <w:sz w:val="18"/>
          <w:szCs w:val="22"/>
          <w:vertAlign w:val="superscript"/>
        </w:rPr>
        <w:t>3</w:t>
      </w:r>
    </w:p>
    <w:p w14:paraId="0E9F7EC7" w14:textId="6D928B69" w:rsidR="0052440C" w:rsidRPr="0052440C" w:rsidRDefault="0052440C" w:rsidP="0052440C">
      <w:pPr>
        <w:spacing w:before="0" w:after="0"/>
        <w:ind w:left="720"/>
        <w:rPr>
          <w:rFonts w:ascii="Cambria Math" w:hAnsi="Cambria Math"/>
          <w:i/>
          <w:sz w:val="18"/>
          <w:szCs w:val="22"/>
        </w:rPr>
      </w:pPr>
      <w:r w:rsidRPr="0052440C">
        <w:rPr>
          <w:rFonts w:ascii="Cambria Math" w:hAnsi="Cambria Math"/>
          <w:i/>
          <w:sz w:val="18"/>
          <w:szCs w:val="22"/>
        </w:rPr>
        <w:t>Measure Case Average Demand</w:t>
      </w:r>
      <w:r w:rsidRPr="0052440C">
        <w:rPr>
          <w:rFonts w:ascii="Cambria Math" w:hAnsi="Cambria Math"/>
          <w:i/>
          <w:sz w:val="18"/>
          <w:szCs w:val="22"/>
        </w:rPr>
        <w:tab/>
      </w:r>
    </w:p>
    <w:p w14:paraId="108D237E" w14:textId="50E8D0CF" w:rsidR="0052440C" w:rsidRPr="0052440C" w:rsidRDefault="0052440C" w:rsidP="0052440C">
      <w:pPr>
        <w:spacing w:before="0" w:after="0"/>
        <w:ind w:left="1440"/>
        <w:rPr>
          <w:rFonts w:ascii="Cambria Math" w:hAnsi="Cambria Math"/>
          <w:i/>
          <w:sz w:val="18"/>
          <w:szCs w:val="22"/>
        </w:rPr>
      </w:pPr>
      <w:r w:rsidRPr="0052440C">
        <w:rPr>
          <w:rFonts w:ascii="Cambria Math" w:hAnsi="Cambria Math"/>
          <w:i/>
          <w:sz w:val="18"/>
          <w:szCs w:val="22"/>
        </w:rPr>
        <w:t xml:space="preserve">= Measure Daily Energy Usage / 24 </w:t>
      </w:r>
      <w:proofErr w:type="spellStart"/>
      <w:r w:rsidRPr="0052440C">
        <w:rPr>
          <w:rFonts w:ascii="Cambria Math" w:hAnsi="Cambria Math"/>
          <w:i/>
          <w:sz w:val="18"/>
          <w:szCs w:val="22"/>
        </w:rPr>
        <w:t>hrs</w:t>
      </w:r>
      <w:proofErr w:type="spellEnd"/>
    </w:p>
    <w:p w14:paraId="733E3177" w14:textId="6E80372C" w:rsidR="0052440C" w:rsidRPr="0052440C" w:rsidRDefault="0052440C" w:rsidP="0052440C">
      <w:pPr>
        <w:spacing w:before="0" w:after="0"/>
        <w:ind w:left="1440"/>
        <w:rPr>
          <w:rFonts w:ascii="Cambria Math" w:hAnsi="Cambria Math"/>
          <w:i/>
          <w:sz w:val="18"/>
          <w:szCs w:val="22"/>
        </w:rPr>
      </w:pPr>
      <w:r w:rsidRPr="0052440C">
        <w:rPr>
          <w:rFonts w:ascii="Cambria Math" w:hAnsi="Cambria Math"/>
          <w:i/>
          <w:sz w:val="18"/>
          <w:szCs w:val="22"/>
        </w:rPr>
        <w:t>= 1.89 / 24 = 0.079 kW</w:t>
      </w:r>
    </w:p>
    <w:p w14:paraId="4A95F1D0" w14:textId="1A1933A5" w:rsidR="0052440C" w:rsidRPr="0052440C" w:rsidRDefault="0052440C" w:rsidP="0052440C">
      <w:pPr>
        <w:spacing w:before="0" w:after="0"/>
        <w:ind w:left="720"/>
        <w:rPr>
          <w:rFonts w:ascii="Cambria Math" w:hAnsi="Cambria Math"/>
          <w:i/>
          <w:sz w:val="18"/>
          <w:szCs w:val="22"/>
        </w:rPr>
      </w:pPr>
      <w:r w:rsidRPr="0052440C">
        <w:rPr>
          <w:rFonts w:ascii="Cambria Math" w:hAnsi="Cambria Math"/>
          <w:i/>
          <w:sz w:val="18"/>
          <w:szCs w:val="22"/>
        </w:rPr>
        <w:t xml:space="preserve">Baseline Average Demand </w:t>
      </w:r>
    </w:p>
    <w:p w14:paraId="7A89552E" w14:textId="66276980" w:rsidR="0052440C" w:rsidRPr="0052440C" w:rsidRDefault="0052440C" w:rsidP="0052440C">
      <w:pPr>
        <w:spacing w:before="0" w:after="0"/>
        <w:ind w:left="1440"/>
        <w:rPr>
          <w:rFonts w:ascii="Cambria Math" w:hAnsi="Cambria Math"/>
          <w:i/>
          <w:sz w:val="18"/>
          <w:szCs w:val="22"/>
        </w:rPr>
      </w:pPr>
      <w:r w:rsidRPr="0052440C">
        <w:rPr>
          <w:rFonts w:ascii="Cambria Math" w:hAnsi="Cambria Math"/>
          <w:i/>
          <w:sz w:val="18"/>
          <w:szCs w:val="22"/>
        </w:rPr>
        <w:t>= Baseline Daily Energy Usage / 24 hrs.</w:t>
      </w:r>
    </w:p>
    <w:p w14:paraId="672D327A" w14:textId="0F96E585" w:rsidR="0052440C" w:rsidRPr="0052440C" w:rsidRDefault="0052440C" w:rsidP="0052440C">
      <w:pPr>
        <w:spacing w:before="0" w:after="0"/>
        <w:ind w:left="1440"/>
        <w:rPr>
          <w:rFonts w:ascii="Cambria Math" w:hAnsi="Cambria Math"/>
          <w:i/>
          <w:sz w:val="18"/>
          <w:szCs w:val="22"/>
        </w:rPr>
      </w:pPr>
      <w:r w:rsidRPr="0052440C">
        <w:rPr>
          <w:rFonts w:ascii="Cambria Math" w:hAnsi="Cambria Math"/>
          <w:i/>
          <w:sz w:val="18"/>
          <w:szCs w:val="22"/>
        </w:rPr>
        <w:t>= 2.56 / 24 = 0.107 kW</w:t>
      </w:r>
    </w:p>
    <w:p w14:paraId="31FC5852" w14:textId="169FFF85" w:rsidR="0052440C" w:rsidRPr="0052440C" w:rsidRDefault="0052440C" w:rsidP="0052440C">
      <w:pPr>
        <w:spacing w:before="0" w:after="0"/>
        <w:ind w:left="720"/>
        <w:rPr>
          <w:rFonts w:ascii="Cambria Math" w:hAnsi="Cambria Math"/>
          <w:i/>
          <w:sz w:val="18"/>
          <w:szCs w:val="22"/>
        </w:rPr>
      </w:pPr>
      <w:r w:rsidRPr="0052440C">
        <w:rPr>
          <w:rFonts w:ascii="Cambria Math" w:hAnsi="Cambria Math"/>
          <w:i/>
          <w:sz w:val="18"/>
          <w:szCs w:val="22"/>
        </w:rPr>
        <w:t>Average Demand Reduction</w:t>
      </w:r>
    </w:p>
    <w:p w14:paraId="477D885C" w14:textId="06C15C32" w:rsidR="0052440C" w:rsidRPr="0052440C" w:rsidRDefault="0052440C" w:rsidP="0052440C">
      <w:pPr>
        <w:spacing w:before="0" w:after="0"/>
        <w:ind w:left="1440"/>
        <w:rPr>
          <w:rFonts w:ascii="Cambria Math" w:hAnsi="Cambria Math"/>
          <w:i/>
          <w:sz w:val="18"/>
          <w:szCs w:val="22"/>
        </w:rPr>
      </w:pPr>
      <w:r w:rsidRPr="0052440C">
        <w:rPr>
          <w:rFonts w:ascii="Cambria Math" w:hAnsi="Cambria Math"/>
          <w:i/>
          <w:sz w:val="18"/>
          <w:szCs w:val="22"/>
        </w:rPr>
        <w:t xml:space="preserve">= (Baseline Average Demand – Measure Case </w:t>
      </w:r>
      <w:proofErr w:type="spellStart"/>
      <w:r w:rsidRPr="0052440C">
        <w:rPr>
          <w:rFonts w:ascii="Cambria Math" w:hAnsi="Cambria Math"/>
          <w:i/>
          <w:sz w:val="18"/>
          <w:szCs w:val="22"/>
        </w:rPr>
        <w:t>AverageDemand</w:t>
      </w:r>
      <w:proofErr w:type="spellEnd"/>
      <w:r w:rsidRPr="0052440C">
        <w:rPr>
          <w:rFonts w:ascii="Cambria Math" w:hAnsi="Cambria Math"/>
          <w:i/>
          <w:sz w:val="18"/>
          <w:szCs w:val="22"/>
        </w:rPr>
        <w:t>)</w:t>
      </w:r>
    </w:p>
    <w:p w14:paraId="30130DD2" w14:textId="3B9F8E93" w:rsidR="0052440C" w:rsidRPr="0052440C" w:rsidRDefault="0052440C" w:rsidP="0052440C">
      <w:pPr>
        <w:spacing w:before="0" w:after="0"/>
        <w:ind w:left="1440"/>
        <w:rPr>
          <w:rFonts w:ascii="Cambria Math" w:hAnsi="Cambria Math"/>
          <w:i/>
          <w:sz w:val="18"/>
          <w:szCs w:val="22"/>
        </w:rPr>
      </w:pPr>
      <w:r w:rsidRPr="0052440C">
        <w:rPr>
          <w:rFonts w:ascii="Cambria Math" w:hAnsi="Cambria Math"/>
          <w:i/>
          <w:sz w:val="18"/>
          <w:szCs w:val="22"/>
        </w:rPr>
        <w:t>= 0.107 kW – 0.079 kW = 0.028 kW</w:t>
      </w:r>
    </w:p>
    <w:p w14:paraId="18DD685A" w14:textId="77777777" w:rsidR="0052440C" w:rsidRPr="0052440C" w:rsidRDefault="0052440C" w:rsidP="0052440C">
      <w:pPr>
        <w:spacing w:before="0" w:after="0"/>
        <w:ind w:left="720"/>
        <w:rPr>
          <w:rFonts w:ascii="Cambria Math" w:hAnsi="Cambria Math"/>
          <w:i/>
          <w:sz w:val="18"/>
          <w:szCs w:val="22"/>
        </w:rPr>
      </w:pPr>
      <w:r w:rsidRPr="0052440C">
        <w:rPr>
          <w:rFonts w:ascii="Cambria Math" w:hAnsi="Cambria Math"/>
          <w:i/>
          <w:sz w:val="18"/>
          <w:szCs w:val="22"/>
        </w:rPr>
        <w:t>Peak Demand Reduction</w:t>
      </w:r>
    </w:p>
    <w:p w14:paraId="1113C098" w14:textId="7AFA4DCE" w:rsidR="0052440C" w:rsidRPr="0052440C" w:rsidRDefault="0052440C" w:rsidP="0052440C">
      <w:pPr>
        <w:spacing w:before="0" w:after="0"/>
        <w:ind w:left="1440"/>
        <w:rPr>
          <w:rFonts w:ascii="Cambria Math" w:hAnsi="Cambria Math"/>
          <w:i/>
          <w:sz w:val="18"/>
          <w:szCs w:val="22"/>
        </w:rPr>
      </w:pPr>
      <w:r w:rsidRPr="0052440C">
        <w:rPr>
          <w:rFonts w:ascii="Cambria Math" w:hAnsi="Cambria Math"/>
          <w:i/>
          <w:sz w:val="18"/>
          <w:szCs w:val="22"/>
        </w:rPr>
        <w:t xml:space="preserve">= Average Demand Reduction x </w:t>
      </w:r>
      <w:r w:rsidR="00D559A4">
        <w:rPr>
          <w:rFonts w:ascii="Cambria Math" w:hAnsi="Cambria Math"/>
          <w:i/>
          <w:sz w:val="18"/>
          <w:szCs w:val="22"/>
        </w:rPr>
        <w:t>CDF</w:t>
      </w:r>
    </w:p>
    <w:p w14:paraId="79F53E7C" w14:textId="5281FCA3" w:rsidR="0052440C" w:rsidRPr="0052440C" w:rsidRDefault="0052440C" w:rsidP="0052440C">
      <w:pPr>
        <w:spacing w:before="0" w:after="0"/>
        <w:ind w:left="1440"/>
        <w:rPr>
          <w:rFonts w:ascii="Cambria Math" w:hAnsi="Cambria Math"/>
          <w:i/>
          <w:sz w:val="18"/>
          <w:szCs w:val="22"/>
        </w:rPr>
      </w:pPr>
      <w:r w:rsidRPr="0052440C">
        <w:rPr>
          <w:rFonts w:ascii="Cambria Math" w:hAnsi="Cambria Math"/>
          <w:i/>
          <w:sz w:val="18"/>
          <w:szCs w:val="22"/>
        </w:rPr>
        <w:t xml:space="preserve">= 0.028 </w:t>
      </w:r>
      <w:r w:rsidR="00D559A4">
        <w:rPr>
          <w:rFonts w:ascii="Cambria Math" w:hAnsi="Cambria Math"/>
          <w:i/>
          <w:sz w:val="18"/>
          <w:szCs w:val="22"/>
        </w:rPr>
        <w:t>x 1.0</w:t>
      </w:r>
      <w:r w:rsidRPr="0052440C">
        <w:rPr>
          <w:rFonts w:ascii="Cambria Math" w:hAnsi="Cambria Math"/>
          <w:i/>
          <w:sz w:val="18"/>
          <w:szCs w:val="22"/>
        </w:rPr>
        <w:t xml:space="preserve"> = 0.02</w:t>
      </w:r>
      <w:r w:rsidR="00D559A4">
        <w:rPr>
          <w:rFonts w:ascii="Cambria Math" w:hAnsi="Cambria Math"/>
          <w:i/>
          <w:sz w:val="18"/>
          <w:szCs w:val="22"/>
        </w:rPr>
        <w:t>8</w:t>
      </w:r>
      <w:r w:rsidRPr="0052440C">
        <w:rPr>
          <w:rFonts w:ascii="Cambria Math" w:hAnsi="Cambria Math"/>
          <w:i/>
          <w:sz w:val="18"/>
          <w:szCs w:val="22"/>
        </w:rPr>
        <w:t xml:space="preserve"> kW</w:t>
      </w:r>
    </w:p>
    <w:p w14:paraId="55044396" w14:textId="77777777" w:rsidR="00437B13" w:rsidRDefault="00437B13" w:rsidP="006F54FA">
      <w:pPr>
        <w:rPr>
          <w:szCs w:val="22"/>
        </w:rPr>
      </w:pPr>
    </w:p>
    <w:p w14:paraId="38DCF73E" w14:textId="77777777" w:rsidR="00437B13" w:rsidRPr="004B06E3" w:rsidRDefault="00437B13" w:rsidP="00437B13">
      <w:pPr>
        <w:pStyle w:val="eTRMHeading3"/>
      </w:pPr>
      <w:bookmarkStart w:id="48" w:name="_Toc486490858"/>
      <w:bookmarkStart w:id="49" w:name="_Toc486580929"/>
      <w:bookmarkStart w:id="50" w:name="_Toc1120821"/>
      <w:r w:rsidRPr="004B06E3">
        <w:t>Gas Savings (Therms)</w:t>
      </w:r>
      <w:bookmarkEnd w:id="48"/>
      <w:bookmarkEnd w:id="49"/>
      <w:bookmarkEnd w:id="50"/>
    </w:p>
    <w:p w14:paraId="1005C8E3" w14:textId="77777777" w:rsidR="00437B13" w:rsidRDefault="00437B13" w:rsidP="00437B13">
      <w:r>
        <w:t>Not applicable.</w:t>
      </w:r>
    </w:p>
    <w:p w14:paraId="4CEE9AAF" w14:textId="77777777" w:rsidR="006F54FA" w:rsidRDefault="006F54FA" w:rsidP="004B06E3"/>
    <w:p w14:paraId="0A876117" w14:textId="421C1A6B" w:rsidR="004264B3" w:rsidRPr="004B06E3" w:rsidRDefault="004264B3" w:rsidP="004264B3">
      <w:pPr>
        <w:pStyle w:val="eTRMHeading3"/>
      </w:pPr>
      <w:bookmarkStart w:id="51" w:name="_Toc486490859"/>
      <w:bookmarkStart w:id="52" w:name="_Toc486580930"/>
      <w:bookmarkStart w:id="53" w:name="_Toc490461305"/>
      <w:bookmarkStart w:id="54" w:name="_Toc1120822"/>
      <w:r w:rsidRPr="004B06E3">
        <w:t xml:space="preserve">Life </w:t>
      </w:r>
      <w:bookmarkEnd w:id="51"/>
      <w:bookmarkEnd w:id="52"/>
      <w:bookmarkEnd w:id="53"/>
      <w:r w:rsidR="007038AD">
        <w:t>Cycle</w:t>
      </w:r>
      <w:bookmarkEnd w:id="54"/>
    </w:p>
    <w:p w14:paraId="0333B710" w14:textId="72029EDA" w:rsidR="004306B0" w:rsidRDefault="006F54FA" w:rsidP="006F54FA">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0DBBC4D4" w14:textId="70F0C654" w:rsidR="006F54FA" w:rsidRDefault="006F54FA" w:rsidP="006F54FA">
      <w:r>
        <w:t xml:space="preserve">The EUL and RUL specified for this measure are </w:t>
      </w:r>
      <w:r w:rsidR="00587F8C">
        <w:t>specified below</w:t>
      </w:r>
      <w:r>
        <w:t>.</w:t>
      </w:r>
      <w:r w:rsidR="00F271FB">
        <w:t xml:space="preserve"> Note that RUL is only applicable for add-on </w:t>
      </w:r>
      <w:r w:rsidR="001F4DB0">
        <w:t>equipment</w:t>
      </w:r>
      <w:r w:rsidR="00F271FB">
        <w:t xml:space="preserve"> and </w:t>
      </w:r>
      <w:r w:rsidR="001F4DB0">
        <w:t>accelerated</w:t>
      </w:r>
      <w:r w:rsidR="00F271FB">
        <w:t xml:space="preserve"> replacement measures and is not applicable for </w:t>
      </w:r>
      <w:r w:rsidR="00A74E8C">
        <w:t xml:space="preserve">reach-in </w:t>
      </w:r>
      <w:r w:rsidR="00F271FB">
        <w:t>commercial refrigerators and freezers.</w:t>
      </w:r>
    </w:p>
    <w:p w14:paraId="777AB8A0" w14:textId="0784BAC0" w:rsidR="006F54FA" w:rsidRPr="00920905" w:rsidRDefault="006F54FA" w:rsidP="00CA5558">
      <w:pPr>
        <w:pStyle w:val="Caption"/>
      </w:pPr>
      <w:r>
        <w:t>Effective Useful Life and Remaining Useful Life</w:t>
      </w:r>
    </w:p>
    <w:tbl>
      <w:tblPr>
        <w:tblW w:w="8730"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402"/>
        <w:gridCol w:w="1190"/>
        <w:gridCol w:w="1180"/>
        <w:gridCol w:w="4958"/>
      </w:tblGrid>
      <w:tr w:rsidR="00F271FB" w:rsidRPr="00F271FB" w14:paraId="1CF48480" w14:textId="77777777" w:rsidTr="001F4DB0">
        <w:trPr>
          <w:cantSplit/>
          <w:trHeight w:val="20"/>
        </w:trPr>
        <w:tc>
          <w:tcPr>
            <w:tcW w:w="1402" w:type="dxa"/>
            <w:shd w:val="clear" w:color="auto" w:fill="F2F2F2" w:themeFill="background1" w:themeFillShade="F2"/>
            <w:vAlign w:val="bottom"/>
          </w:tcPr>
          <w:p w14:paraId="3A09DA7F" w14:textId="5DA72CBA" w:rsidR="00F271FB" w:rsidRPr="00F271FB" w:rsidRDefault="00F271FB" w:rsidP="00CA5558">
            <w:pPr>
              <w:keepNext/>
              <w:keepLines/>
              <w:spacing w:before="20" w:after="20"/>
              <w:jc w:val="center"/>
              <w:rPr>
                <w:rFonts w:cstheme="minorHAnsi"/>
                <w:b/>
                <w:sz w:val="20"/>
                <w:szCs w:val="20"/>
              </w:rPr>
            </w:pPr>
            <w:r w:rsidRPr="00F271FB">
              <w:rPr>
                <w:rFonts w:cstheme="minorHAnsi"/>
                <w:b/>
                <w:sz w:val="20"/>
                <w:szCs w:val="20"/>
              </w:rPr>
              <w:t>Parameter</w:t>
            </w:r>
          </w:p>
        </w:tc>
        <w:tc>
          <w:tcPr>
            <w:tcW w:w="1190" w:type="dxa"/>
            <w:shd w:val="clear" w:color="auto" w:fill="F2F2F2" w:themeFill="background1" w:themeFillShade="F2"/>
            <w:vAlign w:val="bottom"/>
          </w:tcPr>
          <w:p w14:paraId="27100418" w14:textId="0E13141C" w:rsidR="00F271FB" w:rsidRPr="00F271FB" w:rsidRDefault="00F271FB" w:rsidP="00CA5558">
            <w:pPr>
              <w:keepNext/>
              <w:keepLines/>
              <w:spacing w:before="20" w:after="20"/>
              <w:jc w:val="center"/>
              <w:rPr>
                <w:rFonts w:cstheme="minorHAnsi"/>
                <w:b/>
                <w:sz w:val="20"/>
                <w:szCs w:val="20"/>
              </w:rPr>
            </w:pPr>
            <w:r w:rsidRPr="00F271FB">
              <w:rPr>
                <w:rFonts w:cstheme="minorHAnsi"/>
                <w:b/>
                <w:sz w:val="20"/>
              </w:rPr>
              <w:t xml:space="preserve">Commercial Reach-In Refrigerator </w:t>
            </w:r>
          </w:p>
        </w:tc>
        <w:tc>
          <w:tcPr>
            <w:tcW w:w="1180" w:type="dxa"/>
            <w:shd w:val="clear" w:color="auto" w:fill="F2F2F2" w:themeFill="background1" w:themeFillShade="F2"/>
            <w:vAlign w:val="bottom"/>
          </w:tcPr>
          <w:p w14:paraId="2C79CAE9" w14:textId="3BE86DE1" w:rsidR="00F271FB" w:rsidRPr="00F271FB" w:rsidRDefault="00F271FB" w:rsidP="00CA5558">
            <w:pPr>
              <w:keepNext/>
              <w:keepLines/>
              <w:spacing w:before="20" w:after="20"/>
              <w:jc w:val="center"/>
              <w:rPr>
                <w:rFonts w:cstheme="minorHAnsi"/>
                <w:b/>
                <w:sz w:val="20"/>
                <w:szCs w:val="20"/>
              </w:rPr>
            </w:pPr>
            <w:r w:rsidRPr="00F271FB">
              <w:rPr>
                <w:rFonts w:cstheme="minorHAnsi"/>
                <w:b/>
                <w:sz w:val="20"/>
              </w:rPr>
              <w:t>Commercial Reach-In Freezer</w:t>
            </w:r>
          </w:p>
        </w:tc>
        <w:tc>
          <w:tcPr>
            <w:tcW w:w="4958" w:type="dxa"/>
            <w:shd w:val="clear" w:color="auto" w:fill="F2F2F2" w:themeFill="background1" w:themeFillShade="F2"/>
            <w:vAlign w:val="bottom"/>
          </w:tcPr>
          <w:p w14:paraId="576A1D57" w14:textId="77777777" w:rsidR="00F271FB" w:rsidRPr="00F271FB" w:rsidRDefault="00F271FB" w:rsidP="00CA5558">
            <w:pPr>
              <w:keepNext/>
              <w:keepLines/>
              <w:spacing w:before="20" w:after="20"/>
              <w:jc w:val="center"/>
              <w:rPr>
                <w:rFonts w:cstheme="minorHAnsi"/>
                <w:b/>
                <w:sz w:val="20"/>
                <w:szCs w:val="20"/>
              </w:rPr>
            </w:pPr>
            <w:r w:rsidRPr="00F271FB">
              <w:rPr>
                <w:rFonts w:cstheme="minorHAnsi"/>
                <w:b/>
                <w:sz w:val="20"/>
                <w:szCs w:val="20"/>
              </w:rPr>
              <w:t>Source</w:t>
            </w:r>
          </w:p>
        </w:tc>
      </w:tr>
      <w:tr w:rsidR="00F271FB" w:rsidRPr="00500C4E" w14:paraId="778DAB29" w14:textId="77777777" w:rsidTr="00F25350">
        <w:trPr>
          <w:cantSplit/>
          <w:trHeight w:val="20"/>
        </w:trPr>
        <w:tc>
          <w:tcPr>
            <w:tcW w:w="1402" w:type="dxa"/>
            <w:vAlign w:val="center"/>
          </w:tcPr>
          <w:p w14:paraId="6B8BD992" w14:textId="09E7D0D2" w:rsidR="00F271FB" w:rsidRPr="00F93289" w:rsidRDefault="00F271FB" w:rsidP="00F25350">
            <w:pPr>
              <w:spacing w:before="20" w:after="20"/>
              <w:rPr>
                <w:sz w:val="20"/>
                <w:szCs w:val="20"/>
              </w:rPr>
            </w:pPr>
            <w:r>
              <w:rPr>
                <w:sz w:val="20"/>
                <w:szCs w:val="20"/>
              </w:rPr>
              <w:t>EUL (</w:t>
            </w:r>
            <w:proofErr w:type="spellStart"/>
            <w:r>
              <w:rPr>
                <w:sz w:val="20"/>
                <w:szCs w:val="20"/>
              </w:rPr>
              <w:t>yrs</w:t>
            </w:r>
            <w:proofErr w:type="spellEnd"/>
            <w:r>
              <w:rPr>
                <w:sz w:val="20"/>
                <w:szCs w:val="20"/>
              </w:rPr>
              <w:t>)</w:t>
            </w:r>
          </w:p>
        </w:tc>
        <w:tc>
          <w:tcPr>
            <w:tcW w:w="1190" w:type="dxa"/>
            <w:vAlign w:val="center"/>
          </w:tcPr>
          <w:p w14:paraId="6F26A348" w14:textId="76B561A3" w:rsidR="00F271FB" w:rsidRPr="001F4DB0" w:rsidRDefault="00F271FB" w:rsidP="00F25350">
            <w:pPr>
              <w:spacing w:before="20" w:after="20"/>
              <w:jc w:val="center"/>
              <w:rPr>
                <w:sz w:val="20"/>
                <w:szCs w:val="20"/>
              </w:rPr>
            </w:pPr>
            <w:r w:rsidRPr="001F4DB0">
              <w:rPr>
                <w:sz w:val="20"/>
                <w:szCs w:val="20"/>
              </w:rPr>
              <w:t>12.0</w:t>
            </w:r>
          </w:p>
        </w:tc>
        <w:tc>
          <w:tcPr>
            <w:tcW w:w="1180" w:type="dxa"/>
            <w:vAlign w:val="center"/>
          </w:tcPr>
          <w:p w14:paraId="3852FB11" w14:textId="36BE083B" w:rsidR="00F271FB" w:rsidRPr="001F4DB0" w:rsidRDefault="00F271FB" w:rsidP="00F25350">
            <w:pPr>
              <w:spacing w:before="20" w:after="20"/>
              <w:jc w:val="center"/>
              <w:rPr>
                <w:sz w:val="20"/>
                <w:szCs w:val="20"/>
              </w:rPr>
            </w:pPr>
            <w:r w:rsidRPr="001F4DB0">
              <w:rPr>
                <w:sz w:val="20"/>
                <w:szCs w:val="20"/>
              </w:rPr>
              <w:t>12.0</w:t>
            </w:r>
          </w:p>
        </w:tc>
        <w:tc>
          <w:tcPr>
            <w:tcW w:w="4958" w:type="dxa"/>
          </w:tcPr>
          <w:p w14:paraId="62768308" w14:textId="40101D9D" w:rsidR="00F271FB" w:rsidRPr="005B5CEE" w:rsidRDefault="005B5CEE" w:rsidP="002E7F37">
            <w:pPr>
              <w:spacing w:before="20" w:after="20"/>
              <w:rPr>
                <w:sz w:val="20"/>
                <w:szCs w:val="20"/>
              </w:rPr>
            </w:pPr>
            <w:r w:rsidRPr="005B5CEE">
              <w:rPr>
                <w:sz w:val="18"/>
                <w:szCs w:val="20"/>
              </w:rPr>
              <w:t>California Public Utilities Commission (CPUC), Energy Division. 2014. “DEER2014-EUL-table-update_2014-02-05.xlsx</w:t>
            </w:r>
            <w:r>
              <w:rPr>
                <w:sz w:val="18"/>
                <w:szCs w:val="20"/>
              </w:rPr>
              <w:t>.</w:t>
            </w:r>
            <w:r w:rsidRPr="005B5CEE">
              <w:rPr>
                <w:sz w:val="18"/>
                <w:szCs w:val="20"/>
              </w:rPr>
              <w:t>”</w:t>
            </w:r>
          </w:p>
        </w:tc>
      </w:tr>
      <w:tr w:rsidR="00F271FB" w:rsidRPr="00500C4E" w14:paraId="5D6700C5" w14:textId="77777777" w:rsidTr="001F4DB0">
        <w:trPr>
          <w:cantSplit/>
          <w:trHeight w:val="20"/>
        </w:trPr>
        <w:tc>
          <w:tcPr>
            <w:tcW w:w="1402" w:type="dxa"/>
          </w:tcPr>
          <w:p w14:paraId="10EC3B42" w14:textId="08DE295D" w:rsidR="00F271FB" w:rsidRPr="00F93289" w:rsidRDefault="00F271FB" w:rsidP="002E7F37">
            <w:pPr>
              <w:spacing w:before="20" w:after="20"/>
              <w:rPr>
                <w:sz w:val="20"/>
                <w:szCs w:val="20"/>
              </w:rPr>
            </w:pPr>
            <w:r>
              <w:rPr>
                <w:sz w:val="20"/>
                <w:szCs w:val="20"/>
              </w:rPr>
              <w:t>RUL (</w:t>
            </w:r>
            <w:proofErr w:type="spellStart"/>
            <w:r>
              <w:rPr>
                <w:sz w:val="20"/>
                <w:szCs w:val="20"/>
              </w:rPr>
              <w:t>yrs</w:t>
            </w:r>
            <w:proofErr w:type="spellEnd"/>
            <w:r>
              <w:rPr>
                <w:sz w:val="20"/>
                <w:szCs w:val="20"/>
              </w:rPr>
              <w:t>)</w:t>
            </w:r>
          </w:p>
        </w:tc>
        <w:tc>
          <w:tcPr>
            <w:tcW w:w="1190" w:type="dxa"/>
          </w:tcPr>
          <w:p w14:paraId="51AA1417" w14:textId="21C27701" w:rsidR="00F271FB" w:rsidRPr="00694410" w:rsidRDefault="005B5CEE" w:rsidP="002E7F37">
            <w:pPr>
              <w:spacing w:before="20" w:after="20"/>
              <w:jc w:val="center"/>
              <w:rPr>
                <w:sz w:val="20"/>
                <w:szCs w:val="20"/>
              </w:rPr>
            </w:pPr>
            <w:r>
              <w:rPr>
                <w:sz w:val="20"/>
                <w:szCs w:val="20"/>
              </w:rPr>
              <w:t>n/a</w:t>
            </w:r>
          </w:p>
        </w:tc>
        <w:tc>
          <w:tcPr>
            <w:tcW w:w="1180" w:type="dxa"/>
          </w:tcPr>
          <w:p w14:paraId="04D18A47" w14:textId="1A2797DC" w:rsidR="00F271FB" w:rsidRPr="005B5CEE" w:rsidRDefault="005B5CEE" w:rsidP="002E7F37">
            <w:pPr>
              <w:spacing w:before="20" w:after="20"/>
              <w:jc w:val="center"/>
              <w:rPr>
                <w:sz w:val="20"/>
                <w:szCs w:val="20"/>
              </w:rPr>
            </w:pPr>
            <w:r w:rsidRPr="005B5CEE">
              <w:rPr>
                <w:sz w:val="20"/>
                <w:szCs w:val="20"/>
              </w:rPr>
              <w:t>n/a</w:t>
            </w:r>
          </w:p>
        </w:tc>
        <w:tc>
          <w:tcPr>
            <w:tcW w:w="4958" w:type="dxa"/>
          </w:tcPr>
          <w:p w14:paraId="75B28A0D" w14:textId="7BF99FDF" w:rsidR="00F271FB" w:rsidRPr="005B5CEE" w:rsidRDefault="005B5CEE" w:rsidP="002E7F37">
            <w:pPr>
              <w:spacing w:before="20" w:after="20"/>
              <w:rPr>
                <w:sz w:val="20"/>
                <w:szCs w:val="20"/>
              </w:rPr>
            </w:pPr>
            <w:r w:rsidRPr="005B5CEE">
              <w:rPr>
                <w:sz w:val="20"/>
                <w:szCs w:val="20"/>
              </w:rPr>
              <w:t>-</w:t>
            </w:r>
          </w:p>
        </w:tc>
      </w:tr>
    </w:tbl>
    <w:p w14:paraId="438C22E1" w14:textId="77777777" w:rsidR="00522AC4" w:rsidRPr="00186E37" w:rsidRDefault="00522AC4" w:rsidP="00186E37"/>
    <w:p w14:paraId="5ACDCBBF" w14:textId="77777777" w:rsidR="004264B3" w:rsidRPr="004B06E3" w:rsidRDefault="004264B3" w:rsidP="004264B3">
      <w:pPr>
        <w:pStyle w:val="eTRMHeading3"/>
      </w:pPr>
      <w:bookmarkStart w:id="55" w:name="_Toc486490860"/>
      <w:bookmarkStart w:id="56" w:name="_Toc486580931"/>
      <w:bookmarkStart w:id="57" w:name="_Toc490461306"/>
      <w:bookmarkStart w:id="58" w:name="_Toc1120823"/>
      <w:r w:rsidRPr="004B06E3">
        <w:lastRenderedPageBreak/>
        <w:t>Base Case Material Cost ($/unit)</w:t>
      </w:r>
      <w:bookmarkEnd w:id="55"/>
      <w:bookmarkEnd w:id="56"/>
      <w:bookmarkEnd w:id="57"/>
      <w:bookmarkEnd w:id="58"/>
    </w:p>
    <w:p w14:paraId="46B54516" w14:textId="77777777" w:rsidR="00C052C0" w:rsidRDefault="00C052C0" w:rsidP="00C052C0">
      <w:pPr>
        <w:rPr>
          <w:szCs w:val="22"/>
        </w:rPr>
      </w:pPr>
      <w:r>
        <w:rPr>
          <w:szCs w:val="22"/>
        </w:rPr>
        <w:t xml:space="preserve">The base case material cost for equipment </w:t>
      </w:r>
      <w:r w:rsidRPr="00C94922">
        <w:rPr>
          <w:i/>
          <w:szCs w:val="22"/>
        </w:rPr>
        <w:t>delivered via direct install</w:t>
      </w:r>
      <w:r>
        <w:rPr>
          <w:szCs w:val="22"/>
        </w:rPr>
        <w:t xml:space="preserve"> is equal to $0.</w:t>
      </w:r>
    </w:p>
    <w:p w14:paraId="519E0E96" w14:textId="76F79BD7" w:rsidR="00186E37" w:rsidRPr="00D660F8" w:rsidRDefault="00155E99" w:rsidP="00186E37">
      <w:pPr>
        <w:rPr>
          <w:szCs w:val="22"/>
        </w:rPr>
      </w:pPr>
      <w:r>
        <w:rPr>
          <w:szCs w:val="22"/>
        </w:rPr>
        <w:t xml:space="preserve">For </w:t>
      </w:r>
      <w:r w:rsidRPr="00C94922">
        <w:rPr>
          <w:i/>
          <w:szCs w:val="22"/>
        </w:rPr>
        <w:t>all other delivery types</w:t>
      </w:r>
      <w:r>
        <w:rPr>
          <w:szCs w:val="22"/>
        </w:rPr>
        <w:t>, t</w:t>
      </w:r>
      <w:r w:rsidR="00C815F6" w:rsidRPr="00D660F8">
        <w:rPr>
          <w:szCs w:val="22"/>
        </w:rPr>
        <w:t xml:space="preserve">he estimated </w:t>
      </w:r>
      <w:r w:rsidR="00C815F6">
        <w:rPr>
          <w:szCs w:val="22"/>
        </w:rPr>
        <w:t xml:space="preserve">base case </w:t>
      </w:r>
      <w:r w:rsidR="00C815F6" w:rsidRPr="00D660F8">
        <w:rPr>
          <w:szCs w:val="22"/>
        </w:rPr>
        <w:t xml:space="preserve">equipment cost </w:t>
      </w:r>
      <w:r w:rsidR="00C815F6">
        <w:rPr>
          <w:szCs w:val="22"/>
        </w:rPr>
        <w:t xml:space="preserve">was derived as the average of </w:t>
      </w:r>
      <w:r w:rsidR="00C815F6" w:rsidRPr="00D660F8">
        <w:rPr>
          <w:szCs w:val="22"/>
        </w:rPr>
        <w:t>list prices</w:t>
      </w:r>
      <w:r w:rsidR="00C815F6">
        <w:rPr>
          <w:szCs w:val="22"/>
        </w:rPr>
        <w:t xml:space="preserve"> of common models of major refrigeration appliance manufacturers obtained from the </w:t>
      </w:r>
      <w:proofErr w:type="spellStart"/>
      <w:r w:rsidR="00C815F6">
        <w:rPr>
          <w:szCs w:val="22"/>
        </w:rPr>
        <w:t>WebstaurantStore</w:t>
      </w:r>
      <w:proofErr w:type="spellEnd"/>
      <w:r w:rsidR="007148B7">
        <w:rPr>
          <w:szCs w:val="22"/>
        </w:rPr>
        <w:t xml:space="preserve"> online restaurant supplier</w:t>
      </w:r>
      <w:r w:rsidR="00C815F6">
        <w:rPr>
          <w:szCs w:val="22"/>
        </w:rPr>
        <w:t>, as of Q1 2017.</w:t>
      </w:r>
      <w:r w:rsidR="009726AB">
        <w:rPr>
          <w:szCs w:val="22"/>
        </w:rPr>
        <w:t xml:space="preserve"> </w:t>
      </w:r>
    </w:p>
    <w:p w14:paraId="1506ABEB" w14:textId="551F5EFD" w:rsidR="008F2916" w:rsidRPr="00D11BA6" w:rsidRDefault="00212961" w:rsidP="008F2916">
      <w:pPr>
        <w:pStyle w:val="Caption"/>
        <w:rPr>
          <w:szCs w:val="22"/>
        </w:rPr>
      </w:pPr>
      <w:bookmarkStart w:id="59" w:name="_Toc486490861"/>
      <w:bookmarkStart w:id="60" w:name="_Toc486580932"/>
      <w:bookmarkStart w:id="61" w:name="_Toc490461307"/>
      <w:r>
        <w:rPr>
          <w:szCs w:val="22"/>
        </w:rPr>
        <w:t>Baseline</w:t>
      </w:r>
      <w:r w:rsidR="008F2916" w:rsidRPr="00D11BA6">
        <w:rPr>
          <w:szCs w:val="22"/>
        </w:rPr>
        <w:t xml:space="preserve"> Refrigerator and Freezer</w:t>
      </w:r>
      <w:r w:rsidR="008F2916">
        <w:rPr>
          <w:szCs w:val="22"/>
        </w:rPr>
        <w:t xml:space="preserve"> Material </w:t>
      </w:r>
      <w:r w:rsidR="008F2916" w:rsidRPr="00D11BA6">
        <w:rPr>
          <w:szCs w:val="22"/>
        </w:rPr>
        <w:t>Costs</w:t>
      </w:r>
      <w:r w:rsidR="008F2916">
        <w:rPr>
          <w:szCs w:val="22"/>
        </w:rPr>
        <w:t xml:space="preserve"> </w:t>
      </w:r>
      <w:r w:rsidR="008F2916">
        <w:rPr>
          <w:rStyle w:val="FootnoteReference"/>
          <w:szCs w:val="22"/>
        </w:rPr>
        <w:footnoteReference w:id="6"/>
      </w:r>
    </w:p>
    <w:tbl>
      <w:tblPr>
        <w:tblW w:w="9198"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590"/>
        <w:gridCol w:w="1152"/>
        <w:gridCol w:w="1152"/>
        <w:gridCol w:w="1152"/>
        <w:gridCol w:w="1152"/>
      </w:tblGrid>
      <w:tr w:rsidR="00212961" w:rsidRPr="00D559A4" w14:paraId="7FEB1A58" w14:textId="77777777" w:rsidTr="00C815F6">
        <w:trPr>
          <w:trHeight w:val="300"/>
          <w:tblHeader/>
        </w:trPr>
        <w:tc>
          <w:tcPr>
            <w:tcW w:w="4590" w:type="dxa"/>
            <w:shd w:val="clear" w:color="auto" w:fill="F2F2F2" w:themeFill="background1" w:themeFillShade="F2"/>
            <w:noWrap/>
            <w:vAlign w:val="bottom"/>
            <w:hideMark/>
          </w:tcPr>
          <w:p w14:paraId="014DD1AC" w14:textId="77777777" w:rsidR="00D559A4" w:rsidRPr="00D559A4" w:rsidRDefault="00D559A4" w:rsidP="00212961">
            <w:pPr>
              <w:spacing w:before="0" w:after="0" w:line="240" w:lineRule="auto"/>
              <w:jc w:val="center"/>
              <w:rPr>
                <w:rFonts w:eastAsia="Times New Roman" w:cs="Calibri Light"/>
                <w:b/>
                <w:bCs/>
                <w:color w:val="000000"/>
                <w:sz w:val="20"/>
                <w:szCs w:val="20"/>
              </w:rPr>
            </w:pPr>
            <w:r w:rsidRPr="00D559A4">
              <w:rPr>
                <w:rFonts w:eastAsia="Times New Roman" w:cs="Calibri Light"/>
                <w:b/>
                <w:bCs/>
                <w:color w:val="000000"/>
                <w:sz w:val="20"/>
                <w:szCs w:val="20"/>
              </w:rPr>
              <w:t>Typical Appliance Description</w:t>
            </w:r>
          </w:p>
        </w:tc>
        <w:tc>
          <w:tcPr>
            <w:tcW w:w="1152" w:type="dxa"/>
            <w:shd w:val="clear" w:color="auto" w:fill="F2F2F2" w:themeFill="background1" w:themeFillShade="F2"/>
            <w:noWrap/>
            <w:vAlign w:val="bottom"/>
            <w:hideMark/>
          </w:tcPr>
          <w:p w14:paraId="217167A1" w14:textId="77777777" w:rsidR="00D559A4" w:rsidRPr="00D559A4" w:rsidRDefault="00D559A4" w:rsidP="00212961">
            <w:pPr>
              <w:spacing w:before="0" w:after="0" w:line="240" w:lineRule="auto"/>
              <w:jc w:val="center"/>
              <w:rPr>
                <w:rFonts w:eastAsia="Times New Roman" w:cs="Calibri Light"/>
                <w:b/>
                <w:bCs/>
                <w:color w:val="000000"/>
                <w:sz w:val="20"/>
                <w:szCs w:val="20"/>
              </w:rPr>
            </w:pPr>
            <w:r w:rsidRPr="00D559A4">
              <w:rPr>
                <w:rFonts w:eastAsia="Times New Roman" w:cs="Calibri Light"/>
                <w:b/>
                <w:bCs/>
                <w:color w:val="000000"/>
                <w:sz w:val="20"/>
                <w:szCs w:val="20"/>
              </w:rPr>
              <w:t>Under-Counter</w:t>
            </w:r>
          </w:p>
        </w:tc>
        <w:tc>
          <w:tcPr>
            <w:tcW w:w="1152" w:type="dxa"/>
            <w:shd w:val="clear" w:color="auto" w:fill="F2F2F2" w:themeFill="background1" w:themeFillShade="F2"/>
            <w:noWrap/>
            <w:vAlign w:val="bottom"/>
            <w:hideMark/>
          </w:tcPr>
          <w:p w14:paraId="16A13FE5" w14:textId="77777777" w:rsidR="00D559A4" w:rsidRPr="00D559A4" w:rsidRDefault="00D559A4" w:rsidP="00212961">
            <w:pPr>
              <w:spacing w:before="0" w:after="0" w:line="240" w:lineRule="auto"/>
              <w:jc w:val="center"/>
              <w:rPr>
                <w:rFonts w:eastAsia="Times New Roman" w:cs="Calibri Light"/>
                <w:b/>
                <w:bCs/>
                <w:color w:val="000000"/>
                <w:sz w:val="20"/>
                <w:szCs w:val="20"/>
              </w:rPr>
            </w:pPr>
            <w:r w:rsidRPr="00D559A4">
              <w:rPr>
                <w:rFonts w:eastAsia="Times New Roman" w:cs="Calibri Light"/>
                <w:b/>
                <w:bCs/>
                <w:color w:val="000000"/>
                <w:sz w:val="20"/>
                <w:szCs w:val="20"/>
              </w:rPr>
              <w:t>Single-Door</w:t>
            </w:r>
          </w:p>
        </w:tc>
        <w:tc>
          <w:tcPr>
            <w:tcW w:w="1152" w:type="dxa"/>
            <w:shd w:val="clear" w:color="auto" w:fill="F2F2F2" w:themeFill="background1" w:themeFillShade="F2"/>
            <w:noWrap/>
            <w:vAlign w:val="bottom"/>
            <w:hideMark/>
          </w:tcPr>
          <w:p w14:paraId="431CF950" w14:textId="77777777" w:rsidR="00D559A4" w:rsidRPr="00D559A4" w:rsidRDefault="00D559A4" w:rsidP="00212961">
            <w:pPr>
              <w:spacing w:before="0" w:after="0" w:line="240" w:lineRule="auto"/>
              <w:jc w:val="center"/>
              <w:rPr>
                <w:rFonts w:eastAsia="Times New Roman" w:cs="Calibri Light"/>
                <w:b/>
                <w:bCs/>
                <w:color w:val="000000"/>
                <w:sz w:val="20"/>
                <w:szCs w:val="20"/>
              </w:rPr>
            </w:pPr>
            <w:r w:rsidRPr="00D559A4">
              <w:rPr>
                <w:rFonts w:eastAsia="Times New Roman" w:cs="Calibri Light"/>
                <w:b/>
                <w:bCs/>
                <w:color w:val="000000"/>
                <w:sz w:val="20"/>
                <w:szCs w:val="20"/>
              </w:rPr>
              <w:t>Double-Door</w:t>
            </w:r>
          </w:p>
        </w:tc>
        <w:tc>
          <w:tcPr>
            <w:tcW w:w="1152" w:type="dxa"/>
            <w:shd w:val="clear" w:color="auto" w:fill="F2F2F2" w:themeFill="background1" w:themeFillShade="F2"/>
            <w:noWrap/>
            <w:vAlign w:val="bottom"/>
            <w:hideMark/>
          </w:tcPr>
          <w:p w14:paraId="49954E56" w14:textId="77777777" w:rsidR="00D559A4" w:rsidRPr="00D559A4" w:rsidRDefault="00D559A4" w:rsidP="00212961">
            <w:pPr>
              <w:spacing w:before="0" w:after="0" w:line="240" w:lineRule="auto"/>
              <w:jc w:val="center"/>
              <w:rPr>
                <w:rFonts w:eastAsia="Times New Roman" w:cs="Calibri Light"/>
                <w:b/>
                <w:bCs/>
                <w:color w:val="000000"/>
                <w:sz w:val="20"/>
                <w:szCs w:val="20"/>
              </w:rPr>
            </w:pPr>
            <w:r w:rsidRPr="00D559A4">
              <w:rPr>
                <w:rFonts w:eastAsia="Times New Roman" w:cs="Calibri Light"/>
                <w:b/>
                <w:bCs/>
                <w:color w:val="000000"/>
                <w:sz w:val="20"/>
                <w:szCs w:val="20"/>
              </w:rPr>
              <w:t>Triple-Door</w:t>
            </w:r>
          </w:p>
        </w:tc>
      </w:tr>
      <w:tr w:rsidR="00212961" w:rsidRPr="00D559A4" w14:paraId="7C01ABAA" w14:textId="77777777" w:rsidTr="00C815F6">
        <w:trPr>
          <w:trHeight w:val="300"/>
        </w:trPr>
        <w:tc>
          <w:tcPr>
            <w:tcW w:w="4590" w:type="dxa"/>
            <w:shd w:val="clear" w:color="auto" w:fill="auto"/>
            <w:noWrap/>
            <w:vAlign w:val="center"/>
            <w:hideMark/>
          </w:tcPr>
          <w:p w14:paraId="795EB1C1" w14:textId="77777777" w:rsidR="00D559A4" w:rsidRPr="00D559A4" w:rsidRDefault="00D559A4" w:rsidP="00212961">
            <w:pPr>
              <w:spacing w:before="0" w:after="0" w:line="240" w:lineRule="auto"/>
              <w:rPr>
                <w:rFonts w:eastAsia="Times New Roman" w:cs="Calibri Light"/>
                <w:color w:val="000000"/>
                <w:sz w:val="20"/>
                <w:szCs w:val="20"/>
              </w:rPr>
            </w:pPr>
            <w:r w:rsidRPr="00D559A4">
              <w:rPr>
                <w:rFonts w:eastAsia="Times New Roman" w:cs="Calibri Light"/>
                <w:color w:val="000000"/>
                <w:sz w:val="20"/>
                <w:szCs w:val="20"/>
              </w:rPr>
              <w:t>Typical Nominal Size</w:t>
            </w:r>
          </w:p>
        </w:tc>
        <w:tc>
          <w:tcPr>
            <w:tcW w:w="1152" w:type="dxa"/>
            <w:shd w:val="clear" w:color="auto" w:fill="auto"/>
            <w:noWrap/>
            <w:vAlign w:val="center"/>
            <w:hideMark/>
          </w:tcPr>
          <w:p w14:paraId="40D628D5" w14:textId="77777777" w:rsidR="00D559A4" w:rsidRPr="00D559A4" w:rsidRDefault="00D559A4" w:rsidP="00212961">
            <w:pPr>
              <w:spacing w:before="0" w:after="0" w:line="240" w:lineRule="auto"/>
              <w:jc w:val="center"/>
              <w:rPr>
                <w:rFonts w:eastAsia="Times New Roman" w:cs="Calibri Light"/>
                <w:color w:val="000000"/>
                <w:sz w:val="20"/>
                <w:szCs w:val="20"/>
              </w:rPr>
            </w:pPr>
            <w:r w:rsidRPr="00D559A4">
              <w:rPr>
                <w:rFonts w:eastAsia="Times New Roman" w:cs="Calibri Light"/>
                <w:color w:val="000000"/>
                <w:sz w:val="20"/>
                <w:szCs w:val="20"/>
              </w:rPr>
              <w:t>1 door</w:t>
            </w:r>
          </w:p>
        </w:tc>
        <w:tc>
          <w:tcPr>
            <w:tcW w:w="1152" w:type="dxa"/>
            <w:shd w:val="clear" w:color="auto" w:fill="auto"/>
            <w:noWrap/>
            <w:vAlign w:val="center"/>
            <w:hideMark/>
          </w:tcPr>
          <w:p w14:paraId="72E9469F" w14:textId="77777777" w:rsidR="00D559A4" w:rsidRPr="00D559A4" w:rsidRDefault="00D559A4" w:rsidP="00212961">
            <w:pPr>
              <w:spacing w:before="0" w:after="0" w:line="240" w:lineRule="auto"/>
              <w:jc w:val="center"/>
              <w:rPr>
                <w:rFonts w:eastAsia="Times New Roman" w:cs="Calibri Light"/>
                <w:color w:val="000000"/>
                <w:sz w:val="20"/>
                <w:szCs w:val="20"/>
              </w:rPr>
            </w:pPr>
            <w:r w:rsidRPr="00D559A4">
              <w:rPr>
                <w:rFonts w:eastAsia="Times New Roman" w:cs="Calibri Light"/>
                <w:color w:val="000000"/>
                <w:sz w:val="20"/>
                <w:szCs w:val="20"/>
              </w:rPr>
              <w:t>1 door</w:t>
            </w:r>
          </w:p>
        </w:tc>
        <w:tc>
          <w:tcPr>
            <w:tcW w:w="1152" w:type="dxa"/>
            <w:shd w:val="clear" w:color="auto" w:fill="auto"/>
            <w:noWrap/>
            <w:vAlign w:val="center"/>
            <w:hideMark/>
          </w:tcPr>
          <w:p w14:paraId="7A473A65" w14:textId="77777777" w:rsidR="00D559A4" w:rsidRPr="00D559A4" w:rsidRDefault="00D559A4" w:rsidP="00212961">
            <w:pPr>
              <w:spacing w:before="0" w:after="0" w:line="240" w:lineRule="auto"/>
              <w:jc w:val="center"/>
              <w:rPr>
                <w:rFonts w:eastAsia="Times New Roman" w:cs="Calibri Light"/>
                <w:color w:val="000000"/>
                <w:sz w:val="20"/>
                <w:szCs w:val="20"/>
              </w:rPr>
            </w:pPr>
            <w:r w:rsidRPr="00D559A4">
              <w:rPr>
                <w:rFonts w:eastAsia="Times New Roman" w:cs="Calibri Light"/>
                <w:color w:val="000000"/>
                <w:sz w:val="20"/>
                <w:szCs w:val="20"/>
              </w:rPr>
              <w:t>2 doors</w:t>
            </w:r>
          </w:p>
        </w:tc>
        <w:tc>
          <w:tcPr>
            <w:tcW w:w="1152" w:type="dxa"/>
            <w:shd w:val="clear" w:color="auto" w:fill="auto"/>
            <w:noWrap/>
            <w:vAlign w:val="center"/>
            <w:hideMark/>
          </w:tcPr>
          <w:p w14:paraId="19981F9E" w14:textId="77777777" w:rsidR="00D559A4" w:rsidRPr="00D559A4" w:rsidRDefault="00D559A4" w:rsidP="00212961">
            <w:pPr>
              <w:spacing w:before="0" w:after="0" w:line="240" w:lineRule="auto"/>
              <w:jc w:val="center"/>
              <w:rPr>
                <w:rFonts w:eastAsia="Times New Roman" w:cs="Calibri Light"/>
                <w:color w:val="000000"/>
                <w:sz w:val="20"/>
                <w:szCs w:val="20"/>
              </w:rPr>
            </w:pPr>
            <w:r w:rsidRPr="00D559A4">
              <w:rPr>
                <w:rFonts w:eastAsia="Times New Roman" w:cs="Calibri Light"/>
                <w:color w:val="000000"/>
                <w:sz w:val="20"/>
                <w:szCs w:val="20"/>
              </w:rPr>
              <w:t>3 doors</w:t>
            </w:r>
          </w:p>
        </w:tc>
      </w:tr>
      <w:tr w:rsidR="00212961" w:rsidRPr="00D559A4" w14:paraId="4E34A7CB" w14:textId="77777777" w:rsidTr="00C815F6">
        <w:trPr>
          <w:trHeight w:val="300"/>
        </w:trPr>
        <w:tc>
          <w:tcPr>
            <w:tcW w:w="4590" w:type="dxa"/>
            <w:shd w:val="clear" w:color="auto" w:fill="auto"/>
            <w:noWrap/>
            <w:vAlign w:val="center"/>
            <w:hideMark/>
          </w:tcPr>
          <w:p w14:paraId="67238C98" w14:textId="77777777" w:rsidR="00D559A4" w:rsidRPr="00D559A4" w:rsidRDefault="00D559A4" w:rsidP="00212961">
            <w:pPr>
              <w:spacing w:before="0" w:after="0" w:line="240" w:lineRule="auto"/>
              <w:rPr>
                <w:rFonts w:eastAsia="Times New Roman" w:cs="Calibri Light"/>
                <w:color w:val="000000"/>
                <w:sz w:val="20"/>
                <w:szCs w:val="20"/>
              </w:rPr>
            </w:pPr>
            <w:r w:rsidRPr="00D559A4">
              <w:rPr>
                <w:rFonts w:eastAsia="Times New Roman" w:cs="Calibri Light"/>
                <w:color w:val="000000"/>
                <w:sz w:val="20"/>
                <w:szCs w:val="20"/>
              </w:rPr>
              <w:t>Nominal Volume Range (ft</w:t>
            </w:r>
            <w:r w:rsidRPr="00D559A4">
              <w:rPr>
                <w:rFonts w:eastAsia="Times New Roman" w:cs="Calibri Light"/>
                <w:color w:val="000000"/>
                <w:sz w:val="20"/>
                <w:szCs w:val="20"/>
                <w:vertAlign w:val="superscript"/>
              </w:rPr>
              <w:t>3</w:t>
            </w:r>
            <w:r w:rsidRPr="00D559A4">
              <w:rPr>
                <w:rFonts w:eastAsia="Times New Roman" w:cs="Calibri Light"/>
                <w:color w:val="000000"/>
                <w:sz w:val="20"/>
                <w:szCs w:val="20"/>
              </w:rPr>
              <w:t>)</w:t>
            </w:r>
          </w:p>
        </w:tc>
        <w:tc>
          <w:tcPr>
            <w:tcW w:w="1152" w:type="dxa"/>
            <w:shd w:val="clear" w:color="auto" w:fill="auto"/>
            <w:noWrap/>
            <w:vAlign w:val="center"/>
            <w:hideMark/>
          </w:tcPr>
          <w:p w14:paraId="59D59C87" w14:textId="77777777" w:rsidR="00D559A4" w:rsidRPr="00D559A4" w:rsidRDefault="00D559A4" w:rsidP="00212961">
            <w:pPr>
              <w:spacing w:before="0" w:after="0" w:line="240" w:lineRule="auto"/>
              <w:jc w:val="center"/>
              <w:rPr>
                <w:rFonts w:eastAsia="Times New Roman" w:cs="Calibri Light"/>
                <w:color w:val="000000"/>
                <w:sz w:val="20"/>
                <w:szCs w:val="20"/>
              </w:rPr>
            </w:pPr>
            <w:r w:rsidRPr="00D559A4">
              <w:rPr>
                <w:rFonts w:eastAsia="Times New Roman" w:cs="Calibri Light"/>
                <w:color w:val="000000"/>
                <w:sz w:val="20"/>
                <w:szCs w:val="20"/>
              </w:rPr>
              <w:t>0 &lt; V &lt; 15</w:t>
            </w:r>
          </w:p>
        </w:tc>
        <w:tc>
          <w:tcPr>
            <w:tcW w:w="1152" w:type="dxa"/>
            <w:shd w:val="clear" w:color="auto" w:fill="auto"/>
            <w:noWrap/>
            <w:vAlign w:val="center"/>
            <w:hideMark/>
          </w:tcPr>
          <w:p w14:paraId="72E2C3CD" w14:textId="77777777" w:rsidR="00D559A4" w:rsidRPr="00D559A4" w:rsidRDefault="00D559A4" w:rsidP="00212961">
            <w:pPr>
              <w:spacing w:before="0" w:after="0" w:line="240" w:lineRule="auto"/>
              <w:jc w:val="center"/>
              <w:rPr>
                <w:rFonts w:eastAsia="Times New Roman" w:cs="Calibri Light"/>
                <w:color w:val="000000"/>
                <w:sz w:val="20"/>
                <w:szCs w:val="20"/>
              </w:rPr>
            </w:pPr>
            <w:r w:rsidRPr="00D559A4">
              <w:rPr>
                <w:rFonts w:eastAsia="Times New Roman" w:cs="Calibri Light"/>
                <w:color w:val="000000"/>
                <w:sz w:val="20"/>
                <w:szCs w:val="20"/>
              </w:rPr>
              <w:t>15 ≤ V &lt; 30</w:t>
            </w:r>
          </w:p>
        </w:tc>
        <w:tc>
          <w:tcPr>
            <w:tcW w:w="1152" w:type="dxa"/>
            <w:shd w:val="clear" w:color="auto" w:fill="auto"/>
            <w:noWrap/>
            <w:vAlign w:val="center"/>
            <w:hideMark/>
          </w:tcPr>
          <w:p w14:paraId="007E8ABC" w14:textId="77777777" w:rsidR="00D559A4" w:rsidRPr="00D559A4" w:rsidRDefault="00D559A4" w:rsidP="00212961">
            <w:pPr>
              <w:spacing w:before="0" w:after="0" w:line="240" w:lineRule="auto"/>
              <w:jc w:val="center"/>
              <w:rPr>
                <w:rFonts w:eastAsia="Times New Roman" w:cs="Calibri Light"/>
                <w:color w:val="000000"/>
                <w:sz w:val="20"/>
                <w:szCs w:val="20"/>
              </w:rPr>
            </w:pPr>
            <w:r w:rsidRPr="00D559A4">
              <w:rPr>
                <w:rFonts w:eastAsia="Times New Roman" w:cs="Calibri Light"/>
                <w:color w:val="000000"/>
                <w:sz w:val="20"/>
                <w:szCs w:val="20"/>
              </w:rPr>
              <w:t>30 ≤ V &lt; 50</w:t>
            </w:r>
          </w:p>
        </w:tc>
        <w:tc>
          <w:tcPr>
            <w:tcW w:w="1152" w:type="dxa"/>
            <w:shd w:val="clear" w:color="auto" w:fill="auto"/>
            <w:noWrap/>
            <w:vAlign w:val="center"/>
            <w:hideMark/>
          </w:tcPr>
          <w:p w14:paraId="119CFA22" w14:textId="77777777" w:rsidR="00D559A4" w:rsidRPr="00D559A4" w:rsidRDefault="00D559A4" w:rsidP="00212961">
            <w:pPr>
              <w:spacing w:before="0" w:after="0" w:line="240" w:lineRule="auto"/>
              <w:jc w:val="center"/>
              <w:rPr>
                <w:rFonts w:eastAsia="Times New Roman" w:cs="Calibri Light"/>
                <w:color w:val="000000"/>
                <w:sz w:val="20"/>
                <w:szCs w:val="20"/>
              </w:rPr>
            </w:pPr>
            <w:r w:rsidRPr="00D559A4">
              <w:rPr>
                <w:rFonts w:eastAsia="Times New Roman" w:cs="Calibri Light"/>
                <w:color w:val="000000"/>
                <w:sz w:val="20"/>
                <w:szCs w:val="20"/>
              </w:rPr>
              <w:t>50 ≤ V</w:t>
            </w:r>
          </w:p>
        </w:tc>
      </w:tr>
      <w:tr w:rsidR="00212961" w:rsidRPr="00D559A4" w14:paraId="5CC01050" w14:textId="77777777" w:rsidTr="00C815F6">
        <w:trPr>
          <w:trHeight w:val="300"/>
        </w:trPr>
        <w:tc>
          <w:tcPr>
            <w:tcW w:w="4590" w:type="dxa"/>
            <w:shd w:val="clear" w:color="auto" w:fill="auto"/>
            <w:noWrap/>
            <w:vAlign w:val="center"/>
            <w:hideMark/>
          </w:tcPr>
          <w:p w14:paraId="5515F9FD" w14:textId="0A416D34" w:rsidR="00D559A4" w:rsidRPr="00D559A4" w:rsidRDefault="00D559A4" w:rsidP="00212961">
            <w:pPr>
              <w:spacing w:before="0" w:after="0" w:line="240" w:lineRule="auto"/>
              <w:rPr>
                <w:rFonts w:eastAsia="Times New Roman" w:cs="Calibri Light"/>
                <w:color w:val="000000"/>
                <w:sz w:val="20"/>
                <w:szCs w:val="20"/>
              </w:rPr>
            </w:pPr>
            <w:r w:rsidRPr="00D559A4">
              <w:rPr>
                <w:rFonts w:eastAsia="Times New Roman" w:cs="Calibri Light"/>
                <w:color w:val="000000"/>
                <w:sz w:val="20"/>
                <w:szCs w:val="20"/>
              </w:rPr>
              <w:t>Solid-Door Reach-In Refrigerator</w:t>
            </w:r>
          </w:p>
        </w:tc>
        <w:tc>
          <w:tcPr>
            <w:tcW w:w="1152" w:type="dxa"/>
            <w:shd w:val="clear" w:color="auto" w:fill="auto"/>
            <w:noWrap/>
            <w:vAlign w:val="center"/>
            <w:hideMark/>
          </w:tcPr>
          <w:p w14:paraId="47243BF9" w14:textId="77777777" w:rsidR="00D559A4" w:rsidRPr="00D559A4" w:rsidRDefault="00D559A4" w:rsidP="00212961">
            <w:pPr>
              <w:spacing w:before="0" w:after="0" w:line="240" w:lineRule="auto"/>
              <w:jc w:val="right"/>
              <w:rPr>
                <w:rFonts w:eastAsia="Times New Roman" w:cs="Calibri Light"/>
                <w:color w:val="000000"/>
                <w:sz w:val="20"/>
                <w:szCs w:val="20"/>
              </w:rPr>
            </w:pPr>
            <w:r w:rsidRPr="00D559A4">
              <w:rPr>
                <w:rFonts w:eastAsia="Times New Roman" w:cs="Calibri Light"/>
                <w:color w:val="000000"/>
                <w:sz w:val="20"/>
                <w:szCs w:val="20"/>
              </w:rPr>
              <w:t xml:space="preserve">$2,057.80 </w:t>
            </w:r>
          </w:p>
        </w:tc>
        <w:tc>
          <w:tcPr>
            <w:tcW w:w="1152" w:type="dxa"/>
            <w:shd w:val="clear" w:color="auto" w:fill="auto"/>
            <w:noWrap/>
            <w:vAlign w:val="center"/>
            <w:hideMark/>
          </w:tcPr>
          <w:p w14:paraId="541D89DC" w14:textId="77777777" w:rsidR="00D559A4" w:rsidRPr="00D559A4" w:rsidRDefault="00D559A4" w:rsidP="00212961">
            <w:pPr>
              <w:spacing w:before="0" w:after="0" w:line="240" w:lineRule="auto"/>
              <w:jc w:val="right"/>
              <w:rPr>
                <w:rFonts w:eastAsia="Times New Roman" w:cs="Calibri Light"/>
                <w:color w:val="000000"/>
                <w:sz w:val="20"/>
                <w:szCs w:val="20"/>
              </w:rPr>
            </w:pPr>
            <w:r w:rsidRPr="00D559A4">
              <w:rPr>
                <w:rFonts w:eastAsia="Times New Roman" w:cs="Calibri Light"/>
                <w:color w:val="000000"/>
                <w:sz w:val="20"/>
                <w:szCs w:val="20"/>
              </w:rPr>
              <w:t xml:space="preserve">$2,583.33 </w:t>
            </w:r>
          </w:p>
        </w:tc>
        <w:tc>
          <w:tcPr>
            <w:tcW w:w="1152" w:type="dxa"/>
            <w:shd w:val="clear" w:color="auto" w:fill="auto"/>
            <w:noWrap/>
            <w:vAlign w:val="center"/>
            <w:hideMark/>
          </w:tcPr>
          <w:p w14:paraId="0C3EA4ED" w14:textId="77777777" w:rsidR="00D559A4" w:rsidRPr="00D559A4" w:rsidRDefault="00D559A4" w:rsidP="00212961">
            <w:pPr>
              <w:spacing w:before="0" w:after="0" w:line="240" w:lineRule="auto"/>
              <w:jc w:val="right"/>
              <w:rPr>
                <w:rFonts w:eastAsia="Times New Roman" w:cs="Calibri Light"/>
                <w:color w:val="000000"/>
                <w:sz w:val="20"/>
                <w:szCs w:val="20"/>
              </w:rPr>
            </w:pPr>
            <w:r w:rsidRPr="00D559A4">
              <w:rPr>
                <w:rFonts w:eastAsia="Times New Roman" w:cs="Calibri Light"/>
                <w:color w:val="000000"/>
                <w:sz w:val="20"/>
                <w:szCs w:val="20"/>
              </w:rPr>
              <w:t xml:space="preserve">$3,355.50 </w:t>
            </w:r>
          </w:p>
        </w:tc>
        <w:tc>
          <w:tcPr>
            <w:tcW w:w="1152" w:type="dxa"/>
            <w:shd w:val="clear" w:color="auto" w:fill="auto"/>
            <w:noWrap/>
            <w:vAlign w:val="center"/>
            <w:hideMark/>
          </w:tcPr>
          <w:p w14:paraId="5A49D011" w14:textId="77777777" w:rsidR="00D559A4" w:rsidRPr="00D559A4" w:rsidRDefault="00D559A4" w:rsidP="00212961">
            <w:pPr>
              <w:spacing w:before="0" w:after="0" w:line="240" w:lineRule="auto"/>
              <w:jc w:val="right"/>
              <w:rPr>
                <w:rFonts w:eastAsia="Times New Roman" w:cs="Calibri Light"/>
                <w:color w:val="000000"/>
                <w:sz w:val="20"/>
                <w:szCs w:val="20"/>
              </w:rPr>
            </w:pPr>
            <w:r w:rsidRPr="00D559A4">
              <w:rPr>
                <w:rFonts w:eastAsia="Times New Roman" w:cs="Calibri Light"/>
                <w:color w:val="000000"/>
                <w:sz w:val="20"/>
                <w:szCs w:val="20"/>
              </w:rPr>
              <w:t xml:space="preserve">$4,646.25 </w:t>
            </w:r>
          </w:p>
        </w:tc>
      </w:tr>
      <w:tr w:rsidR="00212961" w:rsidRPr="00D559A4" w14:paraId="73FCC4D9" w14:textId="77777777" w:rsidTr="00C815F6">
        <w:trPr>
          <w:trHeight w:val="300"/>
        </w:trPr>
        <w:tc>
          <w:tcPr>
            <w:tcW w:w="4590" w:type="dxa"/>
            <w:shd w:val="clear" w:color="auto" w:fill="auto"/>
            <w:noWrap/>
            <w:vAlign w:val="center"/>
            <w:hideMark/>
          </w:tcPr>
          <w:p w14:paraId="4F3EBBBB" w14:textId="0B072096" w:rsidR="00D559A4" w:rsidRPr="00D559A4" w:rsidRDefault="00D559A4" w:rsidP="00212961">
            <w:pPr>
              <w:spacing w:before="0" w:after="0" w:line="240" w:lineRule="auto"/>
              <w:rPr>
                <w:rFonts w:eastAsia="Times New Roman" w:cs="Calibri Light"/>
                <w:color w:val="000000"/>
                <w:sz w:val="20"/>
                <w:szCs w:val="20"/>
              </w:rPr>
            </w:pPr>
            <w:r w:rsidRPr="00D559A4">
              <w:rPr>
                <w:rFonts w:eastAsia="Times New Roman" w:cs="Calibri Light"/>
                <w:color w:val="000000"/>
                <w:sz w:val="20"/>
                <w:szCs w:val="20"/>
              </w:rPr>
              <w:t>Solid-Door Reach-In Freezer</w:t>
            </w:r>
          </w:p>
        </w:tc>
        <w:tc>
          <w:tcPr>
            <w:tcW w:w="1152" w:type="dxa"/>
            <w:shd w:val="clear" w:color="auto" w:fill="auto"/>
            <w:noWrap/>
            <w:vAlign w:val="center"/>
            <w:hideMark/>
          </w:tcPr>
          <w:p w14:paraId="34B4D9A3" w14:textId="77777777" w:rsidR="00D559A4" w:rsidRPr="00D559A4" w:rsidRDefault="00D559A4" w:rsidP="00212961">
            <w:pPr>
              <w:spacing w:before="0" w:after="0" w:line="240" w:lineRule="auto"/>
              <w:jc w:val="right"/>
              <w:rPr>
                <w:rFonts w:eastAsia="Times New Roman" w:cs="Calibri Light"/>
                <w:color w:val="000000"/>
                <w:sz w:val="20"/>
                <w:szCs w:val="20"/>
              </w:rPr>
            </w:pPr>
            <w:r w:rsidRPr="00D559A4">
              <w:rPr>
                <w:rFonts w:eastAsia="Times New Roman" w:cs="Calibri Light"/>
                <w:color w:val="000000"/>
                <w:sz w:val="20"/>
                <w:szCs w:val="20"/>
              </w:rPr>
              <w:t xml:space="preserve">$2,311.40 </w:t>
            </w:r>
          </w:p>
        </w:tc>
        <w:tc>
          <w:tcPr>
            <w:tcW w:w="1152" w:type="dxa"/>
            <w:shd w:val="clear" w:color="auto" w:fill="auto"/>
            <w:noWrap/>
            <w:vAlign w:val="center"/>
            <w:hideMark/>
          </w:tcPr>
          <w:p w14:paraId="190E20DA" w14:textId="77777777" w:rsidR="00D559A4" w:rsidRPr="00D559A4" w:rsidRDefault="00D559A4" w:rsidP="00212961">
            <w:pPr>
              <w:spacing w:before="0" w:after="0" w:line="240" w:lineRule="auto"/>
              <w:jc w:val="right"/>
              <w:rPr>
                <w:rFonts w:eastAsia="Times New Roman" w:cs="Calibri Light"/>
                <w:color w:val="000000"/>
                <w:sz w:val="20"/>
                <w:szCs w:val="20"/>
              </w:rPr>
            </w:pPr>
            <w:r w:rsidRPr="00D559A4">
              <w:rPr>
                <w:rFonts w:eastAsia="Times New Roman" w:cs="Calibri Light"/>
                <w:color w:val="000000"/>
                <w:sz w:val="20"/>
                <w:szCs w:val="20"/>
              </w:rPr>
              <w:t xml:space="preserve">$2,942.00 </w:t>
            </w:r>
          </w:p>
        </w:tc>
        <w:tc>
          <w:tcPr>
            <w:tcW w:w="1152" w:type="dxa"/>
            <w:shd w:val="clear" w:color="auto" w:fill="auto"/>
            <w:noWrap/>
            <w:vAlign w:val="center"/>
            <w:hideMark/>
          </w:tcPr>
          <w:p w14:paraId="4E0F0E7B" w14:textId="77777777" w:rsidR="00D559A4" w:rsidRPr="00D559A4" w:rsidRDefault="00D559A4" w:rsidP="00212961">
            <w:pPr>
              <w:spacing w:before="0" w:after="0" w:line="240" w:lineRule="auto"/>
              <w:jc w:val="right"/>
              <w:rPr>
                <w:rFonts w:eastAsia="Times New Roman" w:cs="Calibri Light"/>
                <w:color w:val="000000"/>
                <w:sz w:val="20"/>
                <w:szCs w:val="20"/>
              </w:rPr>
            </w:pPr>
            <w:r w:rsidRPr="00D559A4">
              <w:rPr>
                <w:rFonts w:eastAsia="Times New Roman" w:cs="Calibri Light"/>
                <w:color w:val="000000"/>
                <w:sz w:val="20"/>
                <w:szCs w:val="20"/>
              </w:rPr>
              <w:t xml:space="preserve">$3,915.50 </w:t>
            </w:r>
          </w:p>
        </w:tc>
        <w:tc>
          <w:tcPr>
            <w:tcW w:w="1152" w:type="dxa"/>
            <w:shd w:val="clear" w:color="auto" w:fill="auto"/>
            <w:noWrap/>
            <w:vAlign w:val="center"/>
            <w:hideMark/>
          </w:tcPr>
          <w:p w14:paraId="32AB62DF" w14:textId="77777777" w:rsidR="00D559A4" w:rsidRPr="00D559A4" w:rsidRDefault="00D559A4" w:rsidP="00212961">
            <w:pPr>
              <w:spacing w:before="0" w:after="0" w:line="240" w:lineRule="auto"/>
              <w:jc w:val="right"/>
              <w:rPr>
                <w:rFonts w:eastAsia="Times New Roman" w:cs="Calibri Light"/>
                <w:color w:val="000000"/>
                <w:sz w:val="20"/>
                <w:szCs w:val="20"/>
              </w:rPr>
            </w:pPr>
            <w:r w:rsidRPr="00D559A4">
              <w:rPr>
                <w:rFonts w:eastAsia="Times New Roman" w:cs="Calibri Light"/>
                <w:color w:val="000000"/>
                <w:sz w:val="20"/>
                <w:szCs w:val="20"/>
              </w:rPr>
              <w:t xml:space="preserve">$5,871.71 </w:t>
            </w:r>
          </w:p>
        </w:tc>
      </w:tr>
      <w:tr w:rsidR="00212961" w:rsidRPr="00D559A4" w14:paraId="25584D4F" w14:textId="77777777" w:rsidTr="00C815F6">
        <w:trPr>
          <w:trHeight w:val="300"/>
        </w:trPr>
        <w:tc>
          <w:tcPr>
            <w:tcW w:w="4590" w:type="dxa"/>
            <w:shd w:val="clear" w:color="auto" w:fill="auto"/>
            <w:noWrap/>
            <w:vAlign w:val="center"/>
            <w:hideMark/>
          </w:tcPr>
          <w:p w14:paraId="4318AFBE" w14:textId="2B79D2EA" w:rsidR="00D559A4" w:rsidRPr="00D559A4" w:rsidRDefault="00D559A4" w:rsidP="00212961">
            <w:pPr>
              <w:spacing w:before="0" w:after="0" w:line="240" w:lineRule="auto"/>
              <w:rPr>
                <w:rFonts w:eastAsia="Times New Roman" w:cs="Calibri Light"/>
                <w:color w:val="000000"/>
                <w:sz w:val="20"/>
                <w:szCs w:val="20"/>
              </w:rPr>
            </w:pPr>
            <w:r w:rsidRPr="00D559A4">
              <w:rPr>
                <w:rFonts w:eastAsia="Times New Roman" w:cs="Calibri Light"/>
                <w:color w:val="000000"/>
                <w:sz w:val="20"/>
                <w:szCs w:val="20"/>
              </w:rPr>
              <w:t>Glass-Door Reach-In Refrigerator</w:t>
            </w:r>
          </w:p>
        </w:tc>
        <w:tc>
          <w:tcPr>
            <w:tcW w:w="1152" w:type="dxa"/>
            <w:shd w:val="clear" w:color="auto" w:fill="auto"/>
            <w:noWrap/>
            <w:vAlign w:val="center"/>
            <w:hideMark/>
          </w:tcPr>
          <w:p w14:paraId="251AF00E" w14:textId="77777777" w:rsidR="00D559A4" w:rsidRPr="00D559A4" w:rsidRDefault="00D559A4" w:rsidP="00212961">
            <w:pPr>
              <w:spacing w:before="0" w:after="0" w:line="240" w:lineRule="auto"/>
              <w:jc w:val="right"/>
              <w:rPr>
                <w:rFonts w:eastAsia="Times New Roman" w:cs="Calibri Light"/>
                <w:color w:val="000000"/>
                <w:sz w:val="20"/>
                <w:szCs w:val="20"/>
              </w:rPr>
            </w:pPr>
            <w:r w:rsidRPr="00D559A4">
              <w:rPr>
                <w:rFonts w:eastAsia="Times New Roman" w:cs="Calibri Light"/>
                <w:color w:val="000000"/>
                <w:sz w:val="20"/>
                <w:szCs w:val="20"/>
              </w:rPr>
              <w:t xml:space="preserve">$2,828.00 </w:t>
            </w:r>
          </w:p>
        </w:tc>
        <w:tc>
          <w:tcPr>
            <w:tcW w:w="1152" w:type="dxa"/>
            <w:shd w:val="clear" w:color="auto" w:fill="auto"/>
            <w:noWrap/>
            <w:vAlign w:val="center"/>
            <w:hideMark/>
          </w:tcPr>
          <w:p w14:paraId="15780F5F" w14:textId="77777777" w:rsidR="00D559A4" w:rsidRPr="00D559A4" w:rsidRDefault="00D559A4" w:rsidP="00212961">
            <w:pPr>
              <w:spacing w:before="0" w:after="0" w:line="240" w:lineRule="auto"/>
              <w:jc w:val="right"/>
              <w:rPr>
                <w:rFonts w:eastAsia="Times New Roman" w:cs="Calibri Light"/>
                <w:color w:val="000000"/>
                <w:sz w:val="20"/>
                <w:szCs w:val="20"/>
              </w:rPr>
            </w:pPr>
            <w:r w:rsidRPr="00D559A4">
              <w:rPr>
                <w:rFonts w:eastAsia="Times New Roman" w:cs="Calibri Light"/>
                <w:color w:val="000000"/>
                <w:sz w:val="20"/>
                <w:szCs w:val="20"/>
              </w:rPr>
              <w:t xml:space="preserve">$2,593.67 </w:t>
            </w:r>
          </w:p>
        </w:tc>
        <w:tc>
          <w:tcPr>
            <w:tcW w:w="1152" w:type="dxa"/>
            <w:shd w:val="clear" w:color="auto" w:fill="auto"/>
            <w:noWrap/>
            <w:vAlign w:val="center"/>
            <w:hideMark/>
          </w:tcPr>
          <w:p w14:paraId="39F27186" w14:textId="77777777" w:rsidR="00D559A4" w:rsidRPr="00D559A4" w:rsidRDefault="00D559A4" w:rsidP="00212961">
            <w:pPr>
              <w:spacing w:before="0" w:after="0" w:line="240" w:lineRule="auto"/>
              <w:jc w:val="right"/>
              <w:rPr>
                <w:rFonts w:eastAsia="Times New Roman" w:cs="Calibri Light"/>
                <w:color w:val="000000"/>
                <w:sz w:val="20"/>
                <w:szCs w:val="20"/>
              </w:rPr>
            </w:pPr>
            <w:r w:rsidRPr="00D559A4">
              <w:rPr>
                <w:rFonts w:eastAsia="Times New Roman" w:cs="Calibri Light"/>
                <w:color w:val="000000"/>
                <w:sz w:val="20"/>
                <w:szCs w:val="20"/>
              </w:rPr>
              <w:t xml:space="preserve">$3,906.20 </w:t>
            </w:r>
          </w:p>
        </w:tc>
        <w:tc>
          <w:tcPr>
            <w:tcW w:w="1152" w:type="dxa"/>
            <w:shd w:val="clear" w:color="auto" w:fill="auto"/>
            <w:noWrap/>
            <w:vAlign w:val="center"/>
            <w:hideMark/>
          </w:tcPr>
          <w:p w14:paraId="24F9FC7F" w14:textId="77777777" w:rsidR="00D559A4" w:rsidRPr="00D559A4" w:rsidRDefault="00D559A4" w:rsidP="00212961">
            <w:pPr>
              <w:spacing w:before="0" w:after="0" w:line="240" w:lineRule="auto"/>
              <w:jc w:val="right"/>
              <w:rPr>
                <w:rFonts w:eastAsia="Times New Roman" w:cs="Calibri Light"/>
                <w:color w:val="000000"/>
                <w:sz w:val="20"/>
                <w:szCs w:val="20"/>
              </w:rPr>
            </w:pPr>
            <w:r w:rsidRPr="00D559A4">
              <w:rPr>
                <w:rFonts w:eastAsia="Times New Roman" w:cs="Calibri Light"/>
                <w:color w:val="000000"/>
                <w:sz w:val="20"/>
                <w:szCs w:val="20"/>
              </w:rPr>
              <w:t xml:space="preserve">$5,250.40 </w:t>
            </w:r>
          </w:p>
        </w:tc>
      </w:tr>
      <w:tr w:rsidR="00212961" w:rsidRPr="00D559A4" w14:paraId="665BA250" w14:textId="77777777" w:rsidTr="00C815F6">
        <w:trPr>
          <w:trHeight w:val="290"/>
        </w:trPr>
        <w:tc>
          <w:tcPr>
            <w:tcW w:w="4590" w:type="dxa"/>
            <w:shd w:val="clear" w:color="auto" w:fill="auto"/>
            <w:noWrap/>
            <w:vAlign w:val="center"/>
            <w:hideMark/>
          </w:tcPr>
          <w:p w14:paraId="479A99E1" w14:textId="7B9D2C3A" w:rsidR="00212961" w:rsidRPr="00D559A4" w:rsidRDefault="00212961" w:rsidP="00212961">
            <w:pPr>
              <w:spacing w:before="0" w:after="0" w:line="240" w:lineRule="auto"/>
              <w:rPr>
                <w:rFonts w:eastAsia="Times New Roman" w:cs="Calibri Light"/>
                <w:color w:val="000000"/>
                <w:sz w:val="20"/>
                <w:szCs w:val="20"/>
              </w:rPr>
            </w:pPr>
            <w:r w:rsidRPr="00D559A4">
              <w:rPr>
                <w:rFonts w:eastAsia="Times New Roman" w:cs="Calibri Light"/>
                <w:color w:val="000000"/>
                <w:sz w:val="20"/>
                <w:szCs w:val="20"/>
              </w:rPr>
              <w:t>Glass-Door Reach-In Freezer (DOE 2017 Compliant)</w:t>
            </w:r>
            <w:r>
              <w:rPr>
                <w:rFonts w:eastAsia="Times New Roman" w:cs="Calibri Light"/>
                <w:color w:val="000000"/>
                <w:sz w:val="20"/>
                <w:szCs w:val="20"/>
              </w:rPr>
              <w:t xml:space="preserve"> </w:t>
            </w:r>
            <w:r w:rsidRPr="00D559A4">
              <w:rPr>
                <w:rFonts w:eastAsia="Times New Roman" w:cs="Calibri Light"/>
                <w:color w:val="000000"/>
                <w:sz w:val="20"/>
                <w:szCs w:val="20"/>
              </w:rPr>
              <w:t>**</w:t>
            </w:r>
          </w:p>
        </w:tc>
        <w:tc>
          <w:tcPr>
            <w:tcW w:w="1152" w:type="dxa"/>
            <w:shd w:val="clear" w:color="auto" w:fill="auto"/>
            <w:noWrap/>
            <w:vAlign w:val="center"/>
            <w:hideMark/>
          </w:tcPr>
          <w:p w14:paraId="110E1FD6" w14:textId="77777777" w:rsidR="00212961" w:rsidRPr="00D559A4" w:rsidRDefault="00212961" w:rsidP="00212961">
            <w:pPr>
              <w:spacing w:before="0" w:after="0" w:line="240" w:lineRule="auto"/>
              <w:jc w:val="right"/>
              <w:rPr>
                <w:rFonts w:eastAsia="Times New Roman" w:cs="Calibri Light"/>
                <w:color w:val="000000"/>
                <w:sz w:val="20"/>
                <w:szCs w:val="20"/>
              </w:rPr>
            </w:pPr>
            <w:r w:rsidRPr="00D559A4">
              <w:rPr>
                <w:rFonts w:eastAsia="Times New Roman" w:cs="Calibri Light"/>
                <w:color w:val="000000"/>
                <w:sz w:val="20"/>
                <w:szCs w:val="20"/>
              </w:rPr>
              <w:t>N/A</w:t>
            </w:r>
          </w:p>
        </w:tc>
        <w:tc>
          <w:tcPr>
            <w:tcW w:w="1152" w:type="dxa"/>
            <w:shd w:val="clear" w:color="auto" w:fill="auto"/>
            <w:noWrap/>
            <w:vAlign w:val="center"/>
            <w:hideMark/>
          </w:tcPr>
          <w:p w14:paraId="0665CBA0" w14:textId="77777777" w:rsidR="00212961" w:rsidRPr="00D559A4" w:rsidRDefault="00212961" w:rsidP="00212961">
            <w:pPr>
              <w:spacing w:before="0" w:after="0" w:line="240" w:lineRule="auto"/>
              <w:jc w:val="right"/>
              <w:rPr>
                <w:rFonts w:eastAsia="Times New Roman" w:cs="Calibri Light"/>
                <w:color w:val="000000"/>
                <w:sz w:val="20"/>
                <w:szCs w:val="20"/>
              </w:rPr>
            </w:pPr>
            <w:r w:rsidRPr="00D559A4">
              <w:rPr>
                <w:rFonts w:eastAsia="Times New Roman" w:cs="Calibri Light"/>
                <w:color w:val="000000"/>
                <w:sz w:val="20"/>
                <w:szCs w:val="20"/>
              </w:rPr>
              <w:t xml:space="preserve">$4,342.00 </w:t>
            </w:r>
          </w:p>
        </w:tc>
        <w:tc>
          <w:tcPr>
            <w:tcW w:w="1152" w:type="dxa"/>
            <w:shd w:val="clear" w:color="auto" w:fill="auto"/>
            <w:vAlign w:val="center"/>
          </w:tcPr>
          <w:p w14:paraId="3A47CE8F" w14:textId="6FCC29A0" w:rsidR="00212961" w:rsidRPr="00D559A4" w:rsidRDefault="00212961" w:rsidP="00212961">
            <w:pPr>
              <w:spacing w:before="0" w:after="0" w:line="240" w:lineRule="auto"/>
              <w:jc w:val="right"/>
              <w:rPr>
                <w:rFonts w:eastAsia="Times New Roman" w:cs="Calibri Light"/>
                <w:color w:val="000000"/>
                <w:sz w:val="20"/>
                <w:szCs w:val="20"/>
              </w:rPr>
            </w:pPr>
            <w:r w:rsidRPr="00D559A4">
              <w:rPr>
                <w:rFonts w:eastAsia="Times New Roman" w:cs="Calibri Light"/>
                <w:color w:val="000000"/>
                <w:sz w:val="20"/>
                <w:szCs w:val="20"/>
              </w:rPr>
              <w:t xml:space="preserve">$5,351.40 </w:t>
            </w:r>
          </w:p>
        </w:tc>
        <w:tc>
          <w:tcPr>
            <w:tcW w:w="1152" w:type="dxa"/>
            <w:shd w:val="clear" w:color="auto" w:fill="auto"/>
            <w:vAlign w:val="center"/>
          </w:tcPr>
          <w:p w14:paraId="4CBF6A3E" w14:textId="33255558" w:rsidR="00212961" w:rsidRPr="00D559A4" w:rsidRDefault="00212961" w:rsidP="00212961">
            <w:pPr>
              <w:spacing w:before="0" w:after="0" w:line="240" w:lineRule="auto"/>
              <w:jc w:val="right"/>
              <w:rPr>
                <w:rFonts w:eastAsia="Times New Roman" w:cs="Calibri Light"/>
                <w:color w:val="000000"/>
                <w:sz w:val="20"/>
                <w:szCs w:val="20"/>
              </w:rPr>
            </w:pPr>
            <w:r w:rsidRPr="00D559A4">
              <w:rPr>
                <w:rFonts w:eastAsia="Times New Roman" w:cs="Calibri Light"/>
                <w:color w:val="000000"/>
                <w:sz w:val="20"/>
                <w:szCs w:val="20"/>
              </w:rPr>
              <w:t xml:space="preserve">$8,266.00 </w:t>
            </w:r>
          </w:p>
        </w:tc>
      </w:tr>
    </w:tbl>
    <w:p w14:paraId="7D230701" w14:textId="150411AA" w:rsidR="00D559A4" w:rsidRDefault="00D559A4" w:rsidP="00D64718"/>
    <w:p w14:paraId="5F07BBA6" w14:textId="77777777" w:rsidR="004264B3" w:rsidRPr="004B06E3" w:rsidRDefault="004264B3" w:rsidP="004264B3">
      <w:pPr>
        <w:pStyle w:val="eTRMHeading3"/>
      </w:pPr>
      <w:bookmarkStart w:id="62" w:name="_Toc1120824"/>
      <w:r w:rsidRPr="004B06E3">
        <w:t>Measure Case Material Cost ($/unit)</w:t>
      </w:r>
      <w:bookmarkEnd w:id="59"/>
      <w:bookmarkEnd w:id="60"/>
      <w:bookmarkEnd w:id="61"/>
      <w:bookmarkEnd w:id="62"/>
    </w:p>
    <w:p w14:paraId="6A698C41" w14:textId="494FEEC3" w:rsidR="00403F6B" w:rsidRPr="00D660F8" w:rsidRDefault="00403F6B" w:rsidP="00403F6B">
      <w:pPr>
        <w:rPr>
          <w:szCs w:val="22"/>
        </w:rPr>
      </w:pPr>
      <w:r w:rsidRPr="00D660F8">
        <w:rPr>
          <w:szCs w:val="22"/>
        </w:rPr>
        <w:t xml:space="preserve">The estimated </w:t>
      </w:r>
      <w:r w:rsidR="00F25350">
        <w:rPr>
          <w:szCs w:val="22"/>
        </w:rPr>
        <w:t xml:space="preserve">measure case </w:t>
      </w:r>
      <w:r w:rsidRPr="00D660F8">
        <w:rPr>
          <w:szCs w:val="22"/>
        </w:rPr>
        <w:t xml:space="preserve">equipment cost </w:t>
      </w:r>
      <w:r w:rsidR="00155E99">
        <w:rPr>
          <w:szCs w:val="22"/>
        </w:rPr>
        <w:t xml:space="preserve">for </w:t>
      </w:r>
      <w:r w:rsidR="00155E99" w:rsidRPr="00155E99">
        <w:rPr>
          <w:i/>
          <w:szCs w:val="22"/>
        </w:rPr>
        <w:t>all delivery types</w:t>
      </w:r>
      <w:r w:rsidR="00155E99">
        <w:rPr>
          <w:szCs w:val="22"/>
        </w:rPr>
        <w:t xml:space="preserve"> </w:t>
      </w:r>
      <w:r w:rsidR="00212961">
        <w:rPr>
          <w:szCs w:val="22"/>
        </w:rPr>
        <w:t xml:space="preserve">was derived as the average of </w:t>
      </w:r>
      <w:r w:rsidR="00212961" w:rsidRPr="00D660F8">
        <w:rPr>
          <w:szCs w:val="22"/>
        </w:rPr>
        <w:t>list prices</w:t>
      </w:r>
      <w:r w:rsidR="00212961">
        <w:rPr>
          <w:szCs w:val="22"/>
        </w:rPr>
        <w:t xml:space="preserve"> </w:t>
      </w:r>
      <w:r w:rsidR="00C815F6">
        <w:rPr>
          <w:szCs w:val="22"/>
        </w:rPr>
        <w:t xml:space="preserve">of common models of major refrigeration appliance manufacturers </w:t>
      </w:r>
      <w:r w:rsidR="00212961">
        <w:rPr>
          <w:szCs w:val="22"/>
        </w:rPr>
        <w:t xml:space="preserve">obtained from the </w:t>
      </w:r>
      <w:proofErr w:type="spellStart"/>
      <w:r w:rsidR="00212961">
        <w:rPr>
          <w:szCs w:val="22"/>
        </w:rPr>
        <w:t>WebstaurantStore</w:t>
      </w:r>
      <w:proofErr w:type="spellEnd"/>
      <w:r w:rsidR="007148B7">
        <w:rPr>
          <w:szCs w:val="22"/>
        </w:rPr>
        <w:t xml:space="preserve"> online restaurant supplier</w:t>
      </w:r>
      <w:r w:rsidR="00C815F6">
        <w:rPr>
          <w:szCs w:val="22"/>
        </w:rPr>
        <w:t>, as of Q1 2017</w:t>
      </w:r>
      <w:r w:rsidR="00212961">
        <w:rPr>
          <w:szCs w:val="22"/>
        </w:rPr>
        <w:t xml:space="preserve">. </w:t>
      </w:r>
    </w:p>
    <w:p w14:paraId="18656E2F" w14:textId="7F5BC019" w:rsidR="008F2916" w:rsidRPr="00D11BA6" w:rsidRDefault="008F2916" w:rsidP="005B34EB">
      <w:pPr>
        <w:pStyle w:val="Caption"/>
        <w:rPr>
          <w:szCs w:val="22"/>
        </w:rPr>
      </w:pPr>
      <w:r w:rsidRPr="00D11BA6">
        <w:rPr>
          <w:szCs w:val="22"/>
        </w:rPr>
        <w:t xml:space="preserve">Measure Refrigerator and Freezer </w:t>
      </w:r>
      <w:r>
        <w:rPr>
          <w:szCs w:val="22"/>
        </w:rPr>
        <w:t xml:space="preserve">Material </w:t>
      </w:r>
      <w:r w:rsidRPr="00D11BA6">
        <w:rPr>
          <w:szCs w:val="22"/>
        </w:rPr>
        <w:t>Costs</w:t>
      </w:r>
      <w:r>
        <w:rPr>
          <w:szCs w:val="22"/>
        </w:rPr>
        <w:t xml:space="preserve"> </w:t>
      </w:r>
      <w:r>
        <w:rPr>
          <w:rStyle w:val="FootnoteReference"/>
          <w:szCs w:val="22"/>
        </w:rPr>
        <w:footnoteReference w:id="7"/>
      </w:r>
    </w:p>
    <w:tbl>
      <w:tblPr>
        <w:tblW w:w="9198"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590"/>
        <w:gridCol w:w="1152"/>
        <w:gridCol w:w="1152"/>
        <w:gridCol w:w="1152"/>
        <w:gridCol w:w="1152"/>
      </w:tblGrid>
      <w:tr w:rsidR="00212961" w:rsidRPr="00D559A4" w14:paraId="27937F56" w14:textId="77777777" w:rsidTr="00C815F6">
        <w:trPr>
          <w:trHeight w:val="300"/>
          <w:tblHeader/>
        </w:trPr>
        <w:tc>
          <w:tcPr>
            <w:tcW w:w="4590" w:type="dxa"/>
            <w:shd w:val="clear" w:color="auto" w:fill="F2F2F2" w:themeFill="background1" w:themeFillShade="F2"/>
            <w:noWrap/>
            <w:vAlign w:val="bottom"/>
            <w:hideMark/>
          </w:tcPr>
          <w:p w14:paraId="01C73208" w14:textId="77777777" w:rsidR="00212961" w:rsidRPr="00D559A4" w:rsidRDefault="00212961" w:rsidP="005B34EB">
            <w:pPr>
              <w:keepNext/>
              <w:keepLines/>
              <w:spacing w:before="0" w:after="0" w:line="240" w:lineRule="auto"/>
              <w:jc w:val="center"/>
              <w:rPr>
                <w:rFonts w:eastAsia="Times New Roman" w:cs="Calibri Light"/>
                <w:b/>
                <w:bCs/>
                <w:color w:val="000000"/>
                <w:sz w:val="20"/>
                <w:szCs w:val="20"/>
              </w:rPr>
            </w:pPr>
            <w:r w:rsidRPr="00D559A4">
              <w:rPr>
                <w:rFonts w:eastAsia="Times New Roman" w:cs="Calibri Light"/>
                <w:b/>
                <w:bCs/>
                <w:color w:val="000000"/>
                <w:sz w:val="20"/>
                <w:szCs w:val="20"/>
              </w:rPr>
              <w:t>Typical Appliance Description</w:t>
            </w:r>
          </w:p>
        </w:tc>
        <w:tc>
          <w:tcPr>
            <w:tcW w:w="1152" w:type="dxa"/>
            <w:shd w:val="clear" w:color="auto" w:fill="F2F2F2" w:themeFill="background1" w:themeFillShade="F2"/>
            <w:noWrap/>
            <w:vAlign w:val="bottom"/>
            <w:hideMark/>
          </w:tcPr>
          <w:p w14:paraId="51D71BFF" w14:textId="77777777" w:rsidR="00212961" w:rsidRPr="00D559A4" w:rsidRDefault="00212961" w:rsidP="005B34EB">
            <w:pPr>
              <w:keepNext/>
              <w:keepLines/>
              <w:spacing w:before="0" w:after="0" w:line="240" w:lineRule="auto"/>
              <w:jc w:val="center"/>
              <w:rPr>
                <w:rFonts w:eastAsia="Times New Roman" w:cs="Calibri Light"/>
                <w:b/>
                <w:bCs/>
                <w:color w:val="000000"/>
                <w:sz w:val="20"/>
                <w:szCs w:val="20"/>
              </w:rPr>
            </w:pPr>
            <w:r w:rsidRPr="00D559A4">
              <w:rPr>
                <w:rFonts w:eastAsia="Times New Roman" w:cs="Calibri Light"/>
                <w:b/>
                <w:bCs/>
                <w:color w:val="000000"/>
                <w:sz w:val="20"/>
                <w:szCs w:val="20"/>
              </w:rPr>
              <w:t>Under-Counter</w:t>
            </w:r>
          </w:p>
        </w:tc>
        <w:tc>
          <w:tcPr>
            <w:tcW w:w="1152" w:type="dxa"/>
            <w:shd w:val="clear" w:color="auto" w:fill="F2F2F2" w:themeFill="background1" w:themeFillShade="F2"/>
            <w:noWrap/>
            <w:vAlign w:val="bottom"/>
            <w:hideMark/>
          </w:tcPr>
          <w:p w14:paraId="4459DD3B" w14:textId="77777777" w:rsidR="00212961" w:rsidRPr="00D559A4" w:rsidRDefault="00212961" w:rsidP="005B34EB">
            <w:pPr>
              <w:keepNext/>
              <w:keepLines/>
              <w:spacing w:before="0" w:after="0" w:line="240" w:lineRule="auto"/>
              <w:jc w:val="center"/>
              <w:rPr>
                <w:rFonts w:eastAsia="Times New Roman" w:cs="Calibri Light"/>
                <w:b/>
                <w:bCs/>
                <w:color w:val="000000"/>
                <w:sz w:val="20"/>
                <w:szCs w:val="20"/>
              </w:rPr>
            </w:pPr>
            <w:r w:rsidRPr="00D559A4">
              <w:rPr>
                <w:rFonts w:eastAsia="Times New Roman" w:cs="Calibri Light"/>
                <w:b/>
                <w:bCs/>
                <w:color w:val="000000"/>
                <w:sz w:val="20"/>
                <w:szCs w:val="20"/>
              </w:rPr>
              <w:t>Single-Door</w:t>
            </w:r>
          </w:p>
        </w:tc>
        <w:tc>
          <w:tcPr>
            <w:tcW w:w="1152" w:type="dxa"/>
            <w:shd w:val="clear" w:color="auto" w:fill="F2F2F2" w:themeFill="background1" w:themeFillShade="F2"/>
            <w:noWrap/>
            <w:vAlign w:val="bottom"/>
            <w:hideMark/>
          </w:tcPr>
          <w:p w14:paraId="4688F7E0" w14:textId="77777777" w:rsidR="00212961" w:rsidRPr="00D559A4" w:rsidRDefault="00212961" w:rsidP="005B34EB">
            <w:pPr>
              <w:keepNext/>
              <w:keepLines/>
              <w:spacing w:before="0" w:after="0" w:line="240" w:lineRule="auto"/>
              <w:jc w:val="center"/>
              <w:rPr>
                <w:rFonts w:eastAsia="Times New Roman" w:cs="Calibri Light"/>
                <w:b/>
                <w:bCs/>
                <w:color w:val="000000"/>
                <w:sz w:val="20"/>
                <w:szCs w:val="20"/>
              </w:rPr>
            </w:pPr>
            <w:r w:rsidRPr="00D559A4">
              <w:rPr>
                <w:rFonts w:eastAsia="Times New Roman" w:cs="Calibri Light"/>
                <w:b/>
                <w:bCs/>
                <w:color w:val="000000"/>
                <w:sz w:val="20"/>
                <w:szCs w:val="20"/>
              </w:rPr>
              <w:t>Double-Door</w:t>
            </w:r>
          </w:p>
        </w:tc>
        <w:tc>
          <w:tcPr>
            <w:tcW w:w="1152" w:type="dxa"/>
            <w:shd w:val="clear" w:color="auto" w:fill="F2F2F2" w:themeFill="background1" w:themeFillShade="F2"/>
            <w:noWrap/>
            <w:vAlign w:val="bottom"/>
            <w:hideMark/>
          </w:tcPr>
          <w:p w14:paraId="0F9A253E" w14:textId="77777777" w:rsidR="00212961" w:rsidRPr="00D559A4" w:rsidRDefault="00212961" w:rsidP="005B34EB">
            <w:pPr>
              <w:keepNext/>
              <w:keepLines/>
              <w:spacing w:before="0" w:after="0" w:line="240" w:lineRule="auto"/>
              <w:jc w:val="center"/>
              <w:rPr>
                <w:rFonts w:eastAsia="Times New Roman" w:cs="Calibri Light"/>
                <w:b/>
                <w:bCs/>
                <w:color w:val="000000"/>
                <w:sz w:val="20"/>
                <w:szCs w:val="20"/>
              </w:rPr>
            </w:pPr>
            <w:r w:rsidRPr="00D559A4">
              <w:rPr>
                <w:rFonts w:eastAsia="Times New Roman" w:cs="Calibri Light"/>
                <w:b/>
                <w:bCs/>
                <w:color w:val="000000"/>
                <w:sz w:val="20"/>
                <w:szCs w:val="20"/>
              </w:rPr>
              <w:t>Triple-Door</w:t>
            </w:r>
          </w:p>
        </w:tc>
      </w:tr>
      <w:tr w:rsidR="00212961" w:rsidRPr="00D559A4" w14:paraId="2AA154B3" w14:textId="77777777" w:rsidTr="00212961">
        <w:trPr>
          <w:trHeight w:val="300"/>
        </w:trPr>
        <w:tc>
          <w:tcPr>
            <w:tcW w:w="4590" w:type="dxa"/>
            <w:shd w:val="clear" w:color="auto" w:fill="auto"/>
            <w:noWrap/>
            <w:vAlign w:val="center"/>
          </w:tcPr>
          <w:p w14:paraId="6088C87A" w14:textId="5AFFA94B" w:rsidR="00212961" w:rsidRPr="00D559A4" w:rsidRDefault="00212961" w:rsidP="005B34EB">
            <w:pPr>
              <w:keepNext/>
              <w:keepLines/>
              <w:spacing w:before="0" w:after="0" w:line="240" w:lineRule="auto"/>
              <w:rPr>
                <w:rFonts w:eastAsia="Times New Roman" w:cs="Calibri Light"/>
                <w:color w:val="000000"/>
                <w:sz w:val="20"/>
                <w:szCs w:val="20"/>
              </w:rPr>
            </w:pPr>
            <w:r w:rsidRPr="00212961">
              <w:rPr>
                <w:rFonts w:eastAsia="Times New Roman" w:cs="Calibri Light"/>
                <w:color w:val="000000"/>
                <w:sz w:val="20"/>
                <w:szCs w:val="20"/>
              </w:rPr>
              <w:t>Typical Nominal Size</w:t>
            </w:r>
          </w:p>
        </w:tc>
        <w:tc>
          <w:tcPr>
            <w:tcW w:w="1152" w:type="dxa"/>
            <w:shd w:val="clear" w:color="auto" w:fill="auto"/>
            <w:noWrap/>
            <w:vAlign w:val="center"/>
          </w:tcPr>
          <w:p w14:paraId="7A7FE009" w14:textId="269BD73C" w:rsidR="00212961" w:rsidRPr="00D559A4" w:rsidRDefault="00212961" w:rsidP="005B34EB">
            <w:pPr>
              <w:keepNext/>
              <w:keepLines/>
              <w:spacing w:before="0" w:after="0" w:line="240" w:lineRule="auto"/>
              <w:jc w:val="center"/>
              <w:rPr>
                <w:rFonts w:eastAsia="Times New Roman" w:cs="Calibri Light"/>
                <w:color w:val="000000"/>
                <w:sz w:val="20"/>
                <w:szCs w:val="20"/>
              </w:rPr>
            </w:pPr>
            <w:r w:rsidRPr="00212961">
              <w:rPr>
                <w:rFonts w:eastAsia="Times New Roman" w:cs="Calibri Light"/>
                <w:color w:val="000000"/>
                <w:sz w:val="20"/>
                <w:szCs w:val="20"/>
              </w:rPr>
              <w:t>1 door</w:t>
            </w:r>
          </w:p>
        </w:tc>
        <w:tc>
          <w:tcPr>
            <w:tcW w:w="1152" w:type="dxa"/>
            <w:shd w:val="clear" w:color="auto" w:fill="auto"/>
            <w:noWrap/>
            <w:vAlign w:val="center"/>
          </w:tcPr>
          <w:p w14:paraId="16C2B2CE" w14:textId="439CE885" w:rsidR="00212961" w:rsidRPr="00D559A4" w:rsidRDefault="00212961" w:rsidP="005B34EB">
            <w:pPr>
              <w:keepNext/>
              <w:keepLines/>
              <w:spacing w:before="0" w:after="0" w:line="240" w:lineRule="auto"/>
              <w:jc w:val="center"/>
              <w:rPr>
                <w:rFonts w:eastAsia="Times New Roman" w:cs="Calibri Light"/>
                <w:color w:val="000000"/>
                <w:sz w:val="20"/>
                <w:szCs w:val="20"/>
              </w:rPr>
            </w:pPr>
            <w:r w:rsidRPr="00212961">
              <w:rPr>
                <w:rFonts w:eastAsia="Times New Roman" w:cs="Calibri Light"/>
                <w:color w:val="000000"/>
                <w:sz w:val="20"/>
                <w:szCs w:val="20"/>
              </w:rPr>
              <w:t>1 door</w:t>
            </w:r>
          </w:p>
        </w:tc>
        <w:tc>
          <w:tcPr>
            <w:tcW w:w="1152" w:type="dxa"/>
            <w:shd w:val="clear" w:color="auto" w:fill="auto"/>
            <w:noWrap/>
            <w:vAlign w:val="center"/>
          </w:tcPr>
          <w:p w14:paraId="4652544A" w14:textId="75911A58" w:rsidR="00212961" w:rsidRPr="00D559A4" w:rsidRDefault="00212961" w:rsidP="005B34EB">
            <w:pPr>
              <w:keepNext/>
              <w:keepLines/>
              <w:spacing w:before="0" w:after="0" w:line="240" w:lineRule="auto"/>
              <w:jc w:val="center"/>
              <w:rPr>
                <w:rFonts w:eastAsia="Times New Roman" w:cs="Calibri Light"/>
                <w:color w:val="000000"/>
                <w:sz w:val="20"/>
                <w:szCs w:val="20"/>
              </w:rPr>
            </w:pPr>
            <w:r w:rsidRPr="00212961">
              <w:rPr>
                <w:rFonts w:eastAsia="Times New Roman" w:cs="Calibri Light"/>
                <w:color w:val="000000"/>
                <w:sz w:val="20"/>
                <w:szCs w:val="20"/>
              </w:rPr>
              <w:t>2 doors</w:t>
            </w:r>
          </w:p>
        </w:tc>
        <w:tc>
          <w:tcPr>
            <w:tcW w:w="1152" w:type="dxa"/>
            <w:shd w:val="clear" w:color="auto" w:fill="auto"/>
            <w:noWrap/>
            <w:vAlign w:val="center"/>
          </w:tcPr>
          <w:p w14:paraId="5F787159" w14:textId="5AAC8E9D" w:rsidR="00212961" w:rsidRPr="00D559A4" w:rsidRDefault="00212961" w:rsidP="005B34EB">
            <w:pPr>
              <w:keepNext/>
              <w:keepLines/>
              <w:spacing w:before="0" w:after="0" w:line="240" w:lineRule="auto"/>
              <w:jc w:val="center"/>
              <w:rPr>
                <w:rFonts w:eastAsia="Times New Roman" w:cs="Calibri Light"/>
                <w:color w:val="000000"/>
                <w:sz w:val="20"/>
                <w:szCs w:val="20"/>
              </w:rPr>
            </w:pPr>
            <w:r w:rsidRPr="00212961">
              <w:rPr>
                <w:rFonts w:eastAsia="Times New Roman" w:cs="Calibri Light"/>
                <w:color w:val="000000"/>
                <w:sz w:val="20"/>
                <w:szCs w:val="20"/>
              </w:rPr>
              <w:t>3 doors</w:t>
            </w:r>
          </w:p>
        </w:tc>
      </w:tr>
      <w:tr w:rsidR="00212961" w:rsidRPr="00D559A4" w14:paraId="2695720B" w14:textId="77777777" w:rsidTr="00212961">
        <w:trPr>
          <w:trHeight w:val="300"/>
        </w:trPr>
        <w:tc>
          <w:tcPr>
            <w:tcW w:w="4590" w:type="dxa"/>
            <w:shd w:val="clear" w:color="auto" w:fill="auto"/>
            <w:noWrap/>
            <w:vAlign w:val="center"/>
          </w:tcPr>
          <w:p w14:paraId="0A3B2A0D" w14:textId="1D0E77D1" w:rsidR="00212961" w:rsidRPr="00D559A4" w:rsidRDefault="00212961" w:rsidP="005B34EB">
            <w:pPr>
              <w:keepNext/>
              <w:keepLines/>
              <w:spacing w:before="0" w:after="0" w:line="240" w:lineRule="auto"/>
              <w:rPr>
                <w:rFonts w:eastAsia="Times New Roman" w:cs="Calibri Light"/>
                <w:color w:val="000000"/>
                <w:sz w:val="20"/>
                <w:szCs w:val="20"/>
              </w:rPr>
            </w:pPr>
            <w:r w:rsidRPr="00212961">
              <w:rPr>
                <w:rFonts w:eastAsia="Times New Roman" w:cs="Calibri Light"/>
                <w:color w:val="000000"/>
                <w:sz w:val="20"/>
                <w:szCs w:val="20"/>
              </w:rPr>
              <w:t>Nominal Volume Range (ft3)</w:t>
            </w:r>
          </w:p>
        </w:tc>
        <w:tc>
          <w:tcPr>
            <w:tcW w:w="1152" w:type="dxa"/>
            <w:shd w:val="clear" w:color="auto" w:fill="auto"/>
            <w:noWrap/>
            <w:vAlign w:val="center"/>
          </w:tcPr>
          <w:p w14:paraId="1AC8F217" w14:textId="28E80590" w:rsidR="00212961" w:rsidRPr="00D559A4" w:rsidRDefault="00212961" w:rsidP="005B34EB">
            <w:pPr>
              <w:keepNext/>
              <w:keepLines/>
              <w:spacing w:before="0" w:after="0" w:line="240" w:lineRule="auto"/>
              <w:jc w:val="center"/>
              <w:rPr>
                <w:rFonts w:eastAsia="Times New Roman" w:cs="Calibri Light"/>
                <w:color w:val="000000"/>
                <w:sz w:val="20"/>
                <w:szCs w:val="20"/>
              </w:rPr>
            </w:pPr>
            <w:r w:rsidRPr="00212961">
              <w:rPr>
                <w:rFonts w:eastAsia="Times New Roman" w:cs="Calibri Light"/>
                <w:color w:val="000000"/>
                <w:sz w:val="20"/>
                <w:szCs w:val="20"/>
              </w:rPr>
              <w:t>0 &lt; V &lt; 15</w:t>
            </w:r>
          </w:p>
        </w:tc>
        <w:tc>
          <w:tcPr>
            <w:tcW w:w="1152" w:type="dxa"/>
            <w:shd w:val="clear" w:color="auto" w:fill="auto"/>
            <w:noWrap/>
            <w:vAlign w:val="center"/>
          </w:tcPr>
          <w:p w14:paraId="29FC2D21" w14:textId="682A27B2" w:rsidR="00212961" w:rsidRPr="00D559A4" w:rsidRDefault="00212961" w:rsidP="005B34EB">
            <w:pPr>
              <w:keepNext/>
              <w:keepLines/>
              <w:spacing w:before="0" w:after="0" w:line="240" w:lineRule="auto"/>
              <w:jc w:val="center"/>
              <w:rPr>
                <w:rFonts w:eastAsia="Times New Roman" w:cs="Calibri Light"/>
                <w:color w:val="000000"/>
                <w:sz w:val="20"/>
                <w:szCs w:val="20"/>
              </w:rPr>
            </w:pPr>
            <w:r w:rsidRPr="00212961">
              <w:rPr>
                <w:rFonts w:eastAsia="Times New Roman" w:cs="Calibri Light"/>
                <w:color w:val="000000"/>
                <w:sz w:val="20"/>
                <w:szCs w:val="20"/>
              </w:rPr>
              <w:t>15 ≤ V &lt; 30</w:t>
            </w:r>
          </w:p>
        </w:tc>
        <w:tc>
          <w:tcPr>
            <w:tcW w:w="1152" w:type="dxa"/>
            <w:shd w:val="clear" w:color="auto" w:fill="auto"/>
            <w:noWrap/>
            <w:vAlign w:val="center"/>
          </w:tcPr>
          <w:p w14:paraId="4A5C1D7C" w14:textId="3441D552" w:rsidR="00212961" w:rsidRPr="00D559A4" w:rsidRDefault="00212961" w:rsidP="005B34EB">
            <w:pPr>
              <w:keepNext/>
              <w:keepLines/>
              <w:spacing w:before="0" w:after="0" w:line="240" w:lineRule="auto"/>
              <w:jc w:val="center"/>
              <w:rPr>
                <w:rFonts w:eastAsia="Times New Roman" w:cs="Calibri Light"/>
                <w:color w:val="000000"/>
                <w:sz w:val="20"/>
                <w:szCs w:val="20"/>
              </w:rPr>
            </w:pPr>
            <w:r w:rsidRPr="00212961">
              <w:rPr>
                <w:rFonts w:eastAsia="Times New Roman" w:cs="Calibri Light"/>
                <w:color w:val="000000"/>
                <w:sz w:val="20"/>
                <w:szCs w:val="20"/>
              </w:rPr>
              <w:t>30 ≤ V &lt; 50</w:t>
            </w:r>
          </w:p>
        </w:tc>
        <w:tc>
          <w:tcPr>
            <w:tcW w:w="1152" w:type="dxa"/>
            <w:shd w:val="clear" w:color="auto" w:fill="auto"/>
            <w:noWrap/>
            <w:vAlign w:val="center"/>
          </w:tcPr>
          <w:p w14:paraId="4AE3F75C" w14:textId="5CA175B7" w:rsidR="00212961" w:rsidRPr="00D559A4" w:rsidRDefault="00212961" w:rsidP="005B34EB">
            <w:pPr>
              <w:keepNext/>
              <w:keepLines/>
              <w:spacing w:before="0" w:after="0" w:line="240" w:lineRule="auto"/>
              <w:jc w:val="center"/>
              <w:rPr>
                <w:rFonts w:eastAsia="Times New Roman" w:cs="Calibri Light"/>
                <w:color w:val="000000"/>
                <w:sz w:val="20"/>
                <w:szCs w:val="20"/>
              </w:rPr>
            </w:pPr>
            <w:r w:rsidRPr="00212961">
              <w:rPr>
                <w:rFonts w:eastAsia="Times New Roman" w:cs="Calibri Light"/>
                <w:color w:val="000000"/>
                <w:sz w:val="20"/>
                <w:szCs w:val="20"/>
              </w:rPr>
              <w:t>50 ≤ V</w:t>
            </w:r>
          </w:p>
        </w:tc>
      </w:tr>
      <w:tr w:rsidR="00212961" w:rsidRPr="00D559A4" w14:paraId="1734D591" w14:textId="77777777" w:rsidTr="00212961">
        <w:trPr>
          <w:trHeight w:val="300"/>
        </w:trPr>
        <w:tc>
          <w:tcPr>
            <w:tcW w:w="4590" w:type="dxa"/>
            <w:shd w:val="clear" w:color="auto" w:fill="auto"/>
            <w:noWrap/>
            <w:vAlign w:val="center"/>
          </w:tcPr>
          <w:p w14:paraId="4E44DFDE" w14:textId="4F175109" w:rsidR="00212961" w:rsidRPr="00D559A4" w:rsidRDefault="00212961" w:rsidP="00212961">
            <w:pPr>
              <w:spacing w:before="0" w:after="0" w:line="240" w:lineRule="auto"/>
              <w:rPr>
                <w:rFonts w:eastAsia="Times New Roman" w:cs="Calibri Light"/>
                <w:color w:val="000000"/>
                <w:sz w:val="20"/>
                <w:szCs w:val="20"/>
              </w:rPr>
            </w:pPr>
            <w:r w:rsidRPr="00212961">
              <w:rPr>
                <w:rFonts w:eastAsia="Times New Roman" w:cs="Calibri Light"/>
                <w:color w:val="000000"/>
                <w:sz w:val="20"/>
                <w:szCs w:val="20"/>
              </w:rPr>
              <w:t>Solid-Door Reach-In Refrigerators (Energy Star 4.0)</w:t>
            </w:r>
          </w:p>
        </w:tc>
        <w:tc>
          <w:tcPr>
            <w:tcW w:w="1152" w:type="dxa"/>
            <w:shd w:val="clear" w:color="auto" w:fill="auto"/>
            <w:noWrap/>
            <w:vAlign w:val="center"/>
          </w:tcPr>
          <w:p w14:paraId="434D399D" w14:textId="392DDFE6" w:rsidR="00212961" w:rsidRPr="00D559A4" w:rsidRDefault="00212961" w:rsidP="00212961">
            <w:pPr>
              <w:spacing w:before="0" w:after="0" w:line="240" w:lineRule="auto"/>
              <w:jc w:val="right"/>
              <w:rPr>
                <w:rFonts w:eastAsia="Times New Roman" w:cs="Calibri Light"/>
                <w:color w:val="000000"/>
                <w:sz w:val="20"/>
                <w:szCs w:val="20"/>
              </w:rPr>
            </w:pPr>
            <w:r w:rsidRPr="00212961">
              <w:rPr>
                <w:rFonts w:eastAsia="Times New Roman" w:cs="Calibri Light"/>
                <w:color w:val="000000"/>
                <w:sz w:val="20"/>
                <w:szCs w:val="20"/>
              </w:rPr>
              <w:t xml:space="preserve">$2,242.00 </w:t>
            </w:r>
          </w:p>
        </w:tc>
        <w:tc>
          <w:tcPr>
            <w:tcW w:w="1152" w:type="dxa"/>
            <w:shd w:val="clear" w:color="auto" w:fill="auto"/>
            <w:noWrap/>
            <w:vAlign w:val="center"/>
          </w:tcPr>
          <w:p w14:paraId="04A82071" w14:textId="2FF33C0B" w:rsidR="00212961" w:rsidRPr="00D559A4" w:rsidRDefault="00212961" w:rsidP="00212961">
            <w:pPr>
              <w:spacing w:before="0" w:after="0" w:line="240" w:lineRule="auto"/>
              <w:jc w:val="right"/>
              <w:rPr>
                <w:rFonts w:eastAsia="Times New Roman" w:cs="Calibri Light"/>
                <w:color w:val="000000"/>
                <w:sz w:val="20"/>
                <w:szCs w:val="20"/>
              </w:rPr>
            </w:pPr>
            <w:r w:rsidRPr="00212961">
              <w:rPr>
                <w:rFonts w:eastAsia="Times New Roman" w:cs="Calibri Light"/>
                <w:color w:val="000000"/>
                <w:sz w:val="20"/>
                <w:szCs w:val="20"/>
              </w:rPr>
              <w:t xml:space="preserve">$2,803.00 </w:t>
            </w:r>
          </w:p>
        </w:tc>
        <w:tc>
          <w:tcPr>
            <w:tcW w:w="1152" w:type="dxa"/>
            <w:shd w:val="clear" w:color="auto" w:fill="auto"/>
            <w:noWrap/>
            <w:vAlign w:val="center"/>
          </w:tcPr>
          <w:p w14:paraId="40F151D0" w14:textId="21534265" w:rsidR="00212961" w:rsidRPr="00D559A4" w:rsidRDefault="00212961" w:rsidP="00212961">
            <w:pPr>
              <w:spacing w:before="0" w:after="0" w:line="240" w:lineRule="auto"/>
              <w:jc w:val="right"/>
              <w:rPr>
                <w:rFonts w:eastAsia="Times New Roman" w:cs="Calibri Light"/>
                <w:color w:val="000000"/>
                <w:sz w:val="20"/>
                <w:szCs w:val="20"/>
              </w:rPr>
            </w:pPr>
            <w:r w:rsidRPr="00212961">
              <w:rPr>
                <w:rFonts w:eastAsia="Times New Roman" w:cs="Calibri Light"/>
                <w:color w:val="000000"/>
                <w:sz w:val="20"/>
                <w:szCs w:val="20"/>
              </w:rPr>
              <w:t xml:space="preserve">$3,630.00 </w:t>
            </w:r>
          </w:p>
        </w:tc>
        <w:tc>
          <w:tcPr>
            <w:tcW w:w="1152" w:type="dxa"/>
            <w:shd w:val="clear" w:color="auto" w:fill="auto"/>
            <w:noWrap/>
            <w:vAlign w:val="center"/>
          </w:tcPr>
          <w:p w14:paraId="04DC6C56" w14:textId="1226F2B6" w:rsidR="00212961" w:rsidRPr="00D559A4" w:rsidRDefault="00212961" w:rsidP="00212961">
            <w:pPr>
              <w:spacing w:before="0" w:after="0" w:line="240" w:lineRule="auto"/>
              <w:jc w:val="right"/>
              <w:rPr>
                <w:rFonts w:eastAsia="Times New Roman" w:cs="Calibri Light"/>
                <w:color w:val="000000"/>
                <w:sz w:val="20"/>
                <w:szCs w:val="20"/>
              </w:rPr>
            </w:pPr>
            <w:r w:rsidRPr="00212961">
              <w:rPr>
                <w:rFonts w:eastAsia="Times New Roman" w:cs="Calibri Light"/>
                <w:color w:val="000000"/>
                <w:sz w:val="20"/>
                <w:szCs w:val="20"/>
              </w:rPr>
              <w:t xml:space="preserve">$5,003.00 </w:t>
            </w:r>
          </w:p>
        </w:tc>
      </w:tr>
      <w:tr w:rsidR="00212961" w:rsidRPr="00D559A4" w14:paraId="39DDA216" w14:textId="77777777" w:rsidTr="00212961">
        <w:trPr>
          <w:trHeight w:val="300"/>
        </w:trPr>
        <w:tc>
          <w:tcPr>
            <w:tcW w:w="4590" w:type="dxa"/>
            <w:shd w:val="clear" w:color="auto" w:fill="auto"/>
            <w:noWrap/>
            <w:vAlign w:val="center"/>
          </w:tcPr>
          <w:p w14:paraId="60F1E999" w14:textId="4C8CA461" w:rsidR="00212961" w:rsidRPr="00D559A4" w:rsidRDefault="00212961" w:rsidP="00212961">
            <w:pPr>
              <w:spacing w:before="0" w:after="0" w:line="240" w:lineRule="auto"/>
              <w:rPr>
                <w:rFonts w:eastAsia="Times New Roman" w:cs="Calibri Light"/>
                <w:color w:val="000000"/>
                <w:sz w:val="20"/>
                <w:szCs w:val="20"/>
              </w:rPr>
            </w:pPr>
            <w:r w:rsidRPr="00212961">
              <w:rPr>
                <w:rFonts w:eastAsia="Times New Roman" w:cs="Calibri Light"/>
                <w:color w:val="000000"/>
                <w:sz w:val="20"/>
                <w:szCs w:val="20"/>
              </w:rPr>
              <w:t>Solid-Door Reach-In Freezers (Energy Star 4.0)</w:t>
            </w:r>
          </w:p>
        </w:tc>
        <w:tc>
          <w:tcPr>
            <w:tcW w:w="1152" w:type="dxa"/>
            <w:shd w:val="clear" w:color="auto" w:fill="auto"/>
            <w:noWrap/>
            <w:vAlign w:val="center"/>
          </w:tcPr>
          <w:p w14:paraId="3B9B8F30" w14:textId="7B39F7AC" w:rsidR="00212961" w:rsidRPr="00D559A4" w:rsidRDefault="00212961" w:rsidP="00212961">
            <w:pPr>
              <w:spacing w:before="0" w:after="0" w:line="240" w:lineRule="auto"/>
              <w:jc w:val="right"/>
              <w:rPr>
                <w:rFonts w:eastAsia="Times New Roman" w:cs="Calibri Light"/>
                <w:color w:val="000000"/>
                <w:sz w:val="20"/>
                <w:szCs w:val="20"/>
              </w:rPr>
            </w:pPr>
            <w:r w:rsidRPr="00212961">
              <w:rPr>
                <w:rFonts w:eastAsia="Times New Roman" w:cs="Calibri Light"/>
                <w:color w:val="000000"/>
                <w:sz w:val="20"/>
                <w:szCs w:val="20"/>
              </w:rPr>
              <w:t xml:space="preserve">$2,409.00 </w:t>
            </w:r>
          </w:p>
        </w:tc>
        <w:tc>
          <w:tcPr>
            <w:tcW w:w="1152" w:type="dxa"/>
            <w:shd w:val="clear" w:color="auto" w:fill="auto"/>
            <w:noWrap/>
            <w:vAlign w:val="center"/>
          </w:tcPr>
          <w:p w14:paraId="59D100E6" w14:textId="79DF6D3A" w:rsidR="00212961" w:rsidRPr="00D559A4" w:rsidRDefault="00212961" w:rsidP="00212961">
            <w:pPr>
              <w:spacing w:before="0" w:after="0" w:line="240" w:lineRule="auto"/>
              <w:jc w:val="right"/>
              <w:rPr>
                <w:rFonts w:eastAsia="Times New Roman" w:cs="Calibri Light"/>
                <w:color w:val="000000"/>
                <w:sz w:val="20"/>
                <w:szCs w:val="20"/>
              </w:rPr>
            </w:pPr>
            <w:r w:rsidRPr="00212961">
              <w:rPr>
                <w:rFonts w:eastAsia="Times New Roman" w:cs="Calibri Light"/>
                <w:color w:val="000000"/>
                <w:sz w:val="20"/>
                <w:szCs w:val="20"/>
              </w:rPr>
              <w:t xml:space="preserve">$3,316.20 </w:t>
            </w:r>
          </w:p>
        </w:tc>
        <w:tc>
          <w:tcPr>
            <w:tcW w:w="1152" w:type="dxa"/>
            <w:shd w:val="clear" w:color="auto" w:fill="auto"/>
            <w:noWrap/>
            <w:vAlign w:val="center"/>
          </w:tcPr>
          <w:p w14:paraId="421C56F0" w14:textId="0B6E5212" w:rsidR="00212961" w:rsidRPr="00D559A4" w:rsidRDefault="00212961" w:rsidP="00212961">
            <w:pPr>
              <w:spacing w:before="0" w:after="0" w:line="240" w:lineRule="auto"/>
              <w:jc w:val="right"/>
              <w:rPr>
                <w:rFonts w:eastAsia="Times New Roman" w:cs="Calibri Light"/>
                <w:color w:val="000000"/>
                <w:sz w:val="20"/>
                <w:szCs w:val="20"/>
              </w:rPr>
            </w:pPr>
            <w:r w:rsidRPr="00212961">
              <w:rPr>
                <w:rFonts w:eastAsia="Times New Roman" w:cs="Calibri Light"/>
                <w:color w:val="000000"/>
                <w:sz w:val="20"/>
                <w:szCs w:val="20"/>
              </w:rPr>
              <w:t xml:space="preserve">$4,435.80 </w:t>
            </w:r>
          </w:p>
        </w:tc>
        <w:tc>
          <w:tcPr>
            <w:tcW w:w="1152" w:type="dxa"/>
            <w:shd w:val="clear" w:color="auto" w:fill="auto"/>
            <w:noWrap/>
            <w:vAlign w:val="center"/>
          </w:tcPr>
          <w:p w14:paraId="544017CB" w14:textId="224F23BB" w:rsidR="00212961" w:rsidRPr="00D559A4" w:rsidRDefault="00212961" w:rsidP="00212961">
            <w:pPr>
              <w:spacing w:before="0" w:after="0" w:line="240" w:lineRule="auto"/>
              <w:jc w:val="right"/>
              <w:rPr>
                <w:rFonts w:eastAsia="Times New Roman" w:cs="Calibri Light"/>
                <w:color w:val="000000"/>
                <w:sz w:val="20"/>
                <w:szCs w:val="20"/>
              </w:rPr>
            </w:pPr>
            <w:r w:rsidRPr="00212961">
              <w:rPr>
                <w:rFonts w:eastAsia="Times New Roman" w:cs="Calibri Light"/>
                <w:color w:val="000000"/>
                <w:sz w:val="20"/>
                <w:szCs w:val="20"/>
              </w:rPr>
              <w:t xml:space="preserve">$6,509.00 </w:t>
            </w:r>
          </w:p>
        </w:tc>
      </w:tr>
      <w:tr w:rsidR="00212961" w:rsidRPr="00D559A4" w14:paraId="787E9A21" w14:textId="77777777" w:rsidTr="00212961">
        <w:trPr>
          <w:trHeight w:val="300"/>
        </w:trPr>
        <w:tc>
          <w:tcPr>
            <w:tcW w:w="4590" w:type="dxa"/>
            <w:shd w:val="clear" w:color="auto" w:fill="auto"/>
            <w:noWrap/>
            <w:vAlign w:val="center"/>
          </w:tcPr>
          <w:p w14:paraId="069FE995" w14:textId="4A8AFC79" w:rsidR="00212961" w:rsidRPr="00D559A4" w:rsidRDefault="00212961" w:rsidP="00212961">
            <w:pPr>
              <w:spacing w:before="0" w:after="0" w:line="240" w:lineRule="auto"/>
              <w:rPr>
                <w:rFonts w:eastAsia="Times New Roman" w:cs="Calibri Light"/>
                <w:color w:val="000000"/>
                <w:sz w:val="20"/>
                <w:szCs w:val="20"/>
              </w:rPr>
            </w:pPr>
            <w:r w:rsidRPr="00212961">
              <w:rPr>
                <w:rFonts w:eastAsia="Times New Roman" w:cs="Calibri Light"/>
                <w:color w:val="000000"/>
                <w:sz w:val="20"/>
                <w:szCs w:val="20"/>
              </w:rPr>
              <w:t>Glass-Door Reach-In Refrigerators (Energy Star 4.0)</w:t>
            </w:r>
          </w:p>
        </w:tc>
        <w:tc>
          <w:tcPr>
            <w:tcW w:w="1152" w:type="dxa"/>
            <w:shd w:val="clear" w:color="auto" w:fill="auto"/>
            <w:noWrap/>
            <w:vAlign w:val="center"/>
          </w:tcPr>
          <w:p w14:paraId="3FD0A676" w14:textId="511A7055" w:rsidR="00212961" w:rsidRPr="00D559A4" w:rsidRDefault="00212961" w:rsidP="00212961">
            <w:pPr>
              <w:spacing w:before="0" w:after="0" w:line="240" w:lineRule="auto"/>
              <w:jc w:val="right"/>
              <w:rPr>
                <w:rFonts w:eastAsia="Times New Roman" w:cs="Calibri Light"/>
                <w:color w:val="000000"/>
                <w:sz w:val="20"/>
                <w:szCs w:val="20"/>
              </w:rPr>
            </w:pPr>
            <w:r w:rsidRPr="00212961">
              <w:rPr>
                <w:rFonts w:eastAsia="Times New Roman" w:cs="Calibri Light"/>
                <w:color w:val="000000"/>
                <w:sz w:val="20"/>
                <w:szCs w:val="20"/>
              </w:rPr>
              <w:t xml:space="preserve">$2,862.00 </w:t>
            </w:r>
          </w:p>
        </w:tc>
        <w:tc>
          <w:tcPr>
            <w:tcW w:w="1152" w:type="dxa"/>
            <w:shd w:val="clear" w:color="auto" w:fill="auto"/>
            <w:noWrap/>
            <w:vAlign w:val="center"/>
          </w:tcPr>
          <w:p w14:paraId="428ED296" w14:textId="7E545DF1" w:rsidR="00212961" w:rsidRPr="00D559A4" w:rsidRDefault="00212961" w:rsidP="00212961">
            <w:pPr>
              <w:spacing w:before="0" w:after="0" w:line="240" w:lineRule="auto"/>
              <w:jc w:val="right"/>
              <w:rPr>
                <w:rFonts w:eastAsia="Times New Roman" w:cs="Calibri Light"/>
                <w:color w:val="000000"/>
                <w:sz w:val="20"/>
                <w:szCs w:val="20"/>
              </w:rPr>
            </w:pPr>
            <w:r w:rsidRPr="00212961">
              <w:rPr>
                <w:rFonts w:eastAsia="Times New Roman" w:cs="Calibri Light"/>
                <w:color w:val="000000"/>
                <w:sz w:val="20"/>
                <w:szCs w:val="20"/>
              </w:rPr>
              <w:t xml:space="preserve">$2,838.50 </w:t>
            </w:r>
          </w:p>
        </w:tc>
        <w:tc>
          <w:tcPr>
            <w:tcW w:w="1152" w:type="dxa"/>
            <w:shd w:val="clear" w:color="auto" w:fill="auto"/>
            <w:noWrap/>
            <w:vAlign w:val="center"/>
          </w:tcPr>
          <w:p w14:paraId="7C319689" w14:textId="05A4EA6E" w:rsidR="00212961" w:rsidRPr="00D559A4" w:rsidRDefault="00212961" w:rsidP="00212961">
            <w:pPr>
              <w:spacing w:before="0" w:after="0" w:line="240" w:lineRule="auto"/>
              <w:jc w:val="right"/>
              <w:rPr>
                <w:rFonts w:eastAsia="Times New Roman" w:cs="Calibri Light"/>
                <w:color w:val="000000"/>
                <w:sz w:val="20"/>
                <w:szCs w:val="20"/>
              </w:rPr>
            </w:pPr>
            <w:r w:rsidRPr="00212961">
              <w:rPr>
                <w:rFonts w:eastAsia="Times New Roman" w:cs="Calibri Light"/>
                <w:color w:val="000000"/>
                <w:sz w:val="20"/>
                <w:szCs w:val="20"/>
              </w:rPr>
              <w:t xml:space="preserve">$4,357.00 </w:t>
            </w:r>
          </w:p>
        </w:tc>
        <w:tc>
          <w:tcPr>
            <w:tcW w:w="1152" w:type="dxa"/>
            <w:shd w:val="clear" w:color="auto" w:fill="auto"/>
            <w:noWrap/>
            <w:vAlign w:val="center"/>
          </w:tcPr>
          <w:p w14:paraId="15690201" w14:textId="22C22573" w:rsidR="00212961" w:rsidRPr="00D559A4" w:rsidRDefault="00212961" w:rsidP="00212961">
            <w:pPr>
              <w:spacing w:before="0" w:after="0" w:line="240" w:lineRule="auto"/>
              <w:jc w:val="right"/>
              <w:rPr>
                <w:rFonts w:eastAsia="Times New Roman" w:cs="Calibri Light"/>
                <w:color w:val="000000"/>
                <w:sz w:val="20"/>
                <w:szCs w:val="20"/>
              </w:rPr>
            </w:pPr>
            <w:r w:rsidRPr="00212961">
              <w:rPr>
                <w:rFonts w:eastAsia="Times New Roman" w:cs="Calibri Light"/>
                <w:color w:val="000000"/>
                <w:sz w:val="20"/>
                <w:szCs w:val="20"/>
              </w:rPr>
              <w:t xml:space="preserve">$5,968.00 </w:t>
            </w:r>
          </w:p>
        </w:tc>
      </w:tr>
      <w:tr w:rsidR="00212961" w:rsidRPr="00D559A4" w14:paraId="5B11E3F4" w14:textId="77777777" w:rsidTr="00212961">
        <w:trPr>
          <w:trHeight w:val="290"/>
        </w:trPr>
        <w:tc>
          <w:tcPr>
            <w:tcW w:w="4590" w:type="dxa"/>
            <w:shd w:val="clear" w:color="auto" w:fill="auto"/>
            <w:noWrap/>
            <w:vAlign w:val="center"/>
          </w:tcPr>
          <w:p w14:paraId="2BEBE5EA" w14:textId="510482A0" w:rsidR="00212961" w:rsidRPr="00D559A4" w:rsidRDefault="00212961" w:rsidP="00212961">
            <w:pPr>
              <w:spacing w:before="0" w:after="0" w:line="240" w:lineRule="auto"/>
              <w:rPr>
                <w:rFonts w:eastAsia="Times New Roman" w:cs="Calibri Light"/>
                <w:color w:val="000000"/>
                <w:sz w:val="20"/>
                <w:szCs w:val="20"/>
              </w:rPr>
            </w:pPr>
            <w:r w:rsidRPr="00212961">
              <w:rPr>
                <w:rFonts w:eastAsia="Times New Roman" w:cs="Calibri Light"/>
                <w:color w:val="000000"/>
                <w:sz w:val="20"/>
                <w:szCs w:val="20"/>
              </w:rPr>
              <w:t>Glass-Door Reach-In Freezers (Energy Star 4.0)</w:t>
            </w:r>
          </w:p>
        </w:tc>
        <w:tc>
          <w:tcPr>
            <w:tcW w:w="1152" w:type="dxa"/>
            <w:shd w:val="clear" w:color="auto" w:fill="auto"/>
            <w:noWrap/>
            <w:vAlign w:val="center"/>
          </w:tcPr>
          <w:p w14:paraId="13E01AA7" w14:textId="0D237C0E" w:rsidR="00212961" w:rsidRPr="00D559A4" w:rsidRDefault="00212961" w:rsidP="00212961">
            <w:pPr>
              <w:spacing w:before="0" w:after="0" w:line="240" w:lineRule="auto"/>
              <w:jc w:val="right"/>
              <w:rPr>
                <w:rFonts w:eastAsia="Times New Roman" w:cs="Calibri Light"/>
                <w:color w:val="000000"/>
                <w:sz w:val="20"/>
                <w:szCs w:val="20"/>
              </w:rPr>
            </w:pPr>
            <w:r w:rsidRPr="00212961">
              <w:rPr>
                <w:rFonts w:eastAsia="Times New Roman" w:cs="Calibri Light"/>
                <w:color w:val="000000"/>
                <w:sz w:val="20"/>
                <w:szCs w:val="20"/>
              </w:rPr>
              <w:t>N/A</w:t>
            </w:r>
          </w:p>
        </w:tc>
        <w:tc>
          <w:tcPr>
            <w:tcW w:w="1152" w:type="dxa"/>
            <w:shd w:val="clear" w:color="auto" w:fill="auto"/>
            <w:noWrap/>
            <w:vAlign w:val="center"/>
          </w:tcPr>
          <w:p w14:paraId="176B2793" w14:textId="255ADF4F" w:rsidR="00212961" w:rsidRPr="00212961" w:rsidRDefault="00212961" w:rsidP="00212961">
            <w:pPr>
              <w:spacing w:before="0" w:after="0" w:line="240" w:lineRule="auto"/>
              <w:jc w:val="right"/>
              <w:rPr>
                <w:rFonts w:eastAsia="Times New Roman" w:cs="Calibri Light"/>
                <w:color w:val="000000"/>
                <w:sz w:val="20"/>
                <w:szCs w:val="20"/>
              </w:rPr>
            </w:pPr>
            <w:r w:rsidRPr="00212961">
              <w:rPr>
                <w:rFonts w:eastAsia="Times New Roman" w:cs="Calibri Light"/>
                <w:color w:val="000000"/>
                <w:sz w:val="20"/>
                <w:szCs w:val="20"/>
              </w:rPr>
              <w:t xml:space="preserve">$4,470.00 </w:t>
            </w:r>
          </w:p>
        </w:tc>
        <w:tc>
          <w:tcPr>
            <w:tcW w:w="1152" w:type="dxa"/>
            <w:shd w:val="clear" w:color="auto" w:fill="auto"/>
            <w:vAlign w:val="center"/>
          </w:tcPr>
          <w:p w14:paraId="04DA0102" w14:textId="2A359259" w:rsidR="00212961" w:rsidRPr="00212961" w:rsidRDefault="00212961" w:rsidP="00212961">
            <w:pPr>
              <w:spacing w:before="0" w:after="0" w:line="240" w:lineRule="auto"/>
              <w:jc w:val="right"/>
              <w:rPr>
                <w:rFonts w:eastAsia="Times New Roman" w:cs="Calibri Light"/>
                <w:color w:val="000000"/>
                <w:sz w:val="20"/>
                <w:szCs w:val="20"/>
              </w:rPr>
            </w:pPr>
            <w:r w:rsidRPr="00212961">
              <w:rPr>
                <w:rFonts w:eastAsia="Times New Roman" w:cs="Calibri Light"/>
                <w:color w:val="000000"/>
                <w:sz w:val="20"/>
                <w:szCs w:val="20"/>
              </w:rPr>
              <w:t xml:space="preserve">$5,650.50 </w:t>
            </w:r>
          </w:p>
        </w:tc>
        <w:tc>
          <w:tcPr>
            <w:tcW w:w="1152" w:type="dxa"/>
            <w:shd w:val="clear" w:color="auto" w:fill="auto"/>
            <w:vAlign w:val="center"/>
          </w:tcPr>
          <w:p w14:paraId="3A654B98" w14:textId="643C2018" w:rsidR="00212961" w:rsidRPr="00D559A4" w:rsidRDefault="00212961" w:rsidP="00212961">
            <w:pPr>
              <w:spacing w:before="0" w:after="0" w:line="240" w:lineRule="auto"/>
              <w:jc w:val="right"/>
              <w:rPr>
                <w:rFonts w:eastAsia="Times New Roman" w:cs="Calibri Light"/>
                <w:color w:val="000000"/>
                <w:sz w:val="20"/>
                <w:szCs w:val="20"/>
              </w:rPr>
            </w:pPr>
            <w:r w:rsidRPr="00212961">
              <w:rPr>
                <w:rFonts w:eastAsia="Times New Roman" w:cs="Calibri Light"/>
                <w:color w:val="000000"/>
                <w:sz w:val="20"/>
                <w:szCs w:val="20"/>
              </w:rPr>
              <w:t xml:space="preserve">$8,790.00 </w:t>
            </w:r>
          </w:p>
        </w:tc>
      </w:tr>
    </w:tbl>
    <w:p w14:paraId="7717FF49" w14:textId="77777777" w:rsidR="00212961" w:rsidRDefault="00212961" w:rsidP="00F25350"/>
    <w:p w14:paraId="4A48146A" w14:textId="417EEC77" w:rsidR="00F25350" w:rsidRPr="004B06E3" w:rsidRDefault="00F25350" w:rsidP="00F25350">
      <w:pPr>
        <w:pStyle w:val="eTRMHeading3"/>
      </w:pPr>
      <w:bookmarkStart w:id="63" w:name="_Toc1120825"/>
      <w:r>
        <w:t xml:space="preserve">Base Case </w:t>
      </w:r>
      <w:r w:rsidRPr="004B06E3">
        <w:t>Labor Cost ($/unit)</w:t>
      </w:r>
      <w:bookmarkEnd w:id="63"/>
    </w:p>
    <w:p w14:paraId="244F3B65" w14:textId="77777777" w:rsidR="00155E99" w:rsidRDefault="00155E99" w:rsidP="00155E99">
      <w:r>
        <w:t xml:space="preserve">The base case labor cost for equipment </w:t>
      </w:r>
      <w:r w:rsidRPr="00B310F1">
        <w:rPr>
          <w:i/>
        </w:rPr>
        <w:t>delivered via direct install</w:t>
      </w:r>
      <w:r>
        <w:t xml:space="preserve"> is equal to $0.</w:t>
      </w:r>
    </w:p>
    <w:p w14:paraId="1189249D" w14:textId="77777777" w:rsidR="00155E99" w:rsidRDefault="00155E99" w:rsidP="00155E99">
      <w:r>
        <w:t xml:space="preserve">For </w:t>
      </w:r>
      <w:r w:rsidRPr="00B310F1">
        <w:rPr>
          <w:i/>
        </w:rPr>
        <w:t>all other delivery types</w:t>
      </w:r>
      <w:r>
        <w:t>, the base case and measure case model installation costs are expected to be the same for the customer and thus were not estimated for the incremental cost analysis.</w:t>
      </w:r>
    </w:p>
    <w:p w14:paraId="5BCC5E3C" w14:textId="77777777" w:rsidR="00F25350" w:rsidRDefault="00F25350" w:rsidP="00F25350"/>
    <w:p w14:paraId="464DCE0A" w14:textId="57F7FD44" w:rsidR="004264B3" w:rsidRPr="004B06E3" w:rsidRDefault="00F25350" w:rsidP="004264B3">
      <w:pPr>
        <w:pStyle w:val="eTRMHeading3"/>
      </w:pPr>
      <w:bookmarkStart w:id="64" w:name="_Toc486490862"/>
      <w:bookmarkStart w:id="65" w:name="_Toc486580933"/>
      <w:bookmarkStart w:id="66" w:name="_Toc490461308"/>
      <w:bookmarkStart w:id="67" w:name="_Toc1120826"/>
      <w:r>
        <w:t xml:space="preserve">Measure Case </w:t>
      </w:r>
      <w:r w:rsidR="004264B3" w:rsidRPr="004B06E3">
        <w:t>Labor Cost ($/unit)</w:t>
      </w:r>
      <w:bookmarkEnd w:id="64"/>
      <w:bookmarkEnd w:id="65"/>
      <w:bookmarkEnd w:id="66"/>
      <w:bookmarkEnd w:id="67"/>
    </w:p>
    <w:p w14:paraId="174A9F82" w14:textId="77777777" w:rsidR="00155E99" w:rsidRDefault="00155E99" w:rsidP="00155E99">
      <w:pPr>
        <w:spacing w:before="40" w:after="40"/>
        <w:rPr>
          <w:rFonts w:ascii="Calibri" w:eastAsiaTheme="minorHAnsi" w:hAnsi="Calibri"/>
          <w:color w:val="000000"/>
          <w:szCs w:val="22"/>
        </w:rPr>
      </w:pPr>
      <w:r>
        <w:rPr>
          <w:color w:val="000000"/>
        </w:rPr>
        <w:t xml:space="preserve">The measure case labor cost for equipment </w:t>
      </w:r>
      <w:r w:rsidRPr="00C315A6">
        <w:rPr>
          <w:i/>
          <w:color w:val="000000"/>
        </w:rPr>
        <w:t>delivered via direct install</w:t>
      </w:r>
      <w:r>
        <w:rPr>
          <w:color w:val="000000"/>
        </w:rPr>
        <w:t xml:space="preserve"> will be derived as the average installation cost submitted by one or more implementation contractors. The actual installation cost can vary by contractor, the date when the work occurred, and by the volume of each specific contractor’s business. Contractor costs are confidential information and are based upon contractually agreed upon pricing as established in their purchase order with the program administrator. Therefore, the program administrator program tracking systems are the only source for the labor installation cost data.  The program administrator will utilize the actual program cost to evaluate the cost-effectiveness of the measure.</w:t>
      </w:r>
    </w:p>
    <w:p w14:paraId="1EE66DA4" w14:textId="63A51427" w:rsidR="004264B3" w:rsidRDefault="00155E99" w:rsidP="00155E99">
      <w:r>
        <w:t xml:space="preserve">For </w:t>
      </w:r>
      <w:r w:rsidRPr="00C315A6">
        <w:rPr>
          <w:i/>
        </w:rPr>
        <w:t>all other delivery types</w:t>
      </w:r>
      <w:r>
        <w:t>, a high efficiency model</w:t>
      </w:r>
      <w:r w:rsidRPr="00C33CB0">
        <w:t xml:space="preserve"> </w:t>
      </w:r>
      <w:r>
        <w:t xml:space="preserve">does not </w:t>
      </w:r>
      <w:r w:rsidRPr="00C33CB0">
        <w:t xml:space="preserve">require additional </w:t>
      </w:r>
      <w:r>
        <w:t xml:space="preserve">installation </w:t>
      </w:r>
      <w:r w:rsidRPr="00C33CB0">
        <w:t xml:space="preserve">labor compared to </w:t>
      </w:r>
      <w:r>
        <w:t xml:space="preserve">a </w:t>
      </w:r>
      <w:r w:rsidRPr="00C33CB0">
        <w:t xml:space="preserve">base case </w:t>
      </w:r>
      <w:r>
        <w:t>model</w:t>
      </w:r>
      <w:r w:rsidRPr="00C33CB0">
        <w:t xml:space="preserve">. </w:t>
      </w:r>
      <w:r>
        <w:t>Since this measure is applicable for normal replacement and new construction installations, the base case and measure case model installation costs are expected to be the same for the customer and thus were not estimated for the incremental cost analysis.</w:t>
      </w:r>
    </w:p>
    <w:p w14:paraId="4F02FAF4" w14:textId="77777777" w:rsidR="00155E99" w:rsidRPr="004B06E3" w:rsidRDefault="00155E99" w:rsidP="00155E99"/>
    <w:p w14:paraId="0908E1A2" w14:textId="1FC5EDF8" w:rsidR="004264B3" w:rsidRDefault="004264B3" w:rsidP="004264B3">
      <w:pPr>
        <w:pStyle w:val="eTRMHeading3"/>
      </w:pPr>
      <w:bookmarkStart w:id="68" w:name="_Toc486490863"/>
      <w:bookmarkStart w:id="69" w:name="_Toc486580934"/>
      <w:bookmarkStart w:id="70" w:name="_Toc490461309"/>
      <w:bookmarkStart w:id="71" w:name="_Toc1120827"/>
      <w:r>
        <w:t>Net-to-Gross</w:t>
      </w:r>
      <w:bookmarkEnd w:id="68"/>
      <w:bookmarkEnd w:id="69"/>
      <w:r>
        <w:t xml:space="preserve"> (NTG)</w:t>
      </w:r>
      <w:bookmarkEnd w:id="70"/>
      <w:bookmarkEnd w:id="71"/>
    </w:p>
    <w:p w14:paraId="7CA3983D" w14:textId="446D31C6" w:rsidR="004B508F" w:rsidRPr="004B06E3" w:rsidRDefault="004B508F" w:rsidP="004B508F">
      <w:r w:rsidRPr="00860FEC">
        <w:t xml:space="preserve">The net-to-gross (NTG) ratio represents the portion of gross impacts that are determined to be directly attributed to a specific program intervention. </w:t>
      </w:r>
      <w:r w:rsidR="00AB4835" w:rsidRPr="00AF3038">
        <w:t>These NTG values are based upon the average of all NTG ratios for all e</w:t>
      </w:r>
      <w:r w:rsidR="00AB4835">
        <w:t>valuated 2006 – 2008 commercial</w:t>
      </w:r>
      <w:r w:rsidR="0070152D">
        <w:t>, industrial, and agriculture</w:t>
      </w:r>
      <w:r w:rsidR="00AB4835" w:rsidRPr="00AF3038">
        <w:t xml:space="preserve"> programs, as documented in the 2011 DEER Update Study conducted by Itron, Inc. </w:t>
      </w:r>
      <w:r w:rsidR="0070152D">
        <w:t>These</w:t>
      </w:r>
      <w:r w:rsidR="00AB4835" w:rsidRPr="00AF3038">
        <w:t xml:space="preserve"> sector average NTG</w:t>
      </w:r>
      <w:r w:rsidR="0070152D">
        <w:t>s</w:t>
      </w:r>
      <w:r w:rsidR="00AB4835" w:rsidRPr="00AF3038">
        <w:t xml:space="preserve"> (“default NTG”) </w:t>
      </w:r>
      <w:r w:rsidR="0070152D">
        <w:t>are</w:t>
      </w:r>
      <w:r w:rsidR="00AB4835" w:rsidRPr="00AF3038">
        <w:t xml:space="preserve"> applicable </w:t>
      </w:r>
      <w:r w:rsidR="00AB4835">
        <w:t xml:space="preserve">to </w:t>
      </w:r>
      <w:r w:rsidR="00AB4835" w:rsidRPr="00AF3038">
        <w:t xml:space="preserve">all energy efficiency measures that have been offered </w:t>
      </w:r>
      <w:r w:rsidR="00AB4835">
        <w:t>through</w:t>
      </w:r>
      <w:r w:rsidR="00AB4835" w:rsidRPr="00AF3038">
        <w:t xml:space="preserve"> </w:t>
      </w:r>
      <w:r w:rsidR="0070152D">
        <w:t>commercial, industrial, and agriculture</w:t>
      </w:r>
      <w:r w:rsidR="0070152D" w:rsidRPr="00AF3038">
        <w:t xml:space="preserve"> </w:t>
      </w:r>
      <w:r w:rsidR="00AB4835">
        <w:t xml:space="preserve">sector </w:t>
      </w:r>
      <w:r w:rsidR="00AB4835" w:rsidRPr="00AF3038">
        <w:t>programs for more than two years and for which impact evaluation results are not available.</w:t>
      </w:r>
      <w:r w:rsidR="00AB4835" w:rsidRPr="00765218">
        <w:t> </w:t>
      </w:r>
    </w:p>
    <w:p w14:paraId="2B144762" w14:textId="2C1B4762" w:rsidR="004B508F" w:rsidRPr="0059426D" w:rsidRDefault="004B508F" w:rsidP="004B508F">
      <w:pPr>
        <w:pStyle w:val="Caption"/>
      </w:pPr>
      <w:r>
        <w:t>Net-to-Gross Ratios</w:t>
      </w:r>
    </w:p>
    <w:tbl>
      <w:tblPr>
        <w:tblW w:w="9242"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787"/>
        <w:gridCol w:w="1435"/>
        <w:gridCol w:w="1523"/>
        <w:gridCol w:w="4497"/>
      </w:tblGrid>
      <w:tr w:rsidR="00AB4835" w:rsidRPr="00F271FB" w14:paraId="363F7876" w14:textId="77777777" w:rsidTr="002E7F37">
        <w:trPr>
          <w:cantSplit/>
          <w:trHeight w:val="20"/>
          <w:tblHeader/>
        </w:trPr>
        <w:tc>
          <w:tcPr>
            <w:tcW w:w="1800" w:type="dxa"/>
            <w:shd w:val="clear" w:color="auto" w:fill="F2F2F2" w:themeFill="background1" w:themeFillShade="F2"/>
            <w:vAlign w:val="bottom"/>
          </w:tcPr>
          <w:p w14:paraId="7D4007D8" w14:textId="77777777" w:rsidR="00AB4835" w:rsidRPr="00F271FB" w:rsidRDefault="00AB4835" w:rsidP="002E7F37">
            <w:pPr>
              <w:spacing w:before="0" w:after="0" w:line="240" w:lineRule="auto"/>
              <w:jc w:val="center"/>
              <w:rPr>
                <w:rFonts w:cstheme="minorHAnsi"/>
                <w:b/>
                <w:sz w:val="20"/>
                <w:szCs w:val="20"/>
              </w:rPr>
            </w:pPr>
            <w:r w:rsidRPr="00F271FB">
              <w:rPr>
                <w:rFonts w:cstheme="minorHAnsi"/>
                <w:b/>
                <w:sz w:val="20"/>
                <w:szCs w:val="20"/>
              </w:rPr>
              <w:t>Parameter</w:t>
            </w:r>
          </w:p>
        </w:tc>
        <w:tc>
          <w:tcPr>
            <w:tcW w:w="1440" w:type="dxa"/>
            <w:shd w:val="clear" w:color="auto" w:fill="F2F2F2" w:themeFill="background1" w:themeFillShade="F2"/>
            <w:vAlign w:val="bottom"/>
          </w:tcPr>
          <w:p w14:paraId="1C79ECE5" w14:textId="77777777" w:rsidR="00AB4835" w:rsidRPr="00F271FB" w:rsidRDefault="00AB4835" w:rsidP="002E7F37">
            <w:pPr>
              <w:spacing w:before="0" w:after="0" w:line="240" w:lineRule="auto"/>
              <w:jc w:val="center"/>
              <w:rPr>
                <w:rFonts w:cstheme="minorHAnsi"/>
                <w:b/>
                <w:sz w:val="20"/>
                <w:szCs w:val="20"/>
              </w:rPr>
            </w:pPr>
            <w:r w:rsidRPr="00F271FB">
              <w:rPr>
                <w:rFonts w:cstheme="minorHAnsi"/>
                <w:b/>
                <w:sz w:val="20"/>
              </w:rPr>
              <w:t xml:space="preserve">Commercial Reach-In Refrigerator </w:t>
            </w:r>
          </w:p>
        </w:tc>
        <w:tc>
          <w:tcPr>
            <w:tcW w:w="1530" w:type="dxa"/>
            <w:shd w:val="clear" w:color="auto" w:fill="F2F2F2" w:themeFill="background1" w:themeFillShade="F2"/>
            <w:vAlign w:val="bottom"/>
          </w:tcPr>
          <w:p w14:paraId="0C81D7C0" w14:textId="77777777" w:rsidR="00AB4835" w:rsidRPr="00F271FB" w:rsidRDefault="00AB4835" w:rsidP="002E7F37">
            <w:pPr>
              <w:spacing w:before="0" w:after="0" w:line="240" w:lineRule="auto"/>
              <w:jc w:val="center"/>
              <w:rPr>
                <w:rFonts w:cstheme="minorHAnsi"/>
                <w:b/>
                <w:sz w:val="20"/>
                <w:szCs w:val="20"/>
              </w:rPr>
            </w:pPr>
            <w:r w:rsidRPr="00F271FB">
              <w:rPr>
                <w:rFonts w:cstheme="minorHAnsi"/>
                <w:b/>
                <w:sz w:val="20"/>
              </w:rPr>
              <w:t>Commercial Reach-In Freezer</w:t>
            </w:r>
          </w:p>
        </w:tc>
        <w:tc>
          <w:tcPr>
            <w:tcW w:w="4562" w:type="dxa"/>
            <w:shd w:val="clear" w:color="auto" w:fill="F2F2F2" w:themeFill="background1" w:themeFillShade="F2"/>
            <w:vAlign w:val="bottom"/>
          </w:tcPr>
          <w:p w14:paraId="6C3E89F5" w14:textId="77777777" w:rsidR="00AB4835" w:rsidRPr="00F271FB" w:rsidRDefault="00AB4835" w:rsidP="002E7F37">
            <w:pPr>
              <w:spacing w:before="0" w:after="0" w:line="240" w:lineRule="auto"/>
              <w:jc w:val="center"/>
              <w:rPr>
                <w:rFonts w:cstheme="minorHAnsi"/>
                <w:b/>
                <w:sz w:val="20"/>
                <w:szCs w:val="20"/>
              </w:rPr>
            </w:pPr>
            <w:r w:rsidRPr="00F271FB">
              <w:rPr>
                <w:rFonts w:cstheme="minorHAnsi"/>
                <w:b/>
                <w:sz w:val="20"/>
                <w:szCs w:val="20"/>
              </w:rPr>
              <w:t>Source</w:t>
            </w:r>
          </w:p>
        </w:tc>
      </w:tr>
      <w:tr w:rsidR="0070152D" w:rsidRPr="00C815F6" w14:paraId="790983FC" w14:textId="77777777" w:rsidTr="0070152D">
        <w:trPr>
          <w:cantSplit/>
          <w:trHeight w:val="20"/>
        </w:trPr>
        <w:tc>
          <w:tcPr>
            <w:tcW w:w="1800" w:type="dxa"/>
          </w:tcPr>
          <w:p w14:paraId="3BFD1578" w14:textId="462E40A7" w:rsidR="0070152D" w:rsidRPr="00C815F6" w:rsidRDefault="0070152D" w:rsidP="002E7F37">
            <w:pPr>
              <w:spacing w:before="0" w:after="0" w:line="240" w:lineRule="auto"/>
              <w:rPr>
                <w:sz w:val="20"/>
                <w:szCs w:val="20"/>
              </w:rPr>
            </w:pPr>
            <w:r w:rsidRPr="00C815F6">
              <w:rPr>
                <w:sz w:val="20"/>
                <w:szCs w:val="20"/>
              </w:rPr>
              <w:t>NTG – Commercial</w:t>
            </w:r>
          </w:p>
        </w:tc>
        <w:tc>
          <w:tcPr>
            <w:tcW w:w="1440" w:type="dxa"/>
          </w:tcPr>
          <w:p w14:paraId="772D64D2" w14:textId="5A246886" w:rsidR="0070152D" w:rsidRPr="00C815F6" w:rsidRDefault="0070152D" w:rsidP="002E7F37">
            <w:pPr>
              <w:spacing w:before="0" w:after="0" w:line="240" w:lineRule="auto"/>
              <w:jc w:val="center"/>
              <w:rPr>
                <w:sz w:val="20"/>
                <w:szCs w:val="20"/>
              </w:rPr>
            </w:pPr>
            <w:r w:rsidRPr="00C815F6">
              <w:rPr>
                <w:sz w:val="20"/>
                <w:szCs w:val="20"/>
              </w:rPr>
              <w:t>0.60</w:t>
            </w:r>
          </w:p>
        </w:tc>
        <w:tc>
          <w:tcPr>
            <w:tcW w:w="1530" w:type="dxa"/>
          </w:tcPr>
          <w:p w14:paraId="2381D064" w14:textId="2A3CC0D4" w:rsidR="0070152D" w:rsidRPr="00C815F6" w:rsidRDefault="0070152D" w:rsidP="002E7F37">
            <w:pPr>
              <w:spacing w:before="0" w:after="0" w:line="240" w:lineRule="auto"/>
              <w:jc w:val="center"/>
              <w:rPr>
                <w:sz w:val="20"/>
                <w:szCs w:val="20"/>
              </w:rPr>
            </w:pPr>
            <w:r w:rsidRPr="00C815F6">
              <w:rPr>
                <w:sz w:val="20"/>
                <w:szCs w:val="20"/>
              </w:rPr>
              <w:t>0.60</w:t>
            </w:r>
          </w:p>
        </w:tc>
        <w:tc>
          <w:tcPr>
            <w:tcW w:w="4562" w:type="dxa"/>
            <w:vMerge w:val="restart"/>
            <w:vAlign w:val="center"/>
          </w:tcPr>
          <w:p w14:paraId="462448CC" w14:textId="0CF838D3" w:rsidR="0070152D" w:rsidRPr="00C815F6" w:rsidRDefault="0070152D" w:rsidP="002E7F37">
            <w:pPr>
              <w:spacing w:before="0" w:after="0" w:line="240" w:lineRule="auto"/>
              <w:rPr>
                <w:sz w:val="20"/>
                <w:szCs w:val="20"/>
              </w:rPr>
            </w:pPr>
            <w:r w:rsidRPr="00C815F6">
              <w:rPr>
                <w:sz w:val="18"/>
              </w:rPr>
              <w:t xml:space="preserve">Itron, Inc. 2011. </w:t>
            </w:r>
            <w:r w:rsidRPr="00C815F6">
              <w:rPr>
                <w:i/>
                <w:sz w:val="18"/>
              </w:rPr>
              <w:t>DEER Database 2011 Update Documentation.</w:t>
            </w:r>
            <w:r w:rsidRPr="00C815F6">
              <w:rPr>
                <w:sz w:val="18"/>
              </w:rPr>
              <w:t xml:space="preserve"> Prepared for the California Public Utilities Commission. Page 15-4 Table 15-3.</w:t>
            </w:r>
          </w:p>
        </w:tc>
      </w:tr>
      <w:tr w:rsidR="0070152D" w:rsidRPr="00C815F6" w14:paraId="7EFD422B" w14:textId="77777777" w:rsidTr="0070152D">
        <w:trPr>
          <w:cantSplit/>
          <w:trHeight w:val="20"/>
        </w:trPr>
        <w:tc>
          <w:tcPr>
            <w:tcW w:w="1800" w:type="dxa"/>
          </w:tcPr>
          <w:p w14:paraId="7B98D7AF" w14:textId="253DDDF8" w:rsidR="0070152D" w:rsidRPr="00C815F6" w:rsidRDefault="0070152D" w:rsidP="002E7F37">
            <w:pPr>
              <w:spacing w:before="0" w:after="0" w:line="240" w:lineRule="auto"/>
              <w:rPr>
                <w:sz w:val="20"/>
                <w:szCs w:val="20"/>
              </w:rPr>
            </w:pPr>
            <w:r w:rsidRPr="00C815F6">
              <w:rPr>
                <w:sz w:val="20"/>
                <w:szCs w:val="20"/>
              </w:rPr>
              <w:t>NTG – Industrial</w:t>
            </w:r>
          </w:p>
        </w:tc>
        <w:tc>
          <w:tcPr>
            <w:tcW w:w="1440" w:type="dxa"/>
          </w:tcPr>
          <w:p w14:paraId="31975F6B" w14:textId="3B9C5984" w:rsidR="0070152D" w:rsidRPr="00C815F6" w:rsidRDefault="0070152D" w:rsidP="002E7F37">
            <w:pPr>
              <w:spacing w:before="0" w:after="0" w:line="240" w:lineRule="auto"/>
              <w:jc w:val="center"/>
              <w:rPr>
                <w:sz w:val="20"/>
                <w:szCs w:val="20"/>
              </w:rPr>
            </w:pPr>
            <w:r w:rsidRPr="00C815F6">
              <w:rPr>
                <w:sz w:val="20"/>
                <w:szCs w:val="20"/>
              </w:rPr>
              <w:t>0.60</w:t>
            </w:r>
          </w:p>
        </w:tc>
        <w:tc>
          <w:tcPr>
            <w:tcW w:w="1530" w:type="dxa"/>
          </w:tcPr>
          <w:p w14:paraId="173455AE" w14:textId="7822F118" w:rsidR="0070152D" w:rsidRPr="00C815F6" w:rsidRDefault="0070152D" w:rsidP="002E7F37">
            <w:pPr>
              <w:spacing w:before="0" w:after="0" w:line="240" w:lineRule="auto"/>
              <w:jc w:val="center"/>
              <w:rPr>
                <w:sz w:val="20"/>
                <w:szCs w:val="20"/>
              </w:rPr>
            </w:pPr>
            <w:r w:rsidRPr="00C815F6">
              <w:rPr>
                <w:sz w:val="20"/>
                <w:szCs w:val="20"/>
              </w:rPr>
              <w:t>0.60</w:t>
            </w:r>
          </w:p>
        </w:tc>
        <w:tc>
          <w:tcPr>
            <w:tcW w:w="4562" w:type="dxa"/>
            <w:vMerge/>
            <w:vAlign w:val="center"/>
          </w:tcPr>
          <w:p w14:paraId="4DC7A477" w14:textId="77777777" w:rsidR="0070152D" w:rsidRPr="00C815F6" w:rsidRDefault="0070152D" w:rsidP="002E7F37">
            <w:pPr>
              <w:spacing w:before="0" w:after="0" w:line="240" w:lineRule="auto"/>
              <w:rPr>
                <w:sz w:val="18"/>
              </w:rPr>
            </w:pPr>
          </w:p>
        </w:tc>
      </w:tr>
      <w:tr w:rsidR="0070152D" w:rsidRPr="00C815F6" w14:paraId="28B2889C" w14:textId="77777777" w:rsidTr="0070152D">
        <w:trPr>
          <w:cantSplit/>
          <w:trHeight w:val="20"/>
        </w:trPr>
        <w:tc>
          <w:tcPr>
            <w:tcW w:w="1800" w:type="dxa"/>
          </w:tcPr>
          <w:p w14:paraId="351DC233" w14:textId="0EB9D8CC" w:rsidR="0070152D" w:rsidRPr="00C815F6" w:rsidRDefault="0070152D" w:rsidP="002E7F37">
            <w:pPr>
              <w:spacing w:before="0" w:after="0" w:line="240" w:lineRule="auto"/>
              <w:rPr>
                <w:sz w:val="20"/>
                <w:szCs w:val="20"/>
              </w:rPr>
            </w:pPr>
            <w:r w:rsidRPr="00C815F6">
              <w:rPr>
                <w:sz w:val="20"/>
                <w:szCs w:val="20"/>
              </w:rPr>
              <w:t>NTG - Agriculture</w:t>
            </w:r>
          </w:p>
        </w:tc>
        <w:tc>
          <w:tcPr>
            <w:tcW w:w="1440" w:type="dxa"/>
          </w:tcPr>
          <w:p w14:paraId="51AFE1E3" w14:textId="41F42BF1" w:rsidR="0070152D" w:rsidRPr="00C815F6" w:rsidRDefault="0070152D" w:rsidP="002E7F37">
            <w:pPr>
              <w:spacing w:before="0" w:after="0" w:line="240" w:lineRule="auto"/>
              <w:jc w:val="center"/>
              <w:rPr>
                <w:sz w:val="20"/>
                <w:szCs w:val="20"/>
              </w:rPr>
            </w:pPr>
            <w:r w:rsidRPr="00C815F6">
              <w:rPr>
                <w:sz w:val="20"/>
                <w:szCs w:val="20"/>
              </w:rPr>
              <w:t>0.60</w:t>
            </w:r>
          </w:p>
        </w:tc>
        <w:tc>
          <w:tcPr>
            <w:tcW w:w="1530" w:type="dxa"/>
          </w:tcPr>
          <w:p w14:paraId="6379A69E" w14:textId="4F46951E" w:rsidR="0070152D" w:rsidRPr="00C815F6" w:rsidRDefault="0070152D" w:rsidP="002E7F37">
            <w:pPr>
              <w:spacing w:before="0" w:after="0" w:line="240" w:lineRule="auto"/>
              <w:jc w:val="center"/>
              <w:rPr>
                <w:sz w:val="20"/>
                <w:szCs w:val="20"/>
              </w:rPr>
            </w:pPr>
            <w:r w:rsidRPr="00C815F6">
              <w:rPr>
                <w:sz w:val="20"/>
                <w:szCs w:val="20"/>
              </w:rPr>
              <w:t>0.60</w:t>
            </w:r>
          </w:p>
        </w:tc>
        <w:tc>
          <w:tcPr>
            <w:tcW w:w="4562" w:type="dxa"/>
            <w:vMerge/>
            <w:vAlign w:val="center"/>
          </w:tcPr>
          <w:p w14:paraId="4CF9DD7B" w14:textId="77777777" w:rsidR="0070152D" w:rsidRPr="00C815F6" w:rsidRDefault="0070152D" w:rsidP="002E7F37">
            <w:pPr>
              <w:spacing w:before="0" w:after="0" w:line="240" w:lineRule="auto"/>
              <w:rPr>
                <w:sz w:val="18"/>
              </w:rPr>
            </w:pPr>
          </w:p>
        </w:tc>
      </w:tr>
    </w:tbl>
    <w:p w14:paraId="350AE4CF" w14:textId="77777777" w:rsidR="00AB4835" w:rsidRPr="004B06E3" w:rsidRDefault="00AB4835" w:rsidP="004B508F"/>
    <w:p w14:paraId="6D045B62" w14:textId="77777777" w:rsidR="004264B3" w:rsidRPr="004B06E3" w:rsidRDefault="004264B3" w:rsidP="004264B3">
      <w:pPr>
        <w:pStyle w:val="eTRMHeading3"/>
      </w:pPr>
      <w:bookmarkStart w:id="72" w:name="_Toc486490864"/>
      <w:bookmarkStart w:id="73" w:name="_Toc486580935"/>
      <w:bookmarkStart w:id="74" w:name="_Toc490461310"/>
      <w:bookmarkStart w:id="75" w:name="_Toc1120828"/>
      <w:r>
        <w:t>Gross Savings Installation Adjustment (</w:t>
      </w:r>
      <w:r w:rsidRPr="004B06E3">
        <w:t>GSIA</w:t>
      </w:r>
      <w:bookmarkEnd w:id="72"/>
      <w:bookmarkEnd w:id="73"/>
      <w:r>
        <w:t>)</w:t>
      </w:r>
      <w:bookmarkEnd w:id="74"/>
      <w:bookmarkEnd w:id="75"/>
    </w:p>
    <w:p w14:paraId="3684699A" w14:textId="2441BC08" w:rsidR="004B508F" w:rsidRDefault="004B508F" w:rsidP="004B508F">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w:t>
      </w:r>
      <w:r w:rsidR="00587F8C">
        <w:t>This GSIA rate is the current “default” rate specified for measures for which an alternative GSIA has not been estimated and approved.</w:t>
      </w:r>
    </w:p>
    <w:p w14:paraId="10D40B72" w14:textId="73B55E4E" w:rsidR="004B508F" w:rsidRPr="0059426D" w:rsidRDefault="001F4DB0" w:rsidP="004B508F">
      <w:pPr>
        <w:pStyle w:val="Caption"/>
      </w:pPr>
      <w:r>
        <w:lastRenderedPageBreak/>
        <w:t>Gross Savings</w:t>
      </w:r>
      <w:r w:rsidR="004B508F">
        <w:t xml:space="preserve"> Installation</w:t>
      </w:r>
      <w:r>
        <w:t xml:space="preserve"> Adjustment</w:t>
      </w:r>
      <w:r w:rsidR="004B508F">
        <w:t xml:space="preserve"> Rates</w:t>
      </w:r>
    </w:p>
    <w:tbl>
      <w:tblPr>
        <w:tblW w:w="9242"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710"/>
        <w:gridCol w:w="1440"/>
        <w:gridCol w:w="1530"/>
        <w:gridCol w:w="4562"/>
      </w:tblGrid>
      <w:tr w:rsidR="00AB4835" w:rsidRPr="00F271FB" w14:paraId="6DA7AAB5" w14:textId="77777777" w:rsidTr="002E7F37">
        <w:trPr>
          <w:cantSplit/>
          <w:trHeight w:val="20"/>
          <w:tblHeader/>
        </w:trPr>
        <w:tc>
          <w:tcPr>
            <w:tcW w:w="1710" w:type="dxa"/>
            <w:shd w:val="clear" w:color="auto" w:fill="F2F2F2" w:themeFill="background1" w:themeFillShade="F2"/>
            <w:vAlign w:val="bottom"/>
          </w:tcPr>
          <w:p w14:paraId="05441795" w14:textId="77777777" w:rsidR="00AB4835" w:rsidRPr="00F271FB" w:rsidRDefault="00AB4835" w:rsidP="002E7F37">
            <w:pPr>
              <w:spacing w:before="0" w:after="0" w:line="240" w:lineRule="auto"/>
              <w:jc w:val="center"/>
              <w:rPr>
                <w:rFonts w:cstheme="minorHAnsi"/>
                <w:b/>
                <w:sz w:val="20"/>
                <w:szCs w:val="20"/>
              </w:rPr>
            </w:pPr>
            <w:bookmarkStart w:id="76" w:name="_Toc486490865"/>
            <w:bookmarkStart w:id="77" w:name="_Toc486580936"/>
            <w:bookmarkStart w:id="78" w:name="_Toc490461311"/>
            <w:r w:rsidRPr="00F271FB">
              <w:rPr>
                <w:rFonts w:cstheme="minorHAnsi"/>
                <w:b/>
                <w:sz w:val="20"/>
                <w:szCs w:val="20"/>
              </w:rPr>
              <w:t>Parameter</w:t>
            </w:r>
          </w:p>
        </w:tc>
        <w:tc>
          <w:tcPr>
            <w:tcW w:w="1440" w:type="dxa"/>
            <w:shd w:val="clear" w:color="auto" w:fill="F2F2F2" w:themeFill="background1" w:themeFillShade="F2"/>
            <w:vAlign w:val="bottom"/>
          </w:tcPr>
          <w:p w14:paraId="20495498" w14:textId="77777777" w:rsidR="00AB4835" w:rsidRPr="00F271FB" w:rsidRDefault="00AB4835" w:rsidP="002E7F37">
            <w:pPr>
              <w:spacing w:before="0" w:after="0" w:line="240" w:lineRule="auto"/>
              <w:jc w:val="center"/>
              <w:rPr>
                <w:rFonts w:cstheme="minorHAnsi"/>
                <w:b/>
                <w:sz w:val="20"/>
                <w:szCs w:val="20"/>
              </w:rPr>
            </w:pPr>
            <w:r w:rsidRPr="00F271FB">
              <w:rPr>
                <w:rFonts w:cstheme="minorHAnsi"/>
                <w:b/>
                <w:sz w:val="20"/>
              </w:rPr>
              <w:t xml:space="preserve">Commercial Reach-In Refrigerator </w:t>
            </w:r>
          </w:p>
        </w:tc>
        <w:tc>
          <w:tcPr>
            <w:tcW w:w="1530" w:type="dxa"/>
            <w:shd w:val="clear" w:color="auto" w:fill="F2F2F2" w:themeFill="background1" w:themeFillShade="F2"/>
            <w:vAlign w:val="bottom"/>
          </w:tcPr>
          <w:p w14:paraId="383F1E2A" w14:textId="77777777" w:rsidR="00AB4835" w:rsidRPr="00F271FB" w:rsidRDefault="00AB4835" w:rsidP="002E7F37">
            <w:pPr>
              <w:spacing w:before="0" w:after="0" w:line="240" w:lineRule="auto"/>
              <w:jc w:val="center"/>
              <w:rPr>
                <w:rFonts w:cstheme="minorHAnsi"/>
                <w:b/>
                <w:sz w:val="20"/>
                <w:szCs w:val="20"/>
              </w:rPr>
            </w:pPr>
            <w:r w:rsidRPr="00F271FB">
              <w:rPr>
                <w:rFonts w:cstheme="minorHAnsi"/>
                <w:b/>
                <w:sz w:val="20"/>
              </w:rPr>
              <w:t>Commercial Reach-In Freezer</w:t>
            </w:r>
          </w:p>
        </w:tc>
        <w:tc>
          <w:tcPr>
            <w:tcW w:w="4562" w:type="dxa"/>
            <w:shd w:val="clear" w:color="auto" w:fill="F2F2F2" w:themeFill="background1" w:themeFillShade="F2"/>
            <w:vAlign w:val="bottom"/>
          </w:tcPr>
          <w:p w14:paraId="68750E04" w14:textId="77777777" w:rsidR="00AB4835" w:rsidRPr="00F271FB" w:rsidRDefault="00AB4835" w:rsidP="002E7F37">
            <w:pPr>
              <w:spacing w:before="0" w:after="0" w:line="240" w:lineRule="auto"/>
              <w:jc w:val="center"/>
              <w:rPr>
                <w:rFonts w:cstheme="minorHAnsi"/>
                <w:b/>
                <w:sz w:val="20"/>
                <w:szCs w:val="20"/>
              </w:rPr>
            </w:pPr>
            <w:r w:rsidRPr="00F271FB">
              <w:rPr>
                <w:rFonts w:cstheme="minorHAnsi"/>
                <w:b/>
                <w:sz w:val="20"/>
                <w:szCs w:val="20"/>
              </w:rPr>
              <w:t>Source</w:t>
            </w:r>
          </w:p>
        </w:tc>
      </w:tr>
      <w:tr w:rsidR="00AB4835" w:rsidRPr="00C815F6" w14:paraId="686BB3B5" w14:textId="77777777" w:rsidTr="00A74E8C">
        <w:trPr>
          <w:cantSplit/>
          <w:trHeight w:val="20"/>
        </w:trPr>
        <w:tc>
          <w:tcPr>
            <w:tcW w:w="1710" w:type="dxa"/>
            <w:vAlign w:val="center"/>
          </w:tcPr>
          <w:p w14:paraId="544CDA3D" w14:textId="7930AB94" w:rsidR="00AB4835" w:rsidRPr="00C815F6" w:rsidRDefault="00AB4835" w:rsidP="002E7F37">
            <w:pPr>
              <w:spacing w:before="0" w:after="0" w:line="240" w:lineRule="auto"/>
              <w:rPr>
                <w:sz w:val="20"/>
                <w:szCs w:val="20"/>
              </w:rPr>
            </w:pPr>
            <w:r w:rsidRPr="00C815F6">
              <w:rPr>
                <w:sz w:val="20"/>
                <w:szCs w:val="20"/>
              </w:rPr>
              <w:t>GSIA</w:t>
            </w:r>
          </w:p>
        </w:tc>
        <w:tc>
          <w:tcPr>
            <w:tcW w:w="1440" w:type="dxa"/>
            <w:vAlign w:val="center"/>
          </w:tcPr>
          <w:p w14:paraId="235D3300" w14:textId="113EC968" w:rsidR="00AB4835" w:rsidRPr="00C815F6" w:rsidRDefault="00AB4835" w:rsidP="002E7F37">
            <w:pPr>
              <w:spacing w:before="0" w:after="0" w:line="240" w:lineRule="auto"/>
              <w:jc w:val="center"/>
              <w:rPr>
                <w:sz w:val="20"/>
                <w:szCs w:val="20"/>
              </w:rPr>
            </w:pPr>
            <w:r w:rsidRPr="00C815F6">
              <w:rPr>
                <w:sz w:val="20"/>
                <w:szCs w:val="20"/>
              </w:rPr>
              <w:t>1.0</w:t>
            </w:r>
          </w:p>
        </w:tc>
        <w:tc>
          <w:tcPr>
            <w:tcW w:w="1530" w:type="dxa"/>
            <w:vAlign w:val="center"/>
          </w:tcPr>
          <w:p w14:paraId="497A3C80" w14:textId="77FAE3E7" w:rsidR="00AB4835" w:rsidRPr="00C815F6" w:rsidRDefault="00AB4835" w:rsidP="002E7F37">
            <w:pPr>
              <w:spacing w:before="0" w:after="0" w:line="240" w:lineRule="auto"/>
              <w:jc w:val="center"/>
              <w:rPr>
                <w:sz w:val="20"/>
                <w:szCs w:val="20"/>
              </w:rPr>
            </w:pPr>
            <w:r w:rsidRPr="00C815F6">
              <w:rPr>
                <w:sz w:val="20"/>
                <w:szCs w:val="20"/>
              </w:rPr>
              <w:t>1.0</w:t>
            </w:r>
          </w:p>
        </w:tc>
        <w:tc>
          <w:tcPr>
            <w:tcW w:w="4562" w:type="dxa"/>
            <w:vAlign w:val="center"/>
          </w:tcPr>
          <w:p w14:paraId="716FC87F" w14:textId="588ABF1C" w:rsidR="00AB4835" w:rsidRPr="00C815F6" w:rsidRDefault="00AB4835" w:rsidP="002E7F37">
            <w:pPr>
              <w:spacing w:before="0" w:after="0" w:line="240" w:lineRule="auto"/>
              <w:rPr>
                <w:sz w:val="20"/>
                <w:szCs w:val="20"/>
              </w:rPr>
            </w:pPr>
            <w:r w:rsidRPr="00C815F6">
              <w:rPr>
                <w:rFonts w:eastAsia="Times New Roman" w:cs="Times New Roman"/>
                <w:sz w:val="18"/>
                <w:szCs w:val="18"/>
              </w:rPr>
              <w:t xml:space="preserve">California Public Utilities Commission (CPUC), Energy Division. 2013. </w:t>
            </w:r>
            <w:r w:rsidRPr="00C815F6">
              <w:rPr>
                <w:rFonts w:eastAsia="Times New Roman" w:cs="Times New Roman"/>
                <w:i/>
                <w:sz w:val="18"/>
                <w:szCs w:val="18"/>
              </w:rPr>
              <w:t>Energy Efficiency Policy Manual Version 5</w:t>
            </w:r>
            <w:r w:rsidRPr="00C815F6">
              <w:rPr>
                <w:rFonts w:eastAsia="Times New Roman" w:cs="Times New Roman"/>
                <w:sz w:val="18"/>
                <w:szCs w:val="18"/>
              </w:rPr>
              <w:t>. Page 31.</w:t>
            </w:r>
          </w:p>
        </w:tc>
      </w:tr>
    </w:tbl>
    <w:p w14:paraId="06DA2576" w14:textId="77777777" w:rsidR="00AB4835" w:rsidRPr="004B06E3" w:rsidRDefault="00AB4835" w:rsidP="00AB4835"/>
    <w:p w14:paraId="2B9284AF" w14:textId="77777777" w:rsidR="00ED0D4B" w:rsidRPr="004B06E3" w:rsidRDefault="00ED0D4B" w:rsidP="00ED0D4B">
      <w:pPr>
        <w:pStyle w:val="eTRMHeading3"/>
      </w:pPr>
      <w:bookmarkStart w:id="79" w:name="_Toc494369270"/>
      <w:bookmarkStart w:id="80" w:name="_Toc503612232"/>
      <w:bookmarkStart w:id="81" w:name="_Toc504385308"/>
      <w:bookmarkStart w:id="82" w:name="_Toc1120829"/>
      <w:bookmarkEnd w:id="76"/>
      <w:bookmarkEnd w:id="77"/>
      <w:bookmarkEnd w:id="78"/>
      <w:r w:rsidRPr="004B06E3">
        <w:t xml:space="preserve">Non-Energy </w:t>
      </w:r>
      <w:bookmarkEnd w:id="79"/>
      <w:r>
        <w:t>Impacts</w:t>
      </w:r>
      <w:bookmarkEnd w:id="80"/>
      <w:bookmarkEnd w:id="81"/>
      <w:bookmarkEnd w:id="82"/>
    </w:p>
    <w:p w14:paraId="2EF8EC84" w14:textId="77777777" w:rsidR="00ED0D4B" w:rsidRDefault="00ED0D4B" w:rsidP="00ED0D4B">
      <w:r>
        <w:t>Non-energy impacts for this measure have not been quantified.</w:t>
      </w:r>
    </w:p>
    <w:p w14:paraId="7A5F110F" w14:textId="77777777" w:rsidR="004264B3" w:rsidRPr="004B06E3" w:rsidRDefault="004264B3" w:rsidP="004264B3"/>
    <w:p w14:paraId="2C1E5D4B" w14:textId="77777777" w:rsidR="004264B3" w:rsidRPr="004B06E3" w:rsidRDefault="004264B3" w:rsidP="004264B3">
      <w:pPr>
        <w:pStyle w:val="eTRMHeading3"/>
      </w:pPr>
      <w:bookmarkStart w:id="83" w:name="_Toc490461312"/>
      <w:bookmarkStart w:id="84" w:name="_Toc1120830"/>
      <w:r>
        <w:t>DEER Differences Analysis</w:t>
      </w:r>
      <w:bookmarkEnd w:id="83"/>
      <w:bookmarkEnd w:id="84"/>
    </w:p>
    <w:p w14:paraId="78E3C8B2" w14:textId="77777777" w:rsidR="001F4DB0" w:rsidRDefault="001F4DB0" w:rsidP="001F4DB0">
      <w:r>
        <w:t>The table below summarizes the inputs and methods that are and are not based upon the Database for Energy Efficient Resources (DEER).</w:t>
      </w:r>
    </w:p>
    <w:p w14:paraId="11BD6D14" w14:textId="18D6861D" w:rsidR="004264B3" w:rsidRPr="00920905" w:rsidRDefault="004264B3" w:rsidP="002E7F37">
      <w:pPr>
        <w:pStyle w:val="Caption"/>
        <w:keepNext w:val="0"/>
        <w:keepLines w:val="0"/>
      </w:pPr>
      <w:r w:rsidRPr="00920905">
        <w:t>DEER Difference Summary</w:t>
      </w:r>
    </w:p>
    <w:tbl>
      <w:tblPr>
        <w:tblW w:w="4940" w:type="pct"/>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122"/>
        <w:gridCol w:w="6116"/>
      </w:tblGrid>
      <w:tr w:rsidR="004264B3" w:rsidRPr="004B508F" w14:paraId="294B6499" w14:textId="77777777" w:rsidTr="002E7F37">
        <w:trPr>
          <w:cantSplit/>
          <w:trHeight w:val="20"/>
          <w:tblHeader/>
        </w:trPr>
        <w:tc>
          <w:tcPr>
            <w:tcW w:w="1690" w:type="pct"/>
            <w:shd w:val="clear" w:color="auto" w:fill="F2F2F2" w:themeFill="background1" w:themeFillShade="F2"/>
          </w:tcPr>
          <w:p w14:paraId="2B0E5DE0" w14:textId="77777777" w:rsidR="004264B3" w:rsidRPr="004B508F" w:rsidRDefault="004264B3" w:rsidP="002E7F37">
            <w:pPr>
              <w:tabs>
                <w:tab w:val="right" w:pos="2957"/>
              </w:tabs>
              <w:spacing w:before="20" w:after="20"/>
              <w:rPr>
                <w:rFonts w:cs="Arial"/>
                <w:b/>
                <w:sz w:val="20"/>
                <w:szCs w:val="20"/>
              </w:rPr>
            </w:pPr>
            <w:r w:rsidRPr="004B508F">
              <w:rPr>
                <w:rFonts w:cs="Arial"/>
                <w:b/>
                <w:sz w:val="20"/>
                <w:szCs w:val="20"/>
              </w:rPr>
              <w:t>DEER Item</w:t>
            </w:r>
          </w:p>
        </w:tc>
        <w:tc>
          <w:tcPr>
            <w:tcW w:w="3310" w:type="pct"/>
            <w:shd w:val="clear" w:color="auto" w:fill="F2F2F2" w:themeFill="background1" w:themeFillShade="F2"/>
          </w:tcPr>
          <w:p w14:paraId="61342A66" w14:textId="77777777" w:rsidR="004264B3" w:rsidRPr="004B508F" w:rsidRDefault="004264B3" w:rsidP="002E7F37">
            <w:pPr>
              <w:spacing w:before="20" w:after="20"/>
              <w:rPr>
                <w:rFonts w:cs="Arial"/>
                <w:b/>
                <w:sz w:val="20"/>
                <w:szCs w:val="20"/>
              </w:rPr>
            </w:pPr>
            <w:r w:rsidRPr="004B508F">
              <w:rPr>
                <w:rFonts w:cs="Arial"/>
                <w:b/>
                <w:sz w:val="20"/>
                <w:szCs w:val="20"/>
              </w:rPr>
              <w:t>Comment / Used for Workpaper</w:t>
            </w:r>
          </w:p>
        </w:tc>
      </w:tr>
      <w:tr w:rsidR="00856B38" w:rsidRPr="004B508F" w14:paraId="6306DB43" w14:textId="77777777" w:rsidTr="002E7F37">
        <w:trPr>
          <w:cantSplit/>
          <w:trHeight w:val="20"/>
        </w:trPr>
        <w:tc>
          <w:tcPr>
            <w:tcW w:w="1690" w:type="pct"/>
          </w:tcPr>
          <w:p w14:paraId="4C5EF761" w14:textId="77777777" w:rsidR="00856B38" w:rsidRPr="004B508F" w:rsidRDefault="00856B38" w:rsidP="002E7F37">
            <w:pPr>
              <w:spacing w:before="20" w:after="20"/>
              <w:rPr>
                <w:rFonts w:cs="Arial"/>
                <w:sz w:val="20"/>
                <w:szCs w:val="20"/>
              </w:rPr>
            </w:pPr>
            <w:r w:rsidRPr="004B508F">
              <w:rPr>
                <w:rFonts w:cs="Arial"/>
                <w:sz w:val="20"/>
                <w:szCs w:val="20"/>
              </w:rPr>
              <w:t>Modified DEER methodology</w:t>
            </w:r>
          </w:p>
        </w:tc>
        <w:tc>
          <w:tcPr>
            <w:tcW w:w="3310" w:type="pct"/>
          </w:tcPr>
          <w:p w14:paraId="72452E1C" w14:textId="77777777" w:rsidR="00856B38" w:rsidRPr="004B508F" w:rsidRDefault="00856B38" w:rsidP="002E7F37">
            <w:pPr>
              <w:spacing w:before="20" w:after="20"/>
              <w:rPr>
                <w:rFonts w:cs="Arial"/>
                <w:b/>
                <w:sz w:val="20"/>
                <w:szCs w:val="20"/>
              </w:rPr>
            </w:pPr>
            <w:r w:rsidRPr="004B508F">
              <w:rPr>
                <w:rFonts w:cs="Arial"/>
                <w:sz w:val="20"/>
                <w:szCs w:val="20"/>
              </w:rPr>
              <w:t>No</w:t>
            </w:r>
          </w:p>
        </w:tc>
      </w:tr>
      <w:tr w:rsidR="00856B38" w:rsidRPr="004B508F" w14:paraId="70CFF1FD" w14:textId="77777777" w:rsidTr="002E7F37">
        <w:trPr>
          <w:cantSplit/>
          <w:trHeight w:val="20"/>
        </w:trPr>
        <w:tc>
          <w:tcPr>
            <w:tcW w:w="1690" w:type="pct"/>
          </w:tcPr>
          <w:p w14:paraId="1916732E" w14:textId="77777777" w:rsidR="00856B38" w:rsidRPr="004B508F" w:rsidRDefault="00856B38" w:rsidP="002E7F37">
            <w:pPr>
              <w:spacing w:before="20" w:after="20"/>
              <w:rPr>
                <w:rFonts w:cs="Arial"/>
                <w:sz w:val="20"/>
                <w:szCs w:val="20"/>
              </w:rPr>
            </w:pPr>
            <w:r w:rsidRPr="004B508F">
              <w:rPr>
                <w:rFonts w:cs="Arial"/>
                <w:sz w:val="20"/>
                <w:szCs w:val="20"/>
              </w:rPr>
              <w:t>Scaled DEER measure</w:t>
            </w:r>
          </w:p>
        </w:tc>
        <w:tc>
          <w:tcPr>
            <w:tcW w:w="3310" w:type="pct"/>
          </w:tcPr>
          <w:p w14:paraId="0D4D7D63" w14:textId="77777777" w:rsidR="00856B38" w:rsidRPr="004B508F" w:rsidRDefault="00856B38" w:rsidP="002E7F37">
            <w:pPr>
              <w:spacing w:before="20" w:after="20"/>
              <w:rPr>
                <w:rFonts w:cs="Arial"/>
                <w:sz w:val="20"/>
                <w:szCs w:val="20"/>
              </w:rPr>
            </w:pPr>
            <w:r w:rsidRPr="004B508F">
              <w:rPr>
                <w:rFonts w:cs="Arial"/>
                <w:sz w:val="20"/>
                <w:szCs w:val="20"/>
              </w:rPr>
              <w:t>No</w:t>
            </w:r>
          </w:p>
        </w:tc>
      </w:tr>
      <w:tr w:rsidR="00856B38" w:rsidRPr="004B508F" w14:paraId="0AFE5EAB" w14:textId="77777777" w:rsidTr="002E7F37">
        <w:trPr>
          <w:cantSplit/>
          <w:trHeight w:val="20"/>
        </w:trPr>
        <w:tc>
          <w:tcPr>
            <w:tcW w:w="1690" w:type="pct"/>
          </w:tcPr>
          <w:p w14:paraId="74836B7F" w14:textId="77777777" w:rsidR="00856B38" w:rsidRPr="004B508F" w:rsidRDefault="00856B38" w:rsidP="002E7F37">
            <w:pPr>
              <w:spacing w:before="20" w:after="20"/>
              <w:rPr>
                <w:rFonts w:cs="Arial"/>
                <w:sz w:val="20"/>
                <w:szCs w:val="20"/>
              </w:rPr>
            </w:pPr>
            <w:r w:rsidRPr="004B508F">
              <w:rPr>
                <w:rFonts w:cs="Arial"/>
                <w:sz w:val="20"/>
                <w:szCs w:val="20"/>
              </w:rPr>
              <w:t>DEER Base Case</w:t>
            </w:r>
          </w:p>
        </w:tc>
        <w:tc>
          <w:tcPr>
            <w:tcW w:w="3310" w:type="pct"/>
          </w:tcPr>
          <w:p w14:paraId="70BFD940" w14:textId="77777777" w:rsidR="00856B38" w:rsidRPr="004B508F" w:rsidRDefault="00856B38" w:rsidP="002E7F37">
            <w:pPr>
              <w:spacing w:before="20" w:after="20"/>
              <w:rPr>
                <w:rFonts w:cs="Arial"/>
                <w:sz w:val="20"/>
                <w:szCs w:val="20"/>
              </w:rPr>
            </w:pPr>
            <w:r w:rsidRPr="004B508F">
              <w:rPr>
                <w:rFonts w:cs="Arial"/>
                <w:sz w:val="20"/>
                <w:szCs w:val="20"/>
              </w:rPr>
              <w:t>No</w:t>
            </w:r>
          </w:p>
        </w:tc>
      </w:tr>
      <w:tr w:rsidR="00856B38" w:rsidRPr="004B508F" w14:paraId="34E8BE73" w14:textId="77777777" w:rsidTr="002E7F37">
        <w:trPr>
          <w:cantSplit/>
          <w:trHeight w:val="20"/>
        </w:trPr>
        <w:tc>
          <w:tcPr>
            <w:tcW w:w="1690" w:type="pct"/>
          </w:tcPr>
          <w:p w14:paraId="5B8287AF" w14:textId="77777777" w:rsidR="00856B38" w:rsidRPr="004B508F" w:rsidRDefault="00856B38" w:rsidP="002E7F37">
            <w:pPr>
              <w:spacing w:before="20" w:after="20"/>
              <w:rPr>
                <w:rFonts w:cs="Arial"/>
                <w:sz w:val="20"/>
                <w:szCs w:val="20"/>
              </w:rPr>
            </w:pPr>
            <w:r w:rsidRPr="004B508F">
              <w:rPr>
                <w:rFonts w:cs="Arial"/>
                <w:sz w:val="20"/>
                <w:szCs w:val="20"/>
              </w:rPr>
              <w:t>DEER Measure Case</w:t>
            </w:r>
          </w:p>
        </w:tc>
        <w:tc>
          <w:tcPr>
            <w:tcW w:w="3310" w:type="pct"/>
          </w:tcPr>
          <w:p w14:paraId="399C1BF1" w14:textId="77777777" w:rsidR="00856B38" w:rsidRPr="004B508F" w:rsidRDefault="00856B38" w:rsidP="002E7F37">
            <w:pPr>
              <w:spacing w:before="20" w:after="20"/>
              <w:rPr>
                <w:rFonts w:cs="Arial"/>
                <w:sz w:val="20"/>
                <w:szCs w:val="20"/>
              </w:rPr>
            </w:pPr>
            <w:r w:rsidRPr="004B508F">
              <w:rPr>
                <w:rFonts w:cs="Arial"/>
                <w:sz w:val="20"/>
                <w:szCs w:val="20"/>
              </w:rPr>
              <w:t>No</w:t>
            </w:r>
          </w:p>
        </w:tc>
      </w:tr>
      <w:tr w:rsidR="00856B38" w:rsidRPr="004B508F" w14:paraId="108A0610" w14:textId="77777777" w:rsidTr="002E7F37">
        <w:trPr>
          <w:cantSplit/>
          <w:trHeight w:val="20"/>
        </w:trPr>
        <w:tc>
          <w:tcPr>
            <w:tcW w:w="1690" w:type="pct"/>
          </w:tcPr>
          <w:p w14:paraId="5FDF09B5" w14:textId="77777777" w:rsidR="00856B38" w:rsidRPr="004B508F" w:rsidRDefault="00856B38" w:rsidP="002E7F37">
            <w:pPr>
              <w:spacing w:before="20" w:after="20"/>
              <w:rPr>
                <w:rFonts w:cs="Arial"/>
                <w:sz w:val="20"/>
                <w:szCs w:val="20"/>
              </w:rPr>
            </w:pPr>
            <w:r w:rsidRPr="004B508F">
              <w:rPr>
                <w:rFonts w:cs="Arial"/>
                <w:sz w:val="20"/>
                <w:szCs w:val="20"/>
              </w:rPr>
              <w:t>DEER Building Types</w:t>
            </w:r>
          </w:p>
        </w:tc>
        <w:tc>
          <w:tcPr>
            <w:tcW w:w="3310" w:type="pct"/>
          </w:tcPr>
          <w:p w14:paraId="0A844CFC" w14:textId="77777777" w:rsidR="00856B38" w:rsidRPr="004B508F" w:rsidRDefault="00856B38" w:rsidP="002E7F37">
            <w:pPr>
              <w:spacing w:before="20" w:after="20"/>
              <w:rPr>
                <w:rFonts w:cs="Arial"/>
                <w:sz w:val="20"/>
                <w:szCs w:val="20"/>
              </w:rPr>
            </w:pPr>
            <w:r w:rsidRPr="004B508F">
              <w:rPr>
                <w:rFonts w:cs="Arial"/>
                <w:sz w:val="20"/>
                <w:szCs w:val="20"/>
              </w:rPr>
              <w:t>No</w:t>
            </w:r>
          </w:p>
        </w:tc>
      </w:tr>
      <w:tr w:rsidR="00856B38" w:rsidRPr="004B508F" w14:paraId="431C17A4" w14:textId="77777777" w:rsidTr="002E7F37">
        <w:trPr>
          <w:cantSplit/>
          <w:trHeight w:val="20"/>
        </w:trPr>
        <w:tc>
          <w:tcPr>
            <w:tcW w:w="1690" w:type="pct"/>
          </w:tcPr>
          <w:p w14:paraId="1A17553A" w14:textId="77777777" w:rsidR="00856B38" w:rsidRPr="004B508F" w:rsidRDefault="00856B38" w:rsidP="002E7F37">
            <w:pPr>
              <w:spacing w:before="20" w:after="20"/>
              <w:rPr>
                <w:rFonts w:cs="Arial"/>
                <w:sz w:val="20"/>
                <w:szCs w:val="20"/>
              </w:rPr>
            </w:pPr>
            <w:r w:rsidRPr="004B508F">
              <w:rPr>
                <w:rFonts w:cs="Arial"/>
                <w:sz w:val="20"/>
                <w:szCs w:val="20"/>
              </w:rPr>
              <w:t>DEER Operating Hours</w:t>
            </w:r>
          </w:p>
        </w:tc>
        <w:tc>
          <w:tcPr>
            <w:tcW w:w="3310" w:type="pct"/>
          </w:tcPr>
          <w:p w14:paraId="0C2D5B81" w14:textId="77777777" w:rsidR="00856B38" w:rsidRPr="004B508F" w:rsidRDefault="00856B38" w:rsidP="002E7F37">
            <w:pPr>
              <w:spacing w:before="20" w:after="20"/>
              <w:rPr>
                <w:rFonts w:cs="Arial"/>
                <w:sz w:val="20"/>
                <w:szCs w:val="20"/>
              </w:rPr>
            </w:pPr>
            <w:r w:rsidRPr="004B508F">
              <w:rPr>
                <w:rFonts w:cs="Arial"/>
                <w:sz w:val="20"/>
                <w:szCs w:val="20"/>
              </w:rPr>
              <w:t>No</w:t>
            </w:r>
          </w:p>
        </w:tc>
      </w:tr>
      <w:tr w:rsidR="00856B38" w:rsidRPr="004B508F" w14:paraId="75DBE91C" w14:textId="77777777" w:rsidTr="002E7F37">
        <w:trPr>
          <w:cantSplit/>
          <w:trHeight w:val="20"/>
        </w:trPr>
        <w:tc>
          <w:tcPr>
            <w:tcW w:w="1690" w:type="pct"/>
          </w:tcPr>
          <w:p w14:paraId="27C3B5C3" w14:textId="77777777" w:rsidR="00856B38" w:rsidRPr="004B508F" w:rsidRDefault="00856B38" w:rsidP="002E7F37">
            <w:pPr>
              <w:spacing w:before="20" w:after="20"/>
              <w:rPr>
                <w:rFonts w:cs="Arial"/>
                <w:sz w:val="20"/>
                <w:szCs w:val="20"/>
              </w:rPr>
            </w:pPr>
            <w:r w:rsidRPr="004B508F">
              <w:rPr>
                <w:rFonts w:cs="Arial"/>
                <w:sz w:val="20"/>
                <w:szCs w:val="20"/>
              </w:rPr>
              <w:t>DEER eQUEST Prototypes</w:t>
            </w:r>
          </w:p>
        </w:tc>
        <w:tc>
          <w:tcPr>
            <w:tcW w:w="3310" w:type="pct"/>
          </w:tcPr>
          <w:p w14:paraId="1A20C2BF" w14:textId="77777777" w:rsidR="00856B38" w:rsidRPr="004B508F" w:rsidDel="00505CEC" w:rsidRDefault="00856B38" w:rsidP="002E7F37">
            <w:pPr>
              <w:spacing w:before="20" w:after="20"/>
              <w:rPr>
                <w:rFonts w:cs="Arial"/>
                <w:sz w:val="20"/>
                <w:szCs w:val="20"/>
              </w:rPr>
            </w:pPr>
            <w:r w:rsidRPr="004B508F">
              <w:rPr>
                <w:rFonts w:cs="Arial"/>
                <w:sz w:val="20"/>
                <w:szCs w:val="20"/>
              </w:rPr>
              <w:t>No</w:t>
            </w:r>
          </w:p>
        </w:tc>
      </w:tr>
      <w:tr w:rsidR="00856B38" w:rsidRPr="004B508F" w14:paraId="6D10E03A" w14:textId="77777777" w:rsidTr="002E7F37">
        <w:trPr>
          <w:cantSplit/>
          <w:trHeight w:val="20"/>
        </w:trPr>
        <w:tc>
          <w:tcPr>
            <w:tcW w:w="1690" w:type="pct"/>
          </w:tcPr>
          <w:p w14:paraId="108ABB34" w14:textId="77777777" w:rsidR="00856B38" w:rsidRPr="004B508F" w:rsidRDefault="00856B38" w:rsidP="002E7F37">
            <w:pPr>
              <w:spacing w:before="20" w:after="20"/>
              <w:rPr>
                <w:rFonts w:cs="Arial"/>
                <w:sz w:val="20"/>
                <w:szCs w:val="20"/>
              </w:rPr>
            </w:pPr>
            <w:r w:rsidRPr="004B508F">
              <w:rPr>
                <w:rFonts w:cs="Arial"/>
                <w:sz w:val="20"/>
                <w:szCs w:val="20"/>
              </w:rPr>
              <w:t>DEER Version</w:t>
            </w:r>
          </w:p>
        </w:tc>
        <w:tc>
          <w:tcPr>
            <w:tcW w:w="3310" w:type="pct"/>
          </w:tcPr>
          <w:p w14:paraId="353C8040" w14:textId="77777777" w:rsidR="00856B38" w:rsidRPr="004B508F" w:rsidRDefault="00856B38" w:rsidP="002E7F37">
            <w:pPr>
              <w:spacing w:before="20" w:after="20"/>
              <w:rPr>
                <w:rFonts w:cs="Arial"/>
                <w:sz w:val="20"/>
                <w:szCs w:val="20"/>
              </w:rPr>
            </w:pPr>
            <w:r w:rsidRPr="004B508F">
              <w:rPr>
                <w:rFonts w:cstheme="minorHAnsi"/>
                <w:sz w:val="20"/>
                <w:szCs w:val="20"/>
              </w:rPr>
              <w:t>N/A</w:t>
            </w:r>
          </w:p>
        </w:tc>
      </w:tr>
      <w:tr w:rsidR="00856B38" w:rsidRPr="004B508F" w14:paraId="17C14B4D" w14:textId="77777777" w:rsidTr="002E7F37">
        <w:trPr>
          <w:cantSplit/>
          <w:trHeight w:val="20"/>
        </w:trPr>
        <w:tc>
          <w:tcPr>
            <w:tcW w:w="1690" w:type="pct"/>
          </w:tcPr>
          <w:p w14:paraId="3B770E20" w14:textId="77777777" w:rsidR="00856B38" w:rsidRPr="004B508F" w:rsidRDefault="00856B38" w:rsidP="002E7F37">
            <w:pPr>
              <w:spacing w:before="20" w:after="20"/>
              <w:rPr>
                <w:rFonts w:cs="Arial"/>
                <w:sz w:val="20"/>
                <w:szCs w:val="20"/>
              </w:rPr>
            </w:pPr>
            <w:r w:rsidRPr="004B508F">
              <w:rPr>
                <w:rFonts w:cs="Arial"/>
                <w:sz w:val="20"/>
                <w:szCs w:val="20"/>
              </w:rPr>
              <w:t>Reason for Deviation from DEER</w:t>
            </w:r>
          </w:p>
        </w:tc>
        <w:tc>
          <w:tcPr>
            <w:tcW w:w="3310" w:type="pct"/>
          </w:tcPr>
          <w:p w14:paraId="6165C19B" w14:textId="77777777" w:rsidR="00856B38" w:rsidRPr="004B508F" w:rsidRDefault="00856B38" w:rsidP="002E7F37">
            <w:pPr>
              <w:spacing w:before="20" w:after="20"/>
              <w:rPr>
                <w:rFonts w:cs="Arial"/>
                <w:sz w:val="20"/>
                <w:szCs w:val="20"/>
              </w:rPr>
            </w:pPr>
            <w:r w:rsidRPr="004B508F">
              <w:rPr>
                <w:rFonts w:cs="Arial"/>
                <w:sz w:val="20"/>
                <w:szCs w:val="20"/>
              </w:rPr>
              <w:t>N/A</w:t>
            </w:r>
          </w:p>
        </w:tc>
      </w:tr>
      <w:tr w:rsidR="00856B38" w:rsidRPr="004B508F" w14:paraId="04B43843" w14:textId="77777777" w:rsidTr="002E7F37">
        <w:trPr>
          <w:cantSplit/>
          <w:trHeight w:val="20"/>
        </w:trPr>
        <w:tc>
          <w:tcPr>
            <w:tcW w:w="1690" w:type="pct"/>
          </w:tcPr>
          <w:p w14:paraId="6D728357" w14:textId="77777777" w:rsidR="00856B38" w:rsidRPr="004B508F" w:rsidRDefault="00856B38" w:rsidP="002E7F37">
            <w:pPr>
              <w:spacing w:before="20" w:after="20"/>
              <w:rPr>
                <w:rFonts w:cs="Arial"/>
                <w:sz w:val="20"/>
                <w:szCs w:val="20"/>
              </w:rPr>
            </w:pPr>
            <w:r w:rsidRPr="004B508F">
              <w:rPr>
                <w:rFonts w:cs="Arial"/>
                <w:sz w:val="20"/>
                <w:szCs w:val="20"/>
              </w:rPr>
              <w:t>DEER Measure IDs Used</w:t>
            </w:r>
          </w:p>
        </w:tc>
        <w:tc>
          <w:tcPr>
            <w:tcW w:w="3310" w:type="pct"/>
          </w:tcPr>
          <w:p w14:paraId="5D258D8D" w14:textId="77777777" w:rsidR="00856B38" w:rsidRPr="004B508F" w:rsidRDefault="00856B38" w:rsidP="002E7F37">
            <w:pPr>
              <w:spacing w:before="20" w:after="20"/>
              <w:rPr>
                <w:rFonts w:cs="Arial"/>
                <w:sz w:val="20"/>
                <w:szCs w:val="20"/>
              </w:rPr>
            </w:pPr>
            <w:r w:rsidRPr="004B508F">
              <w:rPr>
                <w:rFonts w:cs="Arial"/>
                <w:sz w:val="20"/>
                <w:szCs w:val="20"/>
              </w:rPr>
              <w:t>N/A</w:t>
            </w:r>
          </w:p>
        </w:tc>
      </w:tr>
      <w:tr w:rsidR="004B508F" w:rsidRPr="004B508F" w14:paraId="18404B45" w14:textId="77777777" w:rsidTr="002E7F37">
        <w:trPr>
          <w:cantSplit/>
          <w:trHeight w:val="20"/>
        </w:trPr>
        <w:tc>
          <w:tcPr>
            <w:tcW w:w="1690" w:type="pct"/>
          </w:tcPr>
          <w:p w14:paraId="10DF143F" w14:textId="77777777" w:rsidR="004B508F" w:rsidRPr="004B508F" w:rsidRDefault="004B508F" w:rsidP="002E7F37">
            <w:pPr>
              <w:spacing w:before="20" w:after="20"/>
              <w:rPr>
                <w:rFonts w:cs="Arial"/>
                <w:sz w:val="20"/>
                <w:szCs w:val="20"/>
              </w:rPr>
            </w:pPr>
            <w:r w:rsidRPr="004B508F">
              <w:rPr>
                <w:rFonts w:cs="Arial"/>
                <w:sz w:val="20"/>
                <w:szCs w:val="20"/>
              </w:rPr>
              <w:t>NTG</w:t>
            </w:r>
          </w:p>
        </w:tc>
        <w:tc>
          <w:tcPr>
            <w:tcW w:w="3310" w:type="pct"/>
          </w:tcPr>
          <w:p w14:paraId="59186750" w14:textId="13EF9A23" w:rsidR="004B508F" w:rsidRPr="004B508F" w:rsidRDefault="004B508F" w:rsidP="002E7F37">
            <w:pPr>
              <w:spacing w:before="20" w:after="20"/>
              <w:rPr>
                <w:rFonts w:cs="Arial"/>
                <w:sz w:val="20"/>
                <w:szCs w:val="20"/>
              </w:rPr>
            </w:pPr>
            <w:r>
              <w:rPr>
                <w:rFonts w:eastAsia="Times New Roman" w:cs="Times New Roman"/>
                <w:color w:val="000000"/>
                <w:sz w:val="20"/>
                <w:szCs w:val="28"/>
              </w:rPr>
              <w:t xml:space="preserve">Source: DEER. The value of 0.60 is associated with NTG ID: </w:t>
            </w:r>
            <w:r w:rsidRPr="009711E5">
              <w:rPr>
                <w:rFonts w:eastAsia="Times New Roman" w:cs="Times New Roman"/>
                <w:i/>
                <w:color w:val="000000"/>
                <w:sz w:val="20"/>
                <w:szCs w:val="20"/>
              </w:rPr>
              <w:t xml:space="preserve">Com-Default&gt;2yrs, Agric-Default&gt;2yrs, and Ind-Default&gt;2yrs </w:t>
            </w:r>
          </w:p>
        </w:tc>
      </w:tr>
      <w:tr w:rsidR="004B508F" w:rsidRPr="004B508F" w14:paraId="4493269C" w14:textId="77777777" w:rsidTr="002E7F37">
        <w:trPr>
          <w:cantSplit/>
          <w:trHeight w:val="20"/>
        </w:trPr>
        <w:tc>
          <w:tcPr>
            <w:tcW w:w="1690" w:type="pct"/>
          </w:tcPr>
          <w:p w14:paraId="75945C6C" w14:textId="77777777" w:rsidR="004B508F" w:rsidRPr="004B508F" w:rsidRDefault="004B508F" w:rsidP="002E7F37">
            <w:pPr>
              <w:spacing w:before="20" w:after="20"/>
              <w:rPr>
                <w:rFonts w:cs="Arial"/>
                <w:sz w:val="20"/>
                <w:szCs w:val="20"/>
              </w:rPr>
            </w:pPr>
            <w:r w:rsidRPr="004B508F">
              <w:rPr>
                <w:rFonts w:cs="Arial"/>
                <w:sz w:val="20"/>
                <w:szCs w:val="20"/>
              </w:rPr>
              <w:t>GSIA</w:t>
            </w:r>
          </w:p>
        </w:tc>
        <w:tc>
          <w:tcPr>
            <w:tcW w:w="3310" w:type="pct"/>
          </w:tcPr>
          <w:p w14:paraId="57AA8A94" w14:textId="749A1A62" w:rsidR="004B508F" w:rsidRPr="004B508F" w:rsidRDefault="004B508F" w:rsidP="002E7F37">
            <w:pPr>
              <w:spacing w:before="20" w:after="20"/>
              <w:rPr>
                <w:rFonts w:cs="Arial"/>
                <w:sz w:val="20"/>
                <w:szCs w:val="20"/>
              </w:rPr>
            </w:pPr>
            <w:r>
              <w:rPr>
                <w:rFonts w:cs="Arial"/>
                <w:sz w:val="20"/>
                <w:szCs w:val="20"/>
              </w:rPr>
              <w:t xml:space="preserve">Source: DEER. The value of 1.0 is associated with GSIA ID: </w:t>
            </w:r>
            <w:r w:rsidRPr="004217B1">
              <w:rPr>
                <w:rFonts w:cs="Arial"/>
                <w:i/>
                <w:sz w:val="20"/>
                <w:szCs w:val="20"/>
              </w:rPr>
              <w:t>Def-GSIA</w:t>
            </w:r>
          </w:p>
        </w:tc>
      </w:tr>
      <w:tr w:rsidR="004B508F" w:rsidRPr="004B508F" w14:paraId="30629B85" w14:textId="77777777" w:rsidTr="002E7F37">
        <w:trPr>
          <w:cantSplit/>
          <w:trHeight w:val="20"/>
        </w:trPr>
        <w:tc>
          <w:tcPr>
            <w:tcW w:w="1690" w:type="pct"/>
          </w:tcPr>
          <w:p w14:paraId="5C3CF627" w14:textId="77777777" w:rsidR="004B508F" w:rsidRPr="004B508F" w:rsidRDefault="004B508F" w:rsidP="002E7F37">
            <w:pPr>
              <w:spacing w:before="20" w:after="20"/>
              <w:rPr>
                <w:rFonts w:cs="Arial"/>
                <w:sz w:val="20"/>
                <w:szCs w:val="20"/>
              </w:rPr>
            </w:pPr>
            <w:r w:rsidRPr="004B508F">
              <w:rPr>
                <w:rFonts w:cs="Arial"/>
                <w:sz w:val="20"/>
                <w:szCs w:val="20"/>
              </w:rPr>
              <w:t>EUL/RUL</w:t>
            </w:r>
          </w:p>
        </w:tc>
        <w:tc>
          <w:tcPr>
            <w:tcW w:w="3310" w:type="pct"/>
          </w:tcPr>
          <w:p w14:paraId="23891E25" w14:textId="072C225B" w:rsidR="004B508F" w:rsidRPr="00B12077" w:rsidRDefault="004B508F" w:rsidP="002E7F37">
            <w:pPr>
              <w:spacing w:before="20" w:after="20"/>
              <w:rPr>
                <w:rFonts w:eastAsia="Times New Roman" w:cs="Times New Roman"/>
                <w:i/>
                <w:color w:val="000000"/>
                <w:sz w:val="20"/>
                <w:szCs w:val="28"/>
              </w:rPr>
            </w:pPr>
            <w:r>
              <w:rPr>
                <w:rFonts w:eastAsia="Times New Roman" w:cs="Times New Roman"/>
                <w:color w:val="000000"/>
                <w:sz w:val="20"/>
                <w:szCs w:val="28"/>
              </w:rPr>
              <w:t xml:space="preserve">Source: DEER. The </w:t>
            </w:r>
            <w:r w:rsidR="008C3753">
              <w:rPr>
                <w:rFonts w:eastAsia="Times New Roman" w:cs="Times New Roman"/>
                <w:color w:val="000000"/>
                <w:sz w:val="20"/>
                <w:szCs w:val="28"/>
              </w:rPr>
              <w:t xml:space="preserve">EUL </w:t>
            </w:r>
            <w:r>
              <w:rPr>
                <w:rFonts w:eastAsia="Times New Roman" w:cs="Times New Roman"/>
                <w:color w:val="000000"/>
                <w:sz w:val="20"/>
                <w:szCs w:val="28"/>
              </w:rPr>
              <w:t xml:space="preserve">value of </w:t>
            </w:r>
            <w:r w:rsidR="008C3753">
              <w:rPr>
                <w:rFonts w:eastAsia="Times New Roman" w:cs="Times New Roman"/>
                <w:color w:val="000000"/>
                <w:sz w:val="20"/>
                <w:szCs w:val="28"/>
              </w:rPr>
              <w:t>12</w:t>
            </w:r>
            <w:r>
              <w:rPr>
                <w:rFonts w:eastAsia="Times New Roman" w:cs="Times New Roman"/>
                <w:color w:val="000000"/>
                <w:sz w:val="20"/>
                <w:szCs w:val="28"/>
              </w:rPr>
              <w:t xml:space="preserve"> years is associated with EUL ID</w:t>
            </w:r>
            <w:r w:rsidR="00ED0D4B">
              <w:rPr>
                <w:rFonts w:eastAsia="Times New Roman" w:cs="Times New Roman"/>
                <w:color w:val="000000"/>
                <w:sz w:val="20"/>
                <w:szCs w:val="28"/>
              </w:rPr>
              <w:t>s</w:t>
            </w:r>
            <w:r>
              <w:rPr>
                <w:rFonts w:eastAsia="Times New Roman" w:cs="Times New Roman"/>
                <w:color w:val="000000"/>
                <w:sz w:val="20"/>
                <w:szCs w:val="28"/>
              </w:rPr>
              <w:t xml:space="preserve">: </w:t>
            </w:r>
          </w:p>
          <w:p w14:paraId="29BC1AF3" w14:textId="304E9426" w:rsidR="004B508F" w:rsidRPr="004B508F" w:rsidRDefault="004B508F" w:rsidP="002E7F37">
            <w:pPr>
              <w:spacing w:before="0" w:after="0" w:line="240" w:lineRule="auto"/>
              <w:rPr>
                <w:rFonts w:cs="Arial"/>
                <w:sz w:val="20"/>
                <w:szCs w:val="20"/>
              </w:rPr>
            </w:pPr>
            <w:r w:rsidRPr="004B508F">
              <w:rPr>
                <w:rFonts w:eastAsia="Times New Roman" w:cs="Times New Roman"/>
                <w:i/>
                <w:color w:val="000000"/>
                <w:sz w:val="20"/>
                <w:szCs w:val="22"/>
              </w:rPr>
              <w:t>Cook-</w:t>
            </w:r>
            <w:proofErr w:type="spellStart"/>
            <w:r w:rsidRPr="004B508F">
              <w:rPr>
                <w:rFonts w:eastAsia="Times New Roman" w:cs="Times New Roman"/>
                <w:i/>
                <w:color w:val="000000"/>
                <w:sz w:val="20"/>
                <w:szCs w:val="22"/>
              </w:rPr>
              <w:t>SDFreez</w:t>
            </w:r>
            <w:proofErr w:type="spellEnd"/>
            <w:r>
              <w:rPr>
                <w:rFonts w:eastAsia="Times New Roman" w:cs="Times New Roman"/>
                <w:i/>
                <w:color w:val="000000"/>
                <w:sz w:val="20"/>
                <w:szCs w:val="22"/>
              </w:rPr>
              <w:t xml:space="preserve"> and </w:t>
            </w:r>
            <w:r w:rsidRPr="004B508F">
              <w:rPr>
                <w:rFonts w:eastAsia="Times New Roman" w:cs="Times New Roman"/>
                <w:i/>
                <w:color w:val="000000"/>
                <w:sz w:val="20"/>
                <w:szCs w:val="22"/>
              </w:rPr>
              <w:t>Cook-</w:t>
            </w:r>
            <w:proofErr w:type="spellStart"/>
            <w:r w:rsidRPr="004B508F">
              <w:rPr>
                <w:rFonts w:eastAsia="Times New Roman" w:cs="Times New Roman"/>
                <w:i/>
                <w:color w:val="000000"/>
                <w:sz w:val="20"/>
                <w:szCs w:val="22"/>
              </w:rPr>
              <w:t>SDRef</w:t>
            </w:r>
            <w:proofErr w:type="spellEnd"/>
          </w:p>
        </w:tc>
      </w:tr>
    </w:tbl>
    <w:p w14:paraId="148BD467" w14:textId="62399ECE" w:rsidR="00100DF1" w:rsidRDefault="00100DF1" w:rsidP="00100DF1"/>
    <w:p w14:paraId="578E33BB" w14:textId="0563602F" w:rsidR="00581322" w:rsidRDefault="00581322" w:rsidP="00100DF1"/>
    <w:p w14:paraId="506D96FB" w14:textId="094AD7E1" w:rsidR="00581322" w:rsidRDefault="00581322" w:rsidP="00100DF1"/>
    <w:p w14:paraId="1748829F" w14:textId="77777777" w:rsidR="00581322" w:rsidRDefault="00581322" w:rsidP="00100DF1"/>
    <w:p w14:paraId="536035CE" w14:textId="77777777" w:rsidR="00100DF1" w:rsidRDefault="00100DF1" w:rsidP="00CA5558">
      <w:pPr>
        <w:pStyle w:val="eTRMHeading3"/>
      </w:pPr>
      <w:bookmarkStart w:id="85" w:name="_Toc486490866"/>
      <w:bookmarkStart w:id="86" w:name="_Toc486580937"/>
      <w:bookmarkStart w:id="87" w:name="_Toc515951877"/>
      <w:bookmarkStart w:id="88" w:name="_Toc1120831"/>
      <w:bookmarkStart w:id="89" w:name="_Hlk516047558"/>
      <w:r w:rsidRPr="004B06E3">
        <w:lastRenderedPageBreak/>
        <w:t>Revision History</w:t>
      </w:r>
      <w:bookmarkEnd w:id="85"/>
      <w:bookmarkEnd w:id="86"/>
      <w:bookmarkEnd w:id="87"/>
      <w:bookmarkEnd w:id="88"/>
    </w:p>
    <w:p w14:paraId="2CFCF721" w14:textId="55973D6A" w:rsidR="00100DF1" w:rsidRDefault="00100DF1" w:rsidP="00CA5558">
      <w:pPr>
        <w:pStyle w:val="Caption"/>
      </w:pPr>
      <w:bookmarkStart w:id="90" w:name="_Hlk515959178"/>
      <w:r>
        <w:t>Measure Characterization Revision History</w:t>
      </w:r>
    </w:p>
    <w:tbl>
      <w:tblPr>
        <w:tblW w:w="5145"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67"/>
        <w:gridCol w:w="1586"/>
        <w:gridCol w:w="1805"/>
        <w:gridCol w:w="5263"/>
      </w:tblGrid>
      <w:tr w:rsidR="001F4DB0" w:rsidRPr="00500C4E" w14:paraId="47162EFB" w14:textId="77777777" w:rsidTr="009B2663">
        <w:trPr>
          <w:trHeight w:val="20"/>
          <w:tblHeader/>
        </w:trPr>
        <w:tc>
          <w:tcPr>
            <w:tcW w:w="503" w:type="pct"/>
            <w:shd w:val="clear" w:color="auto" w:fill="F2F2F2" w:themeFill="background1" w:themeFillShade="F2"/>
            <w:vAlign w:val="bottom"/>
          </w:tcPr>
          <w:p w14:paraId="7FA177EA" w14:textId="4180373A" w:rsidR="001F4DB0" w:rsidRPr="00EA057C" w:rsidRDefault="001F4DB0" w:rsidP="00212961">
            <w:pPr>
              <w:keepNext/>
              <w:keepLines/>
              <w:tabs>
                <w:tab w:val="right" w:pos="2957"/>
              </w:tabs>
              <w:spacing w:before="20" w:after="20"/>
              <w:rPr>
                <w:rFonts w:cs="Arial"/>
                <w:b/>
                <w:sz w:val="20"/>
                <w:szCs w:val="20"/>
              </w:rPr>
            </w:pPr>
            <w:r>
              <w:rPr>
                <w:rFonts w:cs="Arial"/>
                <w:b/>
                <w:sz w:val="20"/>
                <w:szCs w:val="20"/>
              </w:rPr>
              <w:t>Revision Number</w:t>
            </w:r>
          </w:p>
        </w:tc>
        <w:tc>
          <w:tcPr>
            <w:tcW w:w="824" w:type="pct"/>
            <w:shd w:val="clear" w:color="auto" w:fill="F2F2F2" w:themeFill="background1" w:themeFillShade="F2"/>
            <w:vAlign w:val="bottom"/>
          </w:tcPr>
          <w:p w14:paraId="70823E6C" w14:textId="42A2BA61" w:rsidR="001F4DB0" w:rsidRPr="00EA057C" w:rsidRDefault="001F4DB0" w:rsidP="00212961">
            <w:pPr>
              <w:keepNext/>
              <w:keepLines/>
              <w:spacing w:before="20" w:after="20"/>
              <w:rPr>
                <w:rFonts w:cs="Arial"/>
                <w:b/>
                <w:sz w:val="20"/>
                <w:szCs w:val="20"/>
              </w:rPr>
            </w:pPr>
            <w:r>
              <w:rPr>
                <w:rFonts w:cs="Arial"/>
                <w:b/>
                <w:sz w:val="20"/>
                <w:szCs w:val="20"/>
              </w:rPr>
              <w:t>Revision Complete Date</w:t>
            </w:r>
          </w:p>
        </w:tc>
        <w:tc>
          <w:tcPr>
            <w:tcW w:w="938" w:type="pct"/>
            <w:shd w:val="clear" w:color="auto" w:fill="F2F2F2" w:themeFill="background1" w:themeFillShade="F2"/>
            <w:vAlign w:val="bottom"/>
          </w:tcPr>
          <w:p w14:paraId="4FA19D29" w14:textId="3EDF1C8B" w:rsidR="001F4DB0" w:rsidRDefault="001F4DB0" w:rsidP="00212961">
            <w:pPr>
              <w:keepNext/>
              <w:keepLines/>
              <w:spacing w:before="20" w:after="20"/>
              <w:rPr>
                <w:rFonts w:cs="Arial"/>
                <w:b/>
                <w:sz w:val="20"/>
                <w:szCs w:val="20"/>
              </w:rPr>
            </w:pPr>
            <w:r>
              <w:rPr>
                <w:rFonts w:cs="Arial"/>
                <w:b/>
                <w:sz w:val="20"/>
                <w:szCs w:val="20"/>
              </w:rPr>
              <w:t>Primary Author, Title, Organization</w:t>
            </w:r>
          </w:p>
        </w:tc>
        <w:tc>
          <w:tcPr>
            <w:tcW w:w="2735" w:type="pct"/>
            <w:shd w:val="clear" w:color="auto" w:fill="F2F2F2" w:themeFill="background1" w:themeFillShade="F2"/>
            <w:vAlign w:val="bottom"/>
          </w:tcPr>
          <w:p w14:paraId="3C348D1C" w14:textId="6DD7F45D" w:rsidR="001F4DB0" w:rsidRDefault="001F4DB0" w:rsidP="00212961">
            <w:pPr>
              <w:keepNext/>
              <w:keepLines/>
              <w:spacing w:before="20" w:after="20"/>
              <w:rPr>
                <w:rFonts w:cs="Arial"/>
                <w:b/>
                <w:sz w:val="20"/>
                <w:szCs w:val="20"/>
              </w:rPr>
            </w:pPr>
            <w:r>
              <w:rPr>
                <w:rFonts w:cs="Arial"/>
                <w:b/>
                <w:sz w:val="20"/>
                <w:szCs w:val="20"/>
              </w:rPr>
              <w:t xml:space="preserve">Revision Summary </w:t>
            </w:r>
          </w:p>
        </w:tc>
      </w:tr>
      <w:tr w:rsidR="00581322" w:rsidRPr="00CA1CB3" w14:paraId="5F750691" w14:textId="77777777" w:rsidTr="009B2663">
        <w:trPr>
          <w:trHeight w:val="20"/>
        </w:trPr>
        <w:tc>
          <w:tcPr>
            <w:tcW w:w="503" w:type="pct"/>
            <w:vMerge w:val="restart"/>
          </w:tcPr>
          <w:p w14:paraId="37704D6B" w14:textId="77777777" w:rsidR="00581322" w:rsidRPr="008E3BE9" w:rsidRDefault="00581322" w:rsidP="002E7F37">
            <w:pPr>
              <w:spacing w:before="20" w:after="20"/>
              <w:rPr>
                <w:rFonts w:cs="Arial"/>
                <w:sz w:val="20"/>
                <w:szCs w:val="20"/>
              </w:rPr>
            </w:pPr>
            <w:r w:rsidRPr="008E3BE9">
              <w:rPr>
                <w:rFonts w:cs="Arial"/>
                <w:sz w:val="20"/>
                <w:szCs w:val="20"/>
              </w:rPr>
              <w:t>01</w:t>
            </w:r>
          </w:p>
        </w:tc>
        <w:tc>
          <w:tcPr>
            <w:tcW w:w="824" w:type="pct"/>
          </w:tcPr>
          <w:p w14:paraId="6A56E154" w14:textId="0A090E44" w:rsidR="00581322" w:rsidRPr="008E3BE9" w:rsidRDefault="00581322" w:rsidP="002E7F37">
            <w:pPr>
              <w:spacing w:before="20" w:after="20"/>
              <w:rPr>
                <w:rFonts w:cs="Arial"/>
                <w:sz w:val="20"/>
                <w:szCs w:val="20"/>
              </w:rPr>
            </w:pPr>
            <w:r w:rsidRPr="008E3BE9">
              <w:rPr>
                <w:rFonts w:cs="Arial"/>
                <w:sz w:val="20"/>
                <w:szCs w:val="20"/>
              </w:rPr>
              <w:t>03/31/2018</w:t>
            </w:r>
          </w:p>
        </w:tc>
        <w:tc>
          <w:tcPr>
            <w:tcW w:w="938" w:type="pct"/>
          </w:tcPr>
          <w:p w14:paraId="220F3D17" w14:textId="1288931B" w:rsidR="00581322" w:rsidRPr="008E3BE9" w:rsidRDefault="00581322" w:rsidP="002E7F37">
            <w:pPr>
              <w:spacing w:before="20" w:after="20"/>
              <w:rPr>
                <w:rFonts w:cs="Arial"/>
                <w:sz w:val="20"/>
                <w:szCs w:val="20"/>
              </w:rPr>
            </w:pPr>
            <w:r w:rsidRPr="008E3BE9">
              <w:rPr>
                <w:rFonts w:cs="Arial"/>
                <w:sz w:val="20"/>
                <w:szCs w:val="20"/>
              </w:rPr>
              <w:t>Jennifer Holmes</w:t>
            </w:r>
          </w:p>
          <w:p w14:paraId="3DA77293" w14:textId="77777777" w:rsidR="00581322" w:rsidRPr="008E3BE9" w:rsidRDefault="00581322" w:rsidP="002E7F37">
            <w:pPr>
              <w:spacing w:before="20" w:after="20"/>
              <w:rPr>
                <w:rFonts w:cs="Arial"/>
                <w:sz w:val="20"/>
                <w:szCs w:val="20"/>
              </w:rPr>
            </w:pPr>
            <w:r w:rsidRPr="008E3BE9">
              <w:rPr>
                <w:rFonts w:cs="Arial"/>
                <w:sz w:val="20"/>
                <w:szCs w:val="20"/>
              </w:rPr>
              <w:t>Cal TF Staff</w:t>
            </w:r>
          </w:p>
        </w:tc>
        <w:tc>
          <w:tcPr>
            <w:tcW w:w="2735" w:type="pct"/>
          </w:tcPr>
          <w:p w14:paraId="5BE3355C" w14:textId="77777777" w:rsidR="00581322" w:rsidRPr="008E3BE9" w:rsidRDefault="00581322" w:rsidP="002E7F37">
            <w:pPr>
              <w:spacing w:before="20" w:after="20"/>
              <w:rPr>
                <w:rFonts w:cs="Arial"/>
                <w:sz w:val="20"/>
                <w:szCs w:val="20"/>
              </w:rPr>
            </w:pPr>
            <w:r w:rsidRPr="008E3BE9">
              <w:rPr>
                <w:rFonts w:cs="Arial"/>
                <w:sz w:val="20"/>
                <w:szCs w:val="20"/>
              </w:rPr>
              <w:t>Draft of consolidated text for this statewide measure is based upon:</w:t>
            </w:r>
          </w:p>
          <w:p w14:paraId="0229651C" w14:textId="729095E5" w:rsidR="00581322" w:rsidRDefault="00581322" w:rsidP="002E7F37">
            <w:pPr>
              <w:spacing w:before="20" w:after="20"/>
              <w:rPr>
                <w:rFonts w:cs="Arial"/>
                <w:sz w:val="20"/>
                <w:szCs w:val="20"/>
              </w:rPr>
            </w:pPr>
            <w:r>
              <w:rPr>
                <w:rFonts w:cs="Arial"/>
                <w:sz w:val="20"/>
                <w:szCs w:val="20"/>
              </w:rPr>
              <w:t>PGECOFST124 Revision 4 (Rev 3 on cover), March 2, 2017</w:t>
            </w:r>
          </w:p>
          <w:p w14:paraId="45EFF45E" w14:textId="5BB9CE3A" w:rsidR="00581322" w:rsidRPr="008E3BE9" w:rsidRDefault="00581322" w:rsidP="002E7F37">
            <w:pPr>
              <w:spacing w:before="20" w:after="20"/>
              <w:rPr>
                <w:rFonts w:cs="Arial"/>
                <w:sz w:val="20"/>
                <w:szCs w:val="20"/>
              </w:rPr>
            </w:pPr>
            <w:r w:rsidRPr="008E3BE9">
              <w:rPr>
                <w:rFonts w:cs="Arial"/>
                <w:sz w:val="20"/>
                <w:szCs w:val="20"/>
              </w:rPr>
              <w:t>PGECOFST123 Revision 3 (December 7, 2016)</w:t>
            </w:r>
          </w:p>
          <w:p w14:paraId="5950095E" w14:textId="798694A6" w:rsidR="00581322" w:rsidRPr="008E3BE9" w:rsidRDefault="00581322" w:rsidP="002E7F37">
            <w:pPr>
              <w:spacing w:before="20" w:after="20"/>
              <w:rPr>
                <w:rFonts w:cs="Arial"/>
                <w:sz w:val="20"/>
                <w:szCs w:val="20"/>
              </w:rPr>
            </w:pPr>
            <w:r w:rsidRPr="008E3BE9">
              <w:rPr>
                <w:rFonts w:cs="Arial"/>
                <w:sz w:val="20"/>
                <w:szCs w:val="20"/>
              </w:rPr>
              <w:t>SCE13CC001 Revision 3 (January 26, 2016)</w:t>
            </w:r>
          </w:p>
          <w:p w14:paraId="368300F6" w14:textId="2B1E8BE3" w:rsidR="00581322" w:rsidRPr="008E3BE9" w:rsidRDefault="00581322" w:rsidP="002E7F37">
            <w:pPr>
              <w:spacing w:before="20" w:after="20"/>
              <w:rPr>
                <w:rFonts w:cs="Arial"/>
                <w:sz w:val="20"/>
                <w:szCs w:val="20"/>
              </w:rPr>
            </w:pPr>
            <w:r w:rsidRPr="008E3BE9">
              <w:rPr>
                <w:rFonts w:cs="Arial"/>
                <w:sz w:val="20"/>
                <w:szCs w:val="20"/>
              </w:rPr>
              <w:t xml:space="preserve">WPSDGENRR0010 Revision 2.1 (May 29, 2015) </w:t>
            </w:r>
          </w:p>
          <w:p w14:paraId="5D74A89A" w14:textId="07FBC112" w:rsidR="00581322" w:rsidRPr="00CA1CB3" w:rsidRDefault="00581322" w:rsidP="002E7F37">
            <w:pPr>
              <w:spacing w:before="20" w:after="20"/>
              <w:rPr>
                <w:rFonts w:cs="Arial"/>
                <w:sz w:val="20"/>
                <w:szCs w:val="20"/>
              </w:rPr>
            </w:pPr>
            <w:r w:rsidRPr="008E3BE9">
              <w:rPr>
                <w:rFonts w:cs="Arial"/>
                <w:sz w:val="20"/>
                <w:szCs w:val="20"/>
              </w:rPr>
              <w:t>Consensus reached among Cal TF members</w:t>
            </w:r>
          </w:p>
        </w:tc>
      </w:tr>
      <w:tr w:rsidR="00581322" w:rsidRPr="00CA1CB3" w14:paraId="666D5FDD" w14:textId="77777777" w:rsidTr="009B2663">
        <w:trPr>
          <w:trHeight w:val="20"/>
        </w:trPr>
        <w:tc>
          <w:tcPr>
            <w:tcW w:w="503" w:type="pct"/>
            <w:vMerge/>
          </w:tcPr>
          <w:p w14:paraId="51E66F8D" w14:textId="77777777" w:rsidR="00581322" w:rsidRPr="008E3BE9" w:rsidRDefault="00581322" w:rsidP="002E7F37">
            <w:pPr>
              <w:spacing w:before="20" w:after="20"/>
              <w:rPr>
                <w:rFonts w:cs="Arial"/>
                <w:sz w:val="20"/>
                <w:szCs w:val="20"/>
              </w:rPr>
            </w:pPr>
          </w:p>
        </w:tc>
        <w:tc>
          <w:tcPr>
            <w:tcW w:w="824" w:type="pct"/>
          </w:tcPr>
          <w:p w14:paraId="10524765" w14:textId="3ACE836C" w:rsidR="00581322" w:rsidRPr="008E3BE9" w:rsidRDefault="00581322" w:rsidP="002E7F37">
            <w:pPr>
              <w:spacing w:before="20" w:after="20"/>
              <w:rPr>
                <w:rFonts w:cs="Arial"/>
                <w:sz w:val="20"/>
                <w:szCs w:val="20"/>
              </w:rPr>
            </w:pPr>
            <w:r>
              <w:rPr>
                <w:rFonts w:cs="Arial"/>
                <w:sz w:val="20"/>
                <w:szCs w:val="20"/>
              </w:rPr>
              <w:t>11/30/2018</w:t>
            </w:r>
          </w:p>
        </w:tc>
        <w:tc>
          <w:tcPr>
            <w:tcW w:w="938" w:type="pct"/>
          </w:tcPr>
          <w:p w14:paraId="6E2DBAB1" w14:textId="77777777" w:rsidR="00581322" w:rsidRPr="008E3BE9" w:rsidRDefault="00581322" w:rsidP="002E7F37">
            <w:pPr>
              <w:spacing w:before="20" w:after="20"/>
              <w:rPr>
                <w:rFonts w:cs="Arial"/>
                <w:sz w:val="20"/>
                <w:szCs w:val="20"/>
              </w:rPr>
            </w:pPr>
            <w:r w:rsidRPr="008E3BE9">
              <w:rPr>
                <w:rFonts w:cs="Arial"/>
                <w:sz w:val="20"/>
                <w:szCs w:val="20"/>
              </w:rPr>
              <w:t>Jennifer Holmes</w:t>
            </w:r>
          </w:p>
          <w:p w14:paraId="3F89B8FF" w14:textId="6B60107C" w:rsidR="00581322" w:rsidRPr="008E3BE9" w:rsidRDefault="00581322" w:rsidP="002E7F37">
            <w:pPr>
              <w:spacing w:before="20" w:after="20"/>
              <w:rPr>
                <w:rFonts w:cs="Arial"/>
                <w:sz w:val="20"/>
                <w:szCs w:val="20"/>
              </w:rPr>
            </w:pPr>
            <w:r w:rsidRPr="008E3BE9">
              <w:rPr>
                <w:rFonts w:cs="Arial"/>
                <w:sz w:val="20"/>
                <w:szCs w:val="20"/>
              </w:rPr>
              <w:t>Cal TF Staff</w:t>
            </w:r>
          </w:p>
        </w:tc>
        <w:tc>
          <w:tcPr>
            <w:tcW w:w="2735" w:type="pct"/>
          </w:tcPr>
          <w:p w14:paraId="5E009CA0" w14:textId="512B64B3" w:rsidR="00581322" w:rsidRDefault="00581322" w:rsidP="002E7F37">
            <w:pPr>
              <w:spacing w:before="20" w:after="20"/>
              <w:rPr>
                <w:rFonts w:cs="Arial"/>
                <w:sz w:val="20"/>
                <w:szCs w:val="20"/>
              </w:rPr>
            </w:pPr>
            <w:r>
              <w:rPr>
                <w:rFonts w:cs="Arial"/>
                <w:sz w:val="20"/>
                <w:szCs w:val="20"/>
              </w:rPr>
              <w:t>Update with Rev 4 code and cost updates.</w:t>
            </w:r>
          </w:p>
          <w:p w14:paraId="218AD72B" w14:textId="2B178B6D" w:rsidR="00581322" w:rsidRPr="008E3BE9" w:rsidRDefault="00581322" w:rsidP="002E7F37">
            <w:pPr>
              <w:spacing w:before="20" w:after="20"/>
              <w:rPr>
                <w:rFonts w:cs="Arial"/>
                <w:sz w:val="20"/>
                <w:szCs w:val="20"/>
              </w:rPr>
            </w:pPr>
            <w:r>
              <w:rPr>
                <w:rFonts w:cs="Arial"/>
                <w:sz w:val="20"/>
                <w:szCs w:val="20"/>
              </w:rPr>
              <w:t>Revisions for submittal of version 01.</w:t>
            </w:r>
          </w:p>
        </w:tc>
      </w:tr>
      <w:tr w:rsidR="00581322" w:rsidRPr="00CA1CB3" w14:paraId="778208F5" w14:textId="77777777" w:rsidTr="009B2663">
        <w:trPr>
          <w:trHeight w:val="20"/>
        </w:trPr>
        <w:tc>
          <w:tcPr>
            <w:tcW w:w="503" w:type="pct"/>
            <w:vMerge/>
          </w:tcPr>
          <w:p w14:paraId="7BDDBC9B" w14:textId="77777777" w:rsidR="00581322" w:rsidRPr="008E3BE9" w:rsidRDefault="00581322" w:rsidP="002E7F37">
            <w:pPr>
              <w:spacing w:before="20" w:after="20"/>
              <w:rPr>
                <w:rFonts w:cs="Arial"/>
                <w:sz w:val="20"/>
                <w:szCs w:val="20"/>
              </w:rPr>
            </w:pPr>
          </w:p>
        </w:tc>
        <w:tc>
          <w:tcPr>
            <w:tcW w:w="824" w:type="pct"/>
          </w:tcPr>
          <w:p w14:paraId="04997EB9" w14:textId="7B1DFBE8" w:rsidR="00581322" w:rsidRDefault="00581322" w:rsidP="002E7F37">
            <w:pPr>
              <w:spacing w:before="20" w:after="20"/>
              <w:rPr>
                <w:rFonts w:cs="Arial"/>
                <w:sz w:val="20"/>
                <w:szCs w:val="20"/>
              </w:rPr>
            </w:pPr>
            <w:r>
              <w:rPr>
                <w:rFonts w:cs="Arial"/>
                <w:sz w:val="20"/>
                <w:szCs w:val="20"/>
              </w:rPr>
              <w:t>3/12/2019</w:t>
            </w:r>
          </w:p>
        </w:tc>
        <w:tc>
          <w:tcPr>
            <w:tcW w:w="938" w:type="pct"/>
          </w:tcPr>
          <w:p w14:paraId="0F9F2ECA" w14:textId="4E6BF9CA" w:rsidR="00581322" w:rsidRPr="008E3BE9" w:rsidRDefault="00581322" w:rsidP="002E7F37">
            <w:pPr>
              <w:spacing w:before="20" w:after="20"/>
              <w:rPr>
                <w:rFonts w:cs="Arial"/>
                <w:sz w:val="20"/>
                <w:szCs w:val="20"/>
              </w:rPr>
            </w:pPr>
            <w:r>
              <w:rPr>
                <w:rFonts w:cs="Arial"/>
                <w:sz w:val="20"/>
                <w:szCs w:val="20"/>
              </w:rPr>
              <w:t>Henry Liu</w:t>
            </w:r>
            <w:r>
              <w:rPr>
                <w:rFonts w:cs="Arial"/>
                <w:sz w:val="20"/>
                <w:szCs w:val="20"/>
              </w:rPr>
              <w:br/>
              <w:t>PG&amp;E</w:t>
            </w:r>
          </w:p>
        </w:tc>
        <w:tc>
          <w:tcPr>
            <w:tcW w:w="2735" w:type="pct"/>
          </w:tcPr>
          <w:p w14:paraId="73937491" w14:textId="088AEA21" w:rsidR="00581322" w:rsidRDefault="00581322" w:rsidP="00581322">
            <w:pPr>
              <w:pStyle w:val="Default"/>
              <w:rPr>
                <w:sz w:val="20"/>
                <w:szCs w:val="20"/>
              </w:rPr>
            </w:pPr>
            <w:r>
              <w:rPr>
                <w:sz w:val="20"/>
                <w:szCs w:val="20"/>
              </w:rPr>
              <w:t xml:space="preserve">Corrected errors in the ED tables on cost and demand values. </w:t>
            </w:r>
          </w:p>
          <w:p w14:paraId="7AEBE133" w14:textId="77777777" w:rsidR="00581322" w:rsidRDefault="00581322" w:rsidP="00581322">
            <w:pPr>
              <w:pStyle w:val="Default"/>
              <w:rPr>
                <w:sz w:val="20"/>
                <w:szCs w:val="20"/>
              </w:rPr>
            </w:pPr>
            <w:r>
              <w:rPr>
                <w:sz w:val="20"/>
                <w:szCs w:val="20"/>
              </w:rPr>
              <w:t xml:space="preserve">The data was also adjusted to include the new terminology from E-4952 for delivery type, and measure impact type. </w:t>
            </w:r>
          </w:p>
          <w:p w14:paraId="68D2BBF8" w14:textId="05FE3AF7" w:rsidR="00581322" w:rsidRDefault="00581322" w:rsidP="00581322">
            <w:pPr>
              <w:spacing w:before="20" w:after="20"/>
              <w:rPr>
                <w:rFonts w:cs="Arial"/>
                <w:sz w:val="20"/>
                <w:szCs w:val="20"/>
              </w:rPr>
            </w:pPr>
            <w:r>
              <w:rPr>
                <w:sz w:val="20"/>
                <w:szCs w:val="20"/>
              </w:rPr>
              <w:t xml:space="preserve">Removed </w:t>
            </w:r>
            <w:proofErr w:type="spellStart"/>
            <w:r>
              <w:rPr>
                <w:sz w:val="20"/>
                <w:szCs w:val="20"/>
              </w:rPr>
              <w:t>nonupstrm</w:t>
            </w:r>
            <w:proofErr w:type="spellEnd"/>
            <w:r>
              <w:rPr>
                <w:sz w:val="20"/>
                <w:szCs w:val="20"/>
              </w:rPr>
              <w:t xml:space="preserve"> from delivery type. </w:t>
            </w:r>
          </w:p>
        </w:tc>
      </w:tr>
      <w:tr w:rsidR="00581322" w:rsidRPr="00CA1CB3" w14:paraId="39C76EE3" w14:textId="77777777" w:rsidTr="009B2663">
        <w:trPr>
          <w:trHeight w:val="20"/>
        </w:trPr>
        <w:tc>
          <w:tcPr>
            <w:tcW w:w="503" w:type="pct"/>
            <w:vMerge/>
          </w:tcPr>
          <w:p w14:paraId="61F436C2" w14:textId="77777777" w:rsidR="00581322" w:rsidRPr="008E3BE9" w:rsidRDefault="00581322" w:rsidP="002E7F37">
            <w:pPr>
              <w:spacing w:before="20" w:after="20"/>
              <w:rPr>
                <w:rFonts w:cs="Arial"/>
                <w:sz w:val="20"/>
                <w:szCs w:val="20"/>
              </w:rPr>
            </w:pPr>
          </w:p>
        </w:tc>
        <w:tc>
          <w:tcPr>
            <w:tcW w:w="824" w:type="pct"/>
          </w:tcPr>
          <w:p w14:paraId="70E59EFE" w14:textId="35E2E4B9" w:rsidR="00581322" w:rsidRDefault="00581322" w:rsidP="002E7F37">
            <w:pPr>
              <w:spacing w:before="20" w:after="20"/>
              <w:rPr>
                <w:rFonts w:cs="Arial"/>
                <w:sz w:val="20"/>
                <w:szCs w:val="20"/>
              </w:rPr>
            </w:pPr>
            <w:r>
              <w:rPr>
                <w:rFonts w:cs="Arial"/>
                <w:sz w:val="20"/>
                <w:szCs w:val="20"/>
              </w:rPr>
              <w:t>07/03/2019</w:t>
            </w:r>
          </w:p>
        </w:tc>
        <w:tc>
          <w:tcPr>
            <w:tcW w:w="938" w:type="pct"/>
          </w:tcPr>
          <w:p w14:paraId="34117368" w14:textId="00ADCE85" w:rsidR="00581322" w:rsidRPr="008E3BE9" w:rsidRDefault="00581322" w:rsidP="002E7F37">
            <w:pPr>
              <w:spacing w:before="20" w:after="20"/>
              <w:rPr>
                <w:rFonts w:cs="Arial"/>
                <w:sz w:val="20"/>
                <w:szCs w:val="20"/>
              </w:rPr>
            </w:pPr>
            <w:r>
              <w:rPr>
                <w:rFonts w:cs="Arial"/>
                <w:sz w:val="20"/>
                <w:szCs w:val="20"/>
              </w:rPr>
              <w:t>Tai Voong</w:t>
            </w:r>
            <w:r>
              <w:rPr>
                <w:rFonts w:cs="Arial"/>
                <w:sz w:val="20"/>
                <w:szCs w:val="20"/>
              </w:rPr>
              <w:br/>
              <w:t>PG&amp;E</w:t>
            </w:r>
          </w:p>
        </w:tc>
        <w:tc>
          <w:tcPr>
            <w:tcW w:w="2735" w:type="pct"/>
          </w:tcPr>
          <w:p w14:paraId="6FE9FA12" w14:textId="77777777" w:rsidR="00581322" w:rsidRDefault="00581322" w:rsidP="00581322">
            <w:pPr>
              <w:pStyle w:val="Default"/>
              <w:rPr>
                <w:sz w:val="20"/>
                <w:szCs w:val="20"/>
              </w:rPr>
            </w:pPr>
            <w:r>
              <w:rPr>
                <w:sz w:val="20"/>
                <w:szCs w:val="20"/>
              </w:rPr>
              <w:t xml:space="preserve">Re submit workpaper to WPA </w:t>
            </w:r>
          </w:p>
          <w:p w14:paraId="1C851D72" w14:textId="77777777" w:rsidR="00581322" w:rsidRDefault="00581322" w:rsidP="002E7F37">
            <w:pPr>
              <w:spacing w:before="20" w:after="20"/>
              <w:rPr>
                <w:rFonts w:cs="Arial"/>
                <w:sz w:val="20"/>
                <w:szCs w:val="20"/>
              </w:rPr>
            </w:pPr>
          </w:p>
        </w:tc>
      </w:tr>
      <w:tr w:rsidR="009B2663" w:rsidRPr="00CA1CB3" w14:paraId="2622CCFD" w14:textId="77777777" w:rsidTr="009B2663">
        <w:trPr>
          <w:trHeight w:val="20"/>
        </w:trPr>
        <w:tc>
          <w:tcPr>
            <w:tcW w:w="503" w:type="pct"/>
            <w:vMerge w:val="restart"/>
          </w:tcPr>
          <w:p w14:paraId="3A9559E0" w14:textId="7C3CCC34" w:rsidR="009B2663" w:rsidRPr="008E3BE9" w:rsidRDefault="009B2663" w:rsidP="002E7F37">
            <w:pPr>
              <w:spacing w:before="20" w:after="20"/>
              <w:rPr>
                <w:rFonts w:cs="Arial"/>
                <w:sz w:val="20"/>
                <w:szCs w:val="20"/>
              </w:rPr>
            </w:pPr>
            <w:r>
              <w:rPr>
                <w:rFonts w:cs="Arial"/>
                <w:sz w:val="20"/>
                <w:szCs w:val="20"/>
              </w:rPr>
              <w:t>02</w:t>
            </w:r>
          </w:p>
        </w:tc>
        <w:tc>
          <w:tcPr>
            <w:tcW w:w="824" w:type="pct"/>
          </w:tcPr>
          <w:p w14:paraId="0EA5C34A" w14:textId="2AB4DB9F" w:rsidR="009B2663" w:rsidRDefault="009B2663" w:rsidP="002E7F37">
            <w:pPr>
              <w:spacing w:before="20" w:after="20"/>
              <w:rPr>
                <w:rFonts w:cs="Arial"/>
                <w:sz w:val="20"/>
                <w:szCs w:val="20"/>
              </w:rPr>
            </w:pPr>
            <w:r>
              <w:rPr>
                <w:rFonts w:cs="Arial"/>
                <w:sz w:val="20"/>
                <w:szCs w:val="20"/>
              </w:rPr>
              <w:t>12/27/2019</w:t>
            </w:r>
          </w:p>
        </w:tc>
        <w:tc>
          <w:tcPr>
            <w:tcW w:w="938" w:type="pct"/>
          </w:tcPr>
          <w:p w14:paraId="2B78B2AF" w14:textId="77777777" w:rsidR="009B2663" w:rsidRDefault="009B2663" w:rsidP="002E7F37">
            <w:pPr>
              <w:spacing w:before="20" w:after="20"/>
              <w:rPr>
                <w:rFonts w:cs="Arial"/>
                <w:sz w:val="20"/>
                <w:szCs w:val="20"/>
              </w:rPr>
            </w:pPr>
            <w:r>
              <w:rPr>
                <w:rFonts w:cs="Arial"/>
                <w:sz w:val="20"/>
                <w:szCs w:val="20"/>
              </w:rPr>
              <w:t>Adan Rosillo</w:t>
            </w:r>
          </w:p>
          <w:p w14:paraId="0841AA5B" w14:textId="7E1AC2FD" w:rsidR="009B2663" w:rsidRPr="008E3BE9" w:rsidRDefault="009B2663" w:rsidP="002E7F37">
            <w:pPr>
              <w:spacing w:before="20" w:after="20"/>
              <w:rPr>
                <w:rFonts w:cs="Arial"/>
                <w:sz w:val="20"/>
                <w:szCs w:val="20"/>
              </w:rPr>
            </w:pPr>
            <w:r>
              <w:rPr>
                <w:rFonts w:cs="Arial"/>
                <w:sz w:val="20"/>
                <w:szCs w:val="20"/>
              </w:rPr>
              <w:t>PG&amp;E</w:t>
            </w:r>
          </w:p>
        </w:tc>
        <w:tc>
          <w:tcPr>
            <w:tcW w:w="2735" w:type="pct"/>
          </w:tcPr>
          <w:p w14:paraId="09ED557A" w14:textId="77777777" w:rsidR="009B2663" w:rsidRDefault="009B2663" w:rsidP="00581322">
            <w:pPr>
              <w:pStyle w:val="Default"/>
              <w:rPr>
                <w:sz w:val="20"/>
                <w:szCs w:val="20"/>
              </w:rPr>
            </w:pPr>
            <w:r>
              <w:rPr>
                <w:sz w:val="20"/>
                <w:szCs w:val="20"/>
              </w:rPr>
              <w:t xml:space="preserve">Updated </w:t>
            </w:r>
            <w:proofErr w:type="spellStart"/>
            <w:r>
              <w:rPr>
                <w:sz w:val="20"/>
                <w:szCs w:val="20"/>
              </w:rPr>
              <w:t>DataSpec</w:t>
            </w:r>
            <w:proofErr w:type="spellEnd"/>
            <w:r>
              <w:rPr>
                <w:sz w:val="20"/>
                <w:szCs w:val="20"/>
              </w:rPr>
              <w:t xml:space="preserve"> File to include all delivery types and sectors. </w:t>
            </w:r>
          </w:p>
          <w:p w14:paraId="5A310893" w14:textId="1AECCFD1" w:rsidR="009B2663" w:rsidRPr="00581322" w:rsidRDefault="009B2663" w:rsidP="00581322">
            <w:pPr>
              <w:pStyle w:val="Default"/>
              <w:rPr>
                <w:sz w:val="20"/>
                <w:szCs w:val="20"/>
              </w:rPr>
            </w:pPr>
            <w:r>
              <w:rPr>
                <w:sz w:val="20"/>
                <w:szCs w:val="20"/>
              </w:rPr>
              <w:t>No energy saving nor measure costs were affected by this updat</w:t>
            </w:r>
            <w:r>
              <w:rPr>
                <w:rFonts w:ascii="Calibri Light" w:hAnsi="Calibri Light" w:cs="Calibri Light"/>
                <w:sz w:val="20"/>
                <w:szCs w:val="20"/>
              </w:rPr>
              <w:t>e</w:t>
            </w:r>
            <w:r>
              <w:rPr>
                <w:sz w:val="20"/>
                <w:szCs w:val="20"/>
              </w:rPr>
              <w:t xml:space="preserve">. </w:t>
            </w:r>
          </w:p>
        </w:tc>
      </w:tr>
      <w:tr w:rsidR="009B2663" w:rsidRPr="00CA1CB3" w14:paraId="57AF57CB" w14:textId="77777777" w:rsidTr="009B2663">
        <w:trPr>
          <w:trHeight w:val="20"/>
        </w:trPr>
        <w:tc>
          <w:tcPr>
            <w:tcW w:w="503" w:type="pct"/>
            <w:vMerge/>
          </w:tcPr>
          <w:p w14:paraId="6176DCB9" w14:textId="77777777" w:rsidR="009B2663" w:rsidRPr="008E3BE9" w:rsidRDefault="009B2663" w:rsidP="00581322">
            <w:pPr>
              <w:spacing w:before="20" w:after="20"/>
              <w:rPr>
                <w:rFonts w:cs="Arial"/>
                <w:sz w:val="20"/>
                <w:szCs w:val="20"/>
              </w:rPr>
            </w:pPr>
          </w:p>
        </w:tc>
        <w:tc>
          <w:tcPr>
            <w:tcW w:w="824" w:type="pct"/>
          </w:tcPr>
          <w:p w14:paraId="27FE9706" w14:textId="41FF1CD6" w:rsidR="009B2663" w:rsidRDefault="009B2663" w:rsidP="00581322">
            <w:pPr>
              <w:spacing w:before="20" w:after="20"/>
              <w:rPr>
                <w:rFonts w:cs="Arial"/>
                <w:sz w:val="20"/>
                <w:szCs w:val="20"/>
              </w:rPr>
            </w:pPr>
            <w:r>
              <w:rPr>
                <w:rFonts w:cs="Arial"/>
                <w:sz w:val="20"/>
                <w:szCs w:val="20"/>
              </w:rPr>
              <w:t>02/07/2020</w:t>
            </w:r>
          </w:p>
        </w:tc>
        <w:tc>
          <w:tcPr>
            <w:tcW w:w="938" w:type="pct"/>
          </w:tcPr>
          <w:p w14:paraId="25B9F27E" w14:textId="77777777" w:rsidR="009B2663" w:rsidRDefault="009B2663" w:rsidP="00581322">
            <w:pPr>
              <w:spacing w:before="20" w:after="20"/>
              <w:rPr>
                <w:rFonts w:cs="Arial"/>
                <w:sz w:val="20"/>
                <w:szCs w:val="20"/>
              </w:rPr>
            </w:pPr>
            <w:r>
              <w:rPr>
                <w:rFonts w:cs="Arial"/>
                <w:sz w:val="20"/>
                <w:szCs w:val="20"/>
              </w:rPr>
              <w:t>Adan Rosillo</w:t>
            </w:r>
          </w:p>
          <w:p w14:paraId="6CF497A5" w14:textId="6998858A" w:rsidR="009B2663" w:rsidRPr="008E3BE9" w:rsidRDefault="009B2663" w:rsidP="00581322">
            <w:pPr>
              <w:spacing w:before="20" w:after="20"/>
              <w:rPr>
                <w:rFonts w:cs="Arial"/>
                <w:sz w:val="20"/>
                <w:szCs w:val="20"/>
              </w:rPr>
            </w:pPr>
            <w:r>
              <w:rPr>
                <w:rFonts w:cs="Arial"/>
                <w:sz w:val="20"/>
                <w:szCs w:val="20"/>
              </w:rPr>
              <w:t>PG&amp;E</w:t>
            </w:r>
          </w:p>
        </w:tc>
        <w:tc>
          <w:tcPr>
            <w:tcW w:w="2735" w:type="pct"/>
          </w:tcPr>
          <w:p w14:paraId="181E8F3F" w14:textId="77777777" w:rsidR="009B2663" w:rsidRDefault="009B2663" w:rsidP="00581322">
            <w:pPr>
              <w:pStyle w:val="Default"/>
              <w:rPr>
                <w:sz w:val="20"/>
                <w:szCs w:val="20"/>
              </w:rPr>
            </w:pPr>
            <w:r>
              <w:rPr>
                <w:sz w:val="20"/>
                <w:szCs w:val="20"/>
              </w:rPr>
              <w:t xml:space="preserve">Revised workpaper version number to 02 as per CPUC request </w:t>
            </w:r>
          </w:p>
          <w:p w14:paraId="7E6A864E" w14:textId="77777777" w:rsidR="009B2663" w:rsidRDefault="009B2663" w:rsidP="00581322">
            <w:pPr>
              <w:spacing w:before="20" w:after="20"/>
              <w:rPr>
                <w:rFonts w:cs="Arial"/>
                <w:sz w:val="20"/>
                <w:szCs w:val="20"/>
              </w:rPr>
            </w:pPr>
          </w:p>
        </w:tc>
      </w:tr>
      <w:tr w:rsidR="009B2663" w:rsidRPr="00CA1CB3" w14:paraId="0CB9300C" w14:textId="77777777" w:rsidTr="009B2663">
        <w:trPr>
          <w:trHeight w:val="20"/>
        </w:trPr>
        <w:tc>
          <w:tcPr>
            <w:tcW w:w="503" w:type="pct"/>
            <w:vMerge/>
          </w:tcPr>
          <w:p w14:paraId="1A84B6A2" w14:textId="77777777" w:rsidR="009B2663" w:rsidRPr="008E3BE9" w:rsidRDefault="009B2663" w:rsidP="00581322">
            <w:pPr>
              <w:spacing w:before="20" w:after="20"/>
              <w:rPr>
                <w:rFonts w:cs="Arial"/>
                <w:sz w:val="20"/>
                <w:szCs w:val="20"/>
              </w:rPr>
            </w:pPr>
          </w:p>
        </w:tc>
        <w:tc>
          <w:tcPr>
            <w:tcW w:w="824" w:type="pct"/>
          </w:tcPr>
          <w:p w14:paraId="705F2E0E" w14:textId="04D58778" w:rsidR="009B2663" w:rsidRDefault="009B2663" w:rsidP="00581322">
            <w:pPr>
              <w:spacing w:before="20" w:after="20"/>
              <w:rPr>
                <w:rFonts w:cs="Arial"/>
                <w:sz w:val="20"/>
                <w:szCs w:val="20"/>
              </w:rPr>
            </w:pPr>
            <w:r>
              <w:rPr>
                <w:rFonts w:cs="Arial"/>
                <w:sz w:val="20"/>
                <w:szCs w:val="20"/>
              </w:rPr>
              <w:t>06/22/2021</w:t>
            </w:r>
          </w:p>
        </w:tc>
        <w:tc>
          <w:tcPr>
            <w:tcW w:w="938" w:type="pct"/>
          </w:tcPr>
          <w:p w14:paraId="7FE03079" w14:textId="77777777" w:rsidR="009B2663" w:rsidRDefault="009B2663" w:rsidP="00581322">
            <w:pPr>
              <w:spacing w:before="20" w:after="20"/>
              <w:rPr>
                <w:rFonts w:cs="Arial"/>
                <w:sz w:val="20"/>
                <w:szCs w:val="20"/>
              </w:rPr>
            </w:pPr>
            <w:r>
              <w:rPr>
                <w:rFonts w:cs="Arial"/>
                <w:sz w:val="20"/>
                <w:szCs w:val="20"/>
              </w:rPr>
              <w:t>Danielle Dragon, PE, CEM, CDSM</w:t>
            </w:r>
          </w:p>
          <w:p w14:paraId="0E76BAB0" w14:textId="735479D2" w:rsidR="009B2663" w:rsidRDefault="009B2663" w:rsidP="00581322">
            <w:pPr>
              <w:spacing w:before="20" w:after="20"/>
              <w:rPr>
                <w:rFonts w:cs="Arial"/>
                <w:sz w:val="20"/>
                <w:szCs w:val="20"/>
              </w:rPr>
            </w:pPr>
            <w:r>
              <w:rPr>
                <w:rFonts w:cs="Arial"/>
                <w:sz w:val="20"/>
                <w:szCs w:val="20"/>
              </w:rPr>
              <w:t>PG&amp;E</w:t>
            </w:r>
          </w:p>
        </w:tc>
        <w:tc>
          <w:tcPr>
            <w:tcW w:w="2735" w:type="pct"/>
          </w:tcPr>
          <w:p w14:paraId="6B5B5B86" w14:textId="77777777" w:rsidR="009B2663" w:rsidRDefault="009B2663" w:rsidP="009B2663">
            <w:pPr>
              <w:autoSpaceDE w:val="0"/>
              <w:autoSpaceDN w:val="0"/>
              <w:adjustRightInd w:val="0"/>
              <w:spacing w:before="0" w:after="0" w:line="240" w:lineRule="auto"/>
              <w:rPr>
                <w:rFonts w:ascii="CIDFont+F2" w:hAnsi="CIDFont+F2" w:cs="CIDFont+F2"/>
                <w:sz w:val="20"/>
                <w:szCs w:val="20"/>
              </w:rPr>
            </w:pPr>
            <w:r>
              <w:rPr>
                <w:rFonts w:ascii="CIDFont+F2" w:hAnsi="CIDFont+F2" w:cs="CIDFont+F2"/>
                <w:sz w:val="20"/>
                <w:szCs w:val="20"/>
              </w:rPr>
              <w:t>Per CPUC request as part of the Avoided Cost Combo update:</w:t>
            </w:r>
          </w:p>
          <w:p w14:paraId="2AD32648" w14:textId="77777777" w:rsidR="009B2663" w:rsidRDefault="009B2663" w:rsidP="009B2663">
            <w:pPr>
              <w:autoSpaceDE w:val="0"/>
              <w:autoSpaceDN w:val="0"/>
              <w:adjustRightInd w:val="0"/>
              <w:spacing w:before="0" w:after="0" w:line="240" w:lineRule="auto"/>
              <w:rPr>
                <w:rFonts w:ascii="CIDFont+F2" w:hAnsi="CIDFont+F2" w:cs="CIDFont+F2"/>
                <w:sz w:val="20"/>
                <w:szCs w:val="20"/>
              </w:rPr>
            </w:pPr>
            <w:r>
              <w:rPr>
                <w:rFonts w:ascii="CIDFont+F2" w:hAnsi="CIDFont+F2" w:cs="CIDFont+F2"/>
                <w:sz w:val="20"/>
                <w:szCs w:val="20"/>
              </w:rPr>
              <w:t>Electric Impact Profile ID change from “</w:t>
            </w:r>
            <w:proofErr w:type="spellStart"/>
            <w:r>
              <w:rPr>
                <w:rFonts w:ascii="CIDFont+F2" w:hAnsi="CIDFont+F2" w:cs="CIDFont+F2"/>
                <w:sz w:val="20"/>
                <w:szCs w:val="20"/>
              </w:rPr>
              <w:t>DEER:RefgFrzr_Recyc</w:t>
            </w:r>
            <w:proofErr w:type="spellEnd"/>
            <w:r>
              <w:rPr>
                <w:rFonts w:ascii="CIDFont+F2" w:hAnsi="CIDFont+F2" w:cs="CIDFont+F2"/>
                <w:sz w:val="20"/>
                <w:szCs w:val="20"/>
              </w:rPr>
              <w:t>-</w:t>
            </w:r>
          </w:p>
          <w:p w14:paraId="7BE49F1E" w14:textId="017062B7" w:rsidR="009B2663" w:rsidRDefault="009B2663" w:rsidP="009B2663">
            <w:pPr>
              <w:pStyle w:val="Default"/>
              <w:rPr>
                <w:sz w:val="20"/>
                <w:szCs w:val="20"/>
              </w:rPr>
            </w:pPr>
            <w:r>
              <w:rPr>
                <w:rFonts w:ascii="CIDFont+F2" w:hAnsi="CIDFont+F2" w:cs="CIDFont+F2"/>
                <w:sz w:val="20"/>
                <w:szCs w:val="20"/>
              </w:rPr>
              <w:t>Conditioned” to “</w:t>
            </w:r>
            <w:proofErr w:type="spellStart"/>
            <w:r>
              <w:rPr>
                <w:rFonts w:ascii="CIDFont+F2" w:hAnsi="CIDFont+F2" w:cs="CIDFont+F2"/>
                <w:sz w:val="20"/>
                <w:szCs w:val="20"/>
              </w:rPr>
              <w:t>DEER:Indoor_CFL_Ltg</w:t>
            </w:r>
            <w:proofErr w:type="spellEnd"/>
            <w:r>
              <w:rPr>
                <w:rFonts w:ascii="CIDFont+F2" w:hAnsi="CIDFont+F2" w:cs="CIDFont+F2"/>
                <w:sz w:val="20"/>
                <w:szCs w:val="20"/>
              </w:rPr>
              <w:t>”</w:t>
            </w:r>
          </w:p>
        </w:tc>
      </w:tr>
      <w:bookmarkEnd w:id="89"/>
      <w:bookmarkEnd w:id="90"/>
    </w:tbl>
    <w:p w14:paraId="2711CEFE" w14:textId="77777777" w:rsidR="004264B3" w:rsidRDefault="004264B3" w:rsidP="002E7F37"/>
    <w:sectPr w:rsidR="004264B3" w:rsidSect="005F505E">
      <w:headerReference w:type="default" r:id="rId14"/>
      <w:headerReference w:type="first" r:id="rId15"/>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F21380" w14:textId="77777777" w:rsidR="008964EB" w:rsidRDefault="008964EB" w:rsidP="00A2690C">
      <w:r>
        <w:separator/>
      </w:r>
    </w:p>
    <w:p w14:paraId="0EE2D019" w14:textId="77777777" w:rsidR="008964EB" w:rsidRDefault="008964EB"/>
  </w:endnote>
  <w:endnote w:type="continuationSeparator" w:id="0">
    <w:p w14:paraId="34EC36C7" w14:textId="77777777" w:rsidR="008964EB" w:rsidRDefault="008964EB" w:rsidP="00A2690C">
      <w:r>
        <w:continuationSeparator/>
      </w:r>
    </w:p>
    <w:p w14:paraId="64FE3BBE" w14:textId="77777777" w:rsidR="008964EB" w:rsidRDefault="008964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venir Next">
    <w:altName w:val="Corbel"/>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IDFont+F2">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D1DFE3" w14:textId="77777777" w:rsidR="00434A26" w:rsidRDefault="00434A26"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3BDF6217" wp14:editId="03C2F1BD">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1186E1FB" w14:textId="77777777" w:rsidR="00434A26" w:rsidRPr="00B837C1" w:rsidRDefault="00434A26"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DC222" w14:textId="77777777" w:rsidR="00434A26" w:rsidRDefault="00434A26"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7216" behindDoc="0" locked="0" layoutInCell="1" allowOverlap="1" wp14:anchorId="68C089EB" wp14:editId="3D77E74B">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06CD641A" w14:textId="241AA868" w:rsidR="00434A26" w:rsidRPr="00B837C1" w:rsidRDefault="00434A26"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5</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6E078" w14:textId="77777777" w:rsidR="00434A26" w:rsidRDefault="00434A26"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2336" behindDoc="0" locked="0" layoutInCell="1" allowOverlap="1" wp14:anchorId="2F5808E3" wp14:editId="5F59BAEA">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127E585A" w14:textId="4BD9AD2D" w:rsidR="00434A26" w:rsidRPr="005F505E" w:rsidRDefault="00434A26"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7911B0" w14:textId="77777777" w:rsidR="008964EB" w:rsidRDefault="008964EB" w:rsidP="00A2690C">
      <w:r>
        <w:separator/>
      </w:r>
    </w:p>
    <w:p w14:paraId="41A86DE5" w14:textId="77777777" w:rsidR="008964EB" w:rsidRDefault="008964EB"/>
  </w:footnote>
  <w:footnote w:type="continuationSeparator" w:id="0">
    <w:p w14:paraId="348875BC" w14:textId="77777777" w:rsidR="008964EB" w:rsidRDefault="008964EB" w:rsidP="00A2690C">
      <w:r>
        <w:continuationSeparator/>
      </w:r>
    </w:p>
    <w:p w14:paraId="721978BF" w14:textId="77777777" w:rsidR="008964EB" w:rsidRDefault="008964EB"/>
  </w:footnote>
  <w:footnote w:id="1">
    <w:p w14:paraId="106483AB" w14:textId="35325F17" w:rsidR="00434A26" w:rsidRPr="00F627A4" w:rsidRDefault="00434A26">
      <w:pPr>
        <w:pStyle w:val="FootnoteText"/>
      </w:pPr>
      <w:r>
        <w:rPr>
          <w:rStyle w:val="FootnoteReference"/>
        </w:rPr>
        <w:footnoteRef/>
      </w:r>
      <w:r>
        <w:t xml:space="preserve"> </w:t>
      </w:r>
      <w:r w:rsidRPr="00477E9A">
        <w:t xml:space="preserve">ENERGY STAR. 2016. "ENERGY STAR® Program Requirements </w:t>
      </w:r>
      <w:r>
        <w:t>Product Specification for</w:t>
      </w:r>
      <w:r w:rsidRPr="00477E9A">
        <w:t xml:space="preserve"> Commercial Refrigerators and Freezers - Eligibility Criteria Version </w:t>
      </w:r>
      <w:r>
        <w:t>4</w:t>
      </w:r>
      <w:r w:rsidRPr="00477E9A">
        <w:t xml:space="preserve">.0." Effective on </w:t>
      </w:r>
      <w:r>
        <w:t>March 27, 2017</w:t>
      </w:r>
      <w:r w:rsidRPr="00477E9A">
        <w:t>.</w:t>
      </w:r>
    </w:p>
  </w:footnote>
  <w:footnote w:id="2">
    <w:p w14:paraId="5E422F61" w14:textId="2B02189B" w:rsidR="00434A26" w:rsidRDefault="00434A26">
      <w:pPr>
        <w:pStyle w:val="FootnoteText"/>
      </w:pPr>
      <w:r>
        <w:rPr>
          <w:rStyle w:val="FootnoteReference"/>
        </w:rPr>
        <w:footnoteRef/>
      </w:r>
      <w:r>
        <w:t xml:space="preserve"> </w:t>
      </w:r>
      <w:r w:rsidRPr="00413B70">
        <w:rPr>
          <w:rFonts w:cs="Calibri Light"/>
          <w:szCs w:val="22"/>
        </w:rPr>
        <w:t>Code of F</w:t>
      </w:r>
      <w:r>
        <w:rPr>
          <w:rFonts w:cs="Calibri Light"/>
          <w:szCs w:val="22"/>
        </w:rPr>
        <w:t>ederal Regulations at 10 CFR</w:t>
      </w:r>
      <w:r w:rsidRPr="005F7298">
        <w:rPr>
          <w:rFonts w:cs="Calibri Light"/>
          <w:szCs w:val="22"/>
        </w:rPr>
        <w:t xml:space="preserve"> 431.66</w:t>
      </w:r>
      <w:r>
        <w:rPr>
          <w:rFonts w:cs="Calibri Light"/>
          <w:szCs w:val="22"/>
        </w:rPr>
        <w:t>.</w:t>
      </w:r>
    </w:p>
  </w:footnote>
  <w:footnote w:id="3">
    <w:p w14:paraId="55D3C64C" w14:textId="77777777" w:rsidR="00434A26" w:rsidRDefault="00434A26" w:rsidP="0021488F">
      <w:pPr>
        <w:pStyle w:val="FootnoteText"/>
      </w:pPr>
      <w:r>
        <w:rPr>
          <w:rStyle w:val="FootnoteReference"/>
        </w:rPr>
        <w:footnoteRef/>
      </w:r>
      <w:r>
        <w:t xml:space="preserve"> </w:t>
      </w:r>
      <w:r w:rsidRPr="00413B70">
        <w:rPr>
          <w:rFonts w:cs="Calibri Light"/>
          <w:szCs w:val="22"/>
        </w:rPr>
        <w:t>Code of F</w:t>
      </w:r>
      <w:r>
        <w:rPr>
          <w:rFonts w:cs="Calibri Light"/>
          <w:szCs w:val="22"/>
        </w:rPr>
        <w:t>ederal Regulations at 10 CFR</w:t>
      </w:r>
      <w:r w:rsidRPr="005F7298">
        <w:rPr>
          <w:rFonts w:cs="Calibri Light"/>
          <w:szCs w:val="22"/>
        </w:rPr>
        <w:t xml:space="preserve"> 431.66</w:t>
      </w:r>
      <w:r>
        <w:rPr>
          <w:rFonts w:cs="Calibri Light"/>
          <w:szCs w:val="22"/>
        </w:rPr>
        <w:t>.</w:t>
      </w:r>
    </w:p>
  </w:footnote>
  <w:footnote w:id="4">
    <w:p w14:paraId="7B1BF6BB" w14:textId="3BF30035" w:rsidR="00434A26" w:rsidRPr="00F627A4" w:rsidRDefault="00434A26" w:rsidP="004D6F5B">
      <w:pPr>
        <w:pStyle w:val="FootnoteText"/>
      </w:pPr>
      <w:r>
        <w:rPr>
          <w:rStyle w:val="FootnoteReference"/>
        </w:rPr>
        <w:footnoteRef/>
      </w:r>
      <w:r>
        <w:t xml:space="preserve"> </w:t>
      </w:r>
      <w:r w:rsidRPr="00477E9A">
        <w:t xml:space="preserve">ENERGY STAR. 2016. "ENERGY STAR® Program Requirements </w:t>
      </w:r>
      <w:r>
        <w:t>Product Specification for</w:t>
      </w:r>
      <w:r w:rsidRPr="00477E9A">
        <w:t xml:space="preserve"> Commercial Refrigerators and Freezers - Eligibility Criteria Version </w:t>
      </w:r>
      <w:r>
        <w:t>4</w:t>
      </w:r>
      <w:r w:rsidRPr="00477E9A">
        <w:t xml:space="preserve">.0." Effective on </w:t>
      </w:r>
      <w:r>
        <w:t>March 27, 2017</w:t>
      </w:r>
      <w:r w:rsidRPr="00477E9A">
        <w:t>.</w:t>
      </w:r>
    </w:p>
  </w:footnote>
  <w:footnote w:id="5">
    <w:p w14:paraId="1D257534" w14:textId="77777777" w:rsidR="00434A26" w:rsidRDefault="00434A26" w:rsidP="00CE732B">
      <w:pPr>
        <w:pStyle w:val="FootnoteText"/>
      </w:pPr>
      <w:r>
        <w:rPr>
          <w:rStyle w:val="FootnoteReference"/>
        </w:rPr>
        <w:footnoteRef/>
      </w:r>
      <w:r>
        <w:t xml:space="preserve"> </w:t>
      </w:r>
      <w:r w:rsidRPr="00461A0D">
        <w:rPr>
          <w:rStyle w:val="eTRMFootnoteTextChar"/>
        </w:rPr>
        <w:t xml:space="preserve">California Public Utilities Commission (CPUC). 2018. </w:t>
      </w:r>
      <w:r w:rsidRPr="004B7794">
        <w:rPr>
          <w:rStyle w:val="eTRMFootnoteTextChar"/>
          <w:i/>
        </w:rPr>
        <w:t>Resolution E-4952.</w:t>
      </w:r>
      <w:r w:rsidRPr="00461A0D">
        <w:rPr>
          <w:rStyle w:val="eTRMFootnoteTextChar"/>
        </w:rPr>
        <w:t xml:space="preserve"> October 11. </w:t>
      </w:r>
      <w:r>
        <w:rPr>
          <w:rStyle w:val="eTRMFootnoteTextChar"/>
        </w:rPr>
        <w:t>Op</w:t>
      </w:r>
      <w:r w:rsidRPr="00461A0D">
        <w:rPr>
          <w:rStyle w:val="eTRMFootnoteTextChar"/>
        </w:rPr>
        <w:t xml:space="preserve"> 1.</w:t>
      </w:r>
    </w:p>
  </w:footnote>
  <w:footnote w:id="6">
    <w:p w14:paraId="77C00BF0" w14:textId="5019B38E" w:rsidR="00434A26" w:rsidRDefault="00434A26">
      <w:pPr>
        <w:pStyle w:val="FootnoteText"/>
      </w:pPr>
      <w:r>
        <w:rPr>
          <w:rStyle w:val="FootnoteReference"/>
        </w:rPr>
        <w:footnoteRef/>
      </w:r>
      <w:r>
        <w:t xml:space="preserve"> Pacific Gas and Electric (PG&amp;E). 2017. “</w:t>
      </w:r>
      <w:r w:rsidRPr="000F479C">
        <w:t>PGECOFST123 Reach in Ref and Freezer Cost Analysis 2017.xlsx</w:t>
      </w:r>
      <w:r>
        <w:t>.”</w:t>
      </w:r>
    </w:p>
  </w:footnote>
  <w:footnote w:id="7">
    <w:p w14:paraId="34352235" w14:textId="72F447C1" w:rsidR="00434A26" w:rsidRDefault="00434A26" w:rsidP="008F2916">
      <w:pPr>
        <w:pStyle w:val="FootnoteText"/>
      </w:pPr>
      <w:r>
        <w:rPr>
          <w:rStyle w:val="FootnoteReference"/>
        </w:rPr>
        <w:footnoteRef/>
      </w:r>
      <w:r>
        <w:t xml:space="preserve"> Pacific Gas and Electric (PG&amp;E). 2017. “</w:t>
      </w:r>
      <w:r w:rsidRPr="000F479C">
        <w:t>PGECOFST123 Reach in Ref and Freezer Cost Analysis 2017.xlsx</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4FF84" w14:textId="77777777" w:rsidR="00434A26" w:rsidRPr="000220A0" w:rsidRDefault="00434A26"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7C0AE" w14:textId="77777777" w:rsidR="00434A26" w:rsidRDefault="00434A26">
    <w:pPr>
      <w:pStyle w:val="Header"/>
    </w:pPr>
    <w:r>
      <w:rPr>
        <w:rFonts w:ascii="Calibri Light" w:hAnsi="Calibri Light"/>
      </w:rPr>
      <w:t xml:space="preserve">MEASURE  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2457A02A" w14:textId="77777777" w:rsidR="00434A26" w:rsidRDefault="00434A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90027" w14:textId="77777777" w:rsidR="00434A26" w:rsidRDefault="00434A26" w:rsidP="00BD221D">
    <w:pPr>
      <w:jc w:val="center"/>
    </w:pPr>
  </w:p>
  <w:p w14:paraId="08E7CAA9" w14:textId="77777777" w:rsidR="00434A26" w:rsidRDefault="00434A26" w:rsidP="00BD221D">
    <w:pPr>
      <w:jc w:val="center"/>
    </w:pPr>
    <w:r>
      <w:rPr>
        <w:noProof/>
      </w:rPr>
      <w:drawing>
        <wp:inline distT="0" distB="0" distL="0" distR="0" wp14:anchorId="3BF109CE" wp14:editId="2911EA58">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014F2" w14:textId="7854FBD3" w:rsidR="00434A26" w:rsidRDefault="00434A26" w:rsidP="001D7A57">
    <w:pPr>
      <w:pStyle w:val="Header"/>
    </w:pPr>
    <w:r>
      <w:rPr>
        <w:rFonts w:ascii="Calibri Light" w:hAnsi="Calibri Light"/>
      </w:rPr>
      <w:t xml:space="preserve">REFRIGERATION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Reach-In Refrigerator or Freezer, Commercial</w:t>
    </w:r>
  </w:p>
  <w:p w14:paraId="7A106725" w14:textId="77777777" w:rsidR="00434A26" w:rsidRDefault="00434A2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992AF" w14:textId="77777777" w:rsidR="00434A26" w:rsidRDefault="00434A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023C6"/>
    <w:multiLevelType w:val="hybridMultilevel"/>
    <w:tmpl w:val="5D340758"/>
    <w:lvl w:ilvl="0" w:tplc="C0507082">
      <w:start w:val="1"/>
      <w:numFmt w:val="bullet"/>
      <w:lvlText w:val=""/>
      <w:lvlJc w:val="left"/>
      <w:pPr>
        <w:ind w:left="720" w:hanging="360"/>
      </w:pPr>
      <w:rPr>
        <w:rFonts w:ascii="Symbol" w:hAnsi="Symbol" w:hint="default"/>
        <w:color w:val="5F5F5F" w:themeColor="accent3"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0F6D0B"/>
    <w:multiLevelType w:val="hybridMultilevel"/>
    <w:tmpl w:val="1D1C0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316FC0"/>
    <w:multiLevelType w:val="hybridMultilevel"/>
    <w:tmpl w:val="BC0A3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0"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2" w15:restartNumberingAfterBreak="0">
    <w:nsid w:val="5C7B3533"/>
    <w:multiLevelType w:val="hybridMultilevel"/>
    <w:tmpl w:val="2DE29278"/>
    <w:lvl w:ilvl="0" w:tplc="C0507082">
      <w:start w:val="1"/>
      <w:numFmt w:val="bullet"/>
      <w:lvlText w:val=""/>
      <w:lvlJc w:val="left"/>
      <w:pPr>
        <w:ind w:left="720" w:hanging="360"/>
      </w:pPr>
      <w:rPr>
        <w:rFonts w:ascii="Symbol" w:hAnsi="Symbol" w:hint="default"/>
        <w:color w:val="5F5F5F" w:themeColor="accent3"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5"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9"/>
  </w:num>
  <w:num w:numId="2">
    <w:abstractNumId w:val="14"/>
  </w:num>
  <w:num w:numId="3">
    <w:abstractNumId w:val="16"/>
  </w:num>
  <w:num w:numId="4">
    <w:abstractNumId w:val="16"/>
  </w:num>
  <w:num w:numId="5">
    <w:abstractNumId w:val="11"/>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4"/>
  </w:num>
  <w:num w:numId="8">
    <w:abstractNumId w:val="13"/>
  </w:num>
  <w:num w:numId="9">
    <w:abstractNumId w:val="0"/>
  </w:num>
  <w:num w:numId="10">
    <w:abstractNumId w:val="15"/>
  </w:num>
  <w:num w:numId="11">
    <w:abstractNumId w:val="5"/>
  </w:num>
  <w:num w:numId="12">
    <w:abstractNumId w:val="3"/>
  </w:num>
  <w:num w:numId="13">
    <w:abstractNumId w:val="6"/>
  </w:num>
  <w:num w:numId="14">
    <w:abstractNumId w:val="2"/>
  </w:num>
  <w:num w:numId="15">
    <w:abstractNumId w:val="12"/>
  </w:num>
  <w:num w:numId="16">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A08"/>
    <w:rsid w:val="00000E96"/>
    <w:rsid w:val="00005B06"/>
    <w:rsid w:val="000063B0"/>
    <w:rsid w:val="000110D9"/>
    <w:rsid w:val="000111AF"/>
    <w:rsid w:val="0001159A"/>
    <w:rsid w:val="00016928"/>
    <w:rsid w:val="000220A0"/>
    <w:rsid w:val="0002389A"/>
    <w:rsid w:val="00026D58"/>
    <w:rsid w:val="000302DF"/>
    <w:rsid w:val="00031184"/>
    <w:rsid w:val="00037A06"/>
    <w:rsid w:val="00046BB0"/>
    <w:rsid w:val="00051DBB"/>
    <w:rsid w:val="00052C95"/>
    <w:rsid w:val="00057C8B"/>
    <w:rsid w:val="00061D34"/>
    <w:rsid w:val="000672E5"/>
    <w:rsid w:val="00071170"/>
    <w:rsid w:val="0007334E"/>
    <w:rsid w:val="00074E3E"/>
    <w:rsid w:val="000767E9"/>
    <w:rsid w:val="0008108C"/>
    <w:rsid w:val="000841AA"/>
    <w:rsid w:val="00090BBF"/>
    <w:rsid w:val="000910B7"/>
    <w:rsid w:val="00091581"/>
    <w:rsid w:val="00094517"/>
    <w:rsid w:val="00096485"/>
    <w:rsid w:val="000978C8"/>
    <w:rsid w:val="000A4D3A"/>
    <w:rsid w:val="000A62EF"/>
    <w:rsid w:val="000A66B7"/>
    <w:rsid w:val="000A7058"/>
    <w:rsid w:val="000B6004"/>
    <w:rsid w:val="000C36B4"/>
    <w:rsid w:val="000C72C1"/>
    <w:rsid w:val="000F1833"/>
    <w:rsid w:val="000F2804"/>
    <w:rsid w:val="000F479C"/>
    <w:rsid w:val="00100DF1"/>
    <w:rsid w:val="00103399"/>
    <w:rsid w:val="00104933"/>
    <w:rsid w:val="00106FBB"/>
    <w:rsid w:val="00111A53"/>
    <w:rsid w:val="0011498C"/>
    <w:rsid w:val="00120592"/>
    <w:rsid w:val="001217DF"/>
    <w:rsid w:val="0012187D"/>
    <w:rsid w:val="00124BFE"/>
    <w:rsid w:val="00126809"/>
    <w:rsid w:val="00131C5A"/>
    <w:rsid w:val="00131EE2"/>
    <w:rsid w:val="00142D3C"/>
    <w:rsid w:val="00151B9F"/>
    <w:rsid w:val="00154391"/>
    <w:rsid w:val="00155E99"/>
    <w:rsid w:val="001564FC"/>
    <w:rsid w:val="00161DF1"/>
    <w:rsid w:val="001648F6"/>
    <w:rsid w:val="00171BB8"/>
    <w:rsid w:val="00174707"/>
    <w:rsid w:val="0017607B"/>
    <w:rsid w:val="00177BDE"/>
    <w:rsid w:val="00180DAD"/>
    <w:rsid w:val="00181672"/>
    <w:rsid w:val="00181E01"/>
    <w:rsid w:val="00182C89"/>
    <w:rsid w:val="00186E37"/>
    <w:rsid w:val="001944A0"/>
    <w:rsid w:val="00195B03"/>
    <w:rsid w:val="00196649"/>
    <w:rsid w:val="00196F2E"/>
    <w:rsid w:val="001A0DF0"/>
    <w:rsid w:val="001A4BE1"/>
    <w:rsid w:val="001A7A21"/>
    <w:rsid w:val="001B057D"/>
    <w:rsid w:val="001B1D23"/>
    <w:rsid w:val="001C2266"/>
    <w:rsid w:val="001C2ACE"/>
    <w:rsid w:val="001C6C9B"/>
    <w:rsid w:val="001C7134"/>
    <w:rsid w:val="001D65A6"/>
    <w:rsid w:val="001D7672"/>
    <w:rsid w:val="001D7A57"/>
    <w:rsid w:val="001E0FD5"/>
    <w:rsid w:val="001E19A3"/>
    <w:rsid w:val="001E2B2C"/>
    <w:rsid w:val="001E48A0"/>
    <w:rsid w:val="001E4C3F"/>
    <w:rsid w:val="001F4DB0"/>
    <w:rsid w:val="001F735E"/>
    <w:rsid w:val="001F7FB7"/>
    <w:rsid w:val="002005A8"/>
    <w:rsid w:val="002006B6"/>
    <w:rsid w:val="002021EB"/>
    <w:rsid w:val="00205BAF"/>
    <w:rsid w:val="002078A1"/>
    <w:rsid w:val="00207F85"/>
    <w:rsid w:val="0021226A"/>
    <w:rsid w:val="00212961"/>
    <w:rsid w:val="00212AAE"/>
    <w:rsid w:val="0021488F"/>
    <w:rsid w:val="00225142"/>
    <w:rsid w:val="0022610C"/>
    <w:rsid w:val="00226EEF"/>
    <w:rsid w:val="00227BDD"/>
    <w:rsid w:val="002318A4"/>
    <w:rsid w:val="002335FF"/>
    <w:rsid w:val="00233D87"/>
    <w:rsid w:val="0023666C"/>
    <w:rsid w:val="00236E0A"/>
    <w:rsid w:val="00237964"/>
    <w:rsid w:val="002434DE"/>
    <w:rsid w:val="002439DA"/>
    <w:rsid w:val="00245AFF"/>
    <w:rsid w:val="0024628D"/>
    <w:rsid w:val="0024690E"/>
    <w:rsid w:val="00251ABC"/>
    <w:rsid w:val="002524CF"/>
    <w:rsid w:val="00256400"/>
    <w:rsid w:val="00261A09"/>
    <w:rsid w:val="00276F9B"/>
    <w:rsid w:val="0028767F"/>
    <w:rsid w:val="0029555D"/>
    <w:rsid w:val="0029781E"/>
    <w:rsid w:val="002A2471"/>
    <w:rsid w:val="002A2A94"/>
    <w:rsid w:val="002B107C"/>
    <w:rsid w:val="002B2C97"/>
    <w:rsid w:val="002B3BF4"/>
    <w:rsid w:val="002B59DA"/>
    <w:rsid w:val="002B6870"/>
    <w:rsid w:val="002B6DED"/>
    <w:rsid w:val="002B6F2A"/>
    <w:rsid w:val="002C06FC"/>
    <w:rsid w:val="002C1117"/>
    <w:rsid w:val="002C303D"/>
    <w:rsid w:val="002C67DF"/>
    <w:rsid w:val="002D0036"/>
    <w:rsid w:val="002D14BF"/>
    <w:rsid w:val="002D2956"/>
    <w:rsid w:val="002D29F8"/>
    <w:rsid w:val="002D40EE"/>
    <w:rsid w:val="002D4993"/>
    <w:rsid w:val="002D50E9"/>
    <w:rsid w:val="002D5CFA"/>
    <w:rsid w:val="002E0D62"/>
    <w:rsid w:val="002E18BF"/>
    <w:rsid w:val="002E6B2D"/>
    <w:rsid w:val="002E7F37"/>
    <w:rsid w:val="002F2E43"/>
    <w:rsid w:val="00302A82"/>
    <w:rsid w:val="003103FB"/>
    <w:rsid w:val="00311697"/>
    <w:rsid w:val="00312850"/>
    <w:rsid w:val="00313E1D"/>
    <w:rsid w:val="003247FA"/>
    <w:rsid w:val="00324F45"/>
    <w:rsid w:val="003309DA"/>
    <w:rsid w:val="00333809"/>
    <w:rsid w:val="00336313"/>
    <w:rsid w:val="00337D1D"/>
    <w:rsid w:val="003405CD"/>
    <w:rsid w:val="0035060F"/>
    <w:rsid w:val="00352864"/>
    <w:rsid w:val="00355CE8"/>
    <w:rsid w:val="00362F9E"/>
    <w:rsid w:val="00363928"/>
    <w:rsid w:val="00363BE8"/>
    <w:rsid w:val="00372F61"/>
    <w:rsid w:val="00373646"/>
    <w:rsid w:val="00385069"/>
    <w:rsid w:val="00390823"/>
    <w:rsid w:val="00390EA0"/>
    <w:rsid w:val="00392097"/>
    <w:rsid w:val="00392684"/>
    <w:rsid w:val="00396017"/>
    <w:rsid w:val="003B5AC0"/>
    <w:rsid w:val="003B7610"/>
    <w:rsid w:val="003C2CC3"/>
    <w:rsid w:val="003C7721"/>
    <w:rsid w:val="003D0837"/>
    <w:rsid w:val="003D1FB8"/>
    <w:rsid w:val="003D7104"/>
    <w:rsid w:val="003E378F"/>
    <w:rsid w:val="003E5605"/>
    <w:rsid w:val="003E5B70"/>
    <w:rsid w:val="003F269E"/>
    <w:rsid w:val="003F4964"/>
    <w:rsid w:val="003F65F3"/>
    <w:rsid w:val="00401C43"/>
    <w:rsid w:val="00403F6B"/>
    <w:rsid w:val="004044CA"/>
    <w:rsid w:val="004046FF"/>
    <w:rsid w:val="00410790"/>
    <w:rsid w:val="00411EF4"/>
    <w:rsid w:val="004133BB"/>
    <w:rsid w:val="00413B70"/>
    <w:rsid w:val="004142EF"/>
    <w:rsid w:val="00420958"/>
    <w:rsid w:val="00420EF1"/>
    <w:rsid w:val="00421920"/>
    <w:rsid w:val="00422D8D"/>
    <w:rsid w:val="004249A0"/>
    <w:rsid w:val="004264B3"/>
    <w:rsid w:val="004306B0"/>
    <w:rsid w:val="00432D49"/>
    <w:rsid w:val="004339EA"/>
    <w:rsid w:val="00433E8F"/>
    <w:rsid w:val="00434A26"/>
    <w:rsid w:val="00437B13"/>
    <w:rsid w:val="0044577B"/>
    <w:rsid w:val="004517F1"/>
    <w:rsid w:val="004518CB"/>
    <w:rsid w:val="00461AE3"/>
    <w:rsid w:val="00464A63"/>
    <w:rsid w:val="00466DD6"/>
    <w:rsid w:val="00470670"/>
    <w:rsid w:val="00472286"/>
    <w:rsid w:val="00475A47"/>
    <w:rsid w:val="00477E9A"/>
    <w:rsid w:val="00480A74"/>
    <w:rsid w:val="00484536"/>
    <w:rsid w:val="00486585"/>
    <w:rsid w:val="00491FAB"/>
    <w:rsid w:val="00497289"/>
    <w:rsid w:val="004A06AE"/>
    <w:rsid w:val="004A510D"/>
    <w:rsid w:val="004B06E3"/>
    <w:rsid w:val="004B35DC"/>
    <w:rsid w:val="004B508F"/>
    <w:rsid w:val="004B543E"/>
    <w:rsid w:val="004B5888"/>
    <w:rsid w:val="004B708D"/>
    <w:rsid w:val="004C2A36"/>
    <w:rsid w:val="004C3663"/>
    <w:rsid w:val="004C57EC"/>
    <w:rsid w:val="004C69F2"/>
    <w:rsid w:val="004D1461"/>
    <w:rsid w:val="004D3A71"/>
    <w:rsid w:val="004D3CE4"/>
    <w:rsid w:val="004D6F5B"/>
    <w:rsid w:val="004D7E51"/>
    <w:rsid w:val="004E04EE"/>
    <w:rsid w:val="004E1B37"/>
    <w:rsid w:val="004E2704"/>
    <w:rsid w:val="004E4D01"/>
    <w:rsid w:val="004F72A7"/>
    <w:rsid w:val="00500964"/>
    <w:rsid w:val="00500C66"/>
    <w:rsid w:val="00505B94"/>
    <w:rsid w:val="005130EC"/>
    <w:rsid w:val="005146E6"/>
    <w:rsid w:val="0051640D"/>
    <w:rsid w:val="00516FF7"/>
    <w:rsid w:val="00522AC4"/>
    <w:rsid w:val="0052440C"/>
    <w:rsid w:val="00533411"/>
    <w:rsid w:val="00535A42"/>
    <w:rsid w:val="0053748E"/>
    <w:rsid w:val="005449C6"/>
    <w:rsid w:val="00550731"/>
    <w:rsid w:val="005531B1"/>
    <w:rsid w:val="00563DF5"/>
    <w:rsid w:val="005660F7"/>
    <w:rsid w:val="00566B42"/>
    <w:rsid w:val="0057165C"/>
    <w:rsid w:val="005722C6"/>
    <w:rsid w:val="00574FC8"/>
    <w:rsid w:val="00580FF8"/>
    <w:rsid w:val="00581322"/>
    <w:rsid w:val="0058173F"/>
    <w:rsid w:val="00585C8D"/>
    <w:rsid w:val="005862CC"/>
    <w:rsid w:val="00587F8C"/>
    <w:rsid w:val="005911FE"/>
    <w:rsid w:val="0059312F"/>
    <w:rsid w:val="0059347D"/>
    <w:rsid w:val="0059571D"/>
    <w:rsid w:val="00595758"/>
    <w:rsid w:val="00596081"/>
    <w:rsid w:val="005A3943"/>
    <w:rsid w:val="005A51E6"/>
    <w:rsid w:val="005B34EB"/>
    <w:rsid w:val="005B5277"/>
    <w:rsid w:val="005B5CEE"/>
    <w:rsid w:val="005B7418"/>
    <w:rsid w:val="005C03A9"/>
    <w:rsid w:val="005C2BFC"/>
    <w:rsid w:val="005C324B"/>
    <w:rsid w:val="005C43E2"/>
    <w:rsid w:val="005C454A"/>
    <w:rsid w:val="005C74C9"/>
    <w:rsid w:val="005D1B14"/>
    <w:rsid w:val="005D257B"/>
    <w:rsid w:val="005E1D5C"/>
    <w:rsid w:val="005E25DC"/>
    <w:rsid w:val="005E52AE"/>
    <w:rsid w:val="005E5607"/>
    <w:rsid w:val="005E567C"/>
    <w:rsid w:val="005F2463"/>
    <w:rsid w:val="005F505E"/>
    <w:rsid w:val="00602976"/>
    <w:rsid w:val="0060388D"/>
    <w:rsid w:val="00604231"/>
    <w:rsid w:val="006103EE"/>
    <w:rsid w:val="00610C2F"/>
    <w:rsid w:val="00625805"/>
    <w:rsid w:val="00627AC4"/>
    <w:rsid w:val="0063253B"/>
    <w:rsid w:val="00635142"/>
    <w:rsid w:val="006363C8"/>
    <w:rsid w:val="00637AB8"/>
    <w:rsid w:val="0064370D"/>
    <w:rsid w:val="00643771"/>
    <w:rsid w:val="00644946"/>
    <w:rsid w:val="00646581"/>
    <w:rsid w:val="006467C0"/>
    <w:rsid w:val="00646AB8"/>
    <w:rsid w:val="00647BD9"/>
    <w:rsid w:val="00654A3E"/>
    <w:rsid w:val="006624A7"/>
    <w:rsid w:val="00664425"/>
    <w:rsid w:val="0066515F"/>
    <w:rsid w:val="006668AF"/>
    <w:rsid w:val="00686439"/>
    <w:rsid w:val="006A6051"/>
    <w:rsid w:val="006B31D9"/>
    <w:rsid w:val="006C0102"/>
    <w:rsid w:val="006C07D4"/>
    <w:rsid w:val="006C41AD"/>
    <w:rsid w:val="006D04BD"/>
    <w:rsid w:val="006D461D"/>
    <w:rsid w:val="006D508D"/>
    <w:rsid w:val="006D7180"/>
    <w:rsid w:val="006D72E1"/>
    <w:rsid w:val="006E433B"/>
    <w:rsid w:val="006E7009"/>
    <w:rsid w:val="006E7899"/>
    <w:rsid w:val="006E7C78"/>
    <w:rsid w:val="006F27F4"/>
    <w:rsid w:val="006F2E23"/>
    <w:rsid w:val="006F54FA"/>
    <w:rsid w:val="006F7024"/>
    <w:rsid w:val="0070152D"/>
    <w:rsid w:val="007038AD"/>
    <w:rsid w:val="00703A7C"/>
    <w:rsid w:val="00706D7A"/>
    <w:rsid w:val="007076DA"/>
    <w:rsid w:val="00707860"/>
    <w:rsid w:val="007148B7"/>
    <w:rsid w:val="007207BF"/>
    <w:rsid w:val="00725CB0"/>
    <w:rsid w:val="0073685C"/>
    <w:rsid w:val="00737EA5"/>
    <w:rsid w:val="007400AE"/>
    <w:rsid w:val="00741F3E"/>
    <w:rsid w:val="00743AA8"/>
    <w:rsid w:val="00750840"/>
    <w:rsid w:val="00754680"/>
    <w:rsid w:val="00757617"/>
    <w:rsid w:val="007577F7"/>
    <w:rsid w:val="00763AD8"/>
    <w:rsid w:val="00765016"/>
    <w:rsid w:val="0076741B"/>
    <w:rsid w:val="0077100C"/>
    <w:rsid w:val="00773487"/>
    <w:rsid w:val="00776C39"/>
    <w:rsid w:val="00781D00"/>
    <w:rsid w:val="007900F3"/>
    <w:rsid w:val="00791B69"/>
    <w:rsid w:val="0079498E"/>
    <w:rsid w:val="00796F10"/>
    <w:rsid w:val="007A0EB3"/>
    <w:rsid w:val="007A1C29"/>
    <w:rsid w:val="007A5D9A"/>
    <w:rsid w:val="007A6AB5"/>
    <w:rsid w:val="007B2B46"/>
    <w:rsid w:val="007B30F2"/>
    <w:rsid w:val="007B377F"/>
    <w:rsid w:val="007B4274"/>
    <w:rsid w:val="007B5117"/>
    <w:rsid w:val="007B599D"/>
    <w:rsid w:val="007B6A74"/>
    <w:rsid w:val="007C2DC8"/>
    <w:rsid w:val="007C4AC5"/>
    <w:rsid w:val="007D097E"/>
    <w:rsid w:val="007D230B"/>
    <w:rsid w:val="007D2D80"/>
    <w:rsid w:val="007D3681"/>
    <w:rsid w:val="007D3824"/>
    <w:rsid w:val="007D49A1"/>
    <w:rsid w:val="007D59DD"/>
    <w:rsid w:val="007E1F66"/>
    <w:rsid w:val="007E4C10"/>
    <w:rsid w:val="007E60DF"/>
    <w:rsid w:val="007E6501"/>
    <w:rsid w:val="007E6C25"/>
    <w:rsid w:val="007F32D7"/>
    <w:rsid w:val="00801632"/>
    <w:rsid w:val="0080520B"/>
    <w:rsid w:val="00807B3E"/>
    <w:rsid w:val="00810D4A"/>
    <w:rsid w:val="00812D63"/>
    <w:rsid w:val="00812F82"/>
    <w:rsid w:val="008146FD"/>
    <w:rsid w:val="00816AAB"/>
    <w:rsid w:val="00820402"/>
    <w:rsid w:val="008243B2"/>
    <w:rsid w:val="00824F08"/>
    <w:rsid w:val="008310DF"/>
    <w:rsid w:val="00831105"/>
    <w:rsid w:val="00834E22"/>
    <w:rsid w:val="00835487"/>
    <w:rsid w:val="008436AA"/>
    <w:rsid w:val="00844A1D"/>
    <w:rsid w:val="00844A4B"/>
    <w:rsid w:val="00846EBB"/>
    <w:rsid w:val="008538B6"/>
    <w:rsid w:val="00854676"/>
    <w:rsid w:val="00856B38"/>
    <w:rsid w:val="008573C2"/>
    <w:rsid w:val="00861FB0"/>
    <w:rsid w:val="00865296"/>
    <w:rsid w:val="00867040"/>
    <w:rsid w:val="00867086"/>
    <w:rsid w:val="00874663"/>
    <w:rsid w:val="0087742A"/>
    <w:rsid w:val="00881AA4"/>
    <w:rsid w:val="00881B95"/>
    <w:rsid w:val="008831CA"/>
    <w:rsid w:val="00890FB0"/>
    <w:rsid w:val="0089272A"/>
    <w:rsid w:val="00894890"/>
    <w:rsid w:val="008964EB"/>
    <w:rsid w:val="00897247"/>
    <w:rsid w:val="008B08F0"/>
    <w:rsid w:val="008B262C"/>
    <w:rsid w:val="008B6FC8"/>
    <w:rsid w:val="008C19E9"/>
    <w:rsid w:val="008C26E9"/>
    <w:rsid w:val="008C3753"/>
    <w:rsid w:val="008C4160"/>
    <w:rsid w:val="008C774E"/>
    <w:rsid w:val="008D6D9D"/>
    <w:rsid w:val="008E0A55"/>
    <w:rsid w:val="008E3BE9"/>
    <w:rsid w:val="008E7DEB"/>
    <w:rsid w:val="008F11D2"/>
    <w:rsid w:val="008F1691"/>
    <w:rsid w:val="008F22E2"/>
    <w:rsid w:val="008F2916"/>
    <w:rsid w:val="008F5698"/>
    <w:rsid w:val="008F639E"/>
    <w:rsid w:val="00901EF2"/>
    <w:rsid w:val="00902FB3"/>
    <w:rsid w:val="00903EB6"/>
    <w:rsid w:val="009079D0"/>
    <w:rsid w:val="00913D0A"/>
    <w:rsid w:val="009148A1"/>
    <w:rsid w:val="009217D3"/>
    <w:rsid w:val="00924972"/>
    <w:rsid w:val="00932E1E"/>
    <w:rsid w:val="00934068"/>
    <w:rsid w:val="009357C7"/>
    <w:rsid w:val="009369BA"/>
    <w:rsid w:val="009371C2"/>
    <w:rsid w:val="00937854"/>
    <w:rsid w:val="009469E0"/>
    <w:rsid w:val="00951C4D"/>
    <w:rsid w:val="009522EB"/>
    <w:rsid w:val="00952E03"/>
    <w:rsid w:val="009547E2"/>
    <w:rsid w:val="00956488"/>
    <w:rsid w:val="00956F5F"/>
    <w:rsid w:val="009610DC"/>
    <w:rsid w:val="0096744F"/>
    <w:rsid w:val="009711E5"/>
    <w:rsid w:val="0097154F"/>
    <w:rsid w:val="009726AB"/>
    <w:rsid w:val="00972E1F"/>
    <w:rsid w:val="00985996"/>
    <w:rsid w:val="00986978"/>
    <w:rsid w:val="00994F74"/>
    <w:rsid w:val="0099563A"/>
    <w:rsid w:val="009A13F4"/>
    <w:rsid w:val="009A44BE"/>
    <w:rsid w:val="009B029F"/>
    <w:rsid w:val="009B2663"/>
    <w:rsid w:val="009B27F8"/>
    <w:rsid w:val="009B4A8B"/>
    <w:rsid w:val="009B5129"/>
    <w:rsid w:val="009B74FB"/>
    <w:rsid w:val="009C0660"/>
    <w:rsid w:val="009C4845"/>
    <w:rsid w:val="009C64CF"/>
    <w:rsid w:val="009C7314"/>
    <w:rsid w:val="009D5D9F"/>
    <w:rsid w:val="009E0FA2"/>
    <w:rsid w:val="009E2244"/>
    <w:rsid w:val="009E36D6"/>
    <w:rsid w:val="009F178D"/>
    <w:rsid w:val="009F57FD"/>
    <w:rsid w:val="009F74EC"/>
    <w:rsid w:val="009F7F9F"/>
    <w:rsid w:val="00A00982"/>
    <w:rsid w:val="00A01E02"/>
    <w:rsid w:val="00A02E26"/>
    <w:rsid w:val="00A05BA0"/>
    <w:rsid w:val="00A159C9"/>
    <w:rsid w:val="00A167FB"/>
    <w:rsid w:val="00A172C1"/>
    <w:rsid w:val="00A21B70"/>
    <w:rsid w:val="00A21D02"/>
    <w:rsid w:val="00A21DDB"/>
    <w:rsid w:val="00A23CF6"/>
    <w:rsid w:val="00A2690C"/>
    <w:rsid w:val="00A26B33"/>
    <w:rsid w:val="00A2792F"/>
    <w:rsid w:val="00A30970"/>
    <w:rsid w:val="00A315E4"/>
    <w:rsid w:val="00A31D96"/>
    <w:rsid w:val="00A31FEE"/>
    <w:rsid w:val="00A33C55"/>
    <w:rsid w:val="00A42875"/>
    <w:rsid w:val="00A44DC1"/>
    <w:rsid w:val="00A47A98"/>
    <w:rsid w:val="00A47EE7"/>
    <w:rsid w:val="00A50B43"/>
    <w:rsid w:val="00A51C87"/>
    <w:rsid w:val="00A54197"/>
    <w:rsid w:val="00A558FC"/>
    <w:rsid w:val="00A57DBF"/>
    <w:rsid w:val="00A61821"/>
    <w:rsid w:val="00A62AC0"/>
    <w:rsid w:val="00A67A70"/>
    <w:rsid w:val="00A67CA5"/>
    <w:rsid w:val="00A74E8C"/>
    <w:rsid w:val="00A75CCD"/>
    <w:rsid w:val="00A80506"/>
    <w:rsid w:val="00A806AE"/>
    <w:rsid w:val="00A8118F"/>
    <w:rsid w:val="00A83458"/>
    <w:rsid w:val="00A86C41"/>
    <w:rsid w:val="00A87FD1"/>
    <w:rsid w:val="00A90148"/>
    <w:rsid w:val="00A97E0A"/>
    <w:rsid w:val="00AA0D8C"/>
    <w:rsid w:val="00AA25BC"/>
    <w:rsid w:val="00AA3077"/>
    <w:rsid w:val="00AA4069"/>
    <w:rsid w:val="00AA46AF"/>
    <w:rsid w:val="00AB4835"/>
    <w:rsid w:val="00AB4E9E"/>
    <w:rsid w:val="00AB6C99"/>
    <w:rsid w:val="00AC11D5"/>
    <w:rsid w:val="00AC15E5"/>
    <w:rsid w:val="00AC22BB"/>
    <w:rsid w:val="00AC4080"/>
    <w:rsid w:val="00AC5A6D"/>
    <w:rsid w:val="00AC5D73"/>
    <w:rsid w:val="00AC73AD"/>
    <w:rsid w:val="00AD705A"/>
    <w:rsid w:val="00AD756D"/>
    <w:rsid w:val="00AD78F9"/>
    <w:rsid w:val="00AE008D"/>
    <w:rsid w:val="00AE30E0"/>
    <w:rsid w:val="00AE346F"/>
    <w:rsid w:val="00AF2329"/>
    <w:rsid w:val="00AF320B"/>
    <w:rsid w:val="00AF3660"/>
    <w:rsid w:val="00AF7A20"/>
    <w:rsid w:val="00B01312"/>
    <w:rsid w:val="00B02D98"/>
    <w:rsid w:val="00B11969"/>
    <w:rsid w:val="00B15D2F"/>
    <w:rsid w:val="00B16399"/>
    <w:rsid w:val="00B1760F"/>
    <w:rsid w:val="00B22C6E"/>
    <w:rsid w:val="00B25016"/>
    <w:rsid w:val="00B2586D"/>
    <w:rsid w:val="00B25AE4"/>
    <w:rsid w:val="00B26909"/>
    <w:rsid w:val="00B27664"/>
    <w:rsid w:val="00B31169"/>
    <w:rsid w:val="00B31828"/>
    <w:rsid w:val="00B32420"/>
    <w:rsid w:val="00B41D07"/>
    <w:rsid w:val="00B42BEE"/>
    <w:rsid w:val="00B43D79"/>
    <w:rsid w:val="00B452B7"/>
    <w:rsid w:val="00B458E3"/>
    <w:rsid w:val="00B46A8B"/>
    <w:rsid w:val="00B518FF"/>
    <w:rsid w:val="00B53AF7"/>
    <w:rsid w:val="00B54F17"/>
    <w:rsid w:val="00B57D47"/>
    <w:rsid w:val="00B6210E"/>
    <w:rsid w:val="00B6307C"/>
    <w:rsid w:val="00B632E3"/>
    <w:rsid w:val="00B64DC8"/>
    <w:rsid w:val="00B70688"/>
    <w:rsid w:val="00B77091"/>
    <w:rsid w:val="00B837C1"/>
    <w:rsid w:val="00B841E0"/>
    <w:rsid w:val="00B860BA"/>
    <w:rsid w:val="00B865F5"/>
    <w:rsid w:val="00B870A0"/>
    <w:rsid w:val="00B91DFE"/>
    <w:rsid w:val="00B9406B"/>
    <w:rsid w:val="00B966E9"/>
    <w:rsid w:val="00B96BC7"/>
    <w:rsid w:val="00B97229"/>
    <w:rsid w:val="00BA0759"/>
    <w:rsid w:val="00BA08A3"/>
    <w:rsid w:val="00BA5AB3"/>
    <w:rsid w:val="00BB227E"/>
    <w:rsid w:val="00BB7E3D"/>
    <w:rsid w:val="00BC3CD1"/>
    <w:rsid w:val="00BC5EC6"/>
    <w:rsid w:val="00BC5F0E"/>
    <w:rsid w:val="00BD2211"/>
    <w:rsid w:val="00BD221D"/>
    <w:rsid w:val="00BD3E65"/>
    <w:rsid w:val="00BD5934"/>
    <w:rsid w:val="00BD7785"/>
    <w:rsid w:val="00BE3B2E"/>
    <w:rsid w:val="00BF1CBD"/>
    <w:rsid w:val="00BF52C4"/>
    <w:rsid w:val="00BF7A7A"/>
    <w:rsid w:val="00C006BE"/>
    <w:rsid w:val="00C04545"/>
    <w:rsid w:val="00C052C0"/>
    <w:rsid w:val="00C05B8E"/>
    <w:rsid w:val="00C1063D"/>
    <w:rsid w:val="00C11394"/>
    <w:rsid w:val="00C154F8"/>
    <w:rsid w:val="00C15E0E"/>
    <w:rsid w:val="00C23FB5"/>
    <w:rsid w:val="00C24A1A"/>
    <w:rsid w:val="00C30054"/>
    <w:rsid w:val="00C331BB"/>
    <w:rsid w:val="00C33DE1"/>
    <w:rsid w:val="00C41730"/>
    <w:rsid w:val="00C41A08"/>
    <w:rsid w:val="00C422B9"/>
    <w:rsid w:val="00C4241E"/>
    <w:rsid w:val="00C46468"/>
    <w:rsid w:val="00C50EFE"/>
    <w:rsid w:val="00C615A3"/>
    <w:rsid w:val="00C635DA"/>
    <w:rsid w:val="00C639E7"/>
    <w:rsid w:val="00C659BE"/>
    <w:rsid w:val="00C701A8"/>
    <w:rsid w:val="00C80300"/>
    <w:rsid w:val="00C815F6"/>
    <w:rsid w:val="00C82307"/>
    <w:rsid w:val="00C82CB8"/>
    <w:rsid w:val="00C8613B"/>
    <w:rsid w:val="00C92622"/>
    <w:rsid w:val="00C97228"/>
    <w:rsid w:val="00C9780D"/>
    <w:rsid w:val="00CA02DA"/>
    <w:rsid w:val="00CA1A54"/>
    <w:rsid w:val="00CA4D2D"/>
    <w:rsid w:val="00CA5558"/>
    <w:rsid w:val="00CB2FF0"/>
    <w:rsid w:val="00CC0735"/>
    <w:rsid w:val="00CC46B2"/>
    <w:rsid w:val="00CC5718"/>
    <w:rsid w:val="00CD1352"/>
    <w:rsid w:val="00CD1CBE"/>
    <w:rsid w:val="00CD1E3E"/>
    <w:rsid w:val="00CD2432"/>
    <w:rsid w:val="00CD32E2"/>
    <w:rsid w:val="00CD4B0B"/>
    <w:rsid w:val="00CD4BD7"/>
    <w:rsid w:val="00CD667C"/>
    <w:rsid w:val="00CD6698"/>
    <w:rsid w:val="00CE1E5B"/>
    <w:rsid w:val="00CE732B"/>
    <w:rsid w:val="00CF1D92"/>
    <w:rsid w:val="00CF27AB"/>
    <w:rsid w:val="00CF5D91"/>
    <w:rsid w:val="00CF769A"/>
    <w:rsid w:val="00D0025C"/>
    <w:rsid w:val="00D0048A"/>
    <w:rsid w:val="00D12172"/>
    <w:rsid w:val="00D12B8C"/>
    <w:rsid w:val="00D17392"/>
    <w:rsid w:val="00D200F6"/>
    <w:rsid w:val="00D21646"/>
    <w:rsid w:val="00D454F2"/>
    <w:rsid w:val="00D47CE9"/>
    <w:rsid w:val="00D52995"/>
    <w:rsid w:val="00D559A4"/>
    <w:rsid w:val="00D6023C"/>
    <w:rsid w:val="00D64718"/>
    <w:rsid w:val="00D72ADE"/>
    <w:rsid w:val="00D75233"/>
    <w:rsid w:val="00D7728F"/>
    <w:rsid w:val="00D77696"/>
    <w:rsid w:val="00D81CC4"/>
    <w:rsid w:val="00D9765E"/>
    <w:rsid w:val="00DA4591"/>
    <w:rsid w:val="00DA6430"/>
    <w:rsid w:val="00DB63DB"/>
    <w:rsid w:val="00DB7824"/>
    <w:rsid w:val="00DC308E"/>
    <w:rsid w:val="00DC7F73"/>
    <w:rsid w:val="00DE191A"/>
    <w:rsid w:val="00DE3123"/>
    <w:rsid w:val="00DE339F"/>
    <w:rsid w:val="00DF1535"/>
    <w:rsid w:val="00DF53F5"/>
    <w:rsid w:val="00DF61FD"/>
    <w:rsid w:val="00DF6D25"/>
    <w:rsid w:val="00E03C6D"/>
    <w:rsid w:val="00E11EE3"/>
    <w:rsid w:val="00E135F9"/>
    <w:rsid w:val="00E14349"/>
    <w:rsid w:val="00E20C28"/>
    <w:rsid w:val="00E22A77"/>
    <w:rsid w:val="00E22E84"/>
    <w:rsid w:val="00E24B18"/>
    <w:rsid w:val="00E3016C"/>
    <w:rsid w:val="00E30F7B"/>
    <w:rsid w:val="00E348BC"/>
    <w:rsid w:val="00E4318F"/>
    <w:rsid w:val="00E4392E"/>
    <w:rsid w:val="00E5331E"/>
    <w:rsid w:val="00E534AD"/>
    <w:rsid w:val="00E53E68"/>
    <w:rsid w:val="00E54395"/>
    <w:rsid w:val="00E54741"/>
    <w:rsid w:val="00E568E5"/>
    <w:rsid w:val="00E642DE"/>
    <w:rsid w:val="00E6453F"/>
    <w:rsid w:val="00E659EF"/>
    <w:rsid w:val="00E70CBD"/>
    <w:rsid w:val="00E717E8"/>
    <w:rsid w:val="00E73D81"/>
    <w:rsid w:val="00E754F4"/>
    <w:rsid w:val="00E8679F"/>
    <w:rsid w:val="00EA196C"/>
    <w:rsid w:val="00EA2D3D"/>
    <w:rsid w:val="00EA4E10"/>
    <w:rsid w:val="00EA5B84"/>
    <w:rsid w:val="00EB20F9"/>
    <w:rsid w:val="00EB24EB"/>
    <w:rsid w:val="00EC31C1"/>
    <w:rsid w:val="00ED06CC"/>
    <w:rsid w:val="00ED0D4B"/>
    <w:rsid w:val="00ED2C8E"/>
    <w:rsid w:val="00ED379E"/>
    <w:rsid w:val="00ED3C45"/>
    <w:rsid w:val="00ED7680"/>
    <w:rsid w:val="00EE0424"/>
    <w:rsid w:val="00EE0D47"/>
    <w:rsid w:val="00EE5358"/>
    <w:rsid w:val="00EE6FDF"/>
    <w:rsid w:val="00EF71E9"/>
    <w:rsid w:val="00F006D2"/>
    <w:rsid w:val="00F00BD1"/>
    <w:rsid w:val="00F013AA"/>
    <w:rsid w:val="00F01FD9"/>
    <w:rsid w:val="00F04B07"/>
    <w:rsid w:val="00F05BA8"/>
    <w:rsid w:val="00F12644"/>
    <w:rsid w:val="00F16F13"/>
    <w:rsid w:val="00F23E9A"/>
    <w:rsid w:val="00F242D9"/>
    <w:rsid w:val="00F25350"/>
    <w:rsid w:val="00F271FB"/>
    <w:rsid w:val="00F3715D"/>
    <w:rsid w:val="00F3778B"/>
    <w:rsid w:val="00F44B62"/>
    <w:rsid w:val="00F5072C"/>
    <w:rsid w:val="00F51CBF"/>
    <w:rsid w:val="00F5411D"/>
    <w:rsid w:val="00F56D2B"/>
    <w:rsid w:val="00F57D2D"/>
    <w:rsid w:val="00F627A4"/>
    <w:rsid w:val="00F62A49"/>
    <w:rsid w:val="00F63665"/>
    <w:rsid w:val="00F64F0D"/>
    <w:rsid w:val="00F7026A"/>
    <w:rsid w:val="00F71826"/>
    <w:rsid w:val="00F72B45"/>
    <w:rsid w:val="00F73B00"/>
    <w:rsid w:val="00F76BA7"/>
    <w:rsid w:val="00F84737"/>
    <w:rsid w:val="00F87B69"/>
    <w:rsid w:val="00F90C95"/>
    <w:rsid w:val="00F9103E"/>
    <w:rsid w:val="00F93289"/>
    <w:rsid w:val="00F95923"/>
    <w:rsid w:val="00F96A39"/>
    <w:rsid w:val="00F97463"/>
    <w:rsid w:val="00FA4DC6"/>
    <w:rsid w:val="00FA5D99"/>
    <w:rsid w:val="00FB030E"/>
    <w:rsid w:val="00FB571F"/>
    <w:rsid w:val="00FB6B4F"/>
    <w:rsid w:val="00FC303B"/>
    <w:rsid w:val="00FC42BA"/>
    <w:rsid w:val="00FC6166"/>
    <w:rsid w:val="00FC7F3E"/>
    <w:rsid w:val="00FD08C1"/>
    <w:rsid w:val="00FD6D32"/>
    <w:rsid w:val="00FD7A7A"/>
    <w:rsid w:val="00FE10C1"/>
    <w:rsid w:val="00FE190E"/>
    <w:rsid w:val="00FE20A9"/>
    <w:rsid w:val="00FE48A9"/>
    <w:rsid w:val="00FE634E"/>
    <w:rsid w:val="00FE6F83"/>
    <w:rsid w:val="00FF08B7"/>
    <w:rsid w:val="00FF12B8"/>
    <w:rsid w:val="00FF1776"/>
    <w:rsid w:val="00FF521D"/>
    <w:rsid w:val="00FF63E7"/>
    <w:rsid w:val="00FF6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66198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rsid w:val="0008108C"/>
    <w:pPr>
      <w:ind w:left="720"/>
      <w:contextualSpacing/>
    </w:pPr>
  </w:style>
  <w:style w:type="paragraph" w:styleId="Caption">
    <w:name w:val="caption"/>
    <w:aliases w:val="eTRM Caption"/>
    <w:basedOn w:val="Normal"/>
    <w:next w:val="Normal"/>
    <w:link w:val="CaptionChar"/>
    <w:autoRedefine/>
    <w:unhideWhenUsed/>
    <w:qFormat/>
    <w:rsid w:val="00C92622"/>
    <w:pPr>
      <w:keepNext/>
      <w:keepLines/>
      <w:spacing w:before="280" w:after="80"/>
    </w:pPr>
    <w:rPr>
      <w:b/>
      <w:color w:val="000000"/>
      <w:sz w:val="20"/>
      <w:szCs w:val="18"/>
    </w:rPr>
  </w:style>
  <w:style w:type="character" w:customStyle="1" w:styleId="CaptionChar">
    <w:name w:val="Caption Char"/>
    <w:aliases w:val="eTRM Caption Char"/>
    <w:link w:val="Caption"/>
    <w:locked/>
    <w:rsid w:val="00C92622"/>
    <w:rPr>
      <w:rFonts w:ascii="Calibri Light" w:hAnsi="Calibri Light"/>
      <w:b/>
      <w:color w:val="000000"/>
      <w:sz w:val="20"/>
      <w:szCs w:val="18"/>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b/>
      <w:color w:val="000000"/>
      <w:sz w:val="20"/>
      <w:szCs w:val="18"/>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1C7134"/>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1C7134"/>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character" w:styleId="CommentReference">
    <w:name w:val="annotation reference"/>
    <w:basedOn w:val="DefaultParagraphFont"/>
    <w:uiPriority w:val="99"/>
    <w:semiHidden/>
    <w:unhideWhenUsed/>
    <w:rsid w:val="00B25016"/>
    <w:rPr>
      <w:sz w:val="16"/>
      <w:szCs w:val="16"/>
    </w:rPr>
  </w:style>
  <w:style w:type="paragraph" w:styleId="CommentText">
    <w:name w:val="annotation text"/>
    <w:basedOn w:val="Normal"/>
    <w:link w:val="CommentTextChar"/>
    <w:uiPriority w:val="99"/>
    <w:unhideWhenUsed/>
    <w:rsid w:val="00B25016"/>
    <w:pPr>
      <w:spacing w:line="240" w:lineRule="auto"/>
    </w:pPr>
    <w:rPr>
      <w:sz w:val="20"/>
      <w:szCs w:val="20"/>
    </w:rPr>
  </w:style>
  <w:style w:type="character" w:customStyle="1" w:styleId="CommentTextChar">
    <w:name w:val="Comment Text Char"/>
    <w:basedOn w:val="DefaultParagraphFont"/>
    <w:link w:val="CommentText"/>
    <w:uiPriority w:val="99"/>
    <w:rsid w:val="00B25016"/>
    <w:rPr>
      <w:rFonts w:ascii="Calibri Light" w:hAnsi="Calibri Light"/>
      <w:sz w:val="20"/>
      <w:szCs w:val="20"/>
    </w:rPr>
  </w:style>
  <w:style w:type="paragraph" w:styleId="CommentSubject">
    <w:name w:val="annotation subject"/>
    <w:basedOn w:val="CommentText"/>
    <w:next w:val="CommentText"/>
    <w:link w:val="CommentSubjectChar"/>
    <w:uiPriority w:val="99"/>
    <w:semiHidden/>
    <w:unhideWhenUsed/>
    <w:rsid w:val="00B25016"/>
    <w:rPr>
      <w:b/>
      <w:bCs/>
    </w:rPr>
  </w:style>
  <w:style w:type="character" w:customStyle="1" w:styleId="CommentSubjectChar">
    <w:name w:val="Comment Subject Char"/>
    <w:basedOn w:val="CommentTextChar"/>
    <w:link w:val="CommentSubject"/>
    <w:uiPriority w:val="99"/>
    <w:semiHidden/>
    <w:rsid w:val="00B25016"/>
    <w:rPr>
      <w:rFonts w:ascii="Calibri Light" w:hAnsi="Calibri Light"/>
      <w:b/>
      <w:bCs/>
      <w:sz w:val="20"/>
      <w:szCs w:val="20"/>
    </w:rPr>
  </w:style>
  <w:style w:type="paragraph" w:styleId="BalloonText">
    <w:name w:val="Balloon Text"/>
    <w:basedOn w:val="Normal"/>
    <w:link w:val="BalloonTextChar"/>
    <w:uiPriority w:val="99"/>
    <w:semiHidden/>
    <w:unhideWhenUsed/>
    <w:rsid w:val="00B25016"/>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016"/>
    <w:rPr>
      <w:rFonts w:ascii="Segoe UI" w:hAnsi="Segoe UI" w:cs="Segoe UI"/>
      <w:sz w:val="18"/>
      <w:szCs w:val="18"/>
    </w:rPr>
  </w:style>
  <w:style w:type="table" w:customStyle="1" w:styleId="TableGrid11">
    <w:name w:val="Table Grid11"/>
    <w:basedOn w:val="TableNormal"/>
    <w:next w:val="TableGrid"/>
    <w:rsid w:val="0096744F"/>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D0048A"/>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D0048A"/>
    <w:rPr>
      <w:rFonts w:ascii="Times New Roman" w:hAnsi="Times New Roman" w:cs="Times New Roman"/>
    </w:rPr>
  </w:style>
  <w:style w:type="table" w:customStyle="1" w:styleId="TableGrid1">
    <w:name w:val="Table Grid1"/>
    <w:basedOn w:val="TableNormal"/>
    <w:next w:val="TableGrid"/>
    <w:rsid w:val="006D461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minders">
    <w:name w:val="Reminders"/>
    <w:basedOn w:val="Normal"/>
    <w:link w:val="RemindersChar"/>
    <w:rsid w:val="00403F6B"/>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403F6B"/>
    <w:rPr>
      <w:rFonts w:ascii="Trebuchet MS" w:eastAsia="Times New Roman" w:hAnsi="Trebuchet MS" w:cs="Times New Roman"/>
      <w:i/>
      <w:color w:val="FF0000"/>
      <w:sz w:val="22"/>
    </w:rPr>
  </w:style>
  <w:style w:type="paragraph" w:styleId="NoSpacing">
    <w:name w:val="No Spacing"/>
    <w:uiPriority w:val="1"/>
    <w:qFormat/>
    <w:rsid w:val="00856B38"/>
    <w:rPr>
      <w:rFonts w:eastAsiaTheme="minorHAnsi"/>
      <w:sz w:val="22"/>
      <w:szCs w:val="22"/>
    </w:rPr>
  </w:style>
  <w:style w:type="character" w:styleId="Strong">
    <w:name w:val="Strong"/>
    <w:basedOn w:val="DefaultParagraphFont"/>
    <w:uiPriority w:val="22"/>
    <w:qFormat/>
    <w:rsid w:val="00CE732B"/>
    <w:rPr>
      <w:b/>
      <w:bCs/>
    </w:rPr>
  </w:style>
  <w:style w:type="paragraph" w:customStyle="1" w:styleId="Default">
    <w:name w:val="Default"/>
    <w:rsid w:val="00581322"/>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51564">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351706">
      <w:bodyDiv w:val="1"/>
      <w:marLeft w:val="0"/>
      <w:marRight w:val="0"/>
      <w:marTop w:val="0"/>
      <w:marBottom w:val="0"/>
      <w:divBdr>
        <w:top w:val="none" w:sz="0" w:space="0" w:color="auto"/>
        <w:left w:val="none" w:sz="0" w:space="0" w:color="auto"/>
        <w:bottom w:val="none" w:sz="0" w:space="0" w:color="auto"/>
        <w:right w:val="none" w:sz="0" w:space="0" w:color="auto"/>
      </w:divBdr>
    </w:div>
    <w:div w:id="778184826">
      <w:bodyDiv w:val="1"/>
      <w:marLeft w:val="0"/>
      <w:marRight w:val="0"/>
      <w:marTop w:val="0"/>
      <w:marBottom w:val="0"/>
      <w:divBdr>
        <w:top w:val="none" w:sz="0" w:space="0" w:color="auto"/>
        <w:left w:val="none" w:sz="0" w:space="0" w:color="auto"/>
        <w:bottom w:val="none" w:sz="0" w:space="0" w:color="auto"/>
        <w:right w:val="none" w:sz="0" w:space="0" w:color="auto"/>
      </w:divBdr>
    </w:div>
    <w:div w:id="792213677">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572078116">
      <w:bodyDiv w:val="1"/>
      <w:marLeft w:val="0"/>
      <w:marRight w:val="0"/>
      <w:marTop w:val="0"/>
      <w:marBottom w:val="0"/>
      <w:divBdr>
        <w:top w:val="none" w:sz="0" w:space="0" w:color="auto"/>
        <w:left w:val="none" w:sz="0" w:space="0" w:color="auto"/>
        <w:bottom w:val="none" w:sz="0" w:space="0" w:color="auto"/>
        <w:right w:val="none" w:sz="0" w:space="0" w:color="auto"/>
      </w:divBdr>
    </w:div>
    <w:div w:id="1575507814">
      <w:bodyDiv w:val="1"/>
      <w:marLeft w:val="0"/>
      <w:marRight w:val="0"/>
      <w:marTop w:val="0"/>
      <w:marBottom w:val="0"/>
      <w:divBdr>
        <w:top w:val="none" w:sz="0" w:space="0" w:color="auto"/>
        <w:left w:val="none" w:sz="0" w:space="0" w:color="auto"/>
        <w:bottom w:val="none" w:sz="0" w:space="0" w:color="auto"/>
        <w:right w:val="none" w:sz="0" w:space="0" w:color="auto"/>
      </w:divBdr>
    </w:div>
    <w:div w:id="1729262374">
      <w:bodyDiv w:val="1"/>
      <w:marLeft w:val="0"/>
      <w:marRight w:val="0"/>
      <w:marTop w:val="0"/>
      <w:marBottom w:val="0"/>
      <w:divBdr>
        <w:top w:val="none" w:sz="0" w:space="0" w:color="auto"/>
        <w:left w:val="none" w:sz="0" w:space="0" w:color="auto"/>
        <w:bottom w:val="none" w:sz="0" w:space="0" w:color="auto"/>
        <w:right w:val="none" w:sz="0" w:space="0" w:color="auto"/>
      </w:divBdr>
    </w:div>
    <w:div w:id="1806049023">
      <w:bodyDiv w:val="1"/>
      <w:marLeft w:val="0"/>
      <w:marRight w:val="0"/>
      <w:marTop w:val="0"/>
      <w:marBottom w:val="0"/>
      <w:divBdr>
        <w:top w:val="none" w:sz="0" w:space="0" w:color="auto"/>
        <w:left w:val="none" w:sz="0" w:space="0" w:color="auto"/>
        <w:bottom w:val="none" w:sz="0" w:space="0" w:color="auto"/>
        <w:right w:val="none" w:sz="0" w:space="0" w:color="auto"/>
      </w:divBdr>
    </w:div>
    <w:div w:id="1899628355">
      <w:bodyDiv w:val="1"/>
      <w:marLeft w:val="0"/>
      <w:marRight w:val="0"/>
      <w:marTop w:val="0"/>
      <w:marBottom w:val="0"/>
      <w:divBdr>
        <w:top w:val="none" w:sz="0" w:space="0" w:color="auto"/>
        <w:left w:val="none" w:sz="0" w:space="0" w:color="auto"/>
        <w:bottom w:val="none" w:sz="0" w:space="0" w:color="auto"/>
        <w:right w:val="none" w:sz="0" w:space="0" w:color="auto"/>
      </w:divBdr>
    </w:div>
    <w:div w:id="2072726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B6101-6359-4B90-BF75-20B33143D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3</TotalTime>
  <Pages>1</Pages>
  <Words>3217</Words>
  <Characters>18337</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Hewlett-Packard</Company>
  <LinksUpToDate>false</LinksUpToDate>
  <CharactersWithSpaces>21511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Dragon, Danielle</cp:lastModifiedBy>
  <cp:revision>5</cp:revision>
  <cp:lastPrinted>2021-06-22T22:58:00Z</cp:lastPrinted>
  <dcterms:created xsi:type="dcterms:W3CDTF">2021-06-22T22:58:00Z</dcterms:created>
  <dcterms:modified xsi:type="dcterms:W3CDTF">2021-06-22T22:59:00Z</dcterms:modified>
</cp:coreProperties>
</file>