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EC22B" w14:textId="1A760EFF" w:rsidR="00456074" w:rsidRDefault="00456074">
      <w:pPr>
        <w:rPr>
          <w:b/>
          <w:sz w:val="28"/>
          <w:szCs w:val="28"/>
        </w:rPr>
      </w:pPr>
      <w:bookmarkStart w:id="0" w:name="_GoBack"/>
      <w:bookmarkEnd w:id="0"/>
    </w:p>
    <w:tbl>
      <w:tblPr>
        <w:tblW w:w="9810" w:type="dxa"/>
        <w:tblLayout w:type="fixed"/>
        <w:tblLook w:val="04A0" w:firstRow="1" w:lastRow="0" w:firstColumn="1" w:lastColumn="0" w:noHBand="0" w:noVBand="1"/>
      </w:tblPr>
      <w:tblGrid>
        <w:gridCol w:w="1080"/>
        <w:gridCol w:w="3152"/>
        <w:gridCol w:w="5578"/>
      </w:tblGrid>
      <w:tr w:rsidR="00F8430E" w14:paraId="127C5A7F" w14:textId="77777777" w:rsidTr="00A03619">
        <w:tc>
          <w:tcPr>
            <w:tcW w:w="9810" w:type="dxa"/>
            <w:gridSpan w:val="3"/>
          </w:tcPr>
          <w:p w14:paraId="0777097D" w14:textId="77777777" w:rsidR="00F8430E" w:rsidRDefault="00F8430E" w:rsidP="00A03619">
            <w:r>
              <w:t xml:space="preserve">  </w:t>
            </w:r>
          </w:p>
          <w:p w14:paraId="7CB3A2E0" w14:textId="77777777" w:rsidR="00F8430E" w:rsidRDefault="00F8430E" w:rsidP="00A03619">
            <w:pPr>
              <w:widowControl w:val="0"/>
              <w:spacing w:line="144" w:lineRule="exact"/>
              <w:rPr>
                <w:rFonts w:ascii="Courier" w:hAnsi="Courier"/>
              </w:rPr>
            </w:pPr>
            <w:r>
              <w:rPr>
                <w:rFonts w:ascii="Helvetica" w:hAnsi="Helvetica"/>
                <w:b/>
                <w:sz w:val="14"/>
              </w:rPr>
              <w:t>State of California</w:t>
            </w:r>
          </w:p>
        </w:tc>
      </w:tr>
      <w:tr w:rsidR="00F8430E" w14:paraId="7FBD2E98" w14:textId="77777777" w:rsidTr="00A03619">
        <w:trPr>
          <w:trHeight w:val="525"/>
        </w:trPr>
        <w:tc>
          <w:tcPr>
            <w:tcW w:w="4232" w:type="dxa"/>
            <w:gridSpan w:val="2"/>
          </w:tcPr>
          <w:p w14:paraId="47A87C00" w14:textId="77777777" w:rsidR="00F8430E" w:rsidRDefault="00F8430E" w:rsidP="00A03619">
            <w:pPr>
              <w:widowControl w:val="0"/>
              <w:spacing w:line="144" w:lineRule="exact"/>
              <w:rPr>
                <w:rFonts w:ascii="Courier" w:hAnsi="Courier"/>
              </w:rPr>
            </w:pPr>
          </w:p>
          <w:p w14:paraId="25A9D8E1" w14:textId="77777777" w:rsidR="00F8430E" w:rsidRPr="00C900D6" w:rsidRDefault="00F8430E" w:rsidP="00A03619">
            <w:pPr>
              <w:widowControl w:val="0"/>
              <w:rPr>
                <w:rFonts w:ascii="Helvetica" w:hAnsi="Helvetica"/>
                <w:b/>
                <w:sz w:val="36"/>
                <w:szCs w:val="36"/>
              </w:rPr>
            </w:pPr>
            <w:r w:rsidRPr="00C900D6">
              <w:rPr>
                <w:rFonts w:ascii="Helvetica" w:hAnsi="Helvetica"/>
                <w:b/>
                <w:sz w:val="36"/>
                <w:szCs w:val="36"/>
              </w:rPr>
              <w:t>M e m o r a n d u m</w:t>
            </w:r>
          </w:p>
        </w:tc>
        <w:tc>
          <w:tcPr>
            <w:tcW w:w="5578" w:type="dxa"/>
          </w:tcPr>
          <w:p w14:paraId="7FF1F126" w14:textId="77777777" w:rsidR="00F8430E" w:rsidRDefault="00F8430E" w:rsidP="00A03619">
            <w:pPr>
              <w:widowControl w:val="0"/>
              <w:jc w:val="right"/>
              <w:rPr>
                <w:rFonts w:ascii="Courier" w:hAnsi="Courier"/>
              </w:rPr>
            </w:pPr>
            <w:r>
              <w:rPr>
                <w:noProof/>
              </w:rPr>
              <w:drawing>
                <wp:inline distT="0" distB="0" distL="0" distR="0" wp14:anchorId="2EEAD738" wp14:editId="024F3C44">
                  <wp:extent cx="876300" cy="854992"/>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762" t="3712" r="3431" b="4625"/>
                          <a:stretch/>
                        </pic:blipFill>
                        <pic:spPr bwMode="auto">
                          <a:xfrm>
                            <a:off x="0" y="0"/>
                            <a:ext cx="945040" cy="922060"/>
                          </a:xfrm>
                          <a:prstGeom prst="rect">
                            <a:avLst/>
                          </a:prstGeom>
                          <a:ln>
                            <a:noFill/>
                          </a:ln>
                          <a:extLst>
                            <a:ext uri="{53640926-AAD7-44D8-BBD7-CCE9431645EC}">
                              <a14:shadowObscured xmlns:a14="http://schemas.microsoft.com/office/drawing/2010/main"/>
                            </a:ext>
                          </a:extLst>
                        </pic:spPr>
                      </pic:pic>
                    </a:graphicData>
                  </a:graphic>
                </wp:inline>
              </w:drawing>
            </w:r>
          </w:p>
        </w:tc>
      </w:tr>
      <w:tr w:rsidR="00F8430E" w:rsidRPr="00D92278" w14:paraId="786A44FB" w14:textId="77777777" w:rsidTr="00A03619">
        <w:tc>
          <w:tcPr>
            <w:tcW w:w="1080" w:type="dxa"/>
          </w:tcPr>
          <w:p w14:paraId="621CB969" w14:textId="77777777" w:rsidR="00F8430E" w:rsidRPr="00D92278" w:rsidRDefault="00F8430E" w:rsidP="00A03619">
            <w:pPr>
              <w:widowControl w:val="0"/>
              <w:rPr>
                <w:rFonts w:ascii="Calibri" w:hAnsi="Calibri"/>
              </w:rPr>
            </w:pPr>
            <w:r w:rsidRPr="00D92278">
              <w:rPr>
                <w:rFonts w:ascii="Calibri" w:hAnsi="Calibri"/>
                <w:b/>
              </w:rPr>
              <w:t>Date:</w:t>
            </w:r>
          </w:p>
        </w:tc>
        <w:sdt>
          <w:sdtPr>
            <w:rPr>
              <w:rFonts w:ascii="Calibri" w:hAnsi="Calibri"/>
            </w:rPr>
            <w:id w:val="-702096770"/>
            <w:placeholder>
              <w:docPart w:val="BB72241B14154D31B0804F937DC9E4EC"/>
            </w:placeholder>
          </w:sdtPr>
          <w:sdtEndPr/>
          <w:sdtContent>
            <w:tc>
              <w:tcPr>
                <w:tcW w:w="8730" w:type="dxa"/>
                <w:gridSpan w:val="2"/>
              </w:tcPr>
              <w:p w14:paraId="0301D58D" w14:textId="10F12D39" w:rsidR="00F8430E" w:rsidRPr="00D92278" w:rsidRDefault="000F145D" w:rsidP="00A03619">
                <w:pPr>
                  <w:widowControl w:val="0"/>
                  <w:ind w:left="165"/>
                  <w:rPr>
                    <w:rFonts w:ascii="Calibri" w:hAnsi="Calibri"/>
                  </w:rPr>
                </w:pPr>
                <w:r>
                  <w:rPr>
                    <w:rFonts w:ascii="Calibri" w:hAnsi="Calibri"/>
                  </w:rPr>
                  <w:t>January</w:t>
                </w:r>
                <w:r w:rsidR="00F8430E" w:rsidRPr="00D92278">
                  <w:rPr>
                    <w:rFonts w:ascii="Calibri" w:hAnsi="Calibri"/>
                  </w:rPr>
                  <w:t xml:space="preserve"> </w:t>
                </w:r>
                <w:r w:rsidR="004E3D2D">
                  <w:rPr>
                    <w:rFonts w:ascii="Calibri" w:hAnsi="Calibri"/>
                  </w:rPr>
                  <w:t>4</w:t>
                </w:r>
                <w:r w:rsidR="00F8430E" w:rsidRPr="00D92278">
                  <w:rPr>
                    <w:rFonts w:ascii="Calibri" w:hAnsi="Calibri"/>
                  </w:rPr>
                  <w:t>, 201</w:t>
                </w:r>
                <w:r w:rsidR="0031140A">
                  <w:rPr>
                    <w:rFonts w:ascii="Calibri" w:hAnsi="Calibri"/>
                  </w:rPr>
                  <w:t>9</w:t>
                </w:r>
              </w:p>
            </w:tc>
          </w:sdtContent>
        </w:sdt>
      </w:tr>
      <w:tr w:rsidR="00F8430E" w:rsidRPr="00D92278" w14:paraId="51E1D3D5" w14:textId="77777777" w:rsidTr="00A03619">
        <w:tc>
          <w:tcPr>
            <w:tcW w:w="1080" w:type="dxa"/>
          </w:tcPr>
          <w:p w14:paraId="7768306E" w14:textId="77777777" w:rsidR="00F8430E" w:rsidRPr="00D92278" w:rsidRDefault="00F8430E" w:rsidP="00A03619">
            <w:pPr>
              <w:widowControl w:val="0"/>
              <w:rPr>
                <w:rFonts w:ascii="Calibri" w:hAnsi="Calibri"/>
              </w:rPr>
            </w:pPr>
            <w:r w:rsidRPr="00D92278">
              <w:rPr>
                <w:rFonts w:ascii="Calibri" w:hAnsi="Calibri"/>
                <w:b/>
              </w:rPr>
              <w:t>To:</w:t>
            </w:r>
          </w:p>
        </w:tc>
        <w:sdt>
          <w:sdtPr>
            <w:rPr>
              <w:rFonts w:ascii="Calibri" w:hAnsi="Calibri"/>
            </w:rPr>
            <w:id w:val="-465741953"/>
            <w:placeholder>
              <w:docPart w:val="E00A23D22CB7432FACA4ACF54B0D20AC"/>
            </w:placeholder>
            <w:text/>
          </w:sdtPr>
          <w:sdtEndPr/>
          <w:sdtContent>
            <w:tc>
              <w:tcPr>
                <w:tcW w:w="8730" w:type="dxa"/>
                <w:gridSpan w:val="2"/>
              </w:tcPr>
              <w:p w14:paraId="7316EF28" w14:textId="77777777" w:rsidR="00F8430E" w:rsidRPr="00571F30" w:rsidRDefault="00F8430E" w:rsidP="00A03619">
                <w:pPr>
                  <w:widowControl w:val="0"/>
                  <w:ind w:left="165"/>
                  <w:rPr>
                    <w:rFonts w:ascii="Calibri" w:hAnsi="Calibri"/>
                  </w:rPr>
                </w:pPr>
                <w:r w:rsidRPr="0009364A">
                  <w:rPr>
                    <w:rFonts w:ascii="Calibri" w:hAnsi="Calibri"/>
                  </w:rPr>
                  <w:t>Chan U Paek, SoCalGas</w:t>
                </w:r>
              </w:p>
            </w:tc>
          </w:sdtContent>
        </w:sdt>
      </w:tr>
      <w:tr w:rsidR="00956E02" w:rsidRPr="00D92278" w14:paraId="2DE2C4BC" w14:textId="77777777" w:rsidTr="00A03619">
        <w:tc>
          <w:tcPr>
            <w:tcW w:w="1080" w:type="dxa"/>
          </w:tcPr>
          <w:p w14:paraId="6281B9E7" w14:textId="0758C173" w:rsidR="00956E02" w:rsidRPr="00D92278" w:rsidRDefault="00956E02" w:rsidP="00A03619">
            <w:pPr>
              <w:widowControl w:val="0"/>
              <w:rPr>
                <w:rFonts w:ascii="Calibri" w:hAnsi="Calibri"/>
                <w:b/>
              </w:rPr>
            </w:pPr>
            <w:r>
              <w:rPr>
                <w:rFonts w:ascii="Calibri" w:hAnsi="Calibri"/>
                <w:b/>
              </w:rPr>
              <w:t>CC:</w:t>
            </w:r>
          </w:p>
        </w:tc>
        <w:tc>
          <w:tcPr>
            <w:tcW w:w="8730" w:type="dxa"/>
            <w:gridSpan w:val="2"/>
          </w:tcPr>
          <w:p w14:paraId="25C5BCA5" w14:textId="1CC77F96" w:rsidR="00956E02" w:rsidRPr="0009364A" w:rsidRDefault="00956E02" w:rsidP="00A03619">
            <w:pPr>
              <w:widowControl w:val="0"/>
              <w:ind w:left="165"/>
              <w:rPr>
                <w:rFonts w:ascii="Calibri" w:hAnsi="Calibri"/>
              </w:rPr>
            </w:pPr>
            <w:r w:rsidRPr="0009364A">
              <w:rPr>
                <w:rFonts w:ascii="Calibri" w:hAnsi="Calibri"/>
              </w:rPr>
              <w:t xml:space="preserve">Henry Liu, PG&amp;E; </w:t>
            </w:r>
            <w:r w:rsidR="00172CB5" w:rsidRPr="0009364A">
              <w:rPr>
                <w:rFonts w:ascii="Calibri" w:hAnsi="Calibri"/>
              </w:rPr>
              <w:t>Ed Reynoso</w:t>
            </w:r>
            <w:r w:rsidRPr="0009364A">
              <w:rPr>
                <w:rFonts w:ascii="Calibri" w:hAnsi="Calibri"/>
              </w:rPr>
              <w:t>, SDG&amp;E; Cassie Cuaresma, SCE</w:t>
            </w:r>
          </w:p>
        </w:tc>
      </w:tr>
      <w:tr w:rsidR="00F8430E" w:rsidRPr="00D92278" w14:paraId="45C4C436" w14:textId="77777777" w:rsidTr="00F8430E">
        <w:trPr>
          <w:trHeight w:val="504"/>
        </w:trPr>
        <w:tc>
          <w:tcPr>
            <w:tcW w:w="1080" w:type="dxa"/>
          </w:tcPr>
          <w:p w14:paraId="25714D98" w14:textId="08EF23A9" w:rsidR="00F8430E" w:rsidRPr="00D92278" w:rsidRDefault="00F8430E" w:rsidP="00A03619">
            <w:pPr>
              <w:widowControl w:val="0"/>
              <w:rPr>
                <w:rFonts w:ascii="Calibri" w:hAnsi="Calibri"/>
                <w:b/>
              </w:rPr>
            </w:pPr>
            <w:r w:rsidRPr="00D92278">
              <w:rPr>
                <w:rFonts w:ascii="Calibri" w:hAnsi="Calibri"/>
                <w:b/>
              </w:rPr>
              <w:t>From</w:t>
            </w:r>
          </w:p>
        </w:tc>
        <w:tc>
          <w:tcPr>
            <w:tcW w:w="8730" w:type="dxa"/>
            <w:gridSpan w:val="2"/>
            <w:shd w:val="clear" w:color="auto" w:fill="auto"/>
          </w:tcPr>
          <w:p w14:paraId="3F088AE2" w14:textId="175BAD84" w:rsidR="00F8430E" w:rsidRPr="00571F30" w:rsidRDefault="00F8430E" w:rsidP="00F8430E">
            <w:pPr>
              <w:widowControl w:val="0"/>
              <w:tabs>
                <w:tab w:val="left" w:pos="1710"/>
              </w:tabs>
              <w:ind w:left="165" w:right="-120"/>
              <w:rPr>
                <w:rFonts w:ascii="Calibri" w:hAnsi="Calibri"/>
                <w:b/>
              </w:rPr>
            </w:pPr>
            <w:r w:rsidRPr="0009364A">
              <w:rPr>
                <w:rFonts w:ascii="Calibri" w:hAnsi="Calibri"/>
              </w:rPr>
              <w:t>Peter Biermayer</w:t>
            </w:r>
            <w:r w:rsidR="00172CB5" w:rsidRPr="0009364A">
              <w:t xml:space="preserve"> </w:t>
            </w:r>
            <w:sdt>
              <w:sdtPr>
                <w:id w:val="1099213553"/>
                <w:placeholder>
                  <w:docPart w:val="F303C4F638564D8BB517268D968812E3"/>
                </w:placeholder>
                <w:text/>
              </w:sdtPr>
              <w:sdtEndPr/>
              <w:sdtContent>
                <w:r w:rsidR="00172CB5" w:rsidRPr="0009364A">
                  <w:t xml:space="preserve"> - Utilities Engineer, Industrial/ Agricultural Programs and Portfolio Forecasting Section, Energy Efficiency Branch, Energy Division, CPUC</w:t>
                </w:r>
              </w:sdtContent>
            </w:sdt>
          </w:p>
        </w:tc>
      </w:tr>
      <w:tr w:rsidR="00F8430E" w:rsidRPr="00D92278" w14:paraId="4147DB9F" w14:textId="77777777" w:rsidTr="00F8430E">
        <w:trPr>
          <w:trHeight w:val="774"/>
        </w:trPr>
        <w:tc>
          <w:tcPr>
            <w:tcW w:w="1080" w:type="dxa"/>
            <w:tcBorders>
              <w:bottom w:val="single" w:sz="4" w:space="0" w:color="auto"/>
            </w:tcBorders>
          </w:tcPr>
          <w:p w14:paraId="16263A72" w14:textId="77777777" w:rsidR="00F8430E" w:rsidRPr="00D92278" w:rsidRDefault="00F8430E" w:rsidP="00A03619">
            <w:pPr>
              <w:widowControl w:val="0"/>
              <w:ind w:right="-105"/>
              <w:rPr>
                <w:rFonts w:ascii="Calibri" w:hAnsi="Calibri"/>
              </w:rPr>
            </w:pPr>
            <w:r w:rsidRPr="00D92278">
              <w:rPr>
                <w:rFonts w:ascii="Calibri" w:hAnsi="Calibri"/>
                <w:b/>
              </w:rPr>
              <w:t>Subject:</w:t>
            </w:r>
          </w:p>
        </w:tc>
        <w:sdt>
          <w:sdtPr>
            <w:rPr>
              <w:rFonts w:ascii="Calibri" w:hAnsi="Calibri"/>
            </w:rPr>
            <w:id w:val="-1821563595"/>
            <w:placeholder>
              <w:docPart w:val="AE5B6A8AB2AA4A619273EFB1A5B2529C"/>
            </w:placeholder>
          </w:sdtPr>
          <w:sdtEndPr/>
          <w:sdtContent>
            <w:tc>
              <w:tcPr>
                <w:tcW w:w="8730" w:type="dxa"/>
                <w:gridSpan w:val="2"/>
                <w:tcBorders>
                  <w:bottom w:val="single" w:sz="4" w:space="0" w:color="auto"/>
                </w:tcBorders>
              </w:tcPr>
              <w:p w14:paraId="5C158979" w14:textId="1EC816CE" w:rsidR="00F8430E" w:rsidRPr="00D92278" w:rsidRDefault="00BC2D53" w:rsidP="00F8430E">
                <w:pPr>
                  <w:rPr>
                    <w:rFonts w:ascii="Calibri" w:hAnsi="Calibri"/>
                  </w:rPr>
                </w:pPr>
                <w:r>
                  <w:rPr>
                    <w:rFonts w:ascii="Calibri" w:hAnsi="Calibri"/>
                  </w:rPr>
                  <w:t xml:space="preserve">Non-standard </w:t>
                </w:r>
                <w:r w:rsidR="00F8430E" w:rsidRPr="00D92278">
                  <w:rPr>
                    <w:rFonts w:ascii="Calibri" w:hAnsi="Calibri"/>
                  </w:rPr>
                  <w:t xml:space="preserve">Disposition </w:t>
                </w:r>
                <w:bookmarkStart w:id="1" w:name="_Hlk532918696"/>
                <w:r w:rsidR="000661A9">
                  <w:rPr>
                    <w:rFonts w:ascii="Calibri" w:hAnsi="Calibri"/>
                  </w:rPr>
                  <w:t>for the commercial</w:t>
                </w:r>
                <w:r w:rsidR="0091413C">
                  <w:t xml:space="preserve"> </w:t>
                </w:r>
                <w:r w:rsidR="0091413C" w:rsidRPr="00470CA5">
                  <w:rPr>
                    <w:rFonts w:cstheme="minorHAnsi"/>
                  </w:rPr>
                  <w:t xml:space="preserve">electric </w:t>
                </w:r>
                <w:r w:rsidR="0091413C">
                  <w:rPr>
                    <w:rFonts w:cstheme="minorHAnsi"/>
                  </w:rPr>
                  <w:t xml:space="preserve">and gas </w:t>
                </w:r>
                <w:r w:rsidR="00A51087">
                  <w:rPr>
                    <w:rFonts w:cstheme="minorHAnsi"/>
                  </w:rPr>
                  <w:t>fryer</w:t>
                </w:r>
                <w:r w:rsidR="0091413C" w:rsidRPr="00616412">
                  <w:rPr>
                    <w:rFonts w:cstheme="minorHAnsi"/>
                  </w:rPr>
                  <w:t xml:space="preserve"> </w:t>
                </w:r>
                <w:r w:rsidR="00F8430E">
                  <w:rPr>
                    <w:rFonts w:ascii="Calibri" w:hAnsi="Calibri"/>
                  </w:rPr>
                  <w:t xml:space="preserve">workpaper </w:t>
                </w:r>
                <w:r w:rsidR="00A51087">
                  <w:t xml:space="preserve">SWFS011-01 </w:t>
                </w:r>
              </w:p>
            </w:tc>
          </w:sdtContent>
        </w:sdt>
        <w:bookmarkEnd w:id="1" w:displacedByCustomXml="prev"/>
      </w:tr>
    </w:tbl>
    <w:p w14:paraId="0B1EE21B" w14:textId="77777777" w:rsidR="00F8430E" w:rsidRDefault="00F8430E" w:rsidP="00F8430E">
      <w:pPr>
        <w:rPr>
          <w:b/>
          <w:u w:val="single"/>
        </w:rPr>
      </w:pPr>
    </w:p>
    <w:p w14:paraId="74C1F0BF" w14:textId="1F23239D" w:rsidR="00F8430E" w:rsidRPr="0009364A" w:rsidRDefault="00F8430E" w:rsidP="0031140A">
      <w:pPr>
        <w:pStyle w:val="Memo1"/>
      </w:pPr>
      <w:r w:rsidRPr="0009364A">
        <w:t>Summary</w:t>
      </w:r>
    </w:p>
    <w:p w14:paraId="0F42DA71" w14:textId="77777777" w:rsidR="00C81AFA" w:rsidRDefault="00C81AFA" w:rsidP="00C81AFA">
      <w:pPr>
        <w:pStyle w:val="CPUCheading1"/>
        <w:numPr>
          <w:ilvl w:val="0"/>
          <w:numId w:val="0"/>
        </w:numPr>
      </w:pPr>
    </w:p>
    <w:p w14:paraId="2F44CDE5" w14:textId="3D0CCADC" w:rsidR="00C81AFA" w:rsidRDefault="00C81AFA" w:rsidP="00C81AFA">
      <w:pPr>
        <w:pStyle w:val="CPUCheading1"/>
        <w:numPr>
          <w:ilvl w:val="0"/>
          <w:numId w:val="0"/>
        </w:numPr>
        <w:rPr>
          <w:b w:val="0"/>
        </w:rPr>
      </w:pPr>
      <w:r w:rsidRPr="00C81AFA">
        <w:rPr>
          <w:b w:val="0"/>
        </w:rPr>
        <w:t xml:space="preserve">Provided here is notification to all Program Administrators (PAs) that a statewide workpaper </w:t>
      </w:r>
      <w:r w:rsidR="00A51087" w:rsidRPr="00A51087">
        <w:rPr>
          <w:b w:val="0"/>
        </w:rPr>
        <w:t xml:space="preserve">SWFS011-01 </w:t>
      </w:r>
      <w:r w:rsidR="00231E01">
        <w:rPr>
          <w:b w:val="0"/>
        </w:rPr>
        <w:t xml:space="preserve">for commercial food services </w:t>
      </w:r>
      <w:r w:rsidR="0091413C" w:rsidRPr="0091413C">
        <w:rPr>
          <w:b w:val="0"/>
        </w:rPr>
        <w:t xml:space="preserve">electric and gas </w:t>
      </w:r>
      <w:r w:rsidR="00A51087">
        <w:rPr>
          <w:b w:val="0"/>
        </w:rPr>
        <w:t>fryers</w:t>
      </w:r>
      <w:r w:rsidR="0091413C" w:rsidRPr="0091413C">
        <w:rPr>
          <w:b w:val="0"/>
        </w:rPr>
        <w:t xml:space="preserve"> </w:t>
      </w:r>
      <w:r w:rsidRPr="00C81AFA">
        <w:rPr>
          <w:b w:val="0"/>
        </w:rPr>
        <w:t>requires revisions</w:t>
      </w:r>
      <w:r w:rsidR="00CB715A">
        <w:rPr>
          <w:b w:val="0"/>
        </w:rPr>
        <w:t xml:space="preserve"> </w:t>
      </w:r>
      <w:r w:rsidRPr="00C81AFA">
        <w:rPr>
          <w:b w:val="0"/>
        </w:rPr>
        <w:t xml:space="preserve">with resubmission by </w:t>
      </w:r>
      <w:r w:rsidR="004B249C">
        <w:rPr>
          <w:b w:val="0"/>
        </w:rPr>
        <w:t>October</w:t>
      </w:r>
      <w:r w:rsidR="00570BDD">
        <w:rPr>
          <w:b w:val="0"/>
        </w:rPr>
        <w:t xml:space="preserve"> </w:t>
      </w:r>
      <w:r w:rsidRPr="00C81AFA">
        <w:rPr>
          <w:b w:val="0"/>
        </w:rPr>
        <w:t>1, 2019 to facilitate the disposition review and approval cycle for 2020 implementation.</w:t>
      </w:r>
    </w:p>
    <w:p w14:paraId="116B845E" w14:textId="4556D561" w:rsidR="00F8430E" w:rsidRPr="00C81AFA" w:rsidRDefault="00ED5BEA" w:rsidP="00C81AFA">
      <w:pPr>
        <w:pStyle w:val="CPUCheading1"/>
        <w:numPr>
          <w:ilvl w:val="0"/>
          <w:numId w:val="0"/>
        </w:numPr>
        <w:rPr>
          <w:b w:val="0"/>
        </w:rPr>
      </w:pPr>
      <w:r>
        <w:t xml:space="preserve"> </w:t>
      </w:r>
    </w:p>
    <w:p w14:paraId="77B4135F" w14:textId="51F4242A" w:rsidR="00F8430E" w:rsidRPr="00DE341D" w:rsidRDefault="00F8430E" w:rsidP="0031140A">
      <w:pPr>
        <w:pStyle w:val="Memo1"/>
      </w:pPr>
      <w:r w:rsidRPr="00DE341D">
        <w:t>Background</w:t>
      </w:r>
    </w:p>
    <w:p w14:paraId="539CC0FD" w14:textId="77777777" w:rsidR="0016423C" w:rsidRDefault="0091413C" w:rsidP="0016423C">
      <w:r w:rsidRPr="0016423C">
        <w:t xml:space="preserve">A </w:t>
      </w:r>
      <w:r w:rsidR="005B150E" w:rsidRPr="0016423C">
        <w:t>fryer</w:t>
      </w:r>
      <w:r w:rsidRPr="0016423C">
        <w:t xml:space="preserve"> </w:t>
      </w:r>
      <w:r w:rsidR="005B150E" w:rsidRPr="0016423C">
        <w:t xml:space="preserve">is an </w:t>
      </w:r>
      <w:r w:rsidR="005B150E">
        <w:t xml:space="preserve">appliance, including a cooking vessel, in which oils are placed to such a depth that the cooking food is essentially supported by displacement of the cooking fluid rather than by the bottom of the vessel. Heat is delivered to the cooking fluid by means of an immersed electric element or band-wrapped vessel (electric fryers), or by heat transfer from gas burners through either the walls of the fryer or through tubes passing through the cooking fluid (gas fryers). </w:t>
      </w:r>
    </w:p>
    <w:p w14:paraId="737349F6" w14:textId="7C8B7DCF" w:rsidR="005B150E" w:rsidRDefault="0016423C" w:rsidP="0016423C">
      <w:r>
        <w:t>T</w:t>
      </w:r>
      <w:r w:rsidRPr="0016423C">
        <w:t>wo fryer attribute</w:t>
      </w:r>
      <w:r>
        <w:t>s – wid</w:t>
      </w:r>
      <w:r w:rsidRPr="0016423C">
        <w:t>th and energy-input rating</w:t>
      </w:r>
      <w:r>
        <w:t xml:space="preserve"> – sugg</w:t>
      </w:r>
      <w:r w:rsidRPr="0016423C">
        <w:t>est the approximate amount of food a fryer can prepare within a given period, which is one of the most important factors in choosing the proper fryer for a kitchen. Large vat fryers have fry pots ranging from 18 x 14 inches to 34 x 34 inches; the most common is the 18 x 18-inch size. Large vat fryers are becoming more common in restaurants as they replace smaller (14 inch) fryers to increase production capability while maximizing the available space in the kitchen.</w:t>
      </w:r>
    </w:p>
    <w:p w14:paraId="0E6674B3" w14:textId="54B9E56E" w:rsidR="00DA49D6" w:rsidRDefault="00DA49D6" w:rsidP="0016423C">
      <w:pPr>
        <w:rPr>
          <w:color w:val="FF0000"/>
        </w:rPr>
      </w:pPr>
      <w:r>
        <w:t xml:space="preserve">Energy-efficient commercial fryers reduce energy consumption primarily through advanced burner and heat exchanger design, advanced controls, and insulation. ENERGY STAR®-rated fryer models enable the </w:t>
      </w:r>
      <w:r>
        <w:lastRenderedPageBreak/>
        <w:t xml:space="preserve">differentiation between high-efficiency and standard-efficiency models. ENERGY STAR-qualified fryers offer shorter cook times and higher production rates, and </w:t>
      </w:r>
      <w:proofErr w:type="spellStart"/>
      <w:r>
        <w:t>frypot</w:t>
      </w:r>
      <w:proofErr w:type="spellEnd"/>
      <w:r>
        <w:t xml:space="preserve"> insulation reduces standby losses resulting in a lower idle energy rate.</w:t>
      </w:r>
    </w:p>
    <w:p w14:paraId="7F80216A" w14:textId="523BCEFB" w:rsidR="007A6025" w:rsidRDefault="00A51087" w:rsidP="0090773C">
      <w:r>
        <w:t>This measure specification follows the American Society for Testing and Materials (ASTM) Standard Test Method for the Performance of Open Deep Fat Fryers (F1361)</w:t>
      </w:r>
      <w:r>
        <w:rPr>
          <w:sz w:val="14"/>
          <w:szCs w:val="14"/>
        </w:rPr>
        <w:t xml:space="preserve"> </w:t>
      </w:r>
      <w:r>
        <w:t>and the ASTM Standard Test Method for the Performance of Large Vat Fryers (F2144)</w:t>
      </w:r>
      <w:r>
        <w:rPr>
          <w:sz w:val="14"/>
          <w:szCs w:val="14"/>
        </w:rPr>
        <w:t xml:space="preserve"> </w:t>
      </w:r>
      <w:r>
        <w:t>for calculation of energy use and demand, based on testing in an approved and qualified laboratory</w:t>
      </w:r>
      <w:r w:rsidR="00533976">
        <w:t xml:space="preserve">. </w:t>
      </w:r>
    </w:p>
    <w:p w14:paraId="645F8D9E" w14:textId="029011A1" w:rsidR="007A6025" w:rsidRDefault="008E19C0" w:rsidP="007A6025">
      <w:r>
        <w:t xml:space="preserve">A 30% adjustment factor is currently applied to this measure, </w:t>
      </w:r>
      <w:r w:rsidRPr="008E19C0">
        <w:t>based on Decision 11-07-030, and comments in Attachment A, which stated “Energy Division believes that operating hours, food production rates and baseline efficiencies contribute to overly optimistic UES calculations and recommend a 30% reduction in UES values</w:t>
      </w:r>
      <w:r w:rsidR="00D0398B">
        <w:t>.</w:t>
      </w:r>
      <w:r w:rsidRPr="008E19C0">
        <w:t xml:space="preserve">” </w:t>
      </w:r>
    </w:p>
    <w:p w14:paraId="74060773" w14:textId="5BCB3E55" w:rsidR="00ED5BEA" w:rsidRPr="00DE341D" w:rsidRDefault="00ED5BEA" w:rsidP="0031140A">
      <w:pPr>
        <w:pStyle w:val="Memo1"/>
      </w:pPr>
      <w:r w:rsidRPr="00DE341D">
        <w:t>Critical Review Issues</w:t>
      </w:r>
    </w:p>
    <w:p w14:paraId="0DEA9079" w14:textId="24A37BBF" w:rsidR="00ED5BEA" w:rsidRDefault="00ED5BEA" w:rsidP="005429A1">
      <w:r>
        <w:t xml:space="preserve">Additional </w:t>
      </w:r>
      <w:r w:rsidR="00C05F87">
        <w:t xml:space="preserve">information and analysis </w:t>
      </w:r>
      <w:r w:rsidR="008C053C">
        <w:t>are</w:t>
      </w:r>
      <w:r w:rsidR="00C05F87">
        <w:t xml:space="preserve"> required to support the </w:t>
      </w:r>
      <w:r w:rsidR="0096173F">
        <w:t xml:space="preserve">Ex Ante </w:t>
      </w:r>
      <w:r w:rsidR="00C05F87">
        <w:t>savings values in the statewide workpaper. The critical issues are:</w:t>
      </w:r>
    </w:p>
    <w:p w14:paraId="6330EE41" w14:textId="1F9C1972" w:rsidR="008E19C0" w:rsidRDefault="007A6025" w:rsidP="0091413C">
      <w:pPr>
        <w:pStyle w:val="ListParagraph"/>
        <w:numPr>
          <w:ilvl w:val="0"/>
          <w:numId w:val="6"/>
        </w:numPr>
      </w:pPr>
      <w:r>
        <w:t>Accuracy of participant operating characteristics</w:t>
      </w:r>
    </w:p>
    <w:p w14:paraId="08297C1E" w14:textId="09055793" w:rsidR="008E19C0" w:rsidRDefault="007A6025" w:rsidP="0091413C">
      <w:pPr>
        <w:pStyle w:val="ListParagraph"/>
        <w:numPr>
          <w:ilvl w:val="0"/>
          <w:numId w:val="6"/>
        </w:numPr>
      </w:pPr>
      <w:r>
        <w:t>Industry standard practice baseline of fryer equipment</w:t>
      </w:r>
    </w:p>
    <w:p w14:paraId="6D32BB4B" w14:textId="75109EF5" w:rsidR="0091413C" w:rsidRDefault="007A6025" w:rsidP="0091413C">
      <w:pPr>
        <w:pStyle w:val="ListParagraph"/>
        <w:numPr>
          <w:ilvl w:val="0"/>
          <w:numId w:val="6"/>
        </w:numPr>
      </w:pPr>
      <w:r>
        <w:t>E</w:t>
      </w:r>
      <w:r w:rsidR="0091413C">
        <w:t>quipment performance baseline and eligibility requirements</w:t>
      </w:r>
    </w:p>
    <w:p w14:paraId="05CB43EC" w14:textId="6C8D7CC2" w:rsidR="00C05F87" w:rsidRDefault="007A6025" w:rsidP="00C05F87">
      <w:pPr>
        <w:pStyle w:val="ListParagraph"/>
        <w:numPr>
          <w:ilvl w:val="0"/>
          <w:numId w:val="6"/>
        </w:numPr>
      </w:pPr>
      <w:r>
        <w:t>Consistency of calculations</w:t>
      </w:r>
    </w:p>
    <w:p w14:paraId="2C69B6C3" w14:textId="4D659DB8" w:rsidR="007A6025" w:rsidRDefault="0037083C" w:rsidP="0031140A">
      <w:pPr>
        <w:pStyle w:val="Memo1"/>
        <w:numPr>
          <w:ilvl w:val="1"/>
          <w:numId w:val="20"/>
        </w:numPr>
      </w:pPr>
      <w:r>
        <w:t>Determine accurate</w:t>
      </w:r>
      <w:r w:rsidR="007A6025">
        <w:t xml:space="preserve"> participant operating characteristics</w:t>
      </w:r>
    </w:p>
    <w:p w14:paraId="23935507" w14:textId="312D0593" w:rsidR="0090773C" w:rsidRDefault="0090773C" w:rsidP="008E19C0">
      <w:r w:rsidRPr="00CB715A">
        <w:t>Decision 11-07-030 identified uncertainty in the operating hours and production rates of food</w:t>
      </w:r>
      <w:r w:rsidR="007A6025">
        <w:t xml:space="preserve"> used in calculating savings </w:t>
      </w:r>
      <w:r w:rsidRPr="00CB715A">
        <w:t xml:space="preserve">for this measure. </w:t>
      </w:r>
      <w:r w:rsidR="007A6025">
        <w:t xml:space="preserve">Operating hours and product throughput, measured in pounds of food cooker per day, will vary widely between a high school and a high-volume fast food chain. </w:t>
      </w:r>
      <w:r w:rsidRPr="00CB715A">
        <w:t xml:space="preserve">The </w:t>
      </w:r>
      <w:r w:rsidR="007A6025" w:rsidRPr="004417D0">
        <w:t xml:space="preserve">current workpaper assumes an average </w:t>
      </w:r>
      <w:r w:rsidRPr="00CB715A">
        <w:t xml:space="preserve">operating hours and production rates for </w:t>
      </w:r>
      <w:r w:rsidR="007A6025" w:rsidRPr="004417D0">
        <w:t xml:space="preserve">all </w:t>
      </w:r>
      <w:r w:rsidRPr="00CB715A">
        <w:t xml:space="preserve">fryers </w:t>
      </w:r>
      <w:r w:rsidR="007A6025" w:rsidRPr="004417D0">
        <w:t>based</w:t>
      </w:r>
      <w:r w:rsidRPr="00CB715A">
        <w:t xml:space="preserve"> on </w:t>
      </w:r>
      <w:r w:rsidR="004E6C1F" w:rsidRPr="00CB715A">
        <w:t>FSTC databa</w:t>
      </w:r>
      <w:r w:rsidR="005C78C7" w:rsidRPr="00CB715A">
        <w:t xml:space="preserve">ses and </w:t>
      </w:r>
      <w:r w:rsidR="00CB715A">
        <w:t xml:space="preserve">“professional judgement” </w:t>
      </w:r>
      <w:r w:rsidR="007A6025" w:rsidRPr="004417D0">
        <w:t xml:space="preserve">that are </w:t>
      </w:r>
      <w:r w:rsidR="008B0C58" w:rsidRPr="00CB715A">
        <w:t>not necessarily representative of the participant population</w:t>
      </w:r>
      <w:r w:rsidRPr="004417D0">
        <w:t>.</w:t>
      </w:r>
      <w:r>
        <w:t xml:space="preserve"> </w:t>
      </w:r>
    </w:p>
    <w:p w14:paraId="0BE08A67" w14:textId="36C11A52" w:rsidR="005B769F" w:rsidRDefault="00F3132A" w:rsidP="008E19C0">
      <w:r>
        <w:t>Improved accuracy</w:t>
      </w:r>
      <w:r w:rsidR="005B769F">
        <w:t xml:space="preserve"> require</w:t>
      </w:r>
      <w:r>
        <w:t>s</w:t>
      </w:r>
      <w:r w:rsidR="005B769F">
        <w:t xml:space="preserve"> </w:t>
      </w:r>
      <w:r w:rsidR="00B954B3">
        <w:t>acquiring</w:t>
      </w:r>
      <w:r w:rsidR="005B769F">
        <w:t xml:space="preserve"> participant </w:t>
      </w:r>
      <w:r w:rsidR="00B954B3">
        <w:t xml:space="preserve">primary </w:t>
      </w:r>
      <w:r w:rsidR="005B769F">
        <w:t>data through telephone surveys of a statistical sample of participants. The sample size should be adequate to attain 90/10 precision for each population segment of interest. The PAs may choose to use a single average value</w:t>
      </w:r>
      <w:r>
        <w:t xml:space="preserve"> or may choose to </w:t>
      </w:r>
      <w:r w:rsidR="005B769F">
        <w:t xml:space="preserve">define multiple segments (i.e. schools, high-volume fast foods), where each segment </w:t>
      </w:r>
      <w:r>
        <w:t xml:space="preserve">sample </w:t>
      </w:r>
      <w:r w:rsidR="005B769F">
        <w:t xml:space="preserve">meets a similar precision target. </w:t>
      </w:r>
      <w:r w:rsidR="00B954B3">
        <w:t>The surveys should be design</w:t>
      </w:r>
      <w:r w:rsidR="0061284F">
        <w:t>ed</w:t>
      </w:r>
      <w:r w:rsidR="00B954B3">
        <w:t xml:space="preserve"> to capture the fryer annual production and operating profile.</w:t>
      </w:r>
    </w:p>
    <w:p w14:paraId="5560497D" w14:textId="078D81FB" w:rsidR="008E19C0" w:rsidRDefault="0037083C" w:rsidP="0031140A">
      <w:pPr>
        <w:pStyle w:val="Memo1"/>
        <w:numPr>
          <w:ilvl w:val="1"/>
          <w:numId w:val="20"/>
        </w:numPr>
      </w:pPr>
      <w:r>
        <w:t xml:space="preserve">Determine </w:t>
      </w:r>
      <w:r w:rsidR="008E19C0">
        <w:t xml:space="preserve">Industry Standard Practice </w:t>
      </w:r>
      <w:r w:rsidR="007A6025">
        <w:t>Baseline</w:t>
      </w:r>
    </w:p>
    <w:p w14:paraId="00FF11D4" w14:textId="29FFA190" w:rsidR="008E19C0" w:rsidRDefault="00F64C52" w:rsidP="007A6025">
      <w:r w:rsidRPr="00FA6284">
        <w:t>Decision 11-07-030 identified uncertainty in the</w:t>
      </w:r>
      <w:r>
        <w:t xml:space="preserve"> average </w:t>
      </w:r>
      <w:r w:rsidR="008D2931">
        <w:t>efficiency</w:t>
      </w:r>
      <w:r>
        <w:t xml:space="preserve"> of the normal replacement or new construction baseline. </w:t>
      </w:r>
      <w:r w:rsidRPr="00FA6284">
        <w:t xml:space="preserve"> </w:t>
      </w:r>
      <w:r w:rsidR="008B0C58" w:rsidRPr="00B954B3">
        <w:t xml:space="preserve">The </w:t>
      </w:r>
      <w:r w:rsidR="007A6025" w:rsidRPr="004417D0">
        <w:t xml:space="preserve">current workpaper identifies the baseline </w:t>
      </w:r>
      <w:r w:rsidR="008B0C58" w:rsidRPr="00B954B3">
        <w:t xml:space="preserve">as the average nominal </w:t>
      </w:r>
      <w:r w:rsidR="007A6025" w:rsidRPr="004417D0">
        <w:t>efficiency of</w:t>
      </w:r>
      <w:r w:rsidR="008B0C58" w:rsidRPr="00B954B3">
        <w:t xml:space="preserve"> a sample of economy-grade fryers</w:t>
      </w:r>
      <w:r w:rsidR="005C78C7" w:rsidRPr="00B954B3">
        <w:t xml:space="preserve"> based on </w:t>
      </w:r>
      <w:bookmarkStart w:id="2" w:name="_Hlk534008666"/>
      <w:r w:rsidR="00BE5267">
        <w:t>Food Service and Technology Center’s (FSTC)</w:t>
      </w:r>
      <w:r w:rsidR="00BE5267">
        <w:rPr>
          <w:rStyle w:val="FootnoteReference"/>
        </w:rPr>
        <w:footnoteReference w:id="1"/>
      </w:r>
      <w:bookmarkEnd w:id="2"/>
      <w:r w:rsidR="005C78C7" w:rsidRPr="00B954B3">
        <w:t xml:space="preserve"> proprietary </w:t>
      </w:r>
      <w:r w:rsidR="005C78C7" w:rsidRPr="00B954B3">
        <w:lastRenderedPageBreak/>
        <w:t xml:space="preserve">database. </w:t>
      </w:r>
      <w:r w:rsidR="007A6025">
        <w:t xml:space="preserve"> This baseline does not necessarily reflect standard purchasing practices which may include higher efficiency equipment as well as refurbished used equipment. </w:t>
      </w:r>
    </w:p>
    <w:p w14:paraId="3EB2DF2F" w14:textId="4CD35065" w:rsidR="0037083C" w:rsidRDefault="00F3132A" w:rsidP="00B954B3">
      <w:r>
        <w:t>A</w:t>
      </w:r>
      <w:r w:rsidR="0061284F">
        <w:t>n industry</w:t>
      </w:r>
      <w:r>
        <w:t xml:space="preserve"> standard practice study which consists of </w:t>
      </w:r>
      <w:r w:rsidR="005C78C7">
        <w:t xml:space="preserve">research </w:t>
      </w:r>
      <w:r w:rsidR="00492C85">
        <w:t>elements</w:t>
      </w:r>
      <w:r w:rsidR="00876D6C">
        <w:rPr>
          <w:rStyle w:val="FootnoteReference"/>
        </w:rPr>
        <w:footnoteReference w:id="2"/>
      </w:r>
      <w:r w:rsidR="005C78C7">
        <w:t xml:space="preserve"> that entail measure p</w:t>
      </w:r>
      <w:r w:rsidR="00492C85">
        <w:t>revalence, purchase requirements, alternative measures, applicable codes and standards, subject matter expert interviews and discussions with the</w:t>
      </w:r>
      <w:r w:rsidR="00492C85" w:rsidRPr="00492C85">
        <w:t xml:space="preserve"> CPUC, Program Administrator and Implementer, </w:t>
      </w:r>
      <w:r w:rsidR="009640E0">
        <w:t>third party implementer</w:t>
      </w:r>
      <w:r w:rsidR="00492C85" w:rsidRPr="00492C85">
        <w:t>s, EM&amp;V, evaluators</w:t>
      </w:r>
      <w:r w:rsidR="00492C85">
        <w:t xml:space="preserve">, etc., </w:t>
      </w:r>
      <w:r>
        <w:t xml:space="preserve">should be adequate to define the mix of equipment </w:t>
      </w:r>
      <w:r w:rsidR="00712F4B">
        <w:t xml:space="preserve">constituting </w:t>
      </w:r>
      <w:r>
        <w:t>the baselin</w:t>
      </w:r>
      <w:r w:rsidRPr="0061284F">
        <w:t>e</w:t>
      </w:r>
      <w:r w:rsidR="005C78C7" w:rsidRPr="0061284F">
        <w:t>.</w:t>
      </w:r>
    </w:p>
    <w:p w14:paraId="56B64640" w14:textId="3D4812A9" w:rsidR="00C05F87" w:rsidRPr="00C05F87" w:rsidRDefault="0037083C" w:rsidP="0031140A">
      <w:pPr>
        <w:pStyle w:val="Memo1"/>
        <w:numPr>
          <w:ilvl w:val="1"/>
          <w:numId w:val="20"/>
        </w:numPr>
      </w:pPr>
      <w:r>
        <w:t>E</w:t>
      </w:r>
      <w:r w:rsidR="0091413C" w:rsidRPr="0091413C">
        <w:t>quipment performance baseline and eligibility requirements</w:t>
      </w:r>
    </w:p>
    <w:p w14:paraId="682C79B7" w14:textId="5E9C8CF8" w:rsidR="008B0C58" w:rsidRPr="008B0C58" w:rsidRDefault="008B0C58" w:rsidP="00712F4B">
      <w:r w:rsidRPr="008B0C58">
        <w:t xml:space="preserve">The </w:t>
      </w:r>
      <w:r w:rsidR="00492C85">
        <w:t>fryer</w:t>
      </w:r>
      <w:r w:rsidRPr="008B0C58">
        <w:t xml:space="preserve"> measure is supported by laboratory testing data contributed by the Food Service and Technology Center (FSTC) and the </w:t>
      </w:r>
      <w:r w:rsidR="00BE5267">
        <w:t>Food Service Equipment Center (FSEC)</w:t>
      </w:r>
      <w:r w:rsidR="00BE5267">
        <w:rPr>
          <w:rStyle w:val="FootnoteReference"/>
        </w:rPr>
        <w:footnoteReference w:id="3"/>
      </w:r>
      <w:r w:rsidR="00BE5267">
        <w:t xml:space="preserve">. </w:t>
      </w:r>
      <w:r w:rsidRPr="008B0C58">
        <w:t>This data source consists largely of program qualified units with limited testing data for baseline units.  The workpaper SWFS01</w:t>
      </w:r>
      <w:r w:rsidR="00492C85">
        <w:t>1</w:t>
      </w:r>
      <w:r w:rsidRPr="008B0C58">
        <w:t xml:space="preserve">-01 source for key baseline characteristics is a proprietary database and data drawn from a sample of economy-grade equipment tested by the Food Service and Technology Center (FSTC). These data appeared to be obtained from the Commercial Cooking Appliance Technology Assessment in 2002.  </w:t>
      </w:r>
    </w:p>
    <w:p w14:paraId="6EED26C5" w14:textId="4B6F4053" w:rsidR="005429A1" w:rsidRDefault="008B0C58" w:rsidP="00712F4B">
      <w:r w:rsidRPr="008B0C58">
        <w:t>There is a need to evaluate the appropriateness of this legacy data source using a more recent set of data. The update process steps should include:</w:t>
      </w:r>
    </w:p>
    <w:p w14:paraId="3F44932C" w14:textId="6DCB6240" w:rsidR="004F225E" w:rsidRDefault="008E19C0" w:rsidP="00712F4B">
      <w:pPr>
        <w:pStyle w:val="ListParagraph"/>
        <w:numPr>
          <w:ilvl w:val="0"/>
          <w:numId w:val="1"/>
        </w:numPr>
        <w:ind w:left="360"/>
      </w:pPr>
      <w:r w:rsidRPr="008B0C58">
        <w:rPr>
          <w:u w:val="single"/>
        </w:rPr>
        <w:t>A</w:t>
      </w:r>
      <w:r w:rsidR="00E0163A" w:rsidRPr="008B0C58">
        <w:rPr>
          <w:u w:val="single"/>
        </w:rPr>
        <w:t>ssemble all available testing data from the FSTC and FSCE</w:t>
      </w:r>
      <w:r w:rsidR="00F453C0" w:rsidRPr="004F225E">
        <w:t xml:space="preserve"> both 2002 (the source for this workpaper</w:t>
      </w:r>
      <w:r w:rsidR="00F453C0">
        <w:t>)</w:t>
      </w:r>
      <w:r w:rsidR="00F453C0" w:rsidRPr="004F225E">
        <w:t xml:space="preserve"> and the most recently available data</w:t>
      </w:r>
      <w:r w:rsidR="00F453C0">
        <w:t>. Combined the data into a comprehensive database including useful parameters characterizing the ovens, including: fryer type (standard versus large</w:t>
      </w:r>
      <w:r w:rsidR="00F453C0" w:rsidRPr="00F453C0">
        <w:t xml:space="preserve"> </w:t>
      </w:r>
      <w:r w:rsidR="00F453C0">
        <w:t>fryers</w:t>
      </w:r>
      <w:r w:rsidR="00F453C0">
        <w:rPr>
          <w:rStyle w:val="FootnoteReference"/>
        </w:rPr>
        <w:footnoteReference w:id="4"/>
      </w:r>
      <w:r w:rsidR="00F453C0">
        <w:t>) and configuration, cooking efficiency, gas versus electric, idle energy rate, preheat energy, cooking time per batch, production capacity, date of testing, vat size, oil weight, and so forth</w:t>
      </w:r>
      <w:r w:rsidR="004F225E">
        <w:t>. Compile the data in a spreadsheet to support analysis.</w:t>
      </w:r>
    </w:p>
    <w:p w14:paraId="10873B1F" w14:textId="414505C8" w:rsidR="005429A1" w:rsidRDefault="005429A1" w:rsidP="00712F4B">
      <w:pPr>
        <w:ind w:left="360"/>
      </w:pPr>
      <w:r>
        <w:t xml:space="preserve">For each category summarize the sample size, </w:t>
      </w:r>
      <w:bookmarkStart w:id="3" w:name="_Hlk534200547"/>
      <w:r>
        <w:t>min</w:t>
      </w:r>
      <w:r w:rsidR="004468A3">
        <w:t>imum</w:t>
      </w:r>
      <w:r>
        <w:t>, max</w:t>
      </w:r>
      <w:r w:rsidR="004468A3">
        <w:t>imum</w:t>
      </w:r>
      <w:bookmarkEnd w:id="3"/>
      <w:r>
        <w:t xml:space="preserve">, median, average, and examine each sample for trends, </w:t>
      </w:r>
      <w:r w:rsidR="004F225E">
        <w:t xml:space="preserve">and </w:t>
      </w:r>
      <w:r>
        <w:t>clusters or patterns.</w:t>
      </w:r>
      <w:r w:rsidR="00D8724A">
        <w:t xml:space="preserve"> </w:t>
      </w:r>
    </w:p>
    <w:p w14:paraId="2EF3CF02" w14:textId="6E00453E" w:rsidR="005429A1" w:rsidRDefault="005429A1" w:rsidP="00712F4B">
      <w:pPr>
        <w:ind w:left="360"/>
      </w:pPr>
      <w:r>
        <w:t xml:space="preserve">Summarize </w:t>
      </w:r>
      <w:r w:rsidR="004F225E">
        <w:t xml:space="preserve">the findings addressing </w:t>
      </w:r>
      <w:r w:rsidR="00BE19BF">
        <w:t>Gas Fryers</w:t>
      </w:r>
      <w:r w:rsidR="00093122">
        <w:t xml:space="preserve"> characteristics </w:t>
      </w:r>
      <w:r w:rsidR="004F225E">
        <w:t>in a memo</w:t>
      </w:r>
      <w:r w:rsidR="00D8724A">
        <w:t xml:space="preserve"> and submit with the revised workpaper including </w:t>
      </w:r>
      <w:r>
        <w:t>all the underlying data and analysis findings for inspection by reviewers.</w:t>
      </w:r>
    </w:p>
    <w:p w14:paraId="66ED9793" w14:textId="77777777" w:rsidR="00C90499" w:rsidRDefault="00C90499" w:rsidP="00712F4B">
      <w:pPr>
        <w:pStyle w:val="ListParagraph"/>
        <w:numPr>
          <w:ilvl w:val="0"/>
          <w:numId w:val="1"/>
        </w:numPr>
        <w:ind w:left="360"/>
      </w:pPr>
      <w:r w:rsidRPr="00D8724A">
        <w:rPr>
          <w:u w:val="single"/>
        </w:rPr>
        <w:t>Assemble and review secondary sources</w:t>
      </w:r>
      <w:r>
        <w:t xml:space="preserve"> that can contribute to knowledge surrounding the performance and the differential between program and base case equipment.  The secondary resource shall include, but are not limited to:</w:t>
      </w:r>
    </w:p>
    <w:p w14:paraId="43DCDF02" w14:textId="77777777" w:rsidR="00C90499" w:rsidRDefault="00C90499" w:rsidP="00712F4B">
      <w:pPr>
        <w:pStyle w:val="ListParagraph"/>
        <w:numPr>
          <w:ilvl w:val="1"/>
          <w:numId w:val="1"/>
        </w:numPr>
        <w:ind w:left="720"/>
      </w:pPr>
      <w:r>
        <w:t>SCG/</w:t>
      </w:r>
      <w:proofErr w:type="spellStart"/>
      <w:r>
        <w:t>Lincus</w:t>
      </w:r>
      <w:proofErr w:type="spellEnd"/>
      <w:r>
        <w:t xml:space="preserve"> field study</w:t>
      </w:r>
    </w:p>
    <w:p w14:paraId="0B642C31" w14:textId="26746265" w:rsidR="00C90499" w:rsidRDefault="00BE5267" w:rsidP="00712F4B">
      <w:pPr>
        <w:pStyle w:val="ListParagraph"/>
        <w:numPr>
          <w:ilvl w:val="1"/>
          <w:numId w:val="1"/>
        </w:numPr>
        <w:ind w:left="720"/>
      </w:pPr>
      <w:r>
        <w:t>California Energy Commission</w:t>
      </w:r>
      <w:r w:rsidR="00C90499">
        <w:t xml:space="preserve"> studies</w:t>
      </w:r>
    </w:p>
    <w:p w14:paraId="1D000CD3" w14:textId="77777777" w:rsidR="00C90499" w:rsidRDefault="00C90499" w:rsidP="00712F4B">
      <w:pPr>
        <w:pStyle w:val="ListParagraph"/>
        <w:numPr>
          <w:ilvl w:val="1"/>
          <w:numId w:val="1"/>
        </w:numPr>
        <w:ind w:left="720"/>
      </w:pPr>
      <w:r>
        <w:t>Energy Star sources</w:t>
      </w:r>
    </w:p>
    <w:p w14:paraId="25F8B6E6" w14:textId="77777777" w:rsidR="00C90499" w:rsidRDefault="00C90499" w:rsidP="00712F4B">
      <w:pPr>
        <w:ind w:left="360"/>
      </w:pPr>
      <w:r>
        <w:lastRenderedPageBreak/>
        <w:t xml:space="preserve">These resources and findings and conclusions should be summarized in a second memo that addresses any contradiction between testing-based findings/calculations noted above, and these other secondary sources. </w:t>
      </w:r>
    </w:p>
    <w:p w14:paraId="518D4A87" w14:textId="77777777" w:rsidR="00C90499" w:rsidRPr="00F32189" w:rsidRDefault="00C90499" w:rsidP="00712F4B">
      <w:pPr>
        <w:numPr>
          <w:ilvl w:val="0"/>
          <w:numId w:val="1"/>
        </w:numPr>
        <w:ind w:left="360"/>
        <w:rPr>
          <w:u w:val="single"/>
        </w:rPr>
      </w:pPr>
      <w:r w:rsidRPr="00F32189">
        <w:rPr>
          <w:u w:val="single"/>
        </w:rPr>
        <w:t xml:space="preserve">Reformulate baseline efficiencies and eligibility requirements </w:t>
      </w:r>
    </w:p>
    <w:p w14:paraId="347106FE" w14:textId="77777777" w:rsidR="00C90499" w:rsidRPr="00F32189" w:rsidRDefault="00C90499" w:rsidP="00712F4B">
      <w:pPr>
        <w:ind w:left="360"/>
      </w:pPr>
      <w:r w:rsidRPr="00F32189">
        <w:t>After gathering the primary and secondary data, the baseline efficiencies and eligibility requirements should be reformulated to:</w:t>
      </w:r>
    </w:p>
    <w:p w14:paraId="6F2611F7" w14:textId="4500D552" w:rsidR="00C90499" w:rsidRDefault="00C90499" w:rsidP="00712F4B">
      <w:pPr>
        <w:numPr>
          <w:ilvl w:val="1"/>
          <w:numId w:val="1"/>
        </w:numPr>
        <w:ind w:left="720"/>
      </w:pPr>
      <w:r w:rsidRPr="00F32189">
        <w:t xml:space="preserve">Identify any substantive distinctions in </w:t>
      </w:r>
      <w:r w:rsidR="00F3132A">
        <w:t>fryers</w:t>
      </w:r>
      <w:r w:rsidR="00F3132A" w:rsidRPr="00F32189">
        <w:t xml:space="preserve"> </w:t>
      </w:r>
      <w:r w:rsidRPr="00F32189">
        <w:t>as a function by configuration following with consistent savings calculations and/or equipment eligibility.</w:t>
      </w:r>
    </w:p>
    <w:p w14:paraId="409E72C0" w14:textId="0535F2EF" w:rsidR="00F3132A" w:rsidRPr="00F32189" w:rsidRDefault="00F3132A" w:rsidP="00712F4B">
      <w:pPr>
        <w:numPr>
          <w:ilvl w:val="1"/>
          <w:numId w:val="1"/>
        </w:numPr>
        <w:ind w:left="720"/>
      </w:pPr>
      <w:r>
        <w:t xml:space="preserve">Use the results of the ISP research to select the mix of products </w:t>
      </w:r>
      <w:r w:rsidR="00712F4B">
        <w:t xml:space="preserve">constituting </w:t>
      </w:r>
      <w:r>
        <w:t>the standard practice baseline</w:t>
      </w:r>
      <w:r w:rsidR="00712F4B">
        <w:t xml:space="preserve"> and any further market segmentation (for example, by building type)</w:t>
      </w:r>
    </w:p>
    <w:p w14:paraId="228C2CD0" w14:textId="119545DF" w:rsidR="00C90499" w:rsidRDefault="00C90499" w:rsidP="00712F4B">
      <w:pPr>
        <w:numPr>
          <w:ilvl w:val="1"/>
          <w:numId w:val="1"/>
        </w:numPr>
        <w:ind w:left="720"/>
      </w:pPr>
      <w:r w:rsidRPr="00F32189">
        <w:t>Revise eligibility efficiency thresholds consistent with program objectives.</w:t>
      </w:r>
    </w:p>
    <w:p w14:paraId="39723016" w14:textId="5C9B222C" w:rsidR="007F4C31" w:rsidRPr="00F32189" w:rsidRDefault="007F4C31" w:rsidP="007F4C31">
      <w:pPr>
        <w:pStyle w:val="ListParagraph"/>
        <w:numPr>
          <w:ilvl w:val="1"/>
          <w:numId w:val="1"/>
        </w:numPr>
        <w:ind w:left="720"/>
      </w:pPr>
      <w:r w:rsidRPr="007F4C31">
        <w:t xml:space="preserve">Revise implementation application data collection process as necessary to support measure configuration </w:t>
      </w:r>
    </w:p>
    <w:p w14:paraId="769FF99B" w14:textId="060388A6" w:rsidR="00C90499" w:rsidRPr="00F32189" w:rsidRDefault="00C90499" w:rsidP="00712F4B">
      <w:pPr>
        <w:numPr>
          <w:ilvl w:val="1"/>
          <w:numId w:val="1"/>
        </w:numPr>
        <w:ind w:left="720"/>
      </w:pPr>
      <w:r w:rsidRPr="00F32189">
        <w:t xml:space="preserve">Documentation of data sources in support of baseline </w:t>
      </w:r>
      <w:r w:rsidR="00F3132A">
        <w:t>f</w:t>
      </w:r>
      <w:r w:rsidR="00712F4B">
        <w:t>r</w:t>
      </w:r>
      <w:r w:rsidR="00F3132A">
        <w:t>yer</w:t>
      </w:r>
      <w:r w:rsidRPr="00F32189">
        <w:t xml:space="preserve"> characteristics/performance.</w:t>
      </w:r>
    </w:p>
    <w:p w14:paraId="7237AB89" w14:textId="77777777" w:rsidR="00C90499" w:rsidRDefault="00C90499" w:rsidP="00712F4B">
      <w:r w:rsidRPr="00F32189">
        <w:t>The findings and conclusions should be summarized in a third memo that addresses the final values and rational for the baseline and eligible measure requirements</w:t>
      </w:r>
      <w:r>
        <w:t>.</w:t>
      </w:r>
    </w:p>
    <w:p w14:paraId="6EA5E310" w14:textId="79059D41" w:rsidR="00712F4B" w:rsidRPr="00C05F87" w:rsidRDefault="0031140A" w:rsidP="0031140A">
      <w:pPr>
        <w:pStyle w:val="Memo1"/>
        <w:numPr>
          <w:ilvl w:val="1"/>
          <w:numId w:val="20"/>
        </w:numPr>
      </w:pPr>
      <w:r>
        <w:t>Alignment with Energy Star</w:t>
      </w:r>
    </w:p>
    <w:p w14:paraId="0A6893F6" w14:textId="2339608A" w:rsidR="00676A72" w:rsidRPr="00676A72" w:rsidRDefault="00676A72" w:rsidP="00712F4B">
      <w:r w:rsidRPr="00676A72">
        <w:t>For standard</w:t>
      </w:r>
      <w:r w:rsidR="00DF7D55">
        <w:t xml:space="preserve"> gas</w:t>
      </w:r>
      <w:r w:rsidRPr="00676A72">
        <w:t xml:space="preserve"> fryers Energy Star states that EE units are 30% more efficient</w:t>
      </w:r>
      <w:r w:rsidR="00DF7D55">
        <w:t xml:space="preserve"> than baseline units</w:t>
      </w:r>
      <w:r w:rsidR="0037083C">
        <w:t xml:space="preserve">, while the workpaper says </w:t>
      </w:r>
      <w:r w:rsidR="00DF7D55">
        <w:t>the EE units are 22% more efficient than the baseline units</w:t>
      </w:r>
      <w:r w:rsidR="00817DEE">
        <w:t xml:space="preserve">. </w:t>
      </w:r>
      <w:r w:rsidR="0037083C">
        <w:t>There is also a reported</w:t>
      </w:r>
      <w:r w:rsidR="00817DEE">
        <w:t xml:space="preserve"> </w:t>
      </w:r>
      <w:r w:rsidR="00817DEE" w:rsidRPr="00817DEE">
        <w:t>differential of energy use per day of 241,000 versus 454,000 Btu/day</w:t>
      </w:r>
      <w:r w:rsidR="0037083C">
        <w:t xml:space="preserve"> in the workpaper. It is unclear </w:t>
      </w:r>
      <w:r w:rsidR="00DF7D55">
        <w:t>what</w:t>
      </w:r>
      <w:r w:rsidR="0037083C">
        <w:t xml:space="preserve"> the source of the differential energy use</w:t>
      </w:r>
      <w:r w:rsidR="00DF7D55">
        <w:t xml:space="preserve"> is.</w:t>
      </w:r>
      <w:r w:rsidR="0037083C">
        <w:t xml:space="preserve"> </w:t>
      </w:r>
    </w:p>
    <w:p w14:paraId="254E49E4" w14:textId="160DC6A9" w:rsidR="00F64C52" w:rsidRDefault="00F64C52" w:rsidP="0031140A">
      <w:pPr>
        <w:pStyle w:val="Memo1"/>
        <w:numPr>
          <w:ilvl w:val="1"/>
          <w:numId w:val="20"/>
        </w:numPr>
      </w:pPr>
      <w:r>
        <w:t>Ex Post Impact Evaluation</w:t>
      </w:r>
    </w:p>
    <w:p w14:paraId="1193D631" w14:textId="36CF1E9A" w:rsidR="00F64C52" w:rsidRDefault="00F64C52" w:rsidP="00F64C52">
      <w:r w:rsidRPr="00F3132A">
        <w:t xml:space="preserve">A PY2017 impact evaluation is underway that includes a gross impact assessment of gas fryers.  Study results will be available in Q2 2019, and it is anticipated that evaluation results will identify areas for improvement to workpaper methods and savings claims.  The evaluation data sources include telephone/field/metering data for a sample of program projects, along with baseline equipment monitoring and data collection where feasible.  </w:t>
      </w:r>
    </w:p>
    <w:p w14:paraId="33A60044" w14:textId="256D511D" w:rsidR="009C6772" w:rsidRPr="00DF5669" w:rsidRDefault="009C6772" w:rsidP="0031140A">
      <w:pPr>
        <w:pStyle w:val="Memo1"/>
      </w:pPr>
      <w:r>
        <w:t>Direction</w:t>
      </w:r>
    </w:p>
    <w:p w14:paraId="618DB03E" w14:textId="7799D63A" w:rsidR="00F3132A" w:rsidRDefault="00F32189" w:rsidP="00F32189">
      <w:r>
        <w:t>Based on the critical review items, the IOU</w:t>
      </w:r>
      <w:r w:rsidR="00D26106">
        <w:t>s</w:t>
      </w:r>
      <w:r>
        <w:t xml:space="preserve"> are directed to conduct the indicated research, revise the workpaper, and resubmit for 2020 implementation. </w:t>
      </w:r>
      <w:r w:rsidR="00F3132A">
        <w:t>In order to ensure timely completion of the workpaper, the IOUs shall formulate and submit a workpaper workplan by January 31, 2019 with a schedule that results in</w:t>
      </w:r>
      <w:r w:rsidR="007F4C31">
        <w:t xml:space="preserve"> time for a</w:t>
      </w:r>
      <w:r w:rsidR="004B249C">
        <w:t>n</w:t>
      </w:r>
      <w:r w:rsidR="007F4C31">
        <w:t xml:space="preserve"> </w:t>
      </w:r>
      <w:r w:rsidR="004B249C">
        <w:t>October</w:t>
      </w:r>
      <w:r w:rsidR="00A03619">
        <w:t xml:space="preserve"> 1</w:t>
      </w:r>
      <w:r w:rsidR="00F3132A">
        <w:t>, 2019 revised workpaper submission.</w:t>
      </w:r>
      <w:r w:rsidR="00F3132A" w:rsidRPr="00F3132A">
        <w:t xml:space="preserve"> </w:t>
      </w:r>
      <w:r w:rsidR="00F3132A">
        <w:t xml:space="preserve">The workplan will identify mutually agreed upon interim delivery dates for each </w:t>
      </w:r>
      <w:r w:rsidR="00F64C52">
        <w:t>work product</w:t>
      </w:r>
      <w:r w:rsidR="00F3132A">
        <w:t xml:space="preserve"> so that these can be reviewed as the work is completed. </w:t>
      </w:r>
      <w:r w:rsidR="004E3D2D">
        <w:t>The workplan should also include a stakeholder communications plan.</w:t>
      </w:r>
    </w:p>
    <w:p w14:paraId="6E34B451" w14:textId="429D5798" w:rsidR="0090773C" w:rsidRPr="00F64C52" w:rsidRDefault="0090773C" w:rsidP="0031140A">
      <w:pPr>
        <w:pStyle w:val="Memo1"/>
        <w:numPr>
          <w:ilvl w:val="1"/>
          <w:numId w:val="20"/>
        </w:numPr>
      </w:pPr>
      <w:r w:rsidRPr="00F64C52">
        <w:t>Conduct a Survey of Past Participants to Determine Key Operating Parameters</w:t>
      </w:r>
    </w:p>
    <w:p w14:paraId="170D56BF" w14:textId="76B4F977" w:rsidR="007A6025" w:rsidRDefault="005B769F" w:rsidP="007F4C31">
      <w:r w:rsidRPr="007F4C31">
        <w:lastRenderedPageBreak/>
        <w:t xml:space="preserve">The PAs are directed to initiate and complete a study to determine key participant operating parameters </w:t>
      </w:r>
      <w:r w:rsidR="00F3132A">
        <w:t xml:space="preserve">consistent with the research outlined in Section 3. </w:t>
      </w:r>
      <w:r w:rsidR="007F4C31">
        <w:t>The PAs should coordinate the survey with the</w:t>
      </w:r>
      <w:r w:rsidR="0096173F">
        <w:t xml:space="preserve"> Ex Post</w:t>
      </w:r>
      <w:r w:rsidR="0061284F">
        <w:t xml:space="preserve"> </w:t>
      </w:r>
      <w:r w:rsidR="0096173F">
        <w:t>T</w:t>
      </w:r>
      <w:r w:rsidR="007F4C31">
        <w:t>eam’s survey activities. The PAs shall offer the Ex Ante WP Team an opportunity to review interim work products including the study</w:t>
      </w:r>
      <w:r w:rsidR="00F3132A">
        <w:t xml:space="preserve"> a </w:t>
      </w:r>
      <w:r w:rsidR="007A6025">
        <w:t>scope of work</w:t>
      </w:r>
      <w:r w:rsidR="007F4C31">
        <w:t xml:space="preserve">, sample plan, </w:t>
      </w:r>
      <w:r w:rsidR="00F3132A">
        <w:t xml:space="preserve">survey instruments, and other pertinent </w:t>
      </w:r>
      <w:r w:rsidR="007A6025">
        <w:t xml:space="preserve">details on proposed research activities. </w:t>
      </w:r>
    </w:p>
    <w:p w14:paraId="7BA92F40" w14:textId="73472ACC" w:rsidR="0090773C" w:rsidRPr="00F64C52" w:rsidRDefault="0090773C" w:rsidP="0031140A">
      <w:pPr>
        <w:pStyle w:val="Memo1"/>
        <w:numPr>
          <w:ilvl w:val="1"/>
          <w:numId w:val="20"/>
        </w:numPr>
      </w:pPr>
      <w:r w:rsidRPr="00F64C52">
        <w:t xml:space="preserve">Conduct </w:t>
      </w:r>
      <w:r w:rsidR="00F3132A" w:rsidRPr="00F64C52">
        <w:t>ISP research</w:t>
      </w:r>
    </w:p>
    <w:p w14:paraId="6FF8F21F" w14:textId="232736B2" w:rsidR="007F4C31" w:rsidRDefault="007F4C31" w:rsidP="007F4C31">
      <w:r w:rsidRPr="007F4C31">
        <w:t xml:space="preserve">The PAs are directed to initiate and complete a study to determine </w:t>
      </w:r>
      <w:r>
        <w:t xml:space="preserve">industry standard practice for fryers with the research outlined in Section 3. The PAs shall offer the Ex Ante WP Team an opportunity to review interim work products including the study a scope of work, sample plan, survey instruments, and other pertinent details on proposed research activities. </w:t>
      </w:r>
    </w:p>
    <w:p w14:paraId="28609D04" w14:textId="1AE8C0AF" w:rsidR="00F32189" w:rsidRPr="00F64C52" w:rsidRDefault="00F32189" w:rsidP="0031140A">
      <w:pPr>
        <w:pStyle w:val="Memo1"/>
        <w:numPr>
          <w:ilvl w:val="1"/>
          <w:numId w:val="20"/>
        </w:numPr>
      </w:pPr>
      <w:r w:rsidRPr="00F64C52">
        <w:t>Revise Baseline and Eligibility Requirements</w:t>
      </w:r>
    </w:p>
    <w:p w14:paraId="1D745E8C" w14:textId="78738C4E" w:rsidR="00F32189" w:rsidRDefault="00F32189" w:rsidP="00F32189">
      <w:r>
        <w:t xml:space="preserve">The IOUs are directed to revise the baseline and eligibility requirements for </w:t>
      </w:r>
      <w:r w:rsidR="00552EB7">
        <w:t>fryers</w:t>
      </w:r>
      <w:r w:rsidR="00D26106">
        <w:t xml:space="preserve"> </w:t>
      </w:r>
      <w:r>
        <w:t xml:space="preserve">consistent with the findings and conclusions of the research outlined in Section </w:t>
      </w:r>
      <w:r w:rsidR="002E3719">
        <w:t>3</w:t>
      </w:r>
      <w:r w:rsidR="00F3132A">
        <w:t xml:space="preserve">. </w:t>
      </w:r>
    </w:p>
    <w:p w14:paraId="145BEE43" w14:textId="0CA997E0" w:rsidR="00F32189" w:rsidRDefault="00F32189" w:rsidP="00F32189">
      <w:r>
        <w:t xml:space="preserve">The final workpaper submission should incorporate the data, findings, and conclusions from the memos and complete sets of source data as described in Section </w:t>
      </w:r>
      <w:r w:rsidR="002E3719">
        <w:t>3</w:t>
      </w:r>
      <w:r>
        <w:t xml:space="preserve"> of this disposition</w:t>
      </w:r>
      <w:r w:rsidR="00D26106">
        <w:t>.</w:t>
      </w:r>
    </w:p>
    <w:p w14:paraId="24870E12" w14:textId="2013A263" w:rsidR="002E3719" w:rsidRPr="00F64C52" w:rsidRDefault="00956E02" w:rsidP="0031140A">
      <w:pPr>
        <w:pStyle w:val="Memo1"/>
        <w:numPr>
          <w:ilvl w:val="1"/>
          <w:numId w:val="20"/>
        </w:numPr>
      </w:pPr>
      <w:r>
        <w:t xml:space="preserve">Resolve </w:t>
      </w:r>
      <w:r w:rsidR="009241DA" w:rsidRPr="00F64C52">
        <w:t>Inc</w:t>
      </w:r>
      <w:r w:rsidR="002E3719" w:rsidRPr="00F64C52">
        <w:t>onsistenc</w:t>
      </w:r>
      <w:r>
        <w:t>ies</w:t>
      </w:r>
      <w:r w:rsidR="002E3719" w:rsidRPr="00F64C52">
        <w:t xml:space="preserve"> in Calculations</w:t>
      </w:r>
    </w:p>
    <w:p w14:paraId="6C33920B" w14:textId="77777777" w:rsidR="002E3719" w:rsidRDefault="002E3719" w:rsidP="002E3719">
      <w:r>
        <w:t>The PAs are directed to review and revise the parameters used in calculations for the baseline and eligible equipment and to realign qualification standards with EnergyStar efficiency and idle rate specifications.</w:t>
      </w:r>
    </w:p>
    <w:p w14:paraId="1176911B" w14:textId="2C496A09" w:rsidR="002E3719" w:rsidRDefault="002E3719" w:rsidP="002E3719">
      <w:r>
        <w:t xml:space="preserve">The PAs are also directed to document the workpaper assumptions and inputs in the workpaper or support calculation spreadsheets.  </w:t>
      </w:r>
    </w:p>
    <w:p w14:paraId="0FD7C396" w14:textId="77777777" w:rsidR="00F64C52" w:rsidRPr="007F4C31" w:rsidRDefault="00DF44F4" w:rsidP="0031140A">
      <w:pPr>
        <w:pStyle w:val="Memo1"/>
        <w:numPr>
          <w:ilvl w:val="1"/>
          <w:numId w:val="20"/>
        </w:numPr>
      </w:pPr>
      <w:r w:rsidRPr="007F4C31">
        <w:t xml:space="preserve">Use evaluation results from PY2017 impact evaluation of gas fryers. </w:t>
      </w:r>
    </w:p>
    <w:p w14:paraId="200FCF8D" w14:textId="322C01DF" w:rsidR="006116A4" w:rsidRDefault="00DF44F4">
      <w:r>
        <w:t>During Q2 2019 all findings and recommendations related to savings calculations should be addressed/incorporated as part of the workpaper stage 2 update process.</w:t>
      </w:r>
    </w:p>
    <w:p w14:paraId="0AA5FD27" w14:textId="3D5830DA" w:rsidR="00570BDD" w:rsidRDefault="00570BDD" w:rsidP="00A03619">
      <w:pPr>
        <w:pStyle w:val="Memo1"/>
        <w:numPr>
          <w:ilvl w:val="1"/>
          <w:numId w:val="20"/>
        </w:numPr>
      </w:pPr>
      <w:r>
        <w:t>Stakeholder communication strategy</w:t>
      </w:r>
    </w:p>
    <w:p w14:paraId="5A47EAA4" w14:textId="31EAA61F" w:rsidR="00570BDD" w:rsidRDefault="00570BDD" w:rsidP="00570BDD">
      <w:r>
        <w:t xml:space="preserve">The PAs shall propose a communication strategy for their stakeholders.  This strategy should be comprehensive to ensure all information is timely and easily accessible. Lack of communication or delayed communication can have unintended market impacts that should be avoided. </w:t>
      </w:r>
    </w:p>
    <w:p w14:paraId="6BA20C0D" w14:textId="6A16E041" w:rsidR="00570BDD" w:rsidRPr="007F4C31" w:rsidRDefault="00570BDD" w:rsidP="00A03619">
      <w:pPr>
        <w:pStyle w:val="Memo1"/>
        <w:numPr>
          <w:ilvl w:val="0"/>
          <w:numId w:val="0"/>
        </w:numPr>
        <w:ind w:left="360" w:hanging="360"/>
      </w:pPr>
      <w:r w:rsidRPr="007F4C31">
        <w:t xml:space="preserve"> </w:t>
      </w:r>
    </w:p>
    <w:p w14:paraId="5D509D6E" w14:textId="77777777" w:rsidR="00570BDD" w:rsidRDefault="00570BDD"/>
    <w:sectPr w:rsidR="00570B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DAA19" w14:textId="77777777" w:rsidR="009D0113" w:rsidRDefault="009D0113" w:rsidP="00590DC6">
      <w:pPr>
        <w:spacing w:after="0" w:line="240" w:lineRule="auto"/>
      </w:pPr>
      <w:r>
        <w:separator/>
      </w:r>
    </w:p>
  </w:endnote>
  <w:endnote w:type="continuationSeparator" w:id="0">
    <w:p w14:paraId="20F04F3F" w14:textId="77777777" w:rsidR="009D0113" w:rsidRDefault="009D0113" w:rsidP="00590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0262E" w14:textId="77777777" w:rsidR="009D0113" w:rsidRDefault="009D0113" w:rsidP="00590DC6">
      <w:pPr>
        <w:spacing w:after="0" w:line="240" w:lineRule="auto"/>
      </w:pPr>
      <w:r>
        <w:separator/>
      </w:r>
    </w:p>
  </w:footnote>
  <w:footnote w:type="continuationSeparator" w:id="0">
    <w:p w14:paraId="7C59F12C" w14:textId="77777777" w:rsidR="009D0113" w:rsidRDefault="009D0113" w:rsidP="00590DC6">
      <w:pPr>
        <w:spacing w:after="0" w:line="240" w:lineRule="auto"/>
      </w:pPr>
      <w:r>
        <w:continuationSeparator/>
      </w:r>
    </w:p>
  </w:footnote>
  <w:footnote w:id="1">
    <w:p w14:paraId="52609FBD" w14:textId="77777777" w:rsidR="00A03619" w:rsidRDefault="00A03619" w:rsidP="00BE5267">
      <w:pPr>
        <w:pStyle w:val="FootnoteText"/>
      </w:pPr>
      <w:r>
        <w:rPr>
          <w:rStyle w:val="FootnoteReference"/>
        </w:rPr>
        <w:footnoteRef/>
      </w:r>
      <w:r>
        <w:t xml:space="preserve"> </w:t>
      </w:r>
      <w:hyperlink r:id="rId1" w:history="1">
        <w:r w:rsidRPr="009F0B5F">
          <w:rPr>
            <w:rStyle w:val="Hyperlink"/>
          </w:rPr>
          <w:t>https://fishnick.com/about/overview/</w:t>
        </w:r>
      </w:hyperlink>
      <w:r>
        <w:t xml:space="preserve"> T</w:t>
      </w:r>
      <w:r w:rsidRPr="00B5306D">
        <w:t>he FSTC has developed over 40 Standard Test Methods for evaluating commercial kitchen</w:t>
      </w:r>
      <w:r>
        <w:t xml:space="preserve"> </w:t>
      </w:r>
      <w:r w:rsidRPr="00B5306D">
        <w:t>appliance and system performance.</w:t>
      </w:r>
      <w:r>
        <w:t xml:space="preserve"> It is operated by Frontier Energy and funded by PG&amp;E.</w:t>
      </w:r>
    </w:p>
  </w:footnote>
  <w:footnote w:id="2">
    <w:p w14:paraId="374EDBB1" w14:textId="1360FC6C" w:rsidR="00A03619" w:rsidRDefault="00A03619" w:rsidP="00B954B3">
      <w:pPr>
        <w:pStyle w:val="CommentText"/>
      </w:pPr>
      <w:r>
        <w:rPr>
          <w:rStyle w:val="FootnoteReference"/>
        </w:rPr>
        <w:footnoteRef/>
      </w:r>
      <w:r>
        <w:t xml:space="preserve"> </w:t>
      </w:r>
      <w:hyperlink r:id="rId2" w:history="1">
        <w:r w:rsidRPr="00397C6B">
          <w:rPr>
            <w:rStyle w:val="Hyperlink"/>
          </w:rPr>
          <w:t>http://www.cpuc.ca.gov/WorkArea/DownloadAsset.aspx?id=5315</w:t>
        </w:r>
      </w:hyperlink>
    </w:p>
  </w:footnote>
  <w:footnote w:id="3">
    <w:p w14:paraId="66F3E578" w14:textId="77777777" w:rsidR="00A03619" w:rsidRDefault="00A03619" w:rsidP="00BE5267">
      <w:pPr>
        <w:pStyle w:val="FootnoteText"/>
      </w:pPr>
      <w:r>
        <w:rPr>
          <w:rStyle w:val="FootnoteReference"/>
        </w:rPr>
        <w:footnoteRef/>
      </w:r>
      <w:r>
        <w:t xml:space="preserve"> </w:t>
      </w:r>
      <w:hyperlink r:id="rId3" w:history="1">
        <w:r w:rsidRPr="009F0B5F">
          <w:rPr>
            <w:rStyle w:val="Hyperlink"/>
          </w:rPr>
          <w:t>https://www.socalgas.com/for-your-business/education-and-training/food-service-equipment-center</w:t>
        </w:r>
      </w:hyperlink>
      <w:r>
        <w:t xml:space="preserve"> The FSEC is a test kitchen operated by SCG.</w:t>
      </w:r>
    </w:p>
  </w:footnote>
  <w:footnote w:id="4">
    <w:p w14:paraId="5638ED30" w14:textId="3DECA319" w:rsidR="00A03619" w:rsidRDefault="00A03619" w:rsidP="00F453C0">
      <w:pPr>
        <w:pStyle w:val="FootnoteText"/>
      </w:pPr>
      <w:r>
        <w:rPr>
          <w:rStyle w:val="FootnoteReference"/>
        </w:rPr>
        <w:footnoteRef/>
      </w:r>
      <w:r>
        <w:t xml:space="preserve"> Currently all fryer claims reflect a standard 14” vat, but larger units are also eligible, and it might be possible to separately support calculations/tracking/claims by size category.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6E05"/>
    <w:multiLevelType w:val="multilevel"/>
    <w:tmpl w:val="557E386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31430F"/>
    <w:multiLevelType w:val="hybridMultilevel"/>
    <w:tmpl w:val="BBEE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57727"/>
    <w:multiLevelType w:val="hybridMultilevel"/>
    <w:tmpl w:val="DA021172"/>
    <w:lvl w:ilvl="0" w:tplc="04090005">
      <w:start w:val="1"/>
      <w:numFmt w:val="bullet"/>
      <w:lvlText w:val=""/>
      <w:lvlJc w:val="left"/>
      <w:pPr>
        <w:ind w:left="1128" w:hanging="360"/>
      </w:pPr>
      <w:rPr>
        <w:rFonts w:ascii="Wingdings" w:hAnsi="Wingdings" w:hint="default"/>
      </w:rPr>
    </w:lvl>
    <w:lvl w:ilvl="1" w:tplc="04090003">
      <w:start w:val="1"/>
      <w:numFmt w:val="bullet"/>
      <w:lvlText w:val="o"/>
      <w:lvlJc w:val="left"/>
      <w:pPr>
        <w:ind w:left="1848" w:hanging="360"/>
      </w:pPr>
      <w:rPr>
        <w:rFonts w:ascii="Courier New" w:hAnsi="Courier New" w:cs="Courier New" w:hint="default"/>
      </w:rPr>
    </w:lvl>
    <w:lvl w:ilvl="2" w:tplc="F4A02506">
      <w:numFmt w:val="bullet"/>
      <w:lvlText w:val="•"/>
      <w:lvlJc w:val="left"/>
      <w:pPr>
        <w:ind w:left="2880" w:hanging="672"/>
      </w:pPr>
      <w:rPr>
        <w:rFonts w:ascii="Calibri" w:eastAsiaTheme="minorHAnsi" w:hAnsi="Calibri" w:cs="Calibri"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3" w15:restartNumberingAfterBreak="0">
    <w:nsid w:val="2B144DAA"/>
    <w:multiLevelType w:val="hybridMultilevel"/>
    <w:tmpl w:val="5F103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BB4838"/>
    <w:multiLevelType w:val="multilevel"/>
    <w:tmpl w:val="3A88DCAC"/>
    <w:lvl w:ilvl="0">
      <w:start w:val="1"/>
      <w:numFmt w:val="decimal"/>
      <w:pStyle w:val="CPUCheading1"/>
      <w:lvlText w:val="%1."/>
      <w:lvlJc w:val="left"/>
      <w:pPr>
        <w:ind w:left="360" w:hanging="360"/>
      </w:pPr>
      <w:rPr>
        <w:rFonts w:hint="default"/>
      </w:rPr>
    </w:lvl>
    <w:lvl w:ilvl="1">
      <w:start w:val="1"/>
      <w:numFmt w:val="decimal"/>
      <w:pStyle w:val="CPUCheading2"/>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FA35DC"/>
    <w:multiLevelType w:val="hybridMultilevel"/>
    <w:tmpl w:val="28D00948"/>
    <w:lvl w:ilvl="0" w:tplc="8C147474">
      <w:start w:val="1"/>
      <w:numFmt w:val="decimal"/>
      <w:lvlText w:val="%1."/>
      <w:lvlJc w:val="left"/>
      <w:pPr>
        <w:ind w:left="720" w:hanging="360"/>
      </w:pPr>
      <w:rPr>
        <w:b/>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8D4210B"/>
    <w:multiLevelType w:val="hybridMultilevel"/>
    <w:tmpl w:val="EFAADE06"/>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F4A02506">
      <w:numFmt w:val="bullet"/>
      <w:lvlText w:val="•"/>
      <w:lvlJc w:val="left"/>
      <w:pPr>
        <w:ind w:left="2520" w:hanging="672"/>
      </w:pPr>
      <w:rPr>
        <w:rFonts w:ascii="Calibri" w:eastAsiaTheme="minorHAnsi" w:hAnsi="Calibri" w:cs="Calibri" w:hint="default"/>
      </w:rPr>
    </w:lvl>
    <w:lvl w:ilvl="3" w:tplc="0409000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4D7706DC"/>
    <w:multiLevelType w:val="multilevel"/>
    <w:tmpl w:val="A3CC5E5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4342605"/>
    <w:multiLevelType w:val="multilevel"/>
    <w:tmpl w:val="F0E4E802"/>
    <w:lvl w:ilvl="0">
      <w:start w:val="1"/>
      <w:numFmt w:val="decimal"/>
      <w:pStyle w:val="Mem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9E5BC4"/>
    <w:multiLevelType w:val="hybridMultilevel"/>
    <w:tmpl w:val="83FC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604159"/>
    <w:multiLevelType w:val="multilevel"/>
    <w:tmpl w:val="FE10757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8670339"/>
    <w:multiLevelType w:val="hybridMultilevel"/>
    <w:tmpl w:val="9EE426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D421028"/>
    <w:multiLevelType w:val="multilevel"/>
    <w:tmpl w:val="EC7843AE"/>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num>
  <w:num w:numId="6">
    <w:abstractNumId w:val="1"/>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0"/>
  </w:num>
  <w:num w:numId="18">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43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B43"/>
    <w:rsid w:val="000061BB"/>
    <w:rsid w:val="0003016A"/>
    <w:rsid w:val="00040AC6"/>
    <w:rsid w:val="0004296B"/>
    <w:rsid w:val="00042F28"/>
    <w:rsid w:val="00056E93"/>
    <w:rsid w:val="000647E3"/>
    <w:rsid w:val="000650E7"/>
    <w:rsid w:val="000661A9"/>
    <w:rsid w:val="00093122"/>
    <w:rsid w:val="0009364A"/>
    <w:rsid w:val="000957D9"/>
    <w:rsid w:val="000A067D"/>
    <w:rsid w:val="000D7BFB"/>
    <w:rsid w:val="000F145D"/>
    <w:rsid w:val="000F16EC"/>
    <w:rsid w:val="00130B1D"/>
    <w:rsid w:val="00136AD7"/>
    <w:rsid w:val="0016423C"/>
    <w:rsid w:val="00172CB5"/>
    <w:rsid w:val="001754FB"/>
    <w:rsid w:val="00194F6C"/>
    <w:rsid w:val="001B7C6D"/>
    <w:rsid w:val="001F0211"/>
    <w:rsid w:val="001F501F"/>
    <w:rsid w:val="00226847"/>
    <w:rsid w:val="00230170"/>
    <w:rsid w:val="00231E01"/>
    <w:rsid w:val="00237508"/>
    <w:rsid w:val="00237FE5"/>
    <w:rsid w:val="00242B99"/>
    <w:rsid w:val="0025332B"/>
    <w:rsid w:val="00256A21"/>
    <w:rsid w:val="00263F5C"/>
    <w:rsid w:val="00270963"/>
    <w:rsid w:val="002908A1"/>
    <w:rsid w:val="002A06EA"/>
    <w:rsid w:val="002A0DF6"/>
    <w:rsid w:val="002B12E0"/>
    <w:rsid w:val="002C7552"/>
    <w:rsid w:val="002D042B"/>
    <w:rsid w:val="002E3719"/>
    <w:rsid w:val="002F6A59"/>
    <w:rsid w:val="00306794"/>
    <w:rsid w:val="0031140A"/>
    <w:rsid w:val="00342678"/>
    <w:rsid w:val="003445B8"/>
    <w:rsid w:val="00351639"/>
    <w:rsid w:val="00361255"/>
    <w:rsid w:val="0036319C"/>
    <w:rsid w:val="003704B9"/>
    <w:rsid w:val="0037083C"/>
    <w:rsid w:val="00371A20"/>
    <w:rsid w:val="0039350D"/>
    <w:rsid w:val="003938D0"/>
    <w:rsid w:val="00397106"/>
    <w:rsid w:val="003A29EF"/>
    <w:rsid w:val="003A5892"/>
    <w:rsid w:val="003A5992"/>
    <w:rsid w:val="003B058B"/>
    <w:rsid w:val="003B3A6B"/>
    <w:rsid w:val="003E4F45"/>
    <w:rsid w:val="003F49D1"/>
    <w:rsid w:val="004147A7"/>
    <w:rsid w:val="004417D0"/>
    <w:rsid w:val="004468A3"/>
    <w:rsid w:val="00447B82"/>
    <w:rsid w:val="00456074"/>
    <w:rsid w:val="00464768"/>
    <w:rsid w:val="00470CA5"/>
    <w:rsid w:val="004714A3"/>
    <w:rsid w:val="00475FB3"/>
    <w:rsid w:val="00492C85"/>
    <w:rsid w:val="00497D2C"/>
    <w:rsid w:val="004A18AC"/>
    <w:rsid w:val="004B249C"/>
    <w:rsid w:val="004B30C3"/>
    <w:rsid w:val="004B570D"/>
    <w:rsid w:val="004D3391"/>
    <w:rsid w:val="004E3D2D"/>
    <w:rsid w:val="004E6C1F"/>
    <w:rsid w:val="004F225E"/>
    <w:rsid w:val="005133D2"/>
    <w:rsid w:val="005178EB"/>
    <w:rsid w:val="005242C3"/>
    <w:rsid w:val="00533976"/>
    <w:rsid w:val="005429A1"/>
    <w:rsid w:val="00552EB7"/>
    <w:rsid w:val="00560DF4"/>
    <w:rsid w:val="00570BDD"/>
    <w:rsid w:val="00571F30"/>
    <w:rsid w:val="00581CE6"/>
    <w:rsid w:val="00590DC6"/>
    <w:rsid w:val="005A3A75"/>
    <w:rsid w:val="005B0844"/>
    <w:rsid w:val="005B150E"/>
    <w:rsid w:val="005B1925"/>
    <w:rsid w:val="005B43E9"/>
    <w:rsid w:val="005B769F"/>
    <w:rsid w:val="005C1F91"/>
    <w:rsid w:val="005C78C7"/>
    <w:rsid w:val="006116A4"/>
    <w:rsid w:val="0061284F"/>
    <w:rsid w:val="00616412"/>
    <w:rsid w:val="0063178F"/>
    <w:rsid w:val="006425EA"/>
    <w:rsid w:val="00650CFB"/>
    <w:rsid w:val="00652528"/>
    <w:rsid w:val="006656BC"/>
    <w:rsid w:val="00676A72"/>
    <w:rsid w:val="00677C5A"/>
    <w:rsid w:val="006839A2"/>
    <w:rsid w:val="006968D7"/>
    <w:rsid w:val="006B1A64"/>
    <w:rsid w:val="006B38BF"/>
    <w:rsid w:val="006E6C9A"/>
    <w:rsid w:val="00712F4B"/>
    <w:rsid w:val="007459FE"/>
    <w:rsid w:val="00764F09"/>
    <w:rsid w:val="007A6025"/>
    <w:rsid w:val="007D2BDA"/>
    <w:rsid w:val="007E5C78"/>
    <w:rsid w:val="007F4C31"/>
    <w:rsid w:val="00817DEE"/>
    <w:rsid w:val="00850C8A"/>
    <w:rsid w:val="008600CD"/>
    <w:rsid w:val="00864F12"/>
    <w:rsid w:val="00867B7E"/>
    <w:rsid w:val="00875FFA"/>
    <w:rsid w:val="00876D6C"/>
    <w:rsid w:val="00883E90"/>
    <w:rsid w:val="008B0C58"/>
    <w:rsid w:val="008C053C"/>
    <w:rsid w:val="008D2931"/>
    <w:rsid w:val="008E19C0"/>
    <w:rsid w:val="008E201B"/>
    <w:rsid w:val="008E720A"/>
    <w:rsid w:val="008F4F34"/>
    <w:rsid w:val="008F6E0F"/>
    <w:rsid w:val="00900937"/>
    <w:rsid w:val="00902366"/>
    <w:rsid w:val="0090773C"/>
    <w:rsid w:val="0091413C"/>
    <w:rsid w:val="009241DA"/>
    <w:rsid w:val="00956E02"/>
    <w:rsid w:val="0096173F"/>
    <w:rsid w:val="00962B5A"/>
    <w:rsid w:val="009640E0"/>
    <w:rsid w:val="009677E9"/>
    <w:rsid w:val="00984442"/>
    <w:rsid w:val="0098482F"/>
    <w:rsid w:val="009856A2"/>
    <w:rsid w:val="00987B86"/>
    <w:rsid w:val="009C6772"/>
    <w:rsid w:val="009C6F3F"/>
    <w:rsid w:val="009D0113"/>
    <w:rsid w:val="009E119C"/>
    <w:rsid w:val="00A03619"/>
    <w:rsid w:val="00A11522"/>
    <w:rsid w:val="00A31488"/>
    <w:rsid w:val="00A37E5E"/>
    <w:rsid w:val="00A42252"/>
    <w:rsid w:val="00A51087"/>
    <w:rsid w:val="00A7547D"/>
    <w:rsid w:val="00A86E04"/>
    <w:rsid w:val="00A947D6"/>
    <w:rsid w:val="00AF4E35"/>
    <w:rsid w:val="00B06BE2"/>
    <w:rsid w:val="00B109D2"/>
    <w:rsid w:val="00B4231A"/>
    <w:rsid w:val="00B42D61"/>
    <w:rsid w:val="00B43E39"/>
    <w:rsid w:val="00B47AD8"/>
    <w:rsid w:val="00B619C8"/>
    <w:rsid w:val="00B77F1F"/>
    <w:rsid w:val="00B81EA4"/>
    <w:rsid w:val="00B94D00"/>
    <w:rsid w:val="00B954B3"/>
    <w:rsid w:val="00BA79F8"/>
    <w:rsid w:val="00BB7361"/>
    <w:rsid w:val="00BC2043"/>
    <w:rsid w:val="00BC2D53"/>
    <w:rsid w:val="00BC60B5"/>
    <w:rsid w:val="00BE19BF"/>
    <w:rsid w:val="00BE5267"/>
    <w:rsid w:val="00C05F87"/>
    <w:rsid w:val="00C0714F"/>
    <w:rsid w:val="00C201A0"/>
    <w:rsid w:val="00C233D0"/>
    <w:rsid w:val="00C25550"/>
    <w:rsid w:val="00C35304"/>
    <w:rsid w:val="00C42A39"/>
    <w:rsid w:val="00C43620"/>
    <w:rsid w:val="00C479D9"/>
    <w:rsid w:val="00C71DF3"/>
    <w:rsid w:val="00C72985"/>
    <w:rsid w:val="00C81AFA"/>
    <w:rsid w:val="00C85BEE"/>
    <w:rsid w:val="00C90499"/>
    <w:rsid w:val="00C91844"/>
    <w:rsid w:val="00C93C84"/>
    <w:rsid w:val="00CB054C"/>
    <w:rsid w:val="00CB715A"/>
    <w:rsid w:val="00CC69CC"/>
    <w:rsid w:val="00CF471C"/>
    <w:rsid w:val="00D0398B"/>
    <w:rsid w:val="00D158CA"/>
    <w:rsid w:val="00D26106"/>
    <w:rsid w:val="00D337A4"/>
    <w:rsid w:val="00D54711"/>
    <w:rsid w:val="00D566F5"/>
    <w:rsid w:val="00D57CF3"/>
    <w:rsid w:val="00D82B43"/>
    <w:rsid w:val="00D8724A"/>
    <w:rsid w:val="00D97904"/>
    <w:rsid w:val="00DA19B7"/>
    <w:rsid w:val="00DA49D6"/>
    <w:rsid w:val="00DC2E0A"/>
    <w:rsid w:val="00DC74B4"/>
    <w:rsid w:val="00DE0FFB"/>
    <w:rsid w:val="00DE341D"/>
    <w:rsid w:val="00DF44F4"/>
    <w:rsid w:val="00DF7D55"/>
    <w:rsid w:val="00E0163A"/>
    <w:rsid w:val="00E05C2B"/>
    <w:rsid w:val="00E078D7"/>
    <w:rsid w:val="00E132CF"/>
    <w:rsid w:val="00E20E7D"/>
    <w:rsid w:val="00E26B20"/>
    <w:rsid w:val="00E33EF7"/>
    <w:rsid w:val="00E601CB"/>
    <w:rsid w:val="00E83BD4"/>
    <w:rsid w:val="00E95ABD"/>
    <w:rsid w:val="00EA0E41"/>
    <w:rsid w:val="00ED5BEA"/>
    <w:rsid w:val="00EE0B92"/>
    <w:rsid w:val="00EE3C42"/>
    <w:rsid w:val="00EF6E94"/>
    <w:rsid w:val="00F00808"/>
    <w:rsid w:val="00F07869"/>
    <w:rsid w:val="00F11A06"/>
    <w:rsid w:val="00F22FAE"/>
    <w:rsid w:val="00F2528F"/>
    <w:rsid w:val="00F3132A"/>
    <w:rsid w:val="00F32189"/>
    <w:rsid w:val="00F453C0"/>
    <w:rsid w:val="00F50A9F"/>
    <w:rsid w:val="00F60368"/>
    <w:rsid w:val="00F6077C"/>
    <w:rsid w:val="00F64C52"/>
    <w:rsid w:val="00F726FD"/>
    <w:rsid w:val="00F8430E"/>
    <w:rsid w:val="00F86D20"/>
    <w:rsid w:val="00F87285"/>
    <w:rsid w:val="00F87A02"/>
    <w:rsid w:val="00FA6697"/>
    <w:rsid w:val="00FB4C40"/>
    <w:rsid w:val="00FE1EDD"/>
    <w:rsid w:val="00FF0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19870"/>
  <w15:chartTrackingRefBased/>
  <w15:docId w15:val="{E7517820-C5D6-497F-A156-984B9B9AD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86E04"/>
    <w:rPr>
      <w:sz w:val="16"/>
      <w:szCs w:val="16"/>
    </w:rPr>
  </w:style>
  <w:style w:type="paragraph" w:styleId="CommentText">
    <w:name w:val="annotation text"/>
    <w:basedOn w:val="Normal"/>
    <w:link w:val="CommentTextChar"/>
    <w:uiPriority w:val="99"/>
    <w:unhideWhenUsed/>
    <w:rsid w:val="00A86E04"/>
    <w:pPr>
      <w:spacing w:line="240" w:lineRule="auto"/>
    </w:pPr>
    <w:rPr>
      <w:sz w:val="20"/>
      <w:szCs w:val="20"/>
    </w:rPr>
  </w:style>
  <w:style w:type="character" w:customStyle="1" w:styleId="CommentTextChar">
    <w:name w:val="Comment Text Char"/>
    <w:basedOn w:val="DefaultParagraphFont"/>
    <w:link w:val="CommentText"/>
    <w:uiPriority w:val="99"/>
    <w:rsid w:val="00A86E04"/>
    <w:rPr>
      <w:sz w:val="20"/>
      <w:szCs w:val="20"/>
    </w:rPr>
  </w:style>
  <w:style w:type="paragraph" w:styleId="CommentSubject">
    <w:name w:val="annotation subject"/>
    <w:basedOn w:val="CommentText"/>
    <w:next w:val="CommentText"/>
    <w:link w:val="CommentSubjectChar"/>
    <w:uiPriority w:val="99"/>
    <w:semiHidden/>
    <w:unhideWhenUsed/>
    <w:rsid w:val="00A86E04"/>
    <w:rPr>
      <w:b/>
      <w:bCs/>
    </w:rPr>
  </w:style>
  <w:style w:type="character" w:customStyle="1" w:styleId="CommentSubjectChar">
    <w:name w:val="Comment Subject Char"/>
    <w:basedOn w:val="CommentTextChar"/>
    <w:link w:val="CommentSubject"/>
    <w:uiPriority w:val="99"/>
    <w:semiHidden/>
    <w:rsid w:val="00A86E04"/>
    <w:rPr>
      <w:b/>
      <w:bCs/>
      <w:sz w:val="20"/>
      <w:szCs w:val="20"/>
    </w:rPr>
  </w:style>
  <w:style w:type="paragraph" w:styleId="BalloonText">
    <w:name w:val="Balloon Text"/>
    <w:basedOn w:val="Normal"/>
    <w:link w:val="BalloonTextChar"/>
    <w:uiPriority w:val="99"/>
    <w:semiHidden/>
    <w:unhideWhenUsed/>
    <w:rsid w:val="00A86E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E04"/>
    <w:rPr>
      <w:rFonts w:ascii="Segoe UI" w:hAnsi="Segoe UI" w:cs="Segoe UI"/>
      <w:sz w:val="18"/>
      <w:szCs w:val="18"/>
    </w:rPr>
  </w:style>
  <w:style w:type="paragraph" w:styleId="ListParagraph">
    <w:name w:val="List Paragraph"/>
    <w:basedOn w:val="Normal"/>
    <w:link w:val="ListParagraphChar"/>
    <w:uiPriority w:val="34"/>
    <w:qFormat/>
    <w:rsid w:val="003704B9"/>
    <w:pPr>
      <w:ind w:left="720"/>
      <w:contextualSpacing/>
    </w:pPr>
  </w:style>
  <w:style w:type="paragraph" w:styleId="FootnoteText">
    <w:name w:val="footnote text"/>
    <w:aliases w:val="EMI Footnote Text"/>
    <w:basedOn w:val="Normal"/>
    <w:link w:val="FootnoteTextChar"/>
    <w:uiPriority w:val="99"/>
    <w:unhideWhenUsed/>
    <w:qFormat/>
    <w:rsid w:val="00590DC6"/>
    <w:pPr>
      <w:spacing w:after="0" w:line="240" w:lineRule="auto"/>
    </w:pPr>
    <w:rPr>
      <w:sz w:val="20"/>
      <w:szCs w:val="20"/>
    </w:rPr>
  </w:style>
  <w:style w:type="character" w:customStyle="1" w:styleId="FootnoteTextChar">
    <w:name w:val="Footnote Text Char"/>
    <w:aliases w:val="EMI Footnote Text Char"/>
    <w:basedOn w:val="DefaultParagraphFont"/>
    <w:link w:val="FootnoteText"/>
    <w:uiPriority w:val="99"/>
    <w:rsid w:val="00590DC6"/>
    <w:rPr>
      <w:sz w:val="20"/>
      <w:szCs w:val="20"/>
    </w:rPr>
  </w:style>
  <w:style w:type="character" w:styleId="FootnoteReference">
    <w:name w:val="footnote reference"/>
    <w:basedOn w:val="DefaultParagraphFont"/>
    <w:uiPriority w:val="99"/>
    <w:unhideWhenUsed/>
    <w:rsid w:val="00590DC6"/>
    <w:rPr>
      <w:vertAlign w:val="superscript"/>
    </w:rPr>
  </w:style>
  <w:style w:type="paragraph" w:styleId="NormalWeb">
    <w:name w:val="Normal (Web)"/>
    <w:basedOn w:val="Normal"/>
    <w:uiPriority w:val="99"/>
    <w:semiHidden/>
    <w:unhideWhenUsed/>
    <w:rsid w:val="008E720A"/>
    <w:pPr>
      <w:spacing w:before="100" w:beforeAutospacing="1" w:after="100" w:afterAutospacing="1" w:line="240" w:lineRule="auto"/>
    </w:pPr>
    <w:rPr>
      <w:rFonts w:ascii="Calibri" w:hAnsi="Calibri" w:cs="Calibri"/>
    </w:rPr>
  </w:style>
  <w:style w:type="paragraph" w:customStyle="1" w:styleId="CPUCheading1">
    <w:name w:val="CPUC heading 1"/>
    <w:basedOn w:val="ListParagraph"/>
    <w:link w:val="CPUCheading1Char"/>
    <w:qFormat/>
    <w:rsid w:val="00ED5BEA"/>
    <w:pPr>
      <w:numPr>
        <w:numId w:val="19"/>
      </w:numPr>
    </w:pPr>
    <w:rPr>
      <w:b/>
    </w:rPr>
  </w:style>
  <w:style w:type="paragraph" w:customStyle="1" w:styleId="CPUCheading2">
    <w:name w:val="CPUC heading 2"/>
    <w:basedOn w:val="CPUCheading1"/>
    <w:link w:val="CPUCheading2Char"/>
    <w:qFormat/>
    <w:rsid w:val="00C05F87"/>
    <w:pPr>
      <w:numPr>
        <w:ilvl w:val="1"/>
      </w:numPr>
    </w:pPr>
  </w:style>
  <w:style w:type="character" w:customStyle="1" w:styleId="ListParagraphChar">
    <w:name w:val="List Paragraph Char"/>
    <w:basedOn w:val="DefaultParagraphFont"/>
    <w:link w:val="ListParagraph"/>
    <w:uiPriority w:val="34"/>
    <w:rsid w:val="00ED5BEA"/>
  </w:style>
  <w:style w:type="character" w:customStyle="1" w:styleId="CPUCheading1Char">
    <w:name w:val="CPUC heading 1 Char"/>
    <w:basedOn w:val="ListParagraphChar"/>
    <w:link w:val="CPUCheading1"/>
    <w:rsid w:val="00ED5BEA"/>
    <w:rPr>
      <w:b/>
    </w:rPr>
  </w:style>
  <w:style w:type="character" w:styleId="BookTitle">
    <w:name w:val="Book Title"/>
    <w:basedOn w:val="DefaultParagraphFont"/>
    <w:uiPriority w:val="33"/>
    <w:qFormat/>
    <w:rsid w:val="008C053C"/>
    <w:rPr>
      <w:b/>
      <w:bCs/>
      <w:i/>
      <w:iCs/>
      <w:spacing w:val="5"/>
    </w:rPr>
  </w:style>
  <w:style w:type="character" w:customStyle="1" w:styleId="CPUCheading2Char">
    <w:name w:val="CPUC heading 2 Char"/>
    <w:basedOn w:val="DefaultParagraphFont"/>
    <w:link w:val="CPUCheading2"/>
    <w:rsid w:val="00C05F87"/>
    <w:rPr>
      <w:b/>
    </w:rPr>
  </w:style>
  <w:style w:type="paragraph" w:customStyle="1" w:styleId="Default">
    <w:name w:val="Default"/>
    <w:rsid w:val="00BA79F8"/>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8B0C58"/>
    <w:pPr>
      <w:spacing w:after="0" w:line="240" w:lineRule="auto"/>
    </w:pPr>
  </w:style>
  <w:style w:type="character" w:styleId="Hyperlink">
    <w:name w:val="Hyperlink"/>
    <w:basedOn w:val="DefaultParagraphFont"/>
    <w:uiPriority w:val="99"/>
    <w:unhideWhenUsed/>
    <w:rsid w:val="005C78C7"/>
    <w:rPr>
      <w:color w:val="0563C1" w:themeColor="hyperlink"/>
      <w:u w:val="single"/>
    </w:rPr>
  </w:style>
  <w:style w:type="character" w:customStyle="1" w:styleId="UnresolvedMention1">
    <w:name w:val="Unresolved Mention1"/>
    <w:basedOn w:val="DefaultParagraphFont"/>
    <w:uiPriority w:val="99"/>
    <w:semiHidden/>
    <w:unhideWhenUsed/>
    <w:rsid w:val="005C78C7"/>
    <w:rPr>
      <w:color w:val="605E5C"/>
      <w:shd w:val="clear" w:color="auto" w:fill="E1DFDD"/>
    </w:rPr>
  </w:style>
  <w:style w:type="character" w:styleId="FollowedHyperlink">
    <w:name w:val="FollowedHyperlink"/>
    <w:basedOn w:val="DefaultParagraphFont"/>
    <w:uiPriority w:val="99"/>
    <w:semiHidden/>
    <w:unhideWhenUsed/>
    <w:rsid w:val="00B954B3"/>
    <w:rPr>
      <w:color w:val="954F72" w:themeColor="followedHyperlink"/>
      <w:u w:val="single"/>
    </w:rPr>
  </w:style>
  <w:style w:type="paragraph" w:customStyle="1" w:styleId="Memo1">
    <w:name w:val="Memo 1"/>
    <w:basedOn w:val="ListParagraph"/>
    <w:link w:val="Memo1Char"/>
    <w:qFormat/>
    <w:rsid w:val="00571F30"/>
    <w:pPr>
      <w:numPr>
        <w:numId w:val="20"/>
      </w:numPr>
    </w:pPr>
    <w:rPr>
      <w:b/>
    </w:rPr>
  </w:style>
  <w:style w:type="character" w:customStyle="1" w:styleId="Memo1Char">
    <w:name w:val="Memo 1 Char"/>
    <w:basedOn w:val="ListParagraphChar"/>
    <w:link w:val="Memo1"/>
    <w:rsid w:val="00571F3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54841">
      <w:bodyDiv w:val="1"/>
      <w:marLeft w:val="0"/>
      <w:marRight w:val="0"/>
      <w:marTop w:val="0"/>
      <w:marBottom w:val="0"/>
      <w:divBdr>
        <w:top w:val="none" w:sz="0" w:space="0" w:color="auto"/>
        <w:left w:val="none" w:sz="0" w:space="0" w:color="auto"/>
        <w:bottom w:val="none" w:sz="0" w:space="0" w:color="auto"/>
        <w:right w:val="none" w:sz="0" w:space="0" w:color="auto"/>
      </w:divBdr>
    </w:div>
    <w:div w:id="272397916">
      <w:bodyDiv w:val="1"/>
      <w:marLeft w:val="0"/>
      <w:marRight w:val="0"/>
      <w:marTop w:val="0"/>
      <w:marBottom w:val="0"/>
      <w:divBdr>
        <w:top w:val="none" w:sz="0" w:space="0" w:color="auto"/>
        <w:left w:val="none" w:sz="0" w:space="0" w:color="auto"/>
        <w:bottom w:val="none" w:sz="0" w:space="0" w:color="auto"/>
        <w:right w:val="none" w:sz="0" w:space="0" w:color="auto"/>
      </w:divBdr>
    </w:div>
    <w:div w:id="341131270">
      <w:bodyDiv w:val="1"/>
      <w:marLeft w:val="0"/>
      <w:marRight w:val="0"/>
      <w:marTop w:val="0"/>
      <w:marBottom w:val="0"/>
      <w:divBdr>
        <w:top w:val="none" w:sz="0" w:space="0" w:color="auto"/>
        <w:left w:val="none" w:sz="0" w:space="0" w:color="auto"/>
        <w:bottom w:val="none" w:sz="0" w:space="0" w:color="auto"/>
        <w:right w:val="none" w:sz="0" w:space="0" w:color="auto"/>
      </w:divBdr>
    </w:div>
    <w:div w:id="371150043">
      <w:bodyDiv w:val="1"/>
      <w:marLeft w:val="0"/>
      <w:marRight w:val="0"/>
      <w:marTop w:val="0"/>
      <w:marBottom w:val="0"/>
      <w:divBdr>
        <w:top w:val="none" w:sz="0" w:space="0" w:color="auto"/>
        <w:left w:val="none" w:sz="0" w:space="0" w:color="auto"/>
        <w:bottom w:val="none" w:sz="0" w:space="0" w:color="auto"/>
        <w:right w:val="none" w:sz="0" w:space="0" w:color="auto"/>
      </w:divBdr>
    </w:div>
    <w:div w:id="625812868">
      <w:bodyDiv w:val="1"/>
      <w:marLeft w:val="0"/>
      <w:marRight w:val="0"/>
      <w:marTop w:val="0"/>
      <w:marBottom w:val="0"/>
      <w:divBdr>
        <w:top w:val="none" w:sz="0" w:space="0" w:color="auto"/>
        <w:left w:val="none" w:sz="0" w:space="0" w:color="auto"/>
        <w:bottom w:val="none" w:sz="0" w:space="0" w:color="auto"/>
        <w:right w:val="none" w:sz="0" w:space="0" w:color="auto"/>
      </w:divBdr>
    </w:div>
    <w:div w:id="639699384">
      <w:bodyDiv w:val="1"/>
      <w:marLeft w:val="0"/>
      <w:marRight w:val="0"/>
      <w:marTop w:val="0"/>
      <w:marBottom w:val="0"/>
      <w:divBdr>
        <w:top w:val="none" w:sz="0" w:space="0" w:color="auto"/>
        <w:left w:val="none" w:sz="0" w:space="0" w:color="auto"/>
        <w:bottom w:val="none" w:sz="0" w:space="0" w:color="auto"/>
        <w:right w:val="none" w:sz="0" w:space="0" w:color="auto"/>
      </w:divBdr>
    </w:div>
    <w:div w:id="690179624">
      <w:bodyDiv w:val="1"/>
      <w:marLeft w:val="0"/>
      <w:marRight w:val="0"/>
      <w:marTop w:val="0"/>
      <w:marBottom w:val="0"/>
      <w:divBdr>
        <w:top w:val="none" w:sz="0" w:space="0" w:color="auto"/>
        <w:left w:val="none" w:sz="0" w:space="0" w:color="auto"/>
        <w:bottom w:val="none" w:sz="0" w:space="0" w:color="auto"/>
        <w:right w:val="none" w:sz="0" w:space="0" w:color="auto"/>
      </w:divBdr>
    </w:div>
    <w:div w:id="1336033136">
      <w:bodyDiv w:val="1"/>
      <w:marLeft w:val="0"/>
      <w:marRight w:val="0"/>
      <w:marTop w:val="0"/>
      <w:marBottom w:val="0"/>
      <w:divBdr>
        <w:top w:val="none" w:sz="0" w:space="0" w:color="auto"/>
        <w:left w:val="none" w:sz="0" w:space="0" w:color="auto"/>
        <w:bottom w:val="none" w:sz="0" w:space="0" w:color="auto"/>
        <w:right w:val="none" w:sz="0" w:space="0" w:color="auto"/>
      </w:divBdr>
    </w:div>
    <w:div w:id="1736778940">
      <w:bodyDiv w:val="1"/>
      <w:marLeft w:val="0"/>
      <w:marRight w:val="0"/>
      <w:marTop w:val="0"/>
      <w:marBottom w:val="0"/>
      <w:divBdr>
        <w:top w:val="none" w:sz="0" w:space="0" w:color="auto"/>
        <w:left w:val="none" w:sz="0" w:space="0" w:color="auto"/>
        <w:bottom w:val="none" w:sz="0" w:space="0" w:color="auto"/>
        <w:right w:val="none" w:sz="0" w:space="0" w:color="auto"/>
      </w:divBdr>
    </w:div>
    <w:div w:id="1884561794">
      <w:bodyDiv w:val="1"/>
      <w:marLeft w:val="0"/>
      <w:marRight w:val="0"/>
      <w:marTop w:val="0"/>
      <w:marBottom w:val="0"/>
      <w:divBdr>
        <w:top w:val="none" w:sz="0" w:space="0" w:color="auto"/>
        <w:left w:val="none" w:sz="0" w:space="0" w:color="auto"/>
        <w:bottom w:val="none" w:sz="0" w:space="0" w:color="auto"/>
        <w:right w:val="none" w:sz="0" w:space="0" w:color="auto"/>
      </w:divBdr>
    </w:div>
    <w:div w:id="199664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s.cpuc.ca.gov/contentserverdav/nodes/255629071/food-service-equipment-center" TargetMode="External"/><Relationship Id="rId2" Type="http://schemas.openxmlformats.org/officeDocument/2006/relationships/hyperlink" Target="https://cs.cpuc.ca.gov/contentserverdav/nodes/255629071/DownloadAsset.aspx%3Fid%3D5315" TargetMode="External"/><Relationship Id="rId1" Type="http://schemas.openxmlformats.org/officeDocument/2006/relationships/hyperlink" Target="https://cs.cpuc.ca.gov/contentserverdav/nodes/25562907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72241B14154D31B0804F937DC9E4EC"/>
        <w:category>
          <w:name w:val="General"/>
          <w:gallery w:val="placeholder"/>
        </w:category>
        <w:types>
          <w:type w:val="bbPlcHdr"/>
        </w:types>
        <w:behaviors>
          <w:behavior w:val="content"/>
        </w:behaviors>
        <w:guid w:val="{DE18C05C-4D28-4CDC-B933-68CEECED2B86}"/>
      </w:docPartPr>
      <w:docPartBody>
        <w:p w:rsidR="005E534C" w:rsidRDefault="00AE6AB6" w:rsidP="00AE6AB6">
          <w:pPr>
            <w:pStyle w:val="BB72241B14154D31B0804F937DC9E4EC"/>
          </w:pPr>
          <w:r>
            <w:rPr>
              <w:rStyle w:val="PlaceholderText"/>
            </w:rPr>
            <w:t>Enter Date</w:t>
          </w:r>
        </w:p>
      </w:docPartBody>
    </w:docPart>
    <w:docPart>
      <w:docPartPr>
        <w:name w:val="E00A23D22CB7432FACA4ACF54B0D20AC"/>
        <w:category>
          <w:name w:val="General"/>
          <w:gallery w:val="placeholder"/>
        </w:category>
        <w:types>
          <w:type w:val="bbPlcHdr"/>
        </w:types>
        <w:behaviors>
          <w:behavior w:val="content"/>
        </w:behaviors>
        <w:guid w:val="{859A8927-8511-4032-9ADB-C18CF0B406E8}"/>
      </w:docPartPr>
      <w:docPartBody>
        <w:p w:rsidR="005E534C" w:rsidRDefault="00AE6AB6" w:rsidP="00AE6AB6">
          <w:pPr>
            <w:pStyle w:val="E00A23D22CB7432FACA4ACF54B0D20AC"/>
          </w:pPr>
          <w:r>
            <w:rPr>
              <w:color w:val="767171" w:themeColor="background2" w:themeShade="80"/>
            </w:rPr>
            <w:t xml:space="preserve">Enter Addressee </w:t>
          </w:r>
        </w:p>
      </w:docPartBody>
    </w:docPart>
    <w:docPart>
      <w:docPartPr>
        <w:name w:val="AE5B6A8AB2AA4A619273EFB1A5B2529C"/>
        <w:category>
          <w:name w:val="General"/>
          <w:gallery w:val="placeholder"/>
        </w:category>
        <w:types>
          <w:type w:val="bbPlcHdr"/>
        </w:types>
        <w:behaviors>
          <w:behavior w:val="content"/>
        </w:behaviors>
        <w:guid w:val="{12717BDF-1F76-426A-BCCD-B2D4ADA062DF}"/>
      </w:docPartPr>
      <w:docPartBody>
        <w:p w:rsidR="005E534C" w:rsidRDefault="00AE6AB6" w:rsidP="00AE6AB6">
          <w:pPr>
            <w:pStyle w:val="AE5B6A8AB2AA4A619273EFB1A5B2529C"/>
          </w:pPr>
          <w:r>
            <w:rPr>
              <w:rStyle w:val="PlaceholderText"/>
              <w:rFonts w:eastAsiaTheme="minorHAnsi"/>
              <w:color w:val="767171" w:themeColor="background2" w:themeShade="80"/>
            </w:rPr>
            <w:t>Enter Subject</w:t>
          </w:r>
        </w:p>
      </w:docPartBody>
    </w:docPart>
    <w:docPart>
      <w:docPartPr>
        <w:name w:val="F303C4F638564D8BB517268D968812E3"/>
        <w:category>
          <w:name w:val="General"/>
          <w:gallery w:val="placeholder"/>
        </w:category>
        <w:types>
          <w:type w:val="bbPlcHdr"/>
        </w:types>
        <w:behaviors>
          <w:behavior w:val="content"/>
        </w:behaviors>
        <w:guid w:val="{240AC582-202A-4756-B4DB-8EC33BE7BB68}"/>
      </w:docPartPr>
      <w:docPartBody>
        <w:p w:rsidR="00455FA5" w:rsidRDefault="00AB481F" w:rsidP="00AB481F">
          <w:pPr>
            <w:pStyle w:val="F303C4F638564D8BB517268D968812E3"/>
          </w:pPr>
          <w:r w:rsidRPr="0024315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AB6"/>
    <w:rsid w:val="000F4C00"/>
    <w:rsid w:val="002F40A0"/>
    <w:rsid w:val="00455FA5"/>
    <w:rsid w:val="00463912"/>
    <w:rsid w:val="00521459"/>
    <w:rsid w:val="005E534C"/>
    <w:rsid w:val="006A2D18"/>
    <w:rsid w:val="00AB481F"/>
    <w:rsid w:val="00AE6AB6"/>
    <w:rsid w:val="00C9273F"/>
    <w:rsid w:val="00DC3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481F"/>
    <w:rPr>
      <w:color w:val="808080"/>
    </w:rPr>
  </w:style>
  <w:style w:type="paragraph" w:customStyle="1" w:styleId="BB72241B14154D31B0804F937DC9E4EC">
    <w:name w:val="BB72241B14154D31B0804F937DC9E4EC"/>
    <w:rsid w:val="00AE6AB6"/>
  </w:style>
  <w:style w:type="paragraph" w:customStyle="1" w:styleId="E00A23D22CB7432FACA4ACF54B0D20AC">
    <w:name w:val="E00A23D22CB7432FACA4ACF54B0D20AC"/>
    <w:rsid w:val="00AE6AB6"/>
  </w:style>
  <w:style w:type="paragraph" w:customStyle="1" w:styleId="75BD3E61227542729FDB61B584BF4AE3">
    <w:name w:val="75BD3E61227542729FDB61B584BF4AE3"/>
    <w:rsid w:val="00AE6AB6"/>
  </w:style>
  <w:style w:type="paragraph" w:customStyle="1" w:styleId="AE5B6A8AB2AA4A619273EFB1A5B2529C">
    <w:name w:val="AE5B6A8AB2AA4A619273EFB1A5B2529C"/>
    <w:rsid w:val="00AE6AB6"/>
  </w:style>
  <w:style w:type="paragraph" w:customStyle="1" w:styleId="F303C4F638564D8BB517268D968812E3">
    <w:name w:val="F303C4F638564D8BB517268D968812E3"/>
    <w:rsid w:val="00AB48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AC521-C011-4A5C-BE4A-4B9814FC3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B56FCD8-CCB8-4B5E-AA8F-A0D3EE8578E3}">
  <ds:schemaRefs>
    <ds:schemaRef ds:uri="http://schemas.microsoft.com/sharepoint/v3/contenttype/forms"/>
  </ds:schemaRefs>
</ds:datastoreItem>
</file>

<file path=customXml/itemProps3.xml><?xml version="1.0" encoding="utf-8"?>
<ds:datastoreItem xmlns:ds="http://schemas.openxmlformats.org/officeDocument/2006/customXml" ds:itemID="{2C8E2FA7-338F-4B64-A572-E5750D4A15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1E9F7B-D966-4559-9CD5-EEA32F6D6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Haselhorst</dc:creator>
  <cp:keywords/>
  <dc:description/>
  <cp:lastModifiedBy>Jennifer Holmes</cp:lastModifiedBy>
  <cp:revision>2</cp:revision>
  <cp:lastPrinted>2019-01-02T17:07:00Z</cp:lastPrinted>
  <dcterms:created xsi:type="dcterms:W3CDTF">2020-01-22T05:16:00Z</dcterms:created>
  <dcterms:modified xsi:type="dcterms:W3CDTF">2020-01-22T05:16:00Z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