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61665"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A795F36" w14:textId="77777777" w:rsidTr="00E77FEA">
        <w:trPr>
          <w:cantSplit/>
          <w:trHeight w:hRule="exact" w:val="1440"/>
          <w:jc w:val="right"/>
        </w:trPr>
        <w:tc>
          <w:tcPr>
            <w:tcW w:w="9000" w:type="dxa"/>
            <w:shd w:val="clear" w:color="auto" w:fill="8DC63F"/>
            <w:vAlign w:val="center"/>
          </w:tcPr>
          <w:p w14:paraId="67A5F13D" w14:textId="77777777" w:rsidR="00BD221D" w:rsidRPr="004473AA" w:rsidRDefault="005410D3" w:rsidP="00B116C5">
            <w:pPr>
              <w:pStyle w:val="eTRMHeading1"/>
            </w:pPr>
            <w:r w:rsidRPr="00B116C5">
              <w:t>Food Service</w:t>
            </w:r>
          </w:p>
          <w:p w14:paraId="0C42F5D2" w14:textId="1C2418EB" w:rsidR="00BD221D" w:rsidRDefault="005410D3" w:rsidP="00B116C5">
            <w:pPr>
              <w:pStyle w:val="eTRMHeading2"/>
            </w:pPr>
            <w:r w:rsidRPr="00B116C5">
              <w:t>Fryer</w:t>
            </w:r>
            <w:r w:rsidR="00DB45B3">
              <w:t>, Commercial</w:t>
            </w:r>
            <w:r w:rsidRPr="00B116C5">
              <w:t xml:space="preserve"> </w:t>
            </w:r>
          </w:p>
          <w:p w14:paraId="6424951D" w14:textId="493F110A" w:rsidR="00B116C5" w:rsidRPr="00B116C5" w:rsidRDefault="00B116C5" w:rsidP="00B116C5">
            <w:pPr>
              <w:pStyle w:val="eTRMHeading2"/>
              <w:rPr>
                <w:spacing w:val="0"/>
              </w:rPr>
            </w:pPr>
            <w:r w:rsidRPr="00B116C5">
              <w:rPr>
                <w:spacing w:val="0"/>
                <w:sz w:val="28"/>
              </w:rPr>
              <w:t>SWFS01</w:t>
            </w:r>
            <w:r w:rsidR="004332E5">
              <w:rPr>
                <w:spacing w:val="0"/>
                <w:sz w:val="28"/>
              </w:rPr>
              <w:t>1</w:t>
            </w:r>
            <w:r w:rsidRPr="00B116C5">
              <w:rPr>
                <w:spacing w:val="0"/>
                <w:sz w:val="28"/>
              </w:rPr>
              <w:t>-</w:t>
            </w:r>
            <w:r w:rsidR="00FB4C64">
              <w:rPr>
                <w:spacing w:val="0"/>
                <w:sz w:val="28"/>
              </w:rPr>
              <w:t>0</w:t>
            </w:r>
            <w:r w:rsidR="00E9522C">
              <w:rPr>
                <w:spacing w:val="0"/>
                <w:sz w:val="28"/>
              </w:rPr>
              <w:t>3</w:t>
            </w:r>
          </w:p>
        </w:tc>
      </w:tr>
    </w:tbl>
    <w:p w14:paraId="24840DFA" w14:textId="77777777" w:rsidR="00B116C5" w:rsidRDefault="00B116C5" w:rsidP="00B116C5">
      <w:pPr>
        <w:tabs>
          <w:tab w:val="left" w:pos="1686"/>
        </w:tabs>
      </w:pPr>
    </w:p>
    <w:p w14:paraId="25BA3DFA" w14:textId="77777777" w:rsidR="00D12B8C" w:rsidRPr="00E14349" w:rsidRDefault="007E1F66" w:rsidP="0053748E">
      <w:pPr>
        <w:jc w:val="center"/>
        <w:rPr>
          <w:spacing w:val="80"/>
          <w:sz w:val="28"/>
        </w:rPr>
      </w:pPr>
      <w:r w:rsidRPr="00E14349">
        <w:rPr>
          <w:spacing w:val="80"/>
          <w:sz w:val="28"/>
        </w:rPr>
        <w:t>CONTENTS</w:t>
      </w:r>
    </w:p>
    <w:p w14:paraId="16942A89" w14:textId="6E89518B" w:rsidR="00910FFF" w:rsidRDefault="0010188D">
      <w:pPr>
        <w:pStyle w:val="TOC3"/>
        <w:rPr>
          <w:rFonts w:asciiTheme="minorHAnsi" w:hAnsiTheme="minorHAnsi"/>
          <w:noProof/>
          <w:szCs w:val="22"/>
        </w:rPr>
      </w:pPr>
      <w:r>
        <w:fldChar w:fldCharType="begin"/>
      </w:r>
      <w:r w:rsidR="001C6C9B">
        <w:instrText xml:space="preserve"> TOC \t "eTRM Heading 3,3" </w:instrText>
      </w:r>
      <w:r>
        <w:fldChar w:fldCharType="separate"/>
      </w:r>
      <w:r w:rsidR="00910FFF">
        <w:rPr>
          <w:noProof/>
        </w:rPr>
        <w:t>Measure Name</w:t>
      </w:r>
      <w:r w:rsidR="00910FFF">
        <w:rPr>
          <w:noProof/>
        </w:rPr>
        <w:tab/>
      </w:r>
      <w:r w:rsidR="00910FFF">
        <w:rPr>
          <w:noProof/>
        </w:rPr>
        <w:fldChar w:fldCharType="begin"/>
      </w:r>
      <w:r w:rsidR="00910FFF">
        <w:rPr>
          <w:noProof/>
        </w:rPr>
        <w:instrText xml:space="preserve"> PAGEREF _Toc528684422 \h </w:instrText>
      </w:r>
      <w:r w:rsidR="00910FFF">
        <w:rPr>
          <w:noProof/>
        </w:rPr>
      </w:r>
      <w:r w:rsidR="00910FFF">
        <w:rPr>
          <w:noProof/>
        </w:rPr>
        <w:fldChar w:fldCharType="separate"/>
      </w:r>
      <w:r w:rsidR="00FB3C38">
        <w:rPr>
          <w:noProof/>
        </w:rPr>
        <w:t>2</w:t>
      </w:r>
      <w:r w:rsidR="00910FFF">
        <w:rPr>
          <w:noProof/>
        </w:rPr>
        <w:fldChar w:fldCharType="end"/>
      </w:r>
    </w:p>
    <w:p w14:paraId="4D307A2C" w14:textId="111AB4BB" w:rsidR="00910FFF" w:rsidRDefault="00910FF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_Toc528684423 \h </w:instrText>
      </w:r>
      <w:r>
        <w:rPr>
          <w:noProof/>
        </w:rPr>
      </w:r>
      <w:r>
        <w:rPr>
          <w:noProof/>
        </w:rPr>
        <w:fldChar w:fldCharType="separate"/>
      </w:r>
      <w:r w:rsidR="00FB3C38">
        <w:rPr>
          <w:noProof/>
        </w:rPr>
        <w:t>2</w:t>
      </w:r>
      <w:r>
        <w:rPr>
          <w:noProof/>
        </w:rPr>
        <w:fldChar w:fldCharType="end"/>
      </w:r>
    </w:p>
    <w:p w14:paraId="57CBD0DC" w14:textId="78105618" w:rsidR="00910FFF" w:rsidRDefault="00910FF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_Toc528684424 \h </w:instrText>
      </w:r>
      <w:r>
        <w:rPr>
          <w:noProof/>
        </w:rPr>
      </w:r>
      <w:r>
        <w:rPr>
          <w:noProof/>
        </w:rPr>
        <w:fldChar w:fldCharType="separate"/>
      </w:r>
      <w:r w:rsidR="00FB3C38">
        <w:rPr>
          <w:noProof/>
        </w:rPr>
        <w:t>2</w:t>
      </w:r>
      <w:r>
        <w:rPr>
          <w:noProof/>
        </w:rPr>
        <w:fldChar w:fldCharType="end"/>
      </w:r>
    </w:p>
    <w:p w14:paraId="411870D2" w14:textId="64021A19" w:rsidR="00910FFF" w:rsidRDefault="00910FF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_Toc528684425 \h </w:instrText>
      </w:r>
      <w:r>
        <w:rPr>
          <w:noProof/>
        </w:rPr>
      </w:r>
      <w:r>
        <w:rPr>
          <w:noProof/>
        </w:rPr>
        <w:fldChar w:fldCharType="separate"/>
      </w:r>
      <w:r w:rsidR="00FB3C38">
        <w:rPr>
          <w:noProof/>
        </w:rPr>
        <w:t>3</w:t>
      </w:r>
      <w:r>
        <w:rPr>
          <w:noProof/>
        </w:rPr>
        <w:fldChar w:fldCharType="end"/>
      </w:r>
    </w:p>
    <w:p w14:paraId="61AD0D84" w14:textId="640F3E52" w:rsidR="00910FFF" w:rsidRDefault="00910FF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_Toc528684426 \h </w:instrText>
      </w:r>
      <w:r>
        <w:rPr>
          <w:noProof/>
        </w:rPr>
      </w:r>
      <w:r>
        <w:rPr>
          <w:noProof/>
        </w:rPr>
        <w:fldChar w:fldCharType="separate"/>
      </w:r>
      <w:r w:rsidR="00FB3C38">
        <w:rPr>
          <w:noProof/>
        </w:rPr>
        <w:t>3</w:t>
      </w:r>
      <w:r>
        <w:rPr>
          <w:noProof/>
        </w:rPr>
        <w:fldChar w:fldCharType="end"/>
      </w:r>
    </w:p>
    <w:p w14:paraId="46EC6A01" w14:textId="4469924D" w:rsidR="00910FFF" w:rsidRDefault="00910FF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_Toc528684427 \h </w:instrText>
      </w:r>
      <w:r>
        <w:rPr>
          <w:noProof/>
        </w:rPr>
      </w:r>
      <w:r>
        <w:rPr>
          <w:noProof/>
        </w:rPr>
        <w:fldChar w:fldCharType="separate"/>
      </w:r>
      <w:r w:rsidR="00FB3C38">
        <w:rPr>
          <w:noProof/>
        </w:rPr>
        <w:t>4</w:t>
      </w:r>
      <w:r>
        <w:rPr>
          <w:noProof/>
        </w:rPr>
        <w:fldChar w:fldCharType="end"/>
      </w:r>
    </w:p>
    <w:p w14:paraId="76AB7529" w14:textId="298C9D89" w:rsidR="00910FFF" w:rsidRDefault="00910FF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_Toc528684428 \h </w:instrText>
      </w:r>
      <w:r>
        <w:rPr>
          <w:noProof/>
        </w:rPr>
      </w:r>
      <w:r>
        <w:rPr>
          <w:noProof/>
        </w:rPr>
        <w:fldChar w:fldCharType="separate"/>
      </w:r>
      <w:r w:rsidR="00FB3C38">
        <w:rPr>
          <w:noProof/>
        </w:rPr>
        <w:t>4</w:t>
      </w:r>
      <w:r>
        <w:rPr>
          <w:noProof/>
        </w:rPr>
        <w:fldChar w:fldCharType="end"/>
      </w:r>
    </w:p>
    <w:p w14:paraId="2ABAAD11" w14:textId="79EFB763" w:rsidR="00910FFF" w:rsidRDefault="00910FF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_Toc528684429 \h </w:instrText>
      </w:r>
      <w:r>
        <w:rPr>
          <w:noProof/>
        </w:rPr>
      </w:r>
      <w:r>
        <w:rPr>
          <w:noProof/>
        </w:rPr>
        <w:fldChar w:fldCharType="separate"/>
      </w:r>
      <w:r w:rsidR="00FB3C38">
        <w:rPr>
          <w:noProof/>
        </w:rPr>
        <w:t>4</w:t>
      </w:r>
      <w:r>
        <w:rPr>
          <w:noProof/>
        </w:rPr>
        <w:fldChar w:fldCharType="end"/>
      </w:r>
    </w:p>
    <w:p w14:paraId="568E32BA" w14:textId="56D849D9" w:rsidR="00910FFF" w:rsidRDefault="00910FF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_Toc528684430 \h </w:instrText>
      </w:r>
      <w:r>
        <w:rPr>
          <w:noProof/>
        </w:rPr>
      </w:r>
      <w:r>
        <w:rPr>
          <w:noProof/>
        </w:rPr>
        <w:fldChar w:fldCharType="separate"/>
      </w:r>
      <w:r w:rsidR="00FB3C38">
        <w:rPr>
          <w:noProof/>
        </w:rPr>
        <w:t>6</w:t>
      </w:r>
      <w:r>
        <w:rPr>
          <w:noProof/>
        </w:rPr>
        <w:fldChar w:fldCharType="end"/>
      </w:r>
    </w:p>
    <w:p w14:paraId="283CE356" w14:textId="0A941770" w:rsidR="00910FFF" w:rsidRDefault="00910FF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_Toc528684431 \h </w:instrText>
      </w:r>
      <w:r>
        <w:rPr>
          <w:noProof/>
        </w:rPr>
      </w:r>
      <w:r>
        <w:rPr>
          <w:noProof/>
        </w:rPr>
        <w:fldChar w:fldCharType="separate"/>
      </w:r>
      <w:r w:rsidR="00FB3C38">
        <w:rPr>
          <w:noProof/>
        </w:rPr>
        <w:t>6</w:t>
      </w:r>
      <w:r>
        <w:rPr>
          <w:noProof/>
        </w:rPr>
        <w:fldChar w:fldCharType="end"/>
      </w:r>
    </w:p>
    <w:p w14:paraId="42EA24F2" w14:textId="20A900FC" w:rsidR="00910FFF" w:rsidRDefault="00910FF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_Toc528684432 \h </w:instrText>
      </w:r>
      <w:r>
        <w:rPr>
          <w:noProof/>
        </w:rPr>
      </w:r>
      <w:r>
        <w:rPr>
          <w:noProof/>
        </w:rPr>
        <w:fldChar w:fldCharType="separate"/>
      </w:r>
      <w:r w:rsidR="00FB3C38">
        <w:rPr>
          <w:noProof/>
        </w:rPr>
        <w:t>6</w:t>
      </w:r>
      <w:r>
        <w:rPr>
          <w:noProof/>
        </w:rPr>
        <w:fldChar w:fldCharType="end"/>
      </w:r>
    </w:p>
    <w:p w14:paraId="2B98356D" w14:textId="66A9513A" w:rsidR="00910FFF" w:rsidRDefault="00910FFF">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_Toc528684433 \h </w:instrText>
      </w:r>
      <w:r>
        <w:rPr>
          <w:noProof/>
        </w:rPr>
      </w:r>
      <w:r>
        <w:rPr>
          <w:noProof/>
        </w:rPr>
        <w:fldChar w:fldCharType="separate"/>
      </w:r>
      <w:r w:rsidR="00FB3C38">
        <w:rPr>
          <w:noProof/>
        </w:rPr>
        <w:t>6</w:t>
      </w:r>
      <w:r>
        <w:rPr>
          <w:noProof/>
        </w:rPr>
        <w:fldChar w:fldCharType="end"/>
      </w:r>
    </w:p>
    <w:p w14:paraId="09466474" w14:textId="2F92B370" w:rsidR="00910FFF" w:rsidRDefault="00910FF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_Toc528684434 \h </w:instrText>
      </w:r>
      <w:r>
        <w:rPr>
          <w:noProof/>
        </w:rPr>
      </w:r>
      <w:r>
        <w:rPr>
          <w:noProof/>
        </w:rPr>
        <w:fldChar w:fldCharType="separate"/>
      </w:r>
      <w:r w:rsidR="00FB3C38">
        <w:rPr>
          <w:noProof/>
        </w:rPr>
        <w:t>8</w:t>
      </w:r>
      <w:r>
        <w:rPr>
          <w:noProof/>
        </w:rPr>
        <w:fldChar w:fldCharType="end"/>
      </w:r>
    </w:p>
    <w:p w14:paraId="6C885F0D" w14:textId="0EED813D" w:rsidR="00910FFF" w:rsidRDefault="00910FF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_Toc528684435 \h </w:instrText>
      </w:r>
      <w:r>
        <w:rPr>
          <w:noProof/>
        </w:rPr>
      </w:r>
      <w:r>
        <w:rPr>
          <w:noProof/>
        </w:rPr>
        <w:fldChar w:fldCharType="separate"/>
      </w:r>
      <w:r w:rsidR="00FB3C38">
        <w:rPr>
          <w:noProof/>
        </w:rPr>
        <w:t>10</w:t>
      </w:r>
      <w:r>
        <w:rPr>
          <w:noProof/>
        </w:rPr>
        <w:fldChar w:fldCharType="end"/>
      </w:r>
    </w:p>
    <w:p w14:paraId="46B3564E" w14:textId="7F036AE7" w:rsidR="00910FFF" w:rsidRDefault="00910FF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_Toc528684436 \h </w:instrText>
      </w:r>
      <w:r>
        <w:rPr>
          <w:noProof/>
        </w:rPr>
      </w:r>
      <w:r>
        <w:rPr>
          <w:noProof/>
        </w:rPr>
        <w:fldChar w:fldCharType="separate"/>
      </w:r>
      <w:r w:rsidR="00FB3C38">
        <w:rPr>
          <w:noProof/>
        </w:rPr>
        <w:t>12</w:t>
      </w:r>
      <w:r>
        <w:rPr>
          <w:noProof/>
        </w:rPr>
        <w:fldChar w:fldCharType="end"/>
      </w:r>
    </w:p>
    <w:p w14:paraId="6902CD6B" w14:textId="5FBCAE49" w:rsidR="00910FFF" w:rsidRDefault="00910FF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_Toc528684437 \h </w:instrText>
      </w:r>
      <w:r>
        <w:rPr>
          <w:noProof/>
        </w:rPr>
      </w:r>
      <w:r>
        <w:rPr>
          <w:noProof/>
        </w:rPr>
        <w:fldChar w:fldCharType="separate"/>
      </w:r>
      <w:r w:rsidR="00FB3C38">
        <w:rPr>
          <w:noProof/>
        </w:rPr>
        <w:t>13</w:t>
      </w:r>
      <w:r>
        <w:rPr>
          <w:noProof/>
        </w:rPr>
        <w:fldChar w:fldCharType="end"/>
      </w:r>
    </w:p>
    <w:p w14:paraId="2B8F6EF8" w14:textId="473E1999" w:rsidR="00910FFF" w:rsidRDefault="00910FF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_Toc528684438 \h </w:instrText>
      </w:r>
      <w:r>
        <w:rPr>
          <w:noProof/>
        </w:rPr>
      </w:r>
      <w:r>
        <w:rPr>
          <w:noProof/>
        </w:rPr>
        <w:fldChar w:fldCharType="separate"/>
      </w:r>
      <w:r w:rsidR="00FB3C38">
        <w:rPr>
          <w:noProof/>
        </w:rPr>
        <w:t>13</w:t>
      </w:r>
      <w:r>
        <w:rPr>
          <w:noProof/>
        </w:rPr>
        <w:fldChar w:fldCharType="end"/>
      </w:r>
    </w:p>
    <w:p w14:paraId="38A0E58E" w14:textId="07C35BEF" w:rsidR="00910FFF" w:rsidRDefault="00910FFF">
      <w:pPr>
        <w:pStyle w:val="TOC3"/>
        <w:rPr>
          <w:rFonts w:asciiTheme="minorHAnsi" w:hAnsiTheme="minorHAnsi"/>
          <w:noProof/>
          <w:szCs w:val="22"/>
        </w:rPr>
      </w:pPr>
      <w:r>
        <w:rPr>
          <w:noProof/>
        </w:rPr>
        <w:t>Base Case Labor Cost ($/unit)</w:t>
      </w:r>
      <w:r>
        <w:rPr>
          <w:noProof/>
        </w:rPr>
        <w:tab/>
      </w:r>
      <w:r w:rsidR="00157EF7">
        <w:rPr>
          <w:noProof/>
        </w:rPr>
        <w:t>14</w:t>
      </w:r>
    </w:p>
    <w:p w14:paraId="0F933AAD" w14:textId="627AC8C3" w:rsidR="00910FFF" w:rsidRDefault="00910FFF">
      <w:pPr>
        <w:pStyle w:val="TOC3"/>
        <w:rPr>
          <w:rFonts w:asciiTheme="minorHAnsi" w:hAnsiTheme="minorHAnsi"/>
          <w:noProof/>
          <w:szCs w:val="22"/>
        </w:rPr>
      </w:pPr>
      <w:r>
        <w:rPr>
          <w:noProof/>
        </w:rPr>
        <w:t>Measure Case Labor Cost ($/unit)</w:t>
      </w:r>
      <w:r>
        <w:rPr>
          <w:noProof/>
        </w:rPr>
        <w:tab/>
      </w:r>
      <w:r w:rsidR="00157EF7">
        <w:rPr>
          <w:noProof/>
        </w:rPr>
        <w:t>14</w:t>
      </w:r>
    </w:p>
    <w:p w14:paraId="1E3EBA45" w14:textId="36D141EA" w:rsidR="00910FFF" w:rsidRDefault="00910FF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_Toc528684441 \h </w:instrText>
      </w:r>
      <w:r>
        <w:rPr>
          <w:noProof/>
        </w:rPr>
      </w:r>
      <w:r>
        <w:rPr>
          <w:noProof/>
        </w:rPr>
        <w:fldChar w:fldCharType="separate"/>
      </w:r>
      <w:r w:rsidR="00FB3C38">
        <w:rPr>
          <w:noProof/>
        </w:rPr>
        <w:t>14</w:t>
      </w:r>
      <w:r>
        <w:rPr>
          <w:noProof/>
        </w:rPr>
        <w:fldChar w:fldCharType="end"/>
      </w:r>
    </w:p>
    <w:p w14:paraId="677C9E1D" w14:textId="1DC88AF2" w:rsidR="00910FFF" w:rsidRDefault="00910FF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_Toc528684442 \h </w:instrText>
      </w:r>
      <w:r>
        <w:rPr>
          <w:noProof/>
        </w:rPr>
      </w:r>
      <w:r>
        <w:rPr>
          <w:noProof/>
        </w:rPr>
        <w:fldChar w:fldCharType="separate"/>
      </w:r>
      <w:r w:rsidR="00FB3C38">
        <w:rPr>
          <w:noProof/>
        </w:rPr>
        <w:t>14</w:t>
      </w:r>
      <w:r>
        <w:rPr>
          <w:noProof/>
        </w:rPr>
        <w:fldChar w:fldCharType="end"/>
      </w:r>
    </w:p>
    <w:p w14:paraId="32CAAF74" w14:textId="0E826115" w:rsidR="00910FFF" w:rsidRDefault="00910FFF">
      <w:pPr>
        <w:pStyle w:val="TOC3"/>
        <w:rPr>
          <w:rFonts w:asciiTheme="minorHAnsi" w:hAnsiTheme="minorHAnsi"/>
          <w:noProof/>
          <w:szCs w:val="22"/>
        </w:rPr>
      </w:pPr>
      <w:r>
        <w:rPr>
          <w:noProof/>
        </w:rPr>
        <w:t>Non-Energy Impacts</w:t>
      </w:r>
      <w:r>
        <w:rPr>
          <w:noProof/>
        </w:rPr>
        <w:tab/>
      </w:r>
      <w:r w:rsidR="00157EF7">
        <w:rPr>
          <w:noProof/>
        </w:rPr>
        <w:t>15</w:t>
      </w:r>
    </w:p>
    <w:p w14:paraId="24B9C4B7" w14:textId="2BAB8C0A" w:rsidR="00910FFF" w:rsidRDefault="00910FF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_Toc528684444 \h </w:instrText>
      </w:r>
      <w:r>
        <w:rPr>
          <w:noProof/>
        </w:rPr>
      </w:r>
      <w:r>
        <w:rPr>
          <w:noProof/>
        </w:rPr>
        <w:fldChar w:fldCharType="separate"/>
      </w:r>
      <w:r w:rsidR="00FB3C38">
        <w:rPr>
          <w:noProof/>
        </w:rPr>
        <w:t>15</w:t>
      </w:r>
      <w:r>
        <w:rPr>
          <w:noProof/>
        </w:rPr>
        <w:fldChar w:fldCharType="end"/>
      </w:r>
    </w:p>
    <w:p w14:paraId="05BC7694" w14:textId="70C400BA" w:rsidR="00910FFF" w:rsidRDefault="00910FF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_Toc528684445 \h </w:instrText>
      </w:r>
      <w:r>
        <w:rPr>
          <w:noProof/>
        </w:rPr>
      </w:r>
      <w:r>
        <w:rPr>
          <w:noProof/>
        </w:rPr>
        <w:fldChar w:fldCharType="separate"/>
      </w:r>
      <w:r w:rsidR="00FB3C38">
        <w:rPr>
          <w:noProof/>
        </w:rPr>
        <w:t>16</w:t>
      </w:r>
      <w:r>
        <w:rPr>
          <w:noProof/>
        </w:rPr>
        <w:fldChar w:fldCharType="end"/>
      </w:r>
    </w:p>
    <w:p w14:paraId="0D875D55" w14:textId="2EDE05E0" w:rsidR="00B5189A" w:rsidRDefault="0010188D" w:rsidP="00B5189A">
      <w:r>
        <w:fldChar w:fldCharType="end"/>
      </w:r>
      <w:bookmarkStart w:id="0" w:name="_Toc486490839"/>
      <w:bookmarkStart w:id="1" w:name="_Toc486580912"/>
    </w:p>
    <w:p w14:paraId="2F27E45B" w14:textId="77777777" w:rsidR="00B5189A" w:rsidRDefault="00B5189A">
      <w:pPr>
        <w:spacing w:before="0" w:after="0" w:line="240" w:lineRule="auto"/>
        <w:rPr>
          <w:rFonts w:eastAsiaTheme="majorEastAsia" w:cstheme="majorBidi"/>
          <w:caps/>
          <w:color w:val="CFAB7A"/>
          <w:w w:val="102"/>
          <w:sz w:val="24"/>
          <w:szCs w:val="30"/>
        </w:rPr>
      </w:pPr>
      <w:r>
        <w:br w:type="page"/>
      </w:r>
    </w:p>
    <w:p w14:paraId="3416FC43" w14:textId="1D144F03" w:rsidR="00743373" w:rsidRPr="007E1F66" w:rsidRDefault="00743373" w:rsidP="008A44B1">
      <w:pPr>
        <w:pStyle w:val="eTRMHeading3"/>
      </w:pPr>
      <w:bookmarkStart w:id="2" w:name="_Toc528684422"/>
      <w:r w:rsidRPr="007E1F66">
        <w:lastRenderedPageBreak/>
        <w:t>Measure Name</w:t>
      </w:r>
      <w:bookmarkEnd w:id="0"/>
      <w:bookmarkEnd w:id="1"/>
      <w:bookmarkEnd w:id="2"/>
    </w:p>
    <w:p w14:paraId="70D86D07" w14:textId="3B0724E0" w:rsidR="00743373" w:rsidRDefault="00743373" w:rsidP="00AD69DC">
      <w:pPr>
        <w:spacing w:before="20" w:after="20" w:line="280" w:lineRule="exact"/>
      </w:pPr>
      <w:r>
        <w:t>Fryer</w:t>
      </w:r>
      <w:r w:rsidR="001101D1">
        <w:t>, Commercial</w:t>
      </w:r>
      <w:r>
        <w:t xml:space="preserve"> </w:t>
      </w:r>
    </w:p>
    <w:p w14:paraId="2A13FFA8" w14:textId="77777777" w:rsidR="00743373" w:rsidRPr="00401C43" w:rsidRDefault="00743373" w:rsidP="00AD69DC">
      <w:pPr>
        <w:spacing w:before="20" w:after="20" w:line="280" w:lineRule="exact"/>
      </w:pPr>
    </w:p>
    <w:p w14:paraId="39DBABD1" w14:textId="77777777" w:rsidR="00743373" w:rsidRPr="00074E3E" w:rsidRDefault="00743373" w:rsidP="0049281A">
      <w:pPr>
        <w:pStyle w:val="eTRMHeading3"/>
      </w:pPr>
      <w:bookmarkStart w:id="3" w:name="_Toc486490840"/>
      <w:bookmarkStart w:id="4" w:name="_Toc486580913"/>
      <w:bookmarkStart w:id="5" w:name="_Toc528684423"/>
      <w:r>
        <w:t>Statewide Measure ID</w:t>
      </w:r>
      <w:bookmarkEnd w:id="3"/>
      <w:bookmarkEnd w:id="4"/>
      <w:bookmarkEnd w:id="5"/>
    </w:p>
    <w:p w14:paraId="3B5B3795" w14:textId="5290F6A3" w:rsidR="00743373" w:rsidRDefault="009040BC" w:rsidP="004212A2">
      <w:r w:rsidRPr="00D02E2B">
        <w:t>SWFS011</w:t>
      </w:r>
      <w:r w:rsidR="006A67AB">
        <w:t>-</w:t>
      </w:r>
      <w:r w:rsidR="00FB4C64">
        <w:t>0</w:t>
      </w:r>
      <w:r w:rsidR="00E9522C">
        <w:t>3</w:t>
      </w:r>
    </w:p>
    <w:p w14:paraId="28D8F8B5" w14:textId="77777777" w:rsidR="00743373" w:rsidRPr="004271B3" w:rsidRDefault="00743373" w:rsidP="00AD69DC">
      <w:pPr>
        <w:spacing w:before="20" w:after="20" w:line="280" w:lineRule="exact"/>
        <w:rPr>
          <w:i/>
          <w:color w:val="808080" w:themeColor="background1" w:themeShade="80"/>
        </w:rPr>
      </w:pPr>
    </w:p>
    <w:p w14:paraId="54F74031" w14:textId="77777777" w:rsidR="00E70CBD" w:rsidRPr="00154391" w:rsidRDefault="00E70CBD" w:rsidP="0049281A">
      <w:pPr>
        <w:pStyle w:val="eTRMHeading3"/>
      </w:pPr>
      <w:bookmarkStart w:id="6" w:name="_Toc486490847"/>
      <w:bookmarkStart w:id="7" w:name="_Toc486580918"/>
      <w:bookmarkStart w:id="8" w:name="_Toc528684424"/>
      <w:r w:rsidRPr="00154391">
        <w:t>Technology Summary</w:t>
      </w:r>
      <w:bookmarkEnd w:id="6"/>
      <w:bookmarkEnd w:id="7"/>
      <w:bookmarkEnd w:id="8"/>
      <w:r w:rsidRPr="00154391">
        <w:t xml:space="preserve"> </w:t>
      </w:r>
    </w:p>
    <w:p w14:paraId="2C667F6E" w14:textId="0B1C3A6B" w:rsidR="00C00653" w:rsidRDefault="00AF3E38" w:rsidP="00AF3E38">
      <w:r>
        <w:t xml:space="preserve">Commercial fryers are among the most common </w:t>
      </w:r>
      <w:r w:rsidR="003C56A0">
        <w:t>appliances</w:t>
      </w:r>
      <w:r>
        <w:t xml:space="preserve"> in commercial food service facilities. </w:t>
      </w:r>
      <w:r w:rsidRPr="00D9335A">
        <w:t xml:space="preserve">All fryers share a common basic design. The </w:t>
      </w:r>
      <w:r>
        <w:t>fry vat</w:t>
      </w:r>
      <w:r w:rsidRPr="00D9335A">
        <w:t xml:space="preserve"> contains </w:t>
      </w:r>
      <w:r w:rsidR="003C56A0">
        <w:t>enough</w:t>
      </w:r>
      <w:r w:rsidRPr="00D9335A">
        <w:t xml:space="preserve"> oil so that the cooking food is es</w:t>
      </w:r>
      <w:r>
        <w:t>sentially supported by displace</w:t>
      </w:r>
      <w:r w:rsidRPr="00D9335A">
        <w:t>ment of the oil rather than by the bottom of the vessel.</w:t>
      </w:r>
      <w:r w:rsidR="00C00653">
        <w:t xml:space="preserve"> Two fryer attributes width </w:t>
      </w:r>
      <w:r w:rsidRPr="00FC7600">
        <w:t>and energy-input rating</w:t>
      </w:r>
      <w:r w:rsidR="00C00653">
        <w:t xml:space="preserve"> – </w:t>
      </w:r>
      <w:r w:rsidRPr="00FC7600">
        <w:t xml:space="preserve">suggest the approximate amount of food a fryer can prepare </w:t>
      </w:r>
      <w:r w:rsidR="002E6017">
        <w:t>within</w:t>
      </w:r>
      <w:r w:rsidRPr="00FC7600">
        <w:t xml:space="preserve"> a given</w:t>
      </w:r>
      <w:r w:rsidR="002E6017">
        <w:t xml:space="preserve"> period</w:t>
      </w:r>
      <w:r w:rsidRPr="00FC7600">
        <w:t xml:space="preserve">, which is one of the most important factors in choosing the proper fryer for a kitchen. </w:t>
      </w:r>
    </w:p>
    <w:p w14:paraId="73335A74" w14:textId="4A62A1E2" w:rsidR="00AF3E38" w:rsidRDefault="00AF3E38" w:rsidP="00AF3E38">
      <w:r>
        <w:t>Large</w:t>
      </w:r>
      <w:r w:rsidR="003C56A0">
        <w:t xml:space="preserve"> </w:t>
      </w:r>
      <w:r>
        <w:t xml:space="preserve">vat fryers have </w:t>
      </w:r>
      <w:r w:rsidR="003C56A0">
        <w:t>fry pots</w:t>
      </w:r>
      <w:r>
        <w:t xml:space="preserve"> ranging from 1</w:t>
      </w:r>
      <w:r w:rsidR="00C00653">
        <w:t>8 x 14 inches to 34 x 34 inches; t</w:t>
      </w:r>
      <w:r>
        <w:t>he most common is the 18</w:t>
      </w:r>
      <w:r w:rsidRPr="00FC7600">
        <w:t xml:space="preserve"> </w:t>
      </w:r>
      <w:r>
        <w:t>x 18</w:t>
      </w:r>
      <w:r w:rsidR="00275CA0">
        <w:t>-</w:t>
      </w:r>
      <w:r>
        <w:t>inch</w:t>
      </w:r>
      <w:r w:rsidR="002C1057">
        <w:t xml:space="preserve"> size</w:t>
      </w:r>
      <w:r>
        <w:t>. Large vat fryers are becoming more common in restaurants as they replace smaller (14</w:t>
      </w:r>
      <w:r w:rsidR="00C00653">
        <w:t xml:space="preserve"> </w:t>
      </w:r>
      <w:r>
        <w:t xml:space="preserve">inch) fryers to increase production capability while maximizing the available space in the kitchen. </w:t>
      </w:r>
    </w:p>
    <w:p w14:paraId="1421F686" w14:textId="0DF776FB" w:rsidR="00C00653" w:rsidRDefault="00C00653" w:rsidP="00AF3E38">
      <w:r>
        <w:t>This technology category has historically been driven by the lowest first cost and</w:t>
      </w:r>
      <w:r w:rsidR="003C56A0">
        <w:t xml:space="preserve"> </w:t>
      </w:r>
      <w:r w:rsidR="007B2BCC">
        <w:t xml:space="preserve">traditionally </w:t>
      </w:r>
      <w:r>
        <w:t>has not incorporated energy-efficient features. Recent advances in fryer design, however, have increased fryer operational efficiency as well as safety. Energy-efficient commercial fryers reduce energy consumption primarily through advanced burner and heat exchanger design, advanced controls, and insulation. ENERGY STAR®-rated fryer models enable the differentiation between high-efficiency and standard-</w:t>
      </w:r>
      <w:r w:rsidRPr="00DF12BF">
        <w:t xml:space="preserve">efficiency models. </w:t>
      </w:r>
      <w:r w:rsidR="002F60FD" w:rsidRPr="00DF12BF">
        <w:t xml:space="preserve">ENERGY STAR-qualified fryers </w:t>
      </w:r>
      <w:r w:rsidR="00DF12BF" w:rsidRPr="00DF12BF">
        <w:t>offer</w:t>
      </w:r>
      <w:r w:rsidR="00AF3E38" w:rsidRPr="00DF12BF">
        <w:t xml:space="preserve"> shorter cook times and higher production rates</w:t>
      </w:r>
      <w:r w:rsidR="002F60FD" w:rsidRPr="00DF12BF">
        <w:t xml:space="preserve">, and </w:t>
      </w:r>
      <w:proofErr w:type="spellStart"/>
      <w:r w:rsidR="002F60FD" w:rsidRPr="00DF12BF">
        <w:t>f</w:t>
      </w:r>
      <w:r w:rsidR="00AF3E38" w:rsidRPr="00DF12BF">
        <w:t>rypot</w:t>
      </w:r>
      <w:proofErr w:type="spellEnd"/>
      <w:r w:rsidR="00AF3E38" w:rsidRPr="00DF12BF">
        <w:t xml:space="preserve"> insulation reduces standby losses resulting in a lower idle energy rate.</w:t>
      </w:r>
      <w:r w:rsidR="00AF3E38">
        <w:t xml:space="preserve"> </w:t>
      </w:r>
    </w:p>
    <w:p w14:paraId="75FB392F" w14:textId="041B8D09" w:rsidR="00AF3E38" w:rsidRDefault="00AF3E38" w:rsidP="00AB6C99">
      <w:r w:rsidRPr="001A1622">
        <w:t xml:space="preserve">This </w:t>
      </w:r>
      <w:r w:rsidR="00C00653">
        <w:t>measure specification follows the</w:t>
      </w:r>
      <w:r w:rsidRPr="001A1622">
        <w:t xml:space="preserve"> </w:t>
      </w:r>
      <w:r w:rsidR="00087E5E" w:rsidRPr="006C0102">
        <w:t xml:space="preserve">American Society for Testing and Materials </w:t>
      </w:r>
      <w:r w:rsidR="00087E5E">
        <w:t>(</w:t>
      </w:r>
      <w:r w:rsidRPr="001A1622">
        <w:t>ASTM</w:t>
      </w:r>
      <w:r w:rsidR="00087E5E">
        <w:t>)</w:t>
      </w:r>
      <w:r w:rsidRPr="001A1622">
        <w:t xml:space="preserve"> Standard Test Method for the Performance of Open Deep Fat Fryers (F1361)</w:t>
      </w:r>
      <w:r w:rsidR="0066507F">
        <w:rPr>
          <w:rStyle w:val="FootnoteReference"/>
        </w:rPr>
        <w:footnoteReference w:id="1"/>
      </w:r>
      <w:r w:rsidR="0066507F">
        <w:t xml:space="preserve"> </w:t>
      </w:r>
      <w:r w:rsidRPr="001A1622">
        <w:t>and the ASTM Standard Test Method for the Performance of Large Vat Fryers (F2144)</w:t>
      </w:r>
      <w:r w:rsidR="0066507F">
        <w:rPr>
          <w:rStyle w:val="FootnoteReference"/>
        </w:rPr>
        <w:footnoteReference w:id="2"/>
      </w:r>
      <w:r w:rsidR="0066507F">
        <w:t xml:space="preserve"> </w:t>
      </w:r>
      <w:r w:rsidRPr="001A1622">
        <w:t>for calculation of energy use and demand, based on testing in an approved and qualified laboratory.</w:t>
      </w:r>
    </w:p>
    <w:p w14:paraId="5E160E05" w14:textId="5A3711B0" w:rsidR="00B87807" w:rsidRDefault="00B87807" w:rsidP="00AB6C99"/>
    <w:p w14:paraId="0CE61A83" w14:textId="77777777" w:rsidR="007D230B" w:rsidRPr="004B06E3" w:rsidRDefault="007D230B" w:rsidP="0049281A">
      <w:pPr>
        <w:pStyle w:val="eTRMHeading3"/>
      </w:pPr>
      <w:bookmarkStart w:id="9" w:name="_Toc486490848"/>
      <w:bookmarkStart w:id="10" w:name="_Toc486580919"/>
      <w:bookmarkStart w:id="11" w:name="_Toc528684425"/>
      <w:r w:rsidRPr="004B06E3">
        <w:lastRenderedPageBreak/>
        <w:t>Measure Case Description</w:t>
      </w:r>
      <w:bookmarkEnd w:id="9"/>
      <w:bookmarkEnd w:id="10"/>
      <w:bookmarkEnd w:id="11"/>
    </w:p>
    <w:p w14:paraId="2055D140" w14:textId="67EAE766" w:rsidR="00E07077" w:rsidRDefault="008950C3" w:rsidP="00036232">
      <w:pPr>
        <w:keepNext/>
        <w:keepLines/>
        <w:rPr>
          <w:szCs w:val="22"/>
        </w:rPr>
      </w:pPr>
      <w:r>
        <w:rPr>
          <w:szCs w:val="22"/>
        </w:rPr>
        <w:t xml:space="preserve">The </w:t>
      </w:r>
      <w:r w:rsidR="001101D1">
        <w:rPr>
          <w:szCs w:val="22"/>
        </w:rPr>
        <w:t>measure case specification</w:t>
      </w:r>
      <w:r>
        <w:rPr>
          <w:szCs w:val="22"/>
        </w:rPr>
        <w:t xml:space="preserve"> represents the performance characteristics of equipment </w:t>
      </w:r>
      <w:r w:rsidR="003E48E5">
        <w:rPr>
          <w:szCs w:val="22"/>
        </w:rPr>
        <w:t xml:space="preserve">that meets or exceed the </w:t>
      </w:r>
      <w:r>
        <w:rPr>
          <w:szCs w:val="22"/>
        </w:rPr>
        <w:t xml:space="preserve">ENERGY STAR </w:t>
      </w:r>
      <w:r w:rsidR="003E48E5">
        <w:rPr>
          <w:szCs w:val="22"/>
        </w:rPr>
        <w:t xml:space="preserve">certification </w:t>
      </w:r>
      <w:r>
        <w:rPr>
          <w:szCs w:val="22"/>
        </w:rPr>
        <w:t xml:space="preserve">requirements (See Program Requirements).  </w:t>
      </w:r>
      <w:r w:rsidR="00AF3E38">
        <w:t xml:space="preserve">The measure case </w:t>
      </w:r>
      <w:r w:rsidR="00CD2326">
        <w:t xml:space="preserve">specification accounts for idle energy rate, cooking efficient rate, and production capacity of a commercial fryer. The measure case specification values represent the average values of </w:t>
      </w:r>
      <w:r w:rsidR="008E7D57">
        <w:t xml:space="preserve">the analysis with </w:t>
      </w:r>
      <w:r w:rsidR="00C74886">
        <w:t xml:space="preserve">the tested equipment data, </w:t>
      </w:r>
      <w:r w:rsidR="00E07077">
        <w:t>ENERGY STAR certified product</w:t>
      </w:r>
      <w:r w:rsidR="00C74886">
        <w:t xml:space="preserve"> list, and </w:t>
      </w:r>
      <w:r w:rsidR="00E07077">
        <w:t>the q</w:t>
      </w:r>
      <w:r w:rsidR="00C74886">
        <w:t xml:space="preserve">ualifying </w:t>
      </w:r>
      <w:r w:rsidR="00E07077">
        <w:t>p</w:t>
      </w:r>
      <w:r w:rsidR="00C74886">
        <w:t xml:space="preserve">roduct </w:t>
      </w:r>
      <w:r w:rsidR="00E07077">
        <w:t>l</w:t>
      </w:r>
      <w:r w:rsidR="00C74886">
        <w:t xml:space="preserve">ist </w:t>
      </w:r>
      <w:r w:rsidR="00E07077">
        <w:t>for California</w:t>
      </w:r>
      <w:r w:rsidR="00C74886">
        <w:t xml:space="preserve"> foodservice </w:t>
      </w:r>
      <w:r w:rsidR="00E07077">
        <w:t xml:space="preserve">equipment </w:t>
      </w:r>
      <w:r w:rsidR="00C74886">
        <w:t>rebate programs</w:t>
      </w:r>
      <w:r w:rsidR="003D5B2A">
        <w:t xml:space="preserve"> (20</w:t>
      </w:r>
      <w:r w:rsidR="001965E1">
        <w:t>20</w:t>
      </w:r>
      <w:r w:rsidR="003D5B2A">
        <w:t>)</w:t>
      </w:r>
      <w:r w:rsidR="00CD2326">
        <w:t>.</w:t>
      </w:r>
      <w:r w:rsidR="00B40E95">
        <w:t xml:space="preserve">  </w:t>
      </w:r>
      <w:r w:rsidR="00E07077">
        <w:rPr>
          <w:szCs w:val="22"/>
        </w:rPr>
        <w:t>The data from these</w:t>
      </w:r>
      <w:r w:rsidR="00B40E95">
        <w:rPr>
          <w:szCs w:val="22"/>
        </w:rPr>
        <w:t xml:space="preserve"> sources</w:t>
      </w:r>
      <w:r w:rsidR="003C3134">
        <w:rPr>
          <w:szCs w:val="22"/>
        </w:rPr>
        <w:t xml:space="preserve"> </w:t>
      </w:r>
      <w:r w:rsidR="00E07077">
        <w:rPr>
          <w:szCs w:val="22"/>
        </w:rPr>
        <w:t>of</w:t>
      </w:r>
      <w:r w:rsidR="003C3134">
        <w:rPr>
          <w:szCs w:val="22"/>
        </w:rPr>
        <w:t xml:space="preserve"> commercial gas fryers</w:t>
      </w:r>
      <w:r w:rsidR="00B40E95">
        <w:rPr>
          <w:szCs w:val="22"/>
        </w:rPr>
        <w:t xml:space="preserve"> were </w:t>
      </w:r>
      <w:r w:rsidR="00BB3B0A">
        <w:rPr>
          <w:szCs w:val="22"/>
        </w:rPr>
        <w:t>compiled</w:t>
      </w:r>
      <w:r w:rsidR="00B40E95">
        <w:rPr>
          <w:szCs w:val="22"/>
        </w:rPr>
        <w:t xml:space="preserve"> and </w:t>
      </w:r>
      <w:r w:rsidR="00E07077">
        <w:rPr>
          <w:szCs w:val="22"/>
        </w:rPr>
        <w:t>analyzed</w:t>
      </w:r>
      <w:r>
        <w:rPr>
          <w:szCs w:val="22"/>
        </w:rPr>
        <w:t xml:space="preserve"> in 20</w:t>
      </w:r>
      <w:r w:rsidR="009E60C6">
        <w:rPr>
          <w:szCs w:val="22"/>
        </w:rPr>
        <w:t>20</w:t>
      </w:r>
      <w:r w:rsidR="00E07077">
        <w:rPr>
          <w:szCs w:val="22"/>
        </w:rPr>
        <w:t xml:space="preserve">; the </w:t>
      </w:r>
      <w:r w:rsidR="00B40E95">
        <w:rPr>
          <w:szCs w:val="22"/>
        </w:rPr>
        <w:t xml:space="preserve">results </w:t>
      </w:r>
      <w:r w:rsidR="00E07077">
        <w:rPr>
          <w:szCs w:val="22"/>
        </w:rPr>
        <w:t xml:space="preserve">of which </w:t>
      </w:r>
      <w:r w:rsidR="00BB3B0A">
        <w:rPr>
          <w:szCs w:val="22"/>
        </w:rPr>
        <w:t xml:space="preserve">were </w:t>
      </w:r>
      <w:r w:rsidR="00B40E95">
        <w:rPr>
          <w:szCs w:val="22"/>
        </w:rPr>
        <w:t xml:space="preserve">summarized by The Southern California Gas Company </w:t>
      </w:r>
      <w:r w:rsidR="00E07077">
        <w:rPr>
          <w:szCs w:val="22"/>
        </w:rPr>
        <w:t xml:space="preserve">(SCG) </w:t>
      </w:r>
      <w:r w:rsidR="00B40E95">
        <w:rPr>
          <w:szCs w:val="22"/>
        </w:rPr>
        <w:t>in a memo and supplemental attachment.</w:t>
      </w:r>
      <w:bookmarkStart w:id="12" w:name="_Ref23778202"/>
      <w:r w:rsidR="00F52803">
        <w:rPr>
          <w:rStyle w:val="FootnoteReference"/>
          <w:szCs w:val="22"/>
        </w:rPr>
        <w:footnoteReference w:id="3"/>
      </w:r>
      <w:bookmarkEnd w:id="12"/>
      <w:r w:rsidR="00647478">
        <w:rPr>
          <w:szCs w:val="22"/>
          <w:vertAlign w:val="superscript"/>
        </w:rPr>
        <w:t>,</w:t>
      </w:r>
      <w:r w:rsidR="00B52BD9">
        <w:rPr>
          <w:szCs w:val="22"/>
          <w:vertAlign w:val="superscript"/>
        </w:rPr>
        <w:t xml:space="preserve"> </w:t>
      </w:r>
      <w:bookmarkStart w:id="13" w:name="_Ref27305159"/>
      <w:r w:rsidR="00B52BD9">
        <w:rPr>
          <w:rStyle w:val="FootnoteReference"/>
          <w:szCs w:val="22"/>
        </w:rPr>
        <w:footnoteReference w:id="4"/>
      </w:r>
      <w:bookmarkEnd w:id="13"/>
      <w:r w:rsidR="00647478">
        <w:rPr>
          <w:szCs w:val="22"/>
          <w:vertAlign w:val="superscript"/>
        </w:rPr>
        <w:t xml:space="preserve">  </w:t>
      </w:r>
      <w:r w:rsidR="00F76DC9">
        <w:rPr>
          <w:szCs w:val="22"/>
        </w:rPr>
        <w:t xml:space="preserve">  </w:t>
      </w:r>
    </w:p>
    <w:p w14:paraId="2B4E3D15" w14:textId="1941BC74" w:rsidR="003C56A0" w:rsidRDefault="003C56A0" w:rsidP="00AC5795">
      <w:pPr>
        <w:pStyle w:val="Caption"/>
      </w:pPr>
      <w:r>
        <w:t xml:space="preserve">Measure Case </w:t>
      </w:r>
      <w:r w:rsidR="007B1423">
        <w:t>Specification</w:t>
      </w:r>
      <w:r>
        <w:t xml:space="preserve"> </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338"/>
        <w:gridCol w:w="1170"/>
        <w:gridCol w:w="1170"/>
        <w:gridCol w:w="1440"/>
        <w:gridCol w:w="3270"/>
      </w:tblGrid>
      <w:tr w:rsidR="00C110F4" w:rsidRPr="00847B64" w14:paraId="2CD56E7B" w14:textId="76742653" w:rsidTr="00194158">
        <w:trPr>
          <w:tblHeader/>
        </w:trPr>
        <w:tc>
          <w:tcPr>
            <w:tcW w:w="1152" w:type="dxa"/>
            <w:shd w:val="clear" w:color="auto" w:fill="F2F2F2" w:themeFill="background1" w:themeFillShade="F2"/>
            <w:vAlign w:val="bottom"/>
          </w:tcPr>
          <w:p w14:paraId="738A0A58" w14:textId="77777777" w:rsidR="00C110F4" w:rsidRPr="00847B64" w:rsidRDefault="00C110F4" w:rsidP="00C110F4">
            <w:pPr>
              <w:keepNext/>
              <w:keepLines/>
              <w:spacing w:before="20" w:after="20"/>
              <w:jc w:val="center"/>
              <w:rPr>
                <w:rFonts w:cs="Arial"/>
                <w:b/>
                <w:color w:val="000000"/>
                <w:sz w:val="20"/>
                <w:szCs w:val="20"/>
              </w:rPr>
            </w:pPr>
            <w:r>
              <w:rPr>
                <w:rFonts w:cs="Arial"/>
                <w:b/>
                <w:color w:val="000000"/>
                <w:sz w:val="20"/>
                <w:szCs w:val="20"/>
              </w:rPr>
              <w:t>Fryer Type</w:t>
            </w:r>
          </w:p>
        </w:tc>
        <w:tc>
          <w:tcPr>
            <w:tcW w:w="1338" w:type="dxa"/>
            <w:shd w:val="clear" w:color="auto" w:fill="F2F2F2" w:themeFill="background1" w:themeFillShade="F2"/>
            <w:vAlign w:val="bottom"/>
          </w:tcPr>
          <w:p w14:paraId="11BBC942" w14:textId="77777777"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p>
        </w:tc>
        <w:tc>
          <w:tcPr>
            <w:tcW w:w="1170" w:type="dxa"/>
            <w:shd w:val="clear" w:color="auto" w:fill="F2F2F2" w:themeFill="background1" w:themeFillShade="F2"/>
            <w:vAlign w:val="bottom"/>
          </w:tcPr>
          <w:p w14:paraId="6C24A30B" w14:textId="4D24F97C" w:rsidR="00C110F4" w:rsidRPr="00847B64" w:rsidRDefault="00C110F4" w:rsidP="00C110F4">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p>
        </w:tc>
        <w:tc>
          <w:tcPr>
            <w:tcW w:w="1170" w:type="dxa"/>
            <w:shd w:val="clear" w:color="auto" w:fill="F2F2F2" w:themeFill="background1" w:themeFillShade="F2"/>
            <w:vAlign w:val="bottom"/>
          </w:tcPr>
          <w:p w14:paraId="548FD46E" w14:textId="6444772D" w:rsidR="00C110F4" w:rsidRPr="00847B64" w:rsidRDefault="00C110F4" w:rsidP="00C110F4">
            <w:pPr>
              <w:keepNext/>
              <w:keepLines/>
              <w:spacing w:before="20" w:after="20"/>
              <w:jc w:val="center"/>
              <w:rPr>
                <w:b/>
                <w:sz w:val="20"/>
                <w:szCs w:val="20"/>
              </w:rPr>
            </w:pPr>
            <w:r>
              <w:rPr>
                <w:rFonts w:cs="Arial"/>
                <w:b/>
                <w:color w:val="000000"/>
                <w:sz w:val="20"/>
                <w:szCs w:val="20"/>
              </w:rPr>
              <w:t>Production Capacity (lb/hr)</w:t>
            </w:r>
          </w:p>
        </w:tc>
        <w:tc>
          <w:tcPr>
            <w:tcW w:w="1440" w:type="dxa"/>
            <w:shd w:val="clear" w:color="auto" w:fill="F2F2F2" w:themeFill="background1" w:themeFillShade="F2"/>
            <w:vAlign w:val="bottom"/>
          </w:tcPr>
          <w:p w14:paraId="4A837850" w14:textId="453239B8" w:rsidR="00C110F4" w:rsidRDefault="00C110F4">
            <w:pPr>
              <w:keepNext/>
              <w:keepLines/>
              <w:spacing w:before="20" w:after="20"/>
              <w:jc w:val="center"/>
              <w:rPr>
                <w:rFonts w:cs="Arial"/>
                <w:b/>
                <w:color w:val="000000"/>
                <w:sz w:val="20"/>
                <w:szCs w:val="20"/>
              </w:rPr>
            </w:pPr>
            <w:r>
              <w:rPr>
                <w:rFonts w:cs="Arial"/>
                <w:b/>
                <w:color w:val="000000"/>
                <w:sz w:val="20"/>
                <w:szCs w:val="20"/>
              </w:rPr>
              <w:t xml:space="preserve">Preheat Energy </w:t>
            </w:r>
          </w:p>
        </w:tc>
        <w:tc>
          <w:tcPr>
            <w:tcW w:w="3270" w:type="dxa"/>
            <w:shd w:val="clear" w:color="auto" w:fill="F2F2F2" w:themeFill="background1" w:themeFillShade="F2"/>
            <w:vAlign w:val="bottom"/>
          </w:tcPr>
          <w:p w14:paraId="60EF343D" w14:textId="6D0095E6" w:rsidR="00C110F4" w:rsidRDefault="00C110F4" w:rsidP="00C110F4">
            <w:pPr>
              <w:keepNext/>
              <w:keepLines/>
              <w:spacing w:before="20" w:after="20"/>
              <w:jc w:val="center"/>
              <w:rPr>
                <w:rFonts w:cs="Arial"/>
                <w:b/>
                <w:color w:val="000000"/>
                <w:sz w:val="20"/>
                <w:szCs w:val="20"/>
              </w:rPr>
            </w:pPr>
            <w:r>
              <w:rPr>
                <w:rFonts w:cs="Arial"/>
                <w:b/>
                <w:color w:val="000000"/>
                <w:sz w:val="20"/>
                <w:szCs w:val="20"/>
              </w:rPr>
              <w:t>Source</w:t>
            </w:r>
          </w:p>
        </w:tc>
      </w:tr>
      <w:tr w:rsidR="001965E1" w14:paraId="3168C5F8" w14:textId="53B3EC30" w:rsidTr="00191260">
        <w:trPr>
          <w:trHeight w:val="548"/>
        </w:trPr>
        <w:tc>
          <w:tcPr>
            <w:tcW w:w="1152" w:type="dxa"/>
            <w:vAlign w:val="center"/>
          </w:tcPr>
          <w:p w14:paraId="12FC3B74" w14:textId="77777777" w:rsidR="001965E1" w:rsidRDefault="001965E1" w:rsidP="00C110F4">
            <w:pPr>
              <w:spacing w:before="20" w:after="20"/>
              <w:rPr>
                <w:rFonts w:cs="Arial"/>
                <w:color w:val="000000"/>
                <w:sz w:val="20"/>
                <w:szCs w:val="20"/>
              </w:rPr>
            </w:pPr>
            <w:r>
              <w:rPr>
                <w:rFonts w:cs="Arial"/>
                <w:color w:val="000000"/>
                <w:sz w:val="20"/>
                <w:szCs w:val="20"/>
              </w:rPr>
              <w:t>Electric</w:t>
            </w:r>
          </w:p>
        </w:tc>
        <w:tc>
          <w:tcPr>
            <w:tcW w:w="1338" w:type="dxa"/>
            <w:vAlign w:val="center"/>
          </w:tcPr>
          <w:p w14:paraId="718191A7" w14:textId="788C5876" w:rsidR="001965E1" w:rsidRPr="00CA660C" w:rsidRDefault="001965E1" w:rsidP="00C110F4">
            <w:pPr>
              <w:spacing w:before="20" w:after="20"/>
              <w:jc w:val="center"/>
              <w:rPr>
                <w:rFonts w:cs="Arial"/>
                <w:sz w:val="20"/>
                <w:szCs w:val="20"/>
              </w:rPr>
            </w:pPr>
            <w:r w:rsidRPr="00CA660C">
              <w:rPr>
                <w:rFonts w:cs="Arial"/>
                <w:sz w:val="20"/>
                <w:szCs w:val="20"/>
              </w:rPr>
              <w:t>0.</w:t>
            </w:r>
            <w:r>
              <w:rPr>
                <w:rFonts w:cs="Arial"/>
                <w:sz w:val="20"/>
                <w:szCs w:val="20"/>
              </w:rPr>
              <w:t>682</w:t>
            </w:r>
            <w:r w:rsidRPr="00CA660C">
              <w:rPr>
                <w:rFonts w:cs="Arial"/>
                <w:sz w:val="20"/>
                <w:szCs w:val="20"/>
              </w:rPr>
              <w:t xml:space="preserve"> kW</w:t>
            </w:r>
          </w:p>
        </w:tc>
        <w:tc>
          <w:tcPr>
            <w:tcW w:w="1170" w:type="dxa"/>
            <w:vAlign w:val="center"/>
          </w:tcPr>
          <w:p w14:paraId="12BD9C92" w14:textId="3B2A9FCD" w:rsidR="001965E1" w:rsidRPr="00CA660C" w:rsidRDefault="001965E1" w:rsidP="00C110F4">
            <w:pPr>
              <w:spacing w:before="20" w:after="20"/>
              <w:jc w:val="center"/>
              <w:rPr>
                <w:sz w:val="20"/>
                <w:szCs w:val="20"/>
              </w:rPr>
            </w:pPr>
            <w:r>
              <w:rPr>
                <w:sz w:val="20"/>
                <w:szCs w:val="20"/>
              </w:rPr>
              <w:t>86</w:t>
            </w:r>
            <w:r w:rsidRPr="00CA660C">
              <w:rPr>
                <w:sz w:val="20"/>
                <w:szCs w:val="20"/>
              </w:rPr>
              <w:t>%</w:t>
            </w:r>
          </w:p>
        </w:tc>
        <w:tc>
          <w:tcPr>
            <w:tcW w:w="1170" w:type="dxa"/>
            <w:shd w:val="clear" w:color="auto" w:fill="auto"/>
            <w:vAlign w:val="center"/>
          </w:tcPr>
          <w:p w14:paraId="0F2C4BE8" w14:textId="7F6FA45A" w:rsidR="001965E1" w:rsidRPr="00CA660C" w:rsidRDefault="001965E1" w:rsidP="00C110F4">
            <w:pPr>
              <w:spacing w:before="20" w:after="20"/>
              <w:jc w:val="center"/>
              <w:rPr>
                <w:sz w:val="20"/>
                <w:szCs w:val="20"/>
              </w:rPr>
            </w:pPr>
            <w:r>
              <w:rPr>
                <w:rFonts w:cs="Arial"/>
                <w:sz w:val="20"/>
                <w:szCs w:val="20"/>
              </w:rPr>
              <w:t>62</w:t>
            </w:r>
            <w:r w:rsidRPr="00CA660C">
              <w:rPr>
                <w:rFonts w:cs="Arial"/>
                <w:sz w:val="20"/>
                <w:szCs w:val="20"/>
              </w:rPr>
              <w:t xml:space="preserve"> </w:t>
            </w:r>
          </w:p>
        </w:tc>
        <w:tc>
          <w:tcPr>
            <w:tcW w:w="1440" w:type="dxa"/>
            <w:vAlign w:val="center"/>
          </w:tcPr>
          <w:p w14:paraId="3C995C47" w14:textId="1053025C" w:rsidR="001965E1" w:rsidRPr="00CA660C" w:rsidRDefault="001965E1" w:rsidP="000419C3">
            <w:pPr>
              <w:spacing w:before="20" w:after="20"/>
              <w:jc w:val="center"/>
              <w:rPr>
                <w:rFonts w:cs="Arial"/>
                <w:sz w:val="18"/>
                <w:szCs w:val="20"/>
              </w:rPr>
            </w:pPr>
            <w:r w:rsidRPr="006A41D3">
              <w:rPr>
                <w:rFonts w:cs="Arial"/>
                <w:sz w:val="20"/>
                <w:szCs w:val="22"/>
              </w:rPr>
              <w:t>1.</w:t>
            </w:r>
            <w:r>
              <w:rPr>
                <w:rFonts w:cs="Arial"/>
                <w:sz w:val="20"/>
                <w:szCs w:val="22"/>
              </w:rPr>
              <w:t>56</w:t>
            </w:r>
            <w:r w:rsidRPr="006A41D3">
              <w:rPr>
                <w:rFonts w:cs="Arial"/>
                <w:sz w:val="20"/>
                <w:szCs w:val="22"/>
              </w:rPr>
              <w:t xml:space="preserve"> kWh</w:t>
            </w:r>
          </w:p>
        </w:tc>
        <w:tc>
          <w:tcPr>
            <w:tcW w:w="3270" w:type="dxa"/>
            <w:vMerge w:val="restart"/>
            <w:vAlign w:val="center"/>
          </w:tcPr>
          <w:p w14:paraId="3878DA16" w14:textId="75FF134E" w:rsidR="001965E1" w:rsidRPr="00A532C9" w:rsidRDefault="001965E1">
            <w:pPr>
              <w:spacing w:before="20" w:after="20"/>
              <w:rPr>
                <w:rFonts w:cs="Arial"/>
                <w:sz w:val="20"/>
                <w:szCs w:val="20"/>
              </w:rPr>
            </w:pPr>
            <w:r w:rsidRPr="00F76DC9">
              <w:rPr>
                <w:rFonts w:cs="Arial"/>
                <w:sz w:val="18"/>
                <w:szCs w:val="20"/>
              </w:rPr>
              <w:t>The Southern California Gas Company (SCG). 20</w:t>
            </w:r>
            <w:r>
              <w:rPr>
                <w:rFonts w:cs="Arial"/>
                <w:sz w:val="18"/>
                <w:szCs w:val="20"/>
              </w:rPr>
              <w:t>20</w:t>
            </w:r>
            <w:r w:rsidRPr="00F76DC9">
              <w:rPr>
                <w:rFonts w:cs="Arial"/>
                <w:sz w:val="18"/>
                <w:szCs w:val="20"/>
              </w:rPr>
              <w:t>. “</w:t>
            </w:r>
            <w:r w:rsidRPr="006A41D3">
              <w:rPr>
                <w:rFonts w:cs="Arial"/>
                <w:sz w:val="18"/>
                <w:szCs w:val="20"/>
              </w:rPr>
              <w:t>Update Plan_Fryer_1</w:t>
            </w:r>
            <w:r>
              <w:rPr>
                <w:rFonts w:cs="Arial"/>
                <w:sz w:val="18"/>
                <w:szCs w:val="20"/>
              </w:rPr>
              <w:t>109</w:t>
            </w:r>
            <w:r w:rsidRPr="006A41D3">
              <w:rPr>
                <w:rFonts w:cs="Arial"/>
                <w:sz w:val="18"/>
                <w:szCs w:val="20"/>
              </w:rPr>
              <w:t>20</w:t>
            </w:r>
            <w:r>
              <w:rPr>
                <w:rFonts w:cs="Arial"/>
                <w:sz w:val="18"/>
                <w:szCs w:val="20"/>
              </w:rPr>
              <w:t>20</w:t>
            </w:r>
            <w:r w:rsidRPr="006A41D3">
              <w:rPr>
                <w:rFonts w:cs="Arial"/>
                <w:sz w:val="18"/>
                <w:szCs w:val="20"/>
              </w:rPr>
              <w:t>.xlsx</w:t>
            </w:r>
            <w:r w:rsidRPr="00F76DC9">
              <w:rPr>
                <w:rFonts w:cs="Arial"/>
                <w:sz w:val="18"/>
                <w:szCs w:val="20"/>
              </w:rPr>
              <w:t>”</w:t>
            </w:r>
          </w:p>
        </w:tc>
      </w:tr>
      <w:tr w:rsidR="001965E1" w14:paraId="6476ACC3" w14:textId="0F534002" w:rsidTr="00191260">
        <w:trPr>
          <w:trHeight w:val="530"/>
        </w:trPr>
        <w:tc>
          <w:tcPr>
            <w:tcW w:w="1152" w:type="dxa"/>
            <w:vAlign w:val="center"/>
          </w:tcPr>
          <w:p w14:paraId="1B7F87E6" w14:textId="14035667" w:rsidR="001965E1" w:rsidRDefault="001965E1" w:rsidP="00C110F4">
            <w:pPr>
              <w:spacing w:before="20" w:after="20"/>
              <w:rPr>
                <w:rFonts w:cs="Arial"/>
                <w:color w:val="000000"/>
                <w:sz w:val="20"/>
                <w:szCs w:val="20"/>
              </w:rPr>
            </w:pPr>
            <w:r>
              <w:rPr>
                <w:rFonts w:cs="Arial"/>
                <w:color w:val="000000"/>
                <w:sz w:val="20"/>
                <w:szCs w:val="20"/>
              </w:rPr>
              <w:t>Gas- Tier 1</w:t>
            </w:r>
          </w:p>
        </w:tc>
        <w:tc>
          <w:tcPr>
            <w:tcW w:w="1338" w:type="dxa"/>
            <w:vAlign w:val="center"/>
          </w:tcPr>
          <w:p w14:paraId="068D3D01" w14:textId="3E0557A5" w:rsidR="001965E1" w:rsidRPr="00CA660C" w:rsidRDefault="001965E1" w:rsidP="00C110F4">
            <w:pPr>
              <w:spacing w:before="20" w:after="20"/>
              <w:jc w:val="center"/>
              <w:rPr>
                <w:rFonts w:cs="Arial"/>
                <w:sz w:val="20"/>
                <w:szCs w:val="20"/>
              </w:rPr>
            </w:pPr>
            <w:r>
              <w:rPr>
                <w:rFonts w:cs="Arial"/>
                <w:sz w:val="20"/>
                <w:szCs w:val="20"/>
              </w:rPr>
              <w:t>7,571</w:t>
            </w:r>
            <w:r w:rsidRPr="00CA660C">
              <w:rPr>
                <w:rFonts w:cs="Arial"/>
                <w:sz w:val="20"/>
                <w:szCs w:val="20"/>
              </w:rPr>
              <w:t xml:space="preserve"> Btu/hr</w:t>
            </w:r>
          </w:p>
        </w:tc>
        <w:tc>
          <w:tcPr>
            <w:tcW w:w="1170" w:type="dxa"/>
            <w:vAlign w:val="center"/>
          </w:tcPr>
          <w:p w14:paraId="7369F68C" w14:textId="6E002C9B" w:rsidR="001965E1" w:rsidRPr="00CA660C" w:rsidRDefault="001965E1" w:rsidP="00C110F4">
            <w:pPr>
              <w:spacing w:before="20" w:after="20"/>
              <w:jc w:val="center"/>
              <w:rPr>
                <w:sz w:val="20"/>
                <w:szCs w:val="20"/>
              </w:rPr>
            </w:pPr>
            <w:r>
              <w:rPr>
                <w:sz w:val="20"/>
                <w:szCs w:val="20"/>
              </w:rPr>
              <w:t>52%</w:t>
            </w:r>
          </w:p>
        </w:tc>
        <w:tc>
          <w:tcPr>
            <w:tcW w:w="1170" w:type="dxa"/>
            <w:shd w:val="clear" w:color="auto" w:fill="auto"/>
            <w:vAlign w:val="center"/>
          </w:tcPr>
          <w:p w14:paraId="432458FD" w14:textId="17BC2415" w:rsidR="001965E1" w:rsidRPr="00CA660C" w:rsidRDefault="001965E1" w:rsidP="00C110F4">
            <w:pPr>
              <w:spacing w:before="20" w:after="20"/>
              <w:jc w:val="center"/>
              <w:rPr>
                <w:sz w:val="20"/>
                <w:szCs w:val="20"/>
              </w:rPr>
            </w:pPr>
            <w:r>
              <w:rPr>
                <w:rFonts w:cs="Arial"/>
                <w:sz w:val="20"/>
                <w:szCs w:val="20"/>
              </w:rPr>
              <w:t>63</w:t>
            </w:r>
          </w:p>
        </w:tc>
        <w:tc>
          <w:tcPr>
            <w:tcW w:w="1440" w:type="dxa"/>
            <w:vAlign w:val="center"/>
          </w:tcPr>
          <w:p w14:paraId="62066CB6" w14:textId="27C0F127" w:rsidR="001965E1" w:rsidRPr="00CA660C" w:rsidRDefault="001965E1">
            <w:pPr>
              <w:spacing w:before="20" w:after="20"/>
              <w:jc w:val="center"/>
              <w:rPr>
                <w:rFonts w:cs="Arial"/>
                <w:sz w:val="20"/>
                <w:szCs w:val="20"/>
              </w:rPr>
            </w:pPr>
            <w:r>
              <w:rPr>
                <w:rFonts w:cs="Arial"/>
                <w:sz w:val="20"/>
                <w:szCs w:val="20"/>
              </w:rPr>
              <w:t>10,278</w:t>
            </w:r>
            <w:r w:rsidRPr="00CA660C">
              <w:rPr>
                <w:rFonts w:cs="Arial"/>
                <w:sz w:val="20"/>
                <w:szCs w:val="20"/>
              </w:rPr>
              <w:t xml:space="preserve"> Btu</w:t>
            </w:r>
          </w:p>
        </w:tc>
        <w:tc>
          <w:tcPr>
            <w:tcW w:w="3270" w:type="dxa"/>
            <w:vMerge/>
          </w:tcPr>
          <w:p w14:paraId="07CB412E" w14:textId="6EE1CB61" w:rsidR="001965E1" w:rsidRPr="00ED3693" w:rsidRDefault="001965E1" w:rsidP="006A41D3">
            <w:pPr>
              <w:spacing w:before="20" w:after="20"/>
              <w:rPr>
                <w:rFonts w:cs="Arial"/>
                <w:color w:val="FF0000"/>
                <w:sz w:val="20"/>
                <w:szCs w:val="20"/>
              </w:rPr>
            </w:pPr>
          </w:p>
        </w:tc>
      </w:tr>
      <w:tr w:rsidR="001965E1" w14:paraId="2F1469A7" w14:textId="77777777" w:rsidTr="00191260">
        <w:trPr>
          <w:trHeight w:val="530"/>
        </w:trPr>
        <w:tc>
          <w:tcPr>
            <w:tcW w:w="1152" w:type="dxa"/>
            <w:vAlign w:val="center"/>
          </w:tcPr>
          <w:p w14:paraId="7C60A730" w14:textId="1500FFF0" w:rsidR="001965E1" w:rsidRDefault="001965E1" w:rsidP="001965E1">
            <w:pPr>
              <w:spacing w:before="20" w:after="20"/>
              <w:rPr>
                <w:rFonts w:cs="Arial"/>
                <w:color w:val="000000"/>
                <w:sz w:val="20"/>
                <w:szCs w:val="20"/>
              </w:rPr>
            </w:pPr>
            <w:r>
              <w:rPr>
                <w:rFonts w:cs="Arial"/>
                <w:color w:val="000000"/>
                <w:sz w:val="20"/>
                <w:szCs w:val="20"/>
              </w:rPr>
              <w:t>Gas- Tier 2</w:t>
            </w:r>
          </w:p>
        </w:tc>
        <w:tc>
          <w:tcPr>
            <w:tcW w:w="1338" w:type="dxa"/>
            <w:vAlign w:val="center"/>
          </w:tcPr>
          <w:p w14:paraId="22FAC843" w14:textId="22806371" w:rsidR="001965E1" w:rsidRDefault="009E60C6" w:rsidP="001965E1">
            <w:pPr>
              <w:spacing w:before="20" w:after="20"/>
              <w:jc w:val="center"/>
              <w:rPr>
                <w:rFonts w:cs="Arial"/>
                <w:sz w:val="20"/>
                <w:szCs w:val="20"/>
              </w:rPr>
            </w:pPr>
            <w:r>
              <w:rPr>
                <w:rFonts w:cs="Arial"/>
                <w:sz w:val="20"/>
                <w:szCs w:val="20"/>
              </w:rPr>
              <w:t>3</w:t>
            </w:r>
            <w:r w:rsidR="001965E1">
              <w:rPr>
                <w:rFonts w:cs="Arial"/>
                <w:sz w:val="20"/>
                <w:szCs w:val="20"/>
              </w:rPr>
              <w:t>,</w:t>
            </w:r>
            <w:r>
              <w:rPr>
                <w:rFonts w:cs="Arial"/>
                <w:sz w:val="20"/>
                <w:szCs w:val="20"/>
              </w:rPr>
              <w:t>957</w:t>
            </w:r>
            <w:r w:rsidR="001965E1" w:rsidRPr="00CA660C">
              <w:rPr>
                <w:rFonts w:cs="Arial"/>
                <w:sz w:val="20"/>
                <w:szCs w:val="20"/>
              </w:rPr>
              <w:t xml:space="preserve"> Btu/hr</w:t>
            </w:r>
          </w:p>
        </w:tc>
        <w:tc>
          <w:tcPr>
            <w:tcW w:w="1170" w:type="dxa"/>
            <w:vAlign w:val="center"/>
          </w:tcPr>
          <w:p w14:paraId="09E17481" w14:textId="2D70ED74" w:rsidR="001965E1" w:rsidRDefault="001965E1" w:rsidP="001965E1">
            <w:pPr>
              <w:spacing w:before="20" w:after="20"/>
              <w:jc w:val="center"/>
              <w:rPr>
                <w:sz w:val="20"/>
                <w:szCs w:val="20"/>
              </w:rPr>
            </w:pPr>
            <w:r>
              <w:rPr>
                <w:sz w:val="20"/>
                <w:szCs w:val="20"/>
              </w:rPr>
              <w:t>61%</w:t>
            </w:r>
          </w:p>
        </w:tc>
        <w:tc>
          <w:tcPr>
            <w:tcW w:w="1170" w:type="dxa"/>
            <w:shd w:val="clear" w:color="auto" w:fill="auto"/>
            <w:vAlign w:val="center"/>
          </w:tcPr>
          <w:p w14:paraId="293F3B40" w14:textId="51DACF9F" w:rsidR="001965E1" w:rsidRDefault="001965E1" w:rsidP="001965E1">
            <w:pPr>
              <w:spacing w:before="20" w:after="20"/>
              <w:jc w:val="center"/>
              <w:rPr>
                <w:rFonts w:cs="Arial"/>
                <w:sz w:val="20"/>
                <w:szCs w:val="20"/>
              </w:rPr>
            </w:pPr>
            <w:r>
              <w:rPr>
                <w:rFonts w:cs="Arial"/>
                <w:sz w:val="20"/>
                <w:szCs w:val="20"/>
              </w:rPr>
              <w:t>69</w:t>
            </w:r>
          </w:p>
        </w:tc>
        <w:tc>
          <w:tcPr>
            <w:tcW w:w="1440" w:type="dxa"/>
            <w:vAlign w:val="center"/>
          </w:tcPr>
          <w:p w14:paraId="79D0DD8A" w14:textId="3B1E17F1" w:rsidR="001965E1" w:rsidRDefault="001965E1" w:rsidP="001965E1">
            <w:pPr>
              <w:spacing w:before="20" w:after="20"/>
              <w:jc w:val="center"/>
              <w:rPr>
                <w:rFonts w:cs="Arial"/>
                <w:sz w:val="20"/>
                <w:szCs w:val="20"/>
              </w:rPr>
            </w:pPr>
            <w:r>
              <w:rPr>
                <w:rFonts w:cs="Arial"/>
                <w:sz w:val="20"/>
                <w:szCs w:val="20"/>
              </w:rPr>
              <w:t>9,182</w:t>
            </w:r>
            <w:r w:rsidRPr="00CA660C">
              <w:rPr>
                <w:rFonts w:cs="Arial"/>
                <w:sz w:val="20"/>
                <w:szCs w:val="20"/>
              </w:rPr>
              <w:t xml:space="preserve"> Btu</w:t>
            </w:r>
          </w:p>
        </w:tc>
        <w:tc>
          <w:tcPr>
            <w:tcW w:w="3270" w:type="dxa"/>
            <w:vMerge/>
          </w:tcPr>
          <w:p w14:paraId="5CCFE86C" w14:textId="77777777" w:rsidR="001965E1" w:rsidRPr="00ED3693" w:rsidRDefault="001965E1" w:rsidP="001965E1">
            <w:pPr>
              <w:spacing w:before="20" w:after="20"/>
              <w:rPr>
                <w:rFonts w:cs="Arial"/>
                <w:color w:val="FF0000"/>
                <w:sz w:val="20"/>
                <w:szCs w:val="20"/>
              </w:rPr>
            </w:pPr>
          </w:p>
        </w:tc>
      </w:tr>
    </w:tbl>
    <w:p w14:paraId="0069D682" w14:textId="77777777" w:rsidR="00DA7107" w:rsidRDefault="00DA7107" w:rsidP="00AF3E38"/>
    <w:p w14:paraId="3ACE3DCC" w14:textId="77777777" w:rsidR="00E70CBD" w:rsidRPr="00171BB8" w:rsidRDefault="00E70CBD" w:rsidP="0049281A">
      <w:pPr>
        <w:pStyle w:val="eTRMHeading3"/>
      </w:pPr>
      <w:bookmarkStart w:id="14" w:name="_Toc486490849"/>
      <w:bookmarkStart w:id="15" w:name="_Toc486580920"/>
      <w:bookmarkStart w:id="16" w:name="_Toc528684426"/>
      <w:r w:rsidRPr="004B06E3">
        <w:t>Base Case Description</w:t>
      </w:r>
      <w:bookmarkEnd w:id="14"/>
      <w:bookmarkEnd w:id="15"/>
      <w:bookmarkEnd w:id="16"/>
      <w:r w:rsidRPr="00171BB8">
        <w:t xml:space="preserve"> </w:t>
      </w:r>
    </w:p>
    <w:p w14:paraId="152594A7" w14:textId="268D4C7A" w:rsidR="00AF3E38" w:rsidRPr="001A1622" w:rsidRDefault="003E48E5" w:rsidP="00AF3E38">
      <w:r>
        <w:rPr>
          <w:szCs w:val="22"/>
        </w:rPr>
        <w:t>The base case specification</w:t>
      </w:r>
      <w:r w:rsidR="008950C3">
        <w:rPr>
          <w:szCs w:val="22"/>
        </w:rPr>
        <w:t xml:space="preserve"> represents the performance characteristics of equipment </w:t>
      </w:r>
      <w:r w:rsidR="001101D1">
        <w:rPr>
          <w:szCs w:val="22"/>
        </w:rPr>
        <w:t xml:space="preserve">that does </w:t>
      </w:r>
      <w:r w:rsidR="008950C3">
        <w:rPr>
          <w:szCs w:val="22"/>
        </w:rPr>
        <w:t xml:space="preserve">not </w:t>
      </w:r>
      <w:r w:rsidR="001101D1">
        <w:rPr>
          <w:szCs w:val="22"/>
        </w:rPr>
        <w:t>meet</w:t>
      </w:r>
      <w:r w:rsidR="008950C3">
        <w:rPr>
          <w:szCs w:val="22"/>
        </w:rPr>
        <w:t xml:space="preserve"> ENERGY STAR </w:t>
      </w:r>
      <w:r w:rsidR="001101D1">
        <w:rPr>
          <w:szCs w:val="22"/>
        </w:rPr>
        <w:t xml:space="preserve">certification </w:t>
      </w:r>
      <w:r w:rsidR="008950C3">
        <w:rPr>
          <w:szCs w:val="22"/>
        </w:rPr>
        <w:t xml:space="preserve">requirements. </w:t>
      </w:r>
      <w:r w:rsidR="00710C92">
        <w:t xml:space="preserve">Since commercial fryers are not covered by state or national codes, </w:t>
      </w:r>
      <w:r w:rsidR="00AF3E38" w:rsidRPr="001A1622">
        <w:t xml:space="preserve">there is little incentive </w:t>
      </w:r>
      <w:r w:rsidR="004F6F27">
        <w:t>for</w:t>
      </w:r>
      <w:r w:rsidR="00AF3E38" w:rsidRPr="001A1622">
        <w:t xml:space="preserve"> equipment manufacturers to </w:t>
      </w:r>
      <w:r w:rsidR="00710C92">
        <w:t>test</w:t>
      </w:r>
      <w:r w:rsidR="00AF3E38" w:rsidRPr="001A1622">
        <w:t xml:space="preserve"> their baseline equipment. Therefore, the </w:t>
      </w:r>
      <w:r w:rsidR="008950C3">
        <w:t>baseline</w:t>
      </w:r>
      <w:r w:rsidR="00710C92">
        <w:t xml:space="preserve"> efficiency was determined from </w:t>
      </w:r>
      <w:r w:rsidR="00AF3E38" w:rsidRPr="001A1622">
        <w:t>equipment</w:t>
      </w:r>
      <w:r w:rsidR="003C3134">
        <w:t xml:space="preserve"> </w:t>
      </w:r>
      <w:r w:rsidR="00AF3E38" w:rsidRPr="001A1622">
        <w:t>tested by the Food Service Technol</w:t>
      </w:r>
      <w:r w:rsidR="00AF3E38">
        <w:t>ogy Center</w:t>
      </w:r>
      <w:r w:rsidR="0066507F">
        <w:t xml:space="preserve"> (FSTC)</w:t>
      </w:r>
      <w:r w:rsidR="00AE32E0">
        <w:t xml:space="preserve"> and Food Service Testing Lab (FSTL, </w:t>
      </w:r>
      <w:r w:rsidR="008950C3">
        <w:t>SCG</w:t>
      </w:r>
      <w:r w:rsidR="00AE32E0">
        <w:t>)</w:t>
      </w:r>
      <w:r w:rsidR="008950C3">
        <w:t xml:space="preserve">, </w:t>
      </w:r>
      <w:r w:rsidR="008950C3" w:rsidRPr="00A16BC0">
        <w:t>updated in 20</w:t>
      </w:r>
      <w:r w:rsidR="0051468A">
        <w:t>19</w:t>
      </w:r>
      <w:r w:rsidR="00A16BC0" w:rsidRPr="00A16BC0">
        <w:t xml:space="preserve"> </w:t>
      </w:r>
      <w:r w:rsidR="00A16BC0" w:rsidRPr="00A16BC0">
        <w:rPr>
          <w:vertAlign w:val="superscript"/>
        </w:rPr>
        <w:fldChar w:fldCharType="begin"/>
      </w:r>
      <w:r w:rsidR="00A16BC0" w:rsidRPr="00A16BC0">
        <w:rPr>
          <w:vertAlign w:val="superscript"/>
        </w:rPr>
        <w:instrText xml:space="preserve"> NOTEREF _Ref27305159 \h  \* MERGEFORMAT </w:instrText>
      </w:r>
      <w:r w:rsidR="00A16BC0" w:rsidRPr="00A16BC0">
        <w:rPr>
          <w:vertAlign w:val="superscript"/>
        </w:rPr>
      </w:r>
      <w:r w:rsidR="00A16BC0" w:rsidRPr="00A16BC0">
        <w:rPr>
          <w:vertAlign w:val="superscript"/>
        </w:rPr>
        <w:fldChar w:fldCharType="separate"/>
      </w:r>
      <w:r w:rsidR="00FB3C38">
        <w:rPr>
          <w:vertAlign w:val="superscript"/>
        </w:rPr>
        <w:t>4</w:t>
      </w:r>
      <w:r w:rsidR="00A16BC0" w:rsidRPr="00A16BC0">
        <w:rPr>
          <w:vertAlign w:val="superscript"/>
        </w:rPr>
        <w:fldChar w:fldCharType="end"/>
      </w:r>
      <w:r w:rsidR="003C3134" w:rsidRPr="00A16BC0">
        <w:rPr>
          <w:szCs w:val="22"/>
        </w:rPr>
        <w:t>.</w:t>
      </w:r>
      <w:r w:rsidR="00B52BD9" w:rsidRPr="00A16BC0">
        <w:rPr>
          <w:szCs w:val="22"/>
          <w:vertAlign w:val="superscript"/>
        </w:rPr>
        <w:t xml:space="preserve"> </w:t>
      </w:r>
      <w:r w:rsidR="00AE32E0" w:rsidRPr="00A16BC0">
        <w:rPr>
          <w:szCs w:val="22"/>
        </w:rPr>
        <w:t xml:space="preserve"> </w:t>
      </w:r>
    </w:p>
    <w:p w14:paraId="5DC48077" w14:textId="1AEDF9DF" w:rsidR="00AF3E38" w:rsidRPr="00FF09E9" w:rsidRDefault="00710C92" w:rsidP="00AC5795">
      <w:pPr>
        <w:pStyle w:val="Caption"/>
      </w:pPr>
      <w:bookmarkStart w:id="17" w:name="_Toc458765597"/>
      <w:r>
        <w:t xml:space="preserve">Base Case </w:t>
      </w:r>
      <w:r w:rsidR="007B1423">
        <w:t>Specification</w:t>
      </w:r>
      <w:r>
        <w:t xml:space="preserve"> </w:t>
      </w:r>
      <w:bookmarkEnd w:id="17"/>
    </w:p>
    <w:tbl>
      <w:tblPr>
        <w:tblW w:w="9648"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152"/>
        <w:gridCol w:w="1158"/>
        <w:gridCol w:w="1170"/>
        <w:gridCol w:w="1128"/>
        <w:gridCol w:w="1152"/>
        <w:gridCol w:w="3888"/>
      </w:tblGrid>
      <w:tr w:rsidR="00C110F4" w:rsidRPr="00847B64" w14:paraId="7B9FFC18" w14:textId="77777777" w:rsidTr="00647478">
        <w:trPr>
          <w:tblHeader/>
        </w:trPr>
        <w:tc>
          <w:tcPr>
            <w:tcW w:w="1152" w:type="dxa"/>
            <w:shd w:val="clear" w:color="auto" w:fill="F2F2F2" w:themeFill="background1" w:themeFillShade="F2"/>
            <w:vAlign w:val="bottom"/>
          </w:tcPr>
          <w:p w14:paraId="78F4C1B5" w14:textId="77777777" w:rsidR="004F6F27" w:rsidRPr="00847B64" w:rsidRDefault="004F6F27" w:rsidP="00153F57">
            <w:pPr>
              <w:keepNext/>
              <w:keepLines/>
              <w:spacing w:before="20" w:after="20"/>
              <w:jc w:val="center"/>
              <w:rPr>
                <w:rFonts w:cs="Arial"/>
                <w:b/>
                <w:color w:val="000000"/>
                <w:sz w:val="20"/>
                <w:szCs w:val="20"/>
              </w:rPr>
            </w:pPr>
            <w:r>
              <w:rPr>
                <w:rFonts w:cs="Arial"/>
                <w:b/>
                <w:color w:val="000000"/>
                <w:sz w:val="20"/>
                <w:szCs w:val="20"/>
              </w:rPr>
              <w:t>Fryer Type</w:t>
            </w:r>
          </w:p>
        </w:tc>
        <w:tc>
          <w:tcPr>
            <w:tcW w:w="1158" w:type="dxa"/>
            <w:shd w:val="clear" w:color="auto" w:fill="F2F2F2" w:themeFill="background1" w:themeFillShade="F2"/>
            <w:vAlign w:val="bottom"/>
          </w:tcPr>
          <w:p w14:paraId="60B82C18" w14:textId="108C9718"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 xml:space="preserve">Idle Energy Rate </w:t>
            </w:r>
          </w:p>
        </w:tc>
        <w:tc>
          <w:tcPr>
            <w:tcW w:w="1170" w:type="dxa"/>
            <w:shd w:val="clear" w:color="auto" w:fill="F2F2F2" w:themeFill="background1" w:themeFillShade="F2"/>
            <w:vAlign w:val="bottom"/>
          </w:tcPr>
          <w:p w14:paraId="148091ED" w14:textId="3C946117" w:rsidR="004F6F27" w:rsidRPr="00847B64" w:rsidRDefault="004F6F27" w:rsidP="00153F57">
            <w:pPr>
              <w:keepNext/>
              <w:keepLines/>
              <w:spacing w:before="20" w:after="20"/>
              <w:jc w:val="center"/>
              <w:rPr>
                <w:rFonts w:cs="Arial"/>
                <w:b/>
                <w:color w:val="000000"/>
                <w:sz w:val="20"/>
                <w:szCs w:val="20"/>
              </w:rPr>
            </w:pPr>
            <w:r w:rsidRPr="00847B64">
              <w:rPr>
                <w:rFonts w:cs="Arial"/>
                <w:b/>
                <w:color w:val="000000"/>
                <w:sz w:val="20"/>
                <w:szCs w:val="20"/>
              </w:rPr>
              <w:t>Cooking</w:t>
            </w:r>
            <w:r>
              <w:rPr>
                <w:rFonts w:cs="Arial"/>
                <w:b/>
                <w:color w:val="000000"/>
                <w:sz w:val="20"/>
                <w:szCs w:val="20"/>
              </w:rPr>
              <w:t xml:space="preserve"> </w:t>
            </w:r>
            <w:r>
              <w:rPr>
                <w:rFonts w:cs="Arial"/>
                <w:b/>
                <w:color w:val="000000"/>
                <w:sz w:val="20"/>
                <w:szCs w:val="20"/>
              </w:rPr>
              <w:br/>
            </w:r>
            <w:r w:rsidRPr="00847B64">
              <w:rPr>
                <w:rFonts w:cs="Arial"/>
                <w:b/>
                <w:color w:val="000000"/>
                <w:sz w:val="20"/>
                <w:szCs w:val="20"/>
              </w:rPr>
              <w:t>Energy Efficiency</w:t>
            </w:r>
            <w:r>
              <w:rPr>
                <w:rFonts w:cs="Arial"/>
                <w:b/>
                <w:color w:val="000000"/>
                <w:sz w:val="20"/>
                <w:szCs w:val="20"/>
              </w:rPr>
              <w:t xml:space="preserve"> </w:t>
            </w:r>
          </w:p>
        </w:tc>
        <w:tc>
          <w:tcPr>
            <w:tcW w:w="1128" w:type="dxa"/>
            <w:shd w:val="clear" w:color="auto" w:fill="F2F2F2" w:themeFill="background1" w:themeFillShade="F2"/>
            <w:vAlign w:val="bottom"/>
          </w:tcPr>
          <w:p w14:paraId="236AF895" w14:textId="77777777" w:rsidR="004F6F27" w:rsidRPr="00847B64" w:rsidRDefault="004F6F27" w:rsidP="00153F57">
            <w:pPr>
              <w:keepNext/>
              <w:keepLines/>
              <w:spacing w:before="20" w:after="20"/>
              <w:jc w:val="center"/>
              <w:rPr>
                <w:b/>
                <w:sz w:val="20"/>
                <w:szCs w:val="20"/>
              </w:rPr>
            </w:pPr>
            <w:r>
              <w:rPr>
                <w:rFonts w:cs="Arial"/>
                <w:b/>
                <w:color w:val="000000"/>
                <w:sz w:val="20"/>
                <w:szCs w:val="20"/>
              </w:rPr>
              <w:t>Production Capacity (lb/hr)</w:t>
            </w:r>
          </w:p>
        </w:tc>
        <w:tc>
          <w:tcPr>
            <w:tcW w:w="1152" w:type="dxa"/>
            <w:shd w:val="clear" w:color="auto" w:fill="F2F2F2" w:themeFill="background1" w:themeFillShade="F2"/>
            <w:vAlign w:val="bottom"/>
          </w:tcPr>
          <w:p w14:paraId="36CD3348" w14:textId="0E6F66F7" w:rsidR="004F6F27" w:rsidRDefault="00C110F4" w:rsidP="00C110F4">
            <w:pPr>
              <w:keepNext/>
              <w:keepLines/>
              <w:spacing w:before="20" w:after="20"/>
              <w:jc w:val="center"/>
              <w:rPr>
                <w:rFonts w:cs="Arial"/>
                <w:b/>
                <w:color w:val="000000"/>
                <w:sz w:val="20"/>
                <w:szCs w:val="20"/>
              </w:rPr>
            </w:pPr>
            <w:r>
              <w:rPr>
                <w:rFonts w:cs="Arial"/>
                <w:b/>
                <w:color w:val="000000"/>
                <w:sz w:val="20"/>
                <w:szCs w:val="20"/>
              </w:rPr>
              <w:t xml:space="preserve">Preheat Energy </w:t>
            </w:r>
          </w:p>
        </w:tc>
        <w:tc>
          <w:tcPr>
            <w:tcW w:w="3888" w:type="dxa"/>
            <w:shd w:val="clear" w:color="auto" w:fill="F2F2F2" w:themeFill="background1" w:themeFillShade="F2"/>
            <w:vAlign w:val="bottom"/>
          </w:tcPr>
          <w:p w14:paraId="59CF2A8B" w14:textId="53351756" w:rsidR="004F6F27" w:rsidRDefault="004F6F27" w:rsidP="00153F57">
            <w:pPr>
              <w:keepNext/>
              <w:keepLines/>
              <w:spacing w:before="20" w:after="20"/>
              <w:jc w:val="center"/>
              <w:rPr>
                <w:rFonts w:cs="Arial"/>
                <w:b/>
                <w:color w:val="000000"/>
                <w:sz w:val="20"/>
                <w:szCs w:val="20"/>
              </w:rPr>
            </w:pPr>
            <w:r>
              <w:rPr>
                <w:rFonts w:cs="Arial"/>
                <w:b/>
                <w:color w:val="000000"/>
                <w:sz w:val="20"/>
                <w:szCs w:val="20"/>
              </w:rPr>
              <w:t>Source</w:t>
            </w:r>
          </w:p>
        </w:tc>
      </w:tr>
      <w:tr w:rsidR="00A16BC0" w14:paraId="6E27EE46" w14:textId="2DD5B080" w:rsidTr="00647478">
        <w:trPr>
          <w:trHeight w:val="800"/>
        </w:trPr>
        <w:tc>
          <w:tcPr>
            <w:tcW w:w="1152" w:type="dxa"/>
            <w:vAlign w:val="center"/>
          </w:tcPr>
          <w:p w14:paraId="673DAEA5" w14:textId="77777777" w:rsidR="00A16BC0" w:rsidRDefault="00A16BC0" w:rsidP="00A16BC0">
            <w:pPr>
              <w:spacing w:before="20" w:after="20"/>
              <w:rPr>
                <w:rFonts w:cs="Arial"/>
                <w:color w:val="000000"/>
                <w:sz w:val="20"/>
                <w:szCs w:val="20"/>
              </w:rPr>
            </w:pPr>
            <w:r>
              <w:rPr>
                <w:rFonts w:cs="Arial"/>
                <w:color w:val="000000"/>
                <w:sz w:val="20"/>
                <w:szCs w:val="20"/>
              </w:rPr>
              <w:t>Electric</w:t>
            </w:r>
          </w:p>
        </w:tc>
        <w:tc>
          <w:tcPr>
            <w:tcW w:w="1158" w:type="dxa"/>
            <w:vAlign w:val="center"/>
          </w:tcPr>
          <w:p w14:paraId="4461E20F" w14:textId="0258E640" w:rsidR="00A16BC0" w:rsidRPr="00236E94" w:rsidRDefault="00A16BC0" w:rsidP="00A16BC0">
            <w:pPr>
              <w:spacing w:before="20" w:after="20"/>
              <w:jc w:val="center"/>
              <w:rPr>
                <w:rFonts w:cs="Arial"/>
                <w:sz w:val="20"/>
                <w:szCs w:val="20"/>
              </w:rPr>
            </w:pPr>
            <w:r>
              <w:rPr>
                <w:rFonts w:cs="Arial"/>
                <w:sz w:val="20"/>
                <w:szCs w:val="20"/>
              </w:rPr>
              <w:t>0.873</w:t>
            </w:r>
            <w:r w:rsidRPr="00236E94">
              <w:rPr>
                <w:rFonts w:cs="Arial"/>
                <w:sz w:val="20"/>
                <w:szCs w:val="20"/>
              </w:rPr>
              <w:t xml:space="preserve"> kW</w:t>
            </w:r>
          </w:p>
        </w:tc>
        <w:tc>
          <w:tcPr>
            <w:tcW w:w="1170" w:type="dxa"/>
            <w:vAlign w:val="center"/>
          </w:tcPr>
          <w:p w14:paraId="7A2A256C" w14:textId="2785D581" w:rsidR="00A16BC0" w:rsidRPr="00236E94" w:rsidRDefault="00A16BC0" w:rsidP="00A16BC0">
            <w:pPr>
              <w:spacing w:before="20" w:after="20"/>
              <w:jc w:val="center"/>
              <w:rPr>
                <w:sz w:val="20"/>
                <w:szCs w:val="20"/>
              </w:rPr>
            </w:pPr>
            <w:r>
              <w:rPr>
                <w:sz w:val="20"/>
                <w:szCs w:val="20"/>
              </w:rPr>
              <w:t>84</w:t>
            </w:r>
            <w:r w:rsidRPr="00236E94">
              <w:rPr>
                <w:sz w:val="20"/>
                <w:szCs w:val="20"/>
              </w:rPr>
              <w:t>%</w:t>
            </w:r>
          </w:p>
        </w:tc>
        <w:tc>
          <w:tcPr>
            <w:tcW w:w="1128" w:type="dxa"/>
            <w:shd w:val="clear" w:color="auto" w:fill="auto"/>
            <w:vAlign w:val="center"/>
          </w:tcPr>
          <w:p w14:paraId="3DEAA77B" w14:textId="545C8ECE" w:rsidR="00A16BC0" w:rsidRPr="00236E94" w:rsidRDefault="00A16BC0" w:rsidP="00A16BC0">
            <w:pPr>
              <w:spacing w:before="20" w:after="20"/>
              <w:jc w:val="center"/>
              <w:rPr>
                <w:sz w:val="20"/>
                <w:szCs w:val="20"/>
              </w:rPr>
            </w:pPr>
            <w:r>
              <w:rPr>
                <w:rFonts w:cs="Arial"/>
                <w:sz w:val="20"/>
                <w:szCs w:val="20"/>
              </w:rPr>
              <w:t>69</w:t>
            </w:r>
            <w:r w:rsidRPr="00236E94">
              <w:rPr>
                <w:rFonts w:cs="Arial"/>
                <w:sz w:val="20"/>
                <w:szCs w:val="20"/>
              </w:rPr>
              <w:t xml:space="preserve"> </w:t>
            </w:r>
          </w:p>
        </w:tc>
        <w:tc>
          <w:tcPr>
            <w:tcW w:w="1152" w:type="dxa"/>
            <w:vAlign w:val="center"/>
          </w:tcPr>
          <w:p w14:paraId="06271CAD" w14:textId="7DDF569D" w:rsidR="00A16BC0" w:rsidRPr="00236E94" w:rsidRDefault="00A16BC0" w:rsidP="00A16BC0">
            <w:pPr>
              <w:spacing w:before="20" w:after="20"/>
              <w:jc w:val="center"/>
              <w:rPr>
                <w:rFonts w:cs="Arial"/>
                <w:sz w:val="20"/>
                <w:szCs w:val="20"/>
              </w:rPr>
            </w:pPr>
            <w:r>
              <w:rPr>
                <w:rFonts w:cs="Arial"/>
                <w:sz w:val="20"/>
                <w:szCs w:val="20"/>
              </w:rPr>
              <w:t>1.75 kWh</w:t>
            </w:r>
          </w:p>
        </w:tc>
        <w:tc>
          <w:tcPr>
            <w:tcW w:w="3888" w:type="dxa"/>
            <w:vMerge w:val="restart"/>
            <w:vAlign w:val="center"/>
          </w:tcPr>
          <w:p w14:paraId="79E0F03E" w14:textId="53092CAA" w:rsidR="00A16BC0" w:rsidRPr="00236E94" w:rsidRDefault="00A16BC0" w:rsidP="00A16BC0">
            <w:pPr>
              <w:spacing w:before="20" w:after="20"/>
              <w:rPr>
                <w:rFonts w:cs="Arial"/>
                <w:sz w:val="20"/>
                <w:szCs w:val="20"/>
              </w:rPr>
            </w:pPr>
            <w:r w:rsidRPr="00F76DC9">
              <w:rPr>
                <w:rFonts w:cs="Arial"/>
                <w:sz w:val="18"/>
                <w:szCs w:val="20"/>
              </w:rPr>
              <w:t>The Southern California Gas Company (SCG). 20</w:t>
            </w:r>
            <w:r w:rsidR="0051468A">
              <w:rPr>
                <w:rFonts w:cs="Arial"/>
                <w:sz w:val="18"/>
                <w:szCs w:val="20"/>
              </w:rPr>
              <w:t>20</w:t>
            </w:r>
            <w:r w:rsidRPr="00F76DC9">
              <w:rPr>
                <w:rFonts w:cs="Arial"/>
                <w:sz w:val="18"/>
                <w:szCs w:val="20"/>
              </w:rPr>
              <w:t>. “</w:t>
            </w:r>
            <w:r w:rsidRPr="006A41D3">
              <w:rPr>
                <w:rFonts w:cs="Arial"/>
                <w:sz w:val="18"/>
                <w:szCs w:val="20"/>
              </w:rPr>
              <w:t>Update Plan_Fryer_1</w:t>
            </w:r>
            <w:r w:rsidR="0051468A">
              <w:rPr>
                <w:rFonts w:cs="Arial"/>
                <w:sz w:val="18"/>
                <w:szCs w:val="20"/>
              </w:rPr>
              <w:t>109</w:t>
            </w:r>
            <w:r w:rsidRPr="006A41D3">
              <w:rPr>
                <w:rFonts w:cs="Arial"/>
                <w:sz w:val="18"/>
                <w:szCs w:val="20"/>
              </w:rPr>
              <w:t>20</w:t>
            </w:r>
            <w:r w:rsidR="0051468A">
              <w:rPr>
                <w:rFonts w:cs="Arial"/>
                <w:sz w:val="18"/>
                <w:szCs w:val="20"/>
              </w:rPr>
              <w:t>20</w:t>
            </w:r>
            <w:r w:rsidRPr="006A41D3">
              <w:rPr>
                <w:rFonts w:cs="Arial"/>
                <w:sz w:val="18"/>
                <w:szCs w:val="20"/>
              </w:rPr>
              <w:t>.xlsx</w:t>
            </w:r>
            <w:r w:rsidRPr="00F76DC9">
              <w:rPr>
                <w:rFonts w:cs="Arial"/>
                <w:sz w:val="18"/>
                <w:szCs w:val="20"/>
              </w:rPr>
              <w:t>”</w:t>
            </w:r>
          </w:p>
        </w:tc>
      </w:tr>
      <w:tr w:rsidR="00A16BC0" w14:paraId="6E524459" w14:textId="456D813F" w:rsidTr="00647478">
        <w:tc>
          <w:tcPr>
            <w:tcW w:w="1152" w:type="dxa"/>
            <w:vAlign w:val="center"/>
          </w:tcPr>
          <w:p w14:paraId="0CECF668" w14:textId="77777777" w:rsidR="00A16BC0" w:rsidRDefault="00A16BC0" w:rsidP="00A16BC0">
            <w:pPr>
              <w:spacing w:before="20" w:after="20"/>
              <w:rPr>
                <w:rFonts w:cs="Arial"/>
                <w:color w:val="000000"/>
                <w:sz w:val="20"/>
                <w:szCs w:val="20"/>
              </w:rPr>
            </w:pPr>
            <w:r>
              <w:rPr>
                <w:rFonts w:cs="Arial"/>
                <w:color w:val="000000"/>
                <w:sz w:val="20"/>
                <w:szCs w:val="20"/>
              </w:rPr>
              <w:t>Gas</w:t>
            </w:r>
          </w:p>
        </w:tc>
        <w:tc>
          <w:tcPr>
            <w:tcW w:w="1158" w:type="dxa"/>
            <w:vAlign w:val="center"/>
          </w:tcPr>
          <w:p w14:paraId="79B5BABC" w14:textId="7C0AC6CF" w:rsidR="00A16BC0" w:rsidRPr="00236E94" w:rsidRDefault="00A16BC0" w:rsidP="00A16BC0">
            <w:pPr>
              <w:spacing w:before="20" w:after="20"/>
              <w:jc w:val="center"/>
              <w:rPr>
                <w:rFonts w:cs="Arial"/>
                <w:sz w:val="20"/>
                <w:szCs w:val="20"/>
              </w:rPr>
            </w:pPr>
            <w:r>
              <w:rPr>
                <w:rFonts w:cs="Arial"/>
                <w:sz w:val="20"/>
                <w:szCs w:val="20"/>
              </w:rPr>
              <w:t xml:space="preserve">12,847 </w:t>
            </w:r>
            <w:r w:rsidRPr="00236E94">
              <w:rPr>
                <w:rFonts w:cs="Arial"/>
                <w:sz w:val="20"/>
                <w:szCs w:val="20"/>
              </w:rPr>
              <w:t>Btu/hr</w:t>
            </w:r>
          </w:p>
        </w:tc>
        <w:tc>
          <w:tcPr>
            <w:tcW w:w="1170" w:type="dxa"/>
            <w:vAlign w:val="center"/>
          </w:tcPr>
          <w:p w14:paraId="4BC9BF06" w14:textId="4479E41E" w:rsidR="00A16BC0" w:rsidRPr="00236E94" w:rsidRDefault="00A16BC0" w:rsidP="00A16BC0">
            <w:pPr>
              <w:spacing w:before="20" w:after="20"/>
              <w:jc w:val="center"/>
              <w:rPr>
                <w:sz w:val="20"/>
                <w:szCs w:val="20"/>
              </w:rPr>
            </w:pPr>
            <w:r>
              <w:rPr>
                <w:sz w:val="20"/>
                <w:szCs w:val="20"/>
              </w:rPr>
              <w:t>37%</w:t>
            </w:r>
          </w:p>
        </w:tc>
        <w:tc>
          <w:tcPr>
            <w:tcW w:w="1128" w:type="dxa"/>
            <w:shd w:val="clear" w:color="auto" w:fill="auto"/>
            <w:vAlign w:val="center"/>
          </w:tcPr>
          <w:p w14:paraId="15B2256B" w14:textId="5F0731EB" w:rsidR="00A16BC0" w:rsidRPr="00236E94" w:rsidRDefault="00A16BC0" w:rsidP="00A16BC0">
            <w:pPr>
              <w:spacing w:before="20" w:after="20"/>
              <w:jc w:val="center"/>
              <w:rPr>
                <w:sz w:val="20"/>
                <w:szCs w:val="20"/>
              </w:rPr>
            </w:pPr>
            <w:r>
              <w:rPr>
                <w:rFonts w:cs="Arial"/>
                <w:sz w:val="20"/>
                <w:szCs w:val="20"/>
              </w:rPr>
              <w:t>58</w:t>
            </w:r>
            <w:r w:rsidRPr="00236E94">
              <w:rPr>
                <w:rFonts w:cs="Arial"/>
                <w:sz w:val="20"/>
                <w:szCs w:val="20"/>
              </w:rPr>
              <w:t xml:space="preserve"> </w:t>
            </w:r>
          </w:p>
        </w:tc>
        <w:tc>
          <w:tcPr>
            <w:tcW w:w="1152" w:type="dxa"/>
            <w:vAlign w:val="center"/>
          </w:tcPr>
          <w:p w14:paraId="4DA6CDCA" w14:textId="220367F3" w:rsidR="00A16BC0" w:rsidRPr="00236E94" w:rsidRDefault="00A16BC0" w:rsidP="00A16BC0">
            <w:pPr>
              <w:spacing w:before="20" w:after="20"/>
              <w:jc w:val="center"/>
              <w:rPr>
                <w:rFonts w:cs="Arial"/>
                <w:sz w:val="20"/>
                <w:szCs w:val="20"/>
              </w:rPr>
            </w:pPr>
            <w:r>
              <w:rPr>
                <w:rFonts w:cs="Arial"/>
                <w:sz w:val="20"/>
                <w:szCs w:val="20"/>
              </w:rPr>
              <w:t>16,</w:t>
            </w:r>
            <w:r w:rsidR="0051468A">
              <w:rPr>
                <w:rFonts w:cs="Arial"/>
                <w:sz w:val="20"/>
                <w:szCs w:val="20"/>
              </w:rPr>
              <w:t>609</w:t>
            </w:r>
            <w:r>
              <w:rPr>
                <w:rFonts w:cs="Arial"/>
                <w:sz w:val="20"/>
                <w:szCs w:val="20"/>
              </w:rPr>
              <w:t xml:space="preserve"> Btu</w:t>
            </w:r>
          </w:p>
        </w:tc>
        <w:tc>
          <w:tcPr>
            <w:tcW w:w="3888" w:type="dxa"/>
            <w:vMerge/>
            <w:vAlign w:val="center"/>
          </w:tcPr>
          <w:p w14:paraId="15041825" w14:textId="6F0F6647" w:rsidR="00A16BC0" w:rsidRPr="003D5B2A" w:rsidRDefault="00A16BC0" w:rsidP="00A16BC0">
            <w:pPr>
              <w:spacing w:before="20" w:after="20"/>
              <w:rPr>
                <w:rFonts w:cs="Arial"/>
                <w:color w:val="FF0000"/>
                <w:sz w:val="20"/>
                <w:szCs w:val="20"/>
              </w:rPr>
            </w:pPr>
          </w:p>
        </w:tc>
      </w:tr>
    </w:tbl>
    <w:p w14:paraId="70ACD942" w14:textId="77777777" w:rsidR="00710C92" w:rsidRPr="00C97228" w:rsidRDefault="00710C92" w:rsidP="00C97228"/>
    <w:p w14:paraId="3217B476" w14:textId="77777777" w:rsidR="007D230B" w:rsidRPr="00171BB8" w:rsidRDefault="007D230B" w:rsidP="00741F76">
      <w:pPr>
        <w:pStyle w:val="eTRMHeading3"/>
        <w:keepNext w:val="0"/>
        <w:keepLines w:val="0"/>
      </w:pPr>
      <w:bookmarkStart w:id="18" w:name="_Toc486490850"/>
      <w:bookmarkStart w:id="19" w:name="_Toc486580921"/>
      <w:bookmarkStart w:id="20" w:name="_Toc528684427"/>
      <w:r w:rsidRPr="004B06E3">
        <w:t>Code Requirements</w:t>
      </w:r>
      <w:bookmarkEnd w:id="18"/>
      <w:bookmarkEnd w:id="19"/>
      <w:bookmarkEnd w:id="20"/>
    </w:p>
    <w:p w14:paraId="5272D388" w14:textId="6F2EC124" w:rsidR="00F511F7" w:rsidRPr="00CF6A4B" w:rsidRDefault="00F511F7" w:rsidP="00741F76">
      <w:pPr>
        <w:rPr>
          <w:rFonts w:cs="Arial"/>
          <w:szCs w:val="22"/>
        </w:rPr>
      </w:pPr>
      <w:r w:rsidRPr="00CF6A4B">
        <w:rPr>
          <w:rFonts w:cs="Arial"/>
          <w:szCs w:val="22"/>
        </w:rPr>
        <w:t xml:space="preserve">This measure is not governed by either state or federal codes and standards.  </w:t>
      </w:r>
    </w:p>
    <w:p w14:paraId="1A29D8E2" w14:textId="1C40B183" w:rsidR="00F511F7" w:rsidRDefault="00F511F7" w:rsidP="00AC5795">
      <w:pPr>
        <w:pStyle w:val="Caption"/>
      </w:pPr>
      <w:bookmarkStart w:id="21" w:name="_Hlk526760314"/>
      <w:r>
        <w:t xml:space="preserve">Applicable State and Federal </w:t>
      </w:r>
      <w:r w:rsidRPr="00CD6698">
        <w:t>Code</w:t>
      </w:r>
      <w:r>
        <w:t>s and Standards</w:t>
      </w:r>
      <w:r w:rsidRPr="002C39E3">
        <w:t xml:space="preserve"> </w:t>
      </w:r>
      <w:bookmarkEnd w:id="21"/>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80"/>
        <w:gridCol w:w="2430"/>
        <w:gridCol w:w="2137"/>
      </w:tblGrid>
      <w:tr w:rsidR="004271B3" w:rsidRPr="00154391" w14:paraId="69643414" w14:textId="77777777" w:rsidTr="00B5189A">
        <w:trPr>
          <w:trHeight w:val="20"/>
        </w:trPr>
        <w:tc>
          <w:tcPr>
            <w:tcW w:w="4680" w:type="dxa"/>
            <w:shd w:val="clear" w:color="auto" w:fill="F2F2F2" w:themeFill="background1" w:themeFillShade="F2"/>
            <w:vAlign w:val="bottom"/>
          </w:tcPr>
          <w:p w14:paraId="52720CB9" w14:textId="77777777" w:rsidR="00F511F7" w:rsidRPr="00154391" w:rsidRDefault="00F511F7" w:rsidP="00B5189A">
            <w:pPr>
              <w:spacing w:before="20" w:after="20"/>
              <w:rPr>
                <w:b/>
                <w:sz w:val="20"/>
                <w:szCs w:val="20"/>
              </w:rPr>
            </w:pPr>
            <w:r w:rsidRPr="0079498E">
              <w:rPr>
                <w:b/>
                <w:sz w:val="20"/>
              </w:rPr>
              <w:t>Code</w:t>
            </w:r>
          </w:p>
        </w:tc>
        <w:tc>
          <w:tcPr>
            <w:tcW w:w="2430" w:type="dxa"/>
            <w:shd w:val="clear" w:color="auto" w:fill="F2F2F2" w:themeFill="background1" w:themeFillShade="F2"/>
            <w:vAlign w:val="bottom"/>
          </w:tcPr>
          <w:p w14:paraId="7C5EFF01" w14:textId="77777777" w:rsidR="00F511F7" w:rsidRPr="00154391" w:rsidRDefault="00F511F7" w:rsidP="00B5189A">
            <w:pPr>
              <w:spacing w:before="20" w:after="20"/>
              <w:jc w:val="center"/>
              <w:rPr>
                <w:b/>
                <w:sz w:val="20"/>
                <w:szCs w:val="20"/>
              </w:rPr>
            </w:pPr>
            <w:r w:rsidRPr="0079498E">
              <w:rPr>
                <w:b/>
                <w:sz w:val="20"/>
              </w:rPr>
              <w:t>Applicable Code Reference</w:t>
            </w:r>
          </w:p>
        </w:tc>
        <w:tc>
          <w:tcPr>
            <w:tcW w:w="2137" w:type="dxa"/>
            <w:shd w:val="clear" w:color="auto" w:fill="F2F2F2" w:themeFill="background1" w:themeFillShade="F2"/>
            <w:vAlign w:val="bottom"/>
          </w:tcPr>
          <w:p w14:paraId="6369B57C" w14:textId="77777777" w:rsidR="00F511F7" w:rsidRPr="00154391" w:rsidRDefault="00F511F7" w:rsidP="00B5189A">
            <w:pPr>
              <w:spacing w:before="20" w:after="20"/>
              <w:jc w:val="center"/>
              <w:rPr>
                <w:b/>
                <w:sz w:val="20"/>
                <w:szCs w:val="20"/>
              </w:rPr>
            </w:pPr>
            <w:r w:rsidRPr="0079498E">
              <w:rPr>
                <w:b/>
                <w:sz w:val="20"/>
              </w:rPr>
              <w:t>Effective Date</w:t>
            </w:r>
          </w:p>
        </w:tc>
      </w:tr>
      <w:tr w:rsidR="004271B3" w:rsidRPr="00FB030E" w14:paraId="2372D8B0" w14:textId="77777777" w:rsidTr="00B5189A">
        <w:trPr>
          <w:trHeight w:val="20"/>
        </w:trPr>
        <w:tc>
          <w:tcPr>
            <w:tcW w:w="4680" w:type="dxa"/>
            <w:shd w:val="clear" w:color="auto" w:fill="auto"/>
            <w:vAlign w:val="center"/>
          </w:tcPr>
          <w:p w14:paraId="442EE1E5" w14:textId="43C69B3E" w:rsidR="00F511F7" w:rsidRPr="00465611" w:rsidRDefault="00F511F7" w:rsidP="00B5189A">
            <w:pPr>
              <w:spacing w:before="20" w:after="20"/>
              <w:rPr>
                <w:sz w:val="20"/>
                <w:szCs w:val="20"/>
              </w:rPr>
            </w:pPr>
            <w:r w:rsidRPr="00465611">
              <w:rPr>
                <w:sz w:val="20"/>
              </w:rPr>
              <w:t xml:space="preserve">CA Appliance Efficiency Regulations – Title 20 </w:t>
            </w:r>
          </w:p>
        </w:tc>
        <w:tc>
          <w:tcPr>
            <w:tcW w:w="2430" w:type="dxa"/>
            <w:shd w:val="clear" w:color="auto" w:fill="auto"/>
            <w:vAlign w:val="center"/>
          </w:tcPr>
          <w:p w14:paraId="559CE6FB"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F560E63" w14:textId="77777777" w:rsidR="00F511F7" w:rsidRPr="00FB030E" w:rsidRDefault="00F511F7" w:rsidP="00B5189A">
            <w:pPr>
              <w:spacing w:before="20" w:after="20"/>
              <w:jc w:val="center"/>
              <w:rPr>
                <w:sz w:val="20"/>
                <w:szCs w:val="20"/>
              </w:rPr>
            </w:pPr>
            <w:r>
              <w:rPr>
                <w:sz w:val="20"/>
              </w:rPr>
              <w:t>n/a</w:t>
            </w:r>
          </w:p>
        </w:tc>
      </w:tr>
      <w:tr w:rsidR="004271B3" w:rsidRPr="00FB030E" w14:paraId="38FDFF11" w14:textId="77777777" w:rsidTr="00B5189A">
        <w:trPr>
          <w:trHeight w:val="20"/>
        </w:trPr>
        <w:tc>
          <w:tcPr>
            <w:tcW w:w="4680" w:type="dxa"/>
            <w:shd w:val="clear" w:color="auto" w:fill="auto"/>
            <w:vAlign w:val="center"/>
          </w:tcPr>
          <w:p w14:paraId="07EFA0FF" w14:textId="353E6A99" w:rsidR="00F511F7" w:rsidRPr="00465611" w:rsidRDefault="00F511F7" w:rsidP="00B5189A">
            <w:pPr>
              <w:spacing w:before="20" w:after="20"/>
              <w:rPr>
                <w:sz w:val="20"/>
                <w:szCs w:val="20"/>
              </w:rPr>
            </w:pPr>
            <w:r w:rsidRPr="00465611">
              <w:rPr>
                <w:sz w:val="20"/>
              </w:rPr>
              <w:t xml:space="preserve">CA Building Energy Efficiency Standards – Title 24 </w:t>
            </w:r>
          </w:p>
        </w:tc>
        <w:tc>
          <w:tcPr>
            <w:tcW w:w="2430" w:type="dxa"/>
            <w:shd w:val="clear" w:color="auto" w:fill="auto"/>
            <w:vAlign w:val="center"/>
          </w:tcPr>
          <w:p w14:paraId="0F000DF0"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1023659D" w14:textId="77777777" w:rsidR="00F511F7" w:rsidRPr="00FB030E" w:rsidRDefault="00F511F7" w:rsidP="00B5189A">
            <w:pPr>
              <w:spacing w:before="20" w:after="20"/>
              <w:jc w:val="center"/>
              <w:rPr>
                <w:sz w:val="20"/>
                <w:szCs w:val="20"/>
              </w:rPr>
            </w:pPr>
            <w:r>
              <w:rPr>
                <w:sz w:val="20"/>
              </w:rPr>
              <w:t>n/a</w:t>
            </w:r>
          </w:p>
        </w:tc>
      </w:tr>
      <w:tr w:rsidR="004271B3" w:rsidRPr="00FB030E" w14:paraId="0D3EF3F6" w14:textId="77777777" w:rsidTr="00B5189A">
        <w:trPr>
          <w:trHeight w:val="20"/>
        </w:trPr>
        <w:tc>
          <w:tcPr>
            <w:tcW w:w="4680" w:type="dxa"/>
            <w:shd w:val="clear" w:color="auto" w:fill="auto"/>
            <w:vAlign w:val="center"/>
          </w:tcPr>
          <w:p w14:paraId="032F1083" w14:textId="77777777" w:rsidR="00F511F7" w:rsidRDefault="00F511F7" w:rsidP="00B5189A">
            <w:pPr>
              <w:spacing w:before="20" w:after="20"/>
              <w:rPr>
                <w:sz w:val="20"/>
                <w:szCs w:val="20"/>
              </w:rPr>
            </w:pPr>
            <w:r w:rsidRPr="0079498E">
              <w:rPr>
                <w:sz w:val="20"/>
              </w:rPr>
              <w:t>Federal Standards</w:t>
            </w:r>
          </w:p>
        </w:tc>
        <w:tc>
          <w:tcPr>
            <w:tcW w:w="2430" w:type="dxa"/>
            <w:shd w:val="clear" w:color="auto" w:fill="auto"/>
            <w:vAlign w:val="center"/>
          </w:tcPr>
          <w:p w14:paraId="3F992331" w14:textId="77777777" w:rsidR="00F511F7" w:rsidRPr="00FB030E" w:rsidRDefault="00F511F7" w:rsidP="00B5189A">
            <w:pPr>
              <w:spacing w:before="20" w:after="20"/>
              <w:jc w:val="center"/>
              <w:rPr>
                <w:sz w:val="20"/>
                <w:szCs w:val="20"/>
              </w:rPr>
            </w:pPr>
            <w:r>
              <w:rPr>
                <w:sz w:val="20"/>
              </w:rPr>
              <w:t>None.</w:t>
            </w:r>
          </w:p>
        </w:tc>
        <w:tc>
          <w:tcPr>
            <w:tcW w:w="2137" w:type="dxa"/>
            <w:shd w:val="clear" w:color="auto" w:fill="auto"/>
            <w:vAlign w:val="center"/>
          </w:tcPr>
          <w:p w14:paraId="70E7F215" w14:textId="77777777" w:rsidR="00F511F7" w:rsidRPr="00FB030E" w:rsidRDefault="00F511F7" w:rsidP="00B5189A">
            <w:pPr>
              <w:spacing w:before="20" w:after="20"/>
              <w:jc w:val="center"/>
              <w:rPr>
                <w:sz w:val="20"/>
                <w:szCs w:val="20"/>
              </w:rPr>
            </w:pPr>
            <w:r>
              <w:rPr>
                <w:sz w:val="20"/>
              </w:rPr>
              <w:t>n/a</w:t>
            </w:r>
          </w:p>
        </w:tc>
      </w:tr>
    </w:tbl>
    <w:p w14:paraId="4321E03C" w14:textId="77777777" w:rsidR="00F511F7" w:rsidRDefault="00F511F7" w:rsidP="00F511F7"/>
    <w:p w14:paraId="2E130E37" w14:textId="77777777" w:rsidR="00A51CF3" w:rsidRDefault="00A51CF3" w:rsidP="00A51CF3">
      <w:r w:rsidRPr="001A1622">
        <w:t xml:space="preserve">This </w:t>
      </w:r>
      <w:r>
        <w:t>measure specification follows the</w:t>
      </w:r>
      <w:r w:rsidRPr="001A1622">
        <w:t xml:space="preserve"> </w:t>
      </w:r>
      <w:r w:rsidRPr="006C0102">
        <w:t xml:space="preserve">American Society for Testing and Materials </w:t>
      </w:r>
      <w:r>
        <w:t>(</w:t>
      </w:r>
      <w:r w:rsidRPr="001A1622">
        <w:t>ASTM</w:t>
      </w:r>
      <w:r>
        <w:t>)</w:t>
      </w:r>
      <w:r w:rsidRPr="001A1622">
        <w:t xml:space="preserve"> Standard Test Method for the Performance of Open Deep Fat Fryers (F1361)</w:t>
      </w:r>
      <w:r>
        <w:rPr>
          <w:rStyle w:val="FootnoteReference"/>
        </w:rPr>
        <w:footnoteReference w:id="5"/>
      </w:r>
      <w:r>
        <w:t xml:space="preserve"> </w:t>
      </w:r>
      <w:r w:rsidRPr="001A1622">
        <w:t>and the ASTM Standard Test Method for the Performance of Large Vat Fryers (F2144)</w:t>
      </w:r>
      <w:r>
        <w:rPr>
          <w:rStyle w:val="FootnoteReference"/>
        </w:rPr>
        <w:footnoteReference w:id="6"/>
      </w:r>
      <w:r>
        <w:t xml:space="preserve"> </w:t>
      </w:r>
      <w:r w:rsidRPr="001A1622">
        <w:t>for calculation of energy use and demand, based on testing in an approved and qualified laboratory.</w:t>
      </w:r>
    </w:p>
    <w:p w14:paraId="08B7D13A" w14:textId="77777777" w:rsidR="007B1423" w:rsidRPr="00465611" w:rsidRDefault="007B1423" w:rsidP="00F511F7"/>
    <w:p w14:paraId="0EE24988" w14:textId="77777777" w:rsidR="007D230B" w:rsidRPr="00171BB8" w:rsidRDefault="007D230B" w:rsidP="0049281A">
      <w:pPr>
        <w:pStyle w:val="eTRMHeading3"/>
      </w:pPr>
      <w:bookmarkStart w:id="22" w:name="_Toc486490851"/>
      <w:bookmarkStart w:id="23" w:name="_Toc486580922"/>
      <w:bookmarkStart w:id="24" w:name="_Toc528684428"/>
      <w:r w:rsidRPr="00A83458">
        <w:t>Normalizing</w:t>
      </w:r>
      <w:r w:rsidRPr="00171BB8">
        <w:t xml:space="preserve"> Unit</w:t>
      </w:r>
      <w:bookmarkEnd w:id="22"/>
      <w:bookmarkEnd w:id="23"/>
      <w:bookmarkEnd w:id="24"/>
    </w:p>
    <w:p w14:paraId="1A2BA75F" w14:textId="24AC3C00" w:rsidR="00127B06" w:rsidRDefault="00127B06" w:rsidP="00486585">
      <w:r>
        <w:t>Each (fryer)</w:t>
      </w:r>
      <w:r w:rsidR="00390B98">
        <w:t>.</w:t>
      </w:r>
    </w:p>
    <w:p w14:paraId="17C0AD7F" w14:textId="77777777" w:rsidR="00127B06" w:rsidRPr="007D230B" w:rsidRDefault="00127B06" w:rsidP="00486585"/>
    <w:p w14:paraId="55CCADA3" w14:textId="77777777" w:rsidR="007D230B" w:rsidRPr="004B06E3" w:rsidRDefault="007D230B" w:rsidP="0049281A">
      <w:pPr>
        <w:pStyle w:val="eTRMHeading3"/>
      </w:pPr>
      <w:bookmarkStart w:id="25" w:name="_Toc486490852"/>
      <w:bookmarkStart w:id="26" w:name="_Toc486580923"/>
      <w:bookmarkStart w:id="27" w:name="_Toc528684429"/>
      <w:r w:rsidRPr="004B06E3">
        <w:t>Program Requirements</w:t>
      </w:r>
      <w:bookmarkEnd w:id="25"/>
      <w:bookmarkEnd w:id="26"/>
      <w:bookmarkEnd w:id="27"/>
      <w:r w:rsidRPr="004B06E3">
        <w:t xml:space="preserve"> </w:t>
      </w:r>
    </w:p>
    <w:p w14:paraId="7C033B4A" w14:textId="77777777" w:rsidR="00FB6E18" w:rsidRDefault="00FB6E18" w:rsidP="00FB6E18">
      <w:pPr>
        <w:pStyle w:val="eTRMHeading5"/>
        <w:keepNext/>
        <w:keepLines/>
      </w:pPr>
      <w:r>
        <w:t>Measure Implementation Eligibility</w:t>
      </w:r>
    </w:p>
    <w:p w14:paraId="23068FD4" w14:textId="77777777" w:rsidR="00FB6E18" w:rsidRDefault="00FB6E18" w:rsidP="00FB6E18">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4DC87AED" w14:textId="010647B4" w:rsidR="00900086" w:rsidRDefault="00FB6E18" w:rsidP="00FB6E18">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8F964D5" w14:textId="77777777" w:rsidR="00900086" w:rsidRDefault="00900086">
      <w:pPr>
        <w:spacing w:before="0" w:after="0" w:line="240" w:lineRule="auto"/>
        <w:rPr>
          <w:i/>
        </w:rPr>
      </w:pPr>
      <w:r>
        <w:rPr>
          <w:i/>
        </w:rPr>
        <w:br w:type="page"/>
      </w:r>
    </w:p>
    <w:p w14:paraId="63279830" w14:textId="77777777" w:rsidR="00FB6E18" w:rsidRPr="00CC4643" w:rsidRDefault="00FB6E18" w:rsidP="00FB6E18">
      <w:pPr>
        <w:rPr>
          <w:i/>
        </w:rPr>
      </w:pPr>
    </w:p>
    <w:p w14:paraId="1F20B7CE" w14:textId="77777777" w:rsidR="00FB6E18" w:rsidRDefault="00FB6E18" w:rsidP="00AC5795">
      <w:pPr>
        <w:pStyle w:val="Caption"/>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FB6E18" w14:paraId="5EC5D761" w14:textId="77777777" w:rsidTr="00CB6832">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5382E48" w14:textId="77777777" w:rsidR="00FB6E18" w:rsidRPr="00830614" w:rsidRDefault="00FB6E18" w:rsidP="00CB6832">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7544ED5" w14:textId="77777777" w:rsidR="00FB6E18" w:rsidRPr="00830614" w:rsidRDefault="00FB6E18" w:rsidP="00CB6832">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8611095" w14:textId="77777777" w:rsidR="00FB6E18" w:rsidRPr="00830614" w:rsidRDefault="00FB6E18" w:rsidP="00CB6832">
            <w:pPr>
              <w:spacing w:before="0" w:after="0" w:line="240" w:lineRule="exact"/>
              <w:rPr>
                <w:b/>
                <w:bCs/>
                <w:sz w:val="20"/>
                <w:szCs w:val="20"/>
              </w:rPr>
            </w:pPr>
            <w:r w:rsidRPr="00830614">
              <w:rPr>
                <w:b/>
                <w:bCs/>
                <w:sz w:val="20"/>
                <w:szCs w:val="20"/>
              </w:rPr>
              <w:t>Sector</w:t>
            </w:r>
          </w:p>
        </w:tc>
      </w:tr>
      <w:tr w:rsidR="00FB6E18" w14:paraId="4E962B22"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E4875E"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2A06E6" w14:textId="3D2775D1"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579905"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Ag</w:t>
            </w:r>
          </w:p>
        </w:tc>
      </w:tr>
      <w:tr w:rsidR="00FB6E18" w14:paraId="6734334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019AC7"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9BC5EB" w14:textId="2DDFA0B4"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04AB80"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Ind</w:t>
            </w:r>
          </w:p>
        </w:tc>
      </w:tr>
      <w:tr w:rsidR="00FB6E18" w14:paraId="409AD1CD"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9F11DD"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7D2F89" w14:textId="7724E1B2" w:rsidR="00FB6E18" w:rsidRPr="00830614" w:rsidRDefault="0010117E" w:rsidP="00CB6832">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959C53"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Com</w:t>
            </w:r>
          </w:p>
        </w:tc>
      </w:tr>
      <w:tr w:rsidR="00FB6E18" w14:paraId="038AFA47"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6F816A"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6C4851D" w14:textId="5CF34E5E"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339FED"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Ag</w:t>
            </w:r>
          </w:p>
        </w:tc>
      </w:tr>
      <w:tr w:rsidR="00FB6E18" w14:paraId="38F8A83C"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B02B98"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28529BA" w14:textId="7D124AC8"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99EB7A9"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Ind</w:t>
            </w:r>
          </w:p>
        </w:tc>
      </w:tr>
      <w:tr w:rsidR="00FB6E18" w14:paraId="7485CBAE"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65AD778"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08EFFB" w14:textId="41CBC44E" w:rsidR="00FB6E18" w:rsidRPr="00830614" w:rsidRDefault="0010117E" w:rsidP="00CB6832">
            <w:pPr>
              <w:spacing w:before="0" w:after="0" w:line="240" w:lineRule="exact"/>
              <w:rPr>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EB64C6" w14:textId="77777777" w:rsidR="00FB6E18" w:rsidRPr="00830614" w:rsidRDefault="00FB6E18" w:rsidP="00CB6832">
            <w:pPr>
              <w:spacing w:before="0" w:after="0" w:line="240" w:lineRule="exact"/>
              <w:rPr>
                <w:color w:val="000000"/>
                <w:sz w:val="20"/>
                <w:szCs w:val="20"/>
              </w:rPr>
            </w:pPr>
            <w:r w:rsidRPr="00830614">
              <w:rPr>
                <w:rFonts w:cs="Calibri Light"/>
                <w:color w:val="000000"/>
                <w:sz w:val="20"/>
                <w:szCs w:val="20"/>
              </w:rPr>
              <w:t>Com</w:t>
            </w:r>
          </w:p>
        </w:tc>
      </w:tr>
      <w:tr w:rsidR="00FB6E18" w14:paraId="2DC80617"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BE3C48D"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F83640" w14:textId="4136C2AC"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463E11"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58F86E64"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D9E7A31"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C2A1D5" w14:textId="6CD70E42"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CC7684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7212FEB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DAFE32B"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AAD796" w14:textId="114AE8A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1D9613"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1F2B68D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C62286"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4275C99" w14:textId="0A3A9B1C"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5184567"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29CD999D"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F62EE6E"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61CD5F" w14:textId="055D252B"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10A66E"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10CC19E2"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F8AD2BB"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C340B4" w14:textId="6167A4B2"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C95FB08"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0E7EB750"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099A85"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798242" w14:textId="6026398D"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8702AF"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29677A63"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E4B3355"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FD115C" w14:textId="357AB6F5"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88FA2DB"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35E8ACBC"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CEDEBE" w14:textId="77777777" w:rsidR="00FB6E18" w:rsidRPr="00830614" w:rsidRDefault="00FB6E18" w:rsidP="00CB683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43CA07" w14:textId="3FC99B9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BAA78C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r w:rsidR="00FB6E18" w14:paraId="00B40B94"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37697C"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D694EE" w14:textId="3462A761"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1C7B54"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Ag</w:t>
            </w:r>
          </w:p>
        </w:tc>
      </w:tr>
      <w:tr w:rsidR="00FB6E18" w14:paraId="78BAA7A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62CD9E0"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1AF2730" w14:textId="47BBFE91"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77F4659"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Ind</w:t>
            </w:r>
          </w:p>
        </w:tc>
      </w:tr>
      <w:tr w:rsidR="00FB6E18" w14:paraId="79E4665F" w14:textId="77777777" w:rsidTr="00CB683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BFDF3C" w14:textId="77777777" w:rsidR="00FB6E18" w:rsidRPr="00830614" w:rsidRDefault="00FB6E18" w:rsidP="00CB683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AE3C19B" w14:textId="1221E1B6" w:rsidR="00FB6E18" w:rsidRPr="00830614" w:rsidRDefault="0010117E" w:rsidP="00CB6832">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875C16" w14:textId="77777777" w:rsidR="00FB6E18" w:rsidRPr="00830614" w:rsidRDefault="00FB6E18" w:rsidP="00CB6832">
            <w:pPr>
              <w:spacing w:before="0" w:after="0" w:line="240" w:lineRule="exact"/>
              <w:rPr>
                <w:rFonts w:cs="Calibri Light"/>
                <w:color w:val="000000"/>
                <w:sz w:val="20"/>
                <w:szCs w:val="20"/>
              </w:rPr>
            </w:pPr>
            <w:r w:rsidRPr="00830614">
              <w:rPr>
                <w:rFonts w:cs="Calibri Light"/>
                <w:color w:val="000000"/>
                <w:sz w:val="20"/>
                <w:szCs w:val="20"/>
              </w:rPr>
              <w:t>Com</w:t>
            </w:r>
          </w:p>
        </w:tc>
      </w:tr>
    </w:tbl>
    <w:p w14:paraId="0A142F0E" w14:textId="77777777" w:rsidR="00FB6E18" w:rsidRDefault="00FB6E18" w:rsidP="00FB6E18"/>
    <w:p w14:paraId="282E3184" w14:textId="1E713625" w:rsidR="00AA46AF" w:rsidRDefault="00196649" w:rsidP="00154391">
      <w:pPr>
        <w:pStyle w:val="eTRMHeading5"/>
      </w:pPr>
      <w:r>
        <w:t>Eligible Products</w:t>
      </w:r>
    </w:p>
    <w:p w14:paraId="0F2E4CA1" w14:textId="21AEFD68" w:rsidR="00564A6A" w:rsidRDefault="00564A6A" w:rsidP="00564A6A">
      <w:r w:rsidRPr="0005763B">
        <w:rPr>
          <w:rFonts w:cs="Arial"/>
          <w:szCs w:val="22"/>
        </w:rPr>
        <w:t xml:space="preserve">This measure includes new commercial </w:t>
      </w:r>
      <w:r>
        <w:rPr>
          <w:rFonts w:cs="Arial"/>
          <w:szCs w:val="22"/>
        </w:rPr>
        <w:t>fryers</w:t>
      </w:r>
      <w:r w:rsidR="007B1423">
        <w:rPr>
          <w:rFonts w:cs="Arial"/>
          <w:szCs w:val="22"/>
        </w:rPr>
        <w:t xml:space="preserve"> that are ENERGY STAR-</w:t>
      </w:r>
      <w:r w:rsidRPr="0005763B">
        <w:rPr>
          <w:rFonts w:cs="Arial"/>
          <w:szCs w:val="22"/>
        </w:rPr>
        <w:t>qualified</w:t>
      </w:r>
      <w:r w:rsidR="002C546D">
        <w:rPr>
          <w:rStyle w:val="FootnoteReference"/>
          <w:rFonts w:cs="Arial"/>
          <w:szCs w:val="22"/>
        </w:rPr>
        <w:footnoteReference w:id="7"/>
      </w:r>
      <w:r w:rsidRPr="0005763B">
        <w:rPr>
          <w:rFonts w:cs="Arial"/>
          <w:szCs w:val="22"/>
        </w:rPr>
        <w:t xml:space="preserve"> or meet the qua</w:t>
      </w:r>
      <w:r>
        <w:rPr>
          <w:rFonts w:cs="Arial"/>
          <w:szCs w:val="22"/>
        </w:rPr>
        <w:t xml:space="preserve">lifications </w:t>
      </w:r>
      <w:r w:rsidR="002F4E09">
        <w:rPr>
          <w:rFonts w:cs="Arial"/>
          <w:szCs w:val="22"/>
        </w:rPr>
        <w:t>in the Measure Case Description.</w:t>
      </w:r>
      <w:r>
        <w:t xml:space="preserve"> </w:t>
      </w:r>
    </w:p>
    <w:p w14:paraId="778AE7DB" w14:textId="77777777" w:rsidR="00891092" w:rsidRDefault="00891092" w:rsidP="00AC5795">
      <w:pPr>
        <w:pStyle w:val="Caption"/>
      </w:pPr>
      <w:r>
        <w:t>Eligibility Requirements</w:t>
      </w:r>
    </w:p>
    <w:tbl>
      <w:tblPr>
        <w:tblW w:w="93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1255"/>
        <w:gridCol w:w="2019"/>
        <w:gridCol w:w="1401"/>
        <w:gridCol w:w="1890"/>
        <w:gridCol w:w="2745"/>
      </w:tblGrid>
      <w:tr w:rsidR="00891092" w:rsidRPr="00320142" w14:paraId="29249E7E" w14:textId="77777777" w:rsidTr="00FC0C17">
        <w:trPr>
          <w:trHeight w:val="16"/>
        </w:trPr>
        <w:tc>
          <w:tcPr>
            <w:tcW w:w="1255" w:type="dxa"/>
            <w:shd w:val="clear" w:color="auto" w:fill="F2F2F2" w:themeFill="background1" w:themeFillShade="F2"/>
            <w:vAlign w:val="bottom"/>
          </w:tcPr>
          <w:p w14:paraId="26EDAEAD" w14:textId="1422EDDB" w:rsidR="00891092" w:rsidRPr="00320142" w:rsidRDefault="00C74886" w:rsidP="00BB3B0A">
            <w:pPr>
              <w:keepNext/>
              <w:keepLines/>
              <w:spacing w:before="20" w:after="20"/>
              <w:jc w:val="center"/>
              <w:rPr>
                <w:b/>
                <w:sz w:val="20"/>
              </w:rPr>
            </w:pPr>
            <w:r>
              <w:rPr>
                <w:b/>
                <w:sz w:val="20"/>
              </w:rPr>
              <w:t>Fuel</w:t>
            </w:r>
            <w:r w:rsidR="00891092" w:rsidRPr="00320142">
              <w:rPr>
                <w:b/>
                <w:sz w:val="20"/>
              </w:rPr>
              <w:t xml:space="preserve"> Type</w:t>
            </w:r>
          </w:p>
        </w:tc>
        <w:tc>
          <w:tcPr>
            <w:tcW w:w="2019" w:type="dxa"/>
            <w:shd w:val="clear" w:color="auto" w:fill="F2F2F2" w:themeFill="background1" w:themeFillShade="F2"/>
            <w:vAlign w:val="bottom"/>
          </w:tcPr>
          <w:p w14:paraId="0752EEE7" w14:textId="37D7CE73" w:rsidR="00891092" w:rsidRPr="00320142" w:rsidRDefault="00C74886" w:rsidP="00BB3B0A">
            <w:pPr>
              <w:keepNext/>
              <w:keepLines/>
              <w:spacing w:before="20" w:after="20"/>
              <w:jc w:val="center"/>
              <w:rPr>
                <w:b/>
                <w:sz w:val="20"/>
              </w:rPr>
            </w:pPr>
            <w:r>
              <w:rPr>
                <w:b/>
                <w:sz w:val="20"/>
              </w:rPr>
              <w:t>Fryer Type</w:t>
            </w:r>
          </w:p>
        </w:tc>
        <w:tc>
          <w:tcPr>
            <w:tcW w:w="1401" w:type="dxa"/>
            <w:shd w:val="clear" w:color="auto" w:fill="F2F2F2" w:themeFill="background1" w:themeFillShade="F2"/>
          </w:tcPr>
          <w:p w14:paraId="13A3D569" w14:textId="1DF08168" w:rsidR="00891092" w:rsidRDefault="00BB4958" w:rsidP="00BB3B0A">
            <w:pPr>
              <w:keepNext/>
              <w:keepLines/>
              <w:spacing w:before="20" w:after="20"/>
              <w:jc w:val="center"/>
              <w:rPr>
                <w:b/>
                <w:sz w:val="20"/>
              </w:rPr>
            </w:pPr>
            <w:r>
              <w:rPr>
                <w:b/>
                <w:sz w:val="20"/>
              </w:rPr>
              <w:t>Heavy-Load</w:t>
            </w:r>
            <w:r w:rsidR="00891092">
              <w:rPr>
                <w:b/>
                <w:sz w:val="20"/>
              </w:rPr>
              <w:t xml:space="preserve"> Cooking Efficiency</w:t>
            </w:r>
          </w:p>
        </w:tc>
        <w:tc>
          <w:tcPr>
            <w:tcW w:w="1890" w:type="dxa"/>
            <w:shd w:val="clear" w:color="auto" w:fill="F2F2F2" w:themeFill="background1" w:themeFillShade="F2"/>
            <w:vAlign w:val="bottom"/>
          </w:tcPr>
          <w:p w14:paraId="0F3EC72F" w14:textId="77777777" w:rsidR="00891092" w:rsidRDefault="00891092" w:rsidP="00BB3B0A">
            <w:pPr>
              <w:keepNext/>
              <w:keepLines/>
              <w:spacing w:before="20" w:after="20"/>
              <w:jc w:val="center"/>
              <w:rPr>
                <w:b/>
                <w:sz w:val="20"/>
              </w:rPr>
            </w:pPr>
            <w:r>
              <w:rPr>
                <w:b/>
                <w:sz w:val="20"/>
              </w:rPr>
              <w:t>Idle Energy Rate</w:t>
            </w:r>
          </w:p>
        </w:tc>
        <w:tc>
          <w:tcPr>
            <w:tcW w:w="2745" w:type="dxa"/>
            <w:shd w:val="clear" w:color="auto" w:fill="F2F2F2" w:themeFill="background1" w:themeFillShade="F2"/>
            <w:vAlign w:val="bottom"/>
          </w:tcPr>
          <w:p w14:paraId="766C05BA" w14:textId="77777777" w:rsidR="00891092" w:rsidRPr="00320142" w:rsidRDefault="00891092" w:rsidP="00BB3B0A">
            <w:pPr>
              <w:keepNext/>
              <w:keepLines/>
              <w:spacing w:before="20" w:after="20"/>
              <w:jc w:val="center"/>
              <w:rPr>
                <w:b/>
                <w:sz w:val="20"/>
              </w:rPr>
            </w:pPr>
            <w:r>
              <w:rPr>
                <w:b/>
                <w:sz w:val="20"/>
              </w:rPr>
              <w:t>Source</w:t>
            </w:r>
          </w:p>
        </w:tc>
      </w:tr>
      <w:tr w:rsidR="00891092" w:rsidRPr="00320142" w14:paraId="22E5654E" w14:textId="77777777" w:rsidTr="00FC0C17">
        <w:trPr>
          <w:trHeight w:val="243"/>
        </w:trPr>
        <w:tc>
          <w:tcPr>
            <w:tcW w:w="1255" w:type="dxa"/>
            <w:vMerge w:val="restart"/>
            <w:vAlign w:val="center"/>
          </w:tcPr>
          <w:p w14:paraId="7CE10D3B" w14:textId="77777777" w:rsidR="00891092" w:rsidRPr="00320142" w:rsidRDefault="00891092" w:rsidP="00BB3B0A">
            <w:pPr>
              <w:keepNext/>
              <w:keepLines/>
              <w:spacing w:before="20" w:after="20"/>
              <w:jc w:val="center"/>
              <w:rPr>
                <w:sz w:val="20"/>
              </w:rPr>
            </w:pPr>
            <w:r w:rsidRPr="00746227">
              <w:rPr>
                <w:sz w:val="20"/>
              </w:rPr>
              <w:t>Electric</w:t>
            </w:r>
          </w:p>
          <w:p w14:paraId="60C578E2" w14:textId="77777777" w:rsidR="00891092" w:rsidRPr="00320142" w:rsidRDefault="00891092" w:rsidP="00BB3B0A">
            <w:pPr>
              <w:keepNext/>
              <w:keepLines/>
              <w:spacing w:before="20" w:after="20"/>
              <w:jc w:val="center"/>
              <w:rPr>
                <w:sz w:val="20"/>
              </w:rPr>
            </w:pPr>
          </w:p>
        </w:tc>
        <w:tc>
          <w:tcPr>
            <w:tcW w:w="2019" w:type="dxa"/>
            <w:vAlign w:val="center"/>
          </w:tcPr>
          <w:p w14:paraId="12BB5809" w14:textId="3B6E0D0E" w:rsidR="00891092" w:rsidRPr="00341732" w:rsidRDefault="00C74886" w:rsidP="00BB3B0A">
            <w:pPr>
              <w:keepNext/>
              <w:keepLines/>
              <w:spacing w:before="20" w:after="20"/>
              <w:jc w:val="center"/>
              <w:rPr>
                <w:sz w:val="20"/>
                <w:szCs w:val="20"/>
              </w:rPr>
            </w:pPr>
            <w:r>
              <w:rPr>
                <w:sz w:val="20"/>
                <w:szCs w:val="20"/>
              </w:rPr>
              <w:t>Standard</w:t>
            </w:r>
          </w:p>
        </w:tc>
        <w:tc>
          <w:tcPr>
            <w:tcW w:w="1401" w:type="dxa"/>
            <w:vAlign w:val="center"/>
          </w:tcPr>
          <w:p w14:paraId="382D1442" w14:textId="08D59924" w:rsidR="00891092" w:rsidRPr="00341732" w:rsidRDefault="004236D2" w:rsidP="00BB3B0A">
            <w:pPr>
              <w:keepNext/>
              <w:keepLines/>
              <w:spacing w:before="20" w:after="20"/>
              <w:jc w:val="center"/>
              <w:rPr>
                <w:rFonts w:cs="Arial"/>
                <w:sz w:val="20"/>
                <w:szCs w:val="20"/>
              </w:rPr>
            </w:pPr>
            <w:r>
              <w:rPr>
                <w:rFonts w:cs="Calibri Light"/>
                <w:sz w:val="20"/>
                <w:szCs w:val="20"/>
              </w:rPr>
              <w:t>≥</w:t>
            </w:r>
            <w:r w:rsidR="00BB4958">
              <w:rPr>
                <w:sz w:val="20"/>
                <w:szCs w:val="20"/>
              </w:rPr>
              <w:t xml:space="preserve"> 83</w:t>
            </w:r>
            <w:r w:rsidR="00891092">
              <w:rPr>
                <w:sz w:val="20"/>
                <w:szCs w:val="20"/>
              </w:rPr>
              <w:t>%</w:t>
            </w:r>
          </w:p>
        </w:tc>
        <w:tc>
          <w:tcPr>
            <w:tcW w:w="1890" w:type="dxa"/>
            <w:vAlign w:val="center"/>
          </w:tcPr>
          <w:p w14:paraId="346EEA4A" w14:textId="7FCE067E" w:rsidR="00891092" w:rsidRPr="00341732" w:rsidRDefault="00BB4958" w:rsidP="00BB3B0A">
            <w:pPr>
              <w:keepNext/>
              <w:keepLines/>
              <w:spacing w:before="20" w:after="20"/>
              <w:jc w:val="center"/>
              <w:rPr>
                <w:rFonts w:cs="Arial"/>
                <w:sz w:val="20"/>
                <w:szCs w:val="20"/>
              </w:rPr>
            </w:pPr>
            <w:r>
              <w:rPr>
                <w:rFonts w:cs="Calibri Light"/>
                <w:sz w:val="20"/>
                <w:szCs w:val="20"/>
              </w:rPr>
              <w:t>≤</w:t>
            </w:r>
            <w:r w:rsidR="004236D2">
              <w:rPr>
                <w:rFonts w:cs="Calibri Light"/>
                <w:sz w:val="20"/>
                <w:szCs w:val="20"/>
              </w:rPr>
              <w:t xml:space="preserve"> </w:t>
            </w:r>
            <w:r>
              <w:rPr>
                <w:sz w:val="20"/>
                <w:szCs w:val="20"/>
              </w:rPr>
              <w:t xml:space="preserve">800 </w:t>
            </w:r>
            <w:r w:rsidR="00891092">
              <w:rPr>
                <w:sz w:val="20"/>
                <w:szCs w:val="20"/>
              </w:rPr>
              <w:t>Watts</w:t>
            </w:r>
          </w:p>
        </w:tc>
        <w:tc>
          <w:tcPr>
            <w:tcW w:w="2745" w:type="dxa"/>
            <w:vMerge w:val="restart"/>
            <w:vAlign w:val="center"/>
          </w:tcPr>
          <w:p w14:paraId="1E1EE935" w14:textId="229F6720" w:rsidR="00891092" w:rsidRPr="006A5FCB" w:rsidRDefault="00891092" w:rsidP="00BB3B0A">
            <w:pPr>
              <w:keepNext/>
              <w:keepLines/>
              <w:spacing w:before="20" w:after="20"/>
              <w:rPr>
                <w:rFonts w:cs="Arial"/>
                <w:sz w:val="18"/>
                <w:szCs w:val="20"/>
              </w:rPr>
            </w:pPr>
            <w:r w:rsidRPr="00D337EC">
              <w:rPr>
                <w:sz w:val="18"/>
                <w:szCs w:val="20"/>
              </w:rPr>
              <w:t>ENERGY STAR. 2</w:t>
            </w:r>
            <w:r w:rsidR="00C74886">
              <w:rPr>
                <w:sz w:val="18"/>
                <w:szCs w:val="20"/>
              </w:rPr>
              <w:t>015</w:t>
            </w:r>
            <w:r w:rsidRPr="00D337EC">
              <w:rPr>
                <w:sz w:val="18"/>
                <w:szCs w:val="20"/>
              </w:rPr>
              <w:t xml:space="preserve">. "ENERGY STAR® Program Requirements for Commercial </w:t>
            </w:r>
            <w:r w:rsidR="00C74886">
              <w:rPr>
                <w:sz w:val="18"/>
                <w:szCs w:val="20"/>
              </w:rPr>
              <w:t>Fryers</w:t>
            </w:r>
            <w:r w:rsidRPr="00D337EC">
              <w:rPr>
                <w:sz w:val="18"/>
                <w:szCs w:val="20"/>
              </w:rPr>
              <w:t xml:space="preserve">: Version </w:t>
            </w:r>
            <w:r w:rsidR="00C74886">
              <w:rPr>
                <w:sz w:val="18"/>
                <w:szCs w:val="20"/>
              </w:rPr>
              <w:t>3.0</w:t>
            </w:r>
            <w:r w:rsidRPr="00D337EC">
              <w:rPr>
                <w:sz w:val="18"/>
                <w:szCs w:val="20"/>
              </w:rPr>
              <w:t>.</w:t>
            </w:r>
            <w:r w:rsidR="00194158">
              <w:rPr>
                <w:sz w:val="18"/>
                <w:szCs w:val="20"/>
              </w:rPr>
              <w:t>”</w:t>
            </w:r>
            <w:r w:rsidRPr="00D337EC">
              <w:rPr>
                <w:sz w:val="18"/>
                <w:szCs w:val="20"/>
              </w:rPr>
              <w:t xml:space="preserve"> Effective </w:t>
            </w:r>
            <w:r w:rsidR="00C74886">
              <w:rPr>
                <w:sz w:val="18"/>
                <w:szCs w:val="20"/>
              </w:rPr>
              <w:t>October</w:t>
            </w:r>
            <w:r w:rsidRPr="00D337EC">
              <w:rPr>
                <w:sz w:val="18"/>
                <w:szCs w:val="20"/>
              </w:rPr>
              <w:t xml:space="preserve"> 1, 20</w:t>
            </w:r>
            <w:r w:rsidR="00C74886">
              <w:rPr>
                <w:sz w:val="18"/>
                <w:szCs w:val="20"/>
              </w:rPr>
              <w:t>16</w:t>
            </w:r>
            <w:r w:rsidRPr="00D337EC">
              <w:rPr>
                <w:sz w:val="18"/>
                <w:szCs w:val="20"/>
              </w:rPr>
              <w:t>.</w:t>
            </w:r>
          </w:p>
        </w:tc>
      </w:tr>
      <w:tr w:rsidR="00891092" w:rsidRPr="00320142" w14:paraId="201D4439" w14:textId="77777777" w:rsidTr="00FC0C17">
        <w:trPr>
          <w:trHeight w:val="243"/>
        </w:trPr>
        <w:tc>
          <w:tcPr>
            <w:tcW w:w="1255" w:type="dxa"/>
            <w:vMerge/>
            <w:vAlign w:val="center"/>
          </w:tcPr>
          <w:p w14:paraId="556C2D03" w14:textId="77777777" w:rsidR="00891092" w:rsidRPr="00320142" w:rsidRDefault="00891092" w:rsidP="00BB3B0A">
            <w:pPr>
              <w:keepNext/>
              <w:keepLines/>
              <w:spacing w:before="20" w:after="20"/>
              <w:jc w:val="center"/>
              <w:rPr>
                <w:sz w:val="20"/>
              </w:rPr>
            </w:pPr>
          </w:p>
        </w:tc>
        <w:tc>
          <w:tcPr>
            <w:tcW w:w="2019" w:type="dxa"/>
            <w:vAlign w:val="center"/>
          </w:tcPr>
          <w:p w14:paraId="3207B777" w14:textId="42C0DF5F" w:rsidR="00891092" w:rsidRPr="00341732" w:rsidRDefault="00C74886" w:rsidP="00BB3B0A">
            <w:pPr>
              <w:keepNext/>
              <w:keepLines/>
              <w:spacing w:before="20" w:after="20"/>
              <w:jc w:val="center"/>
              <w:rPr>
                <w:sz w:val="20"/>
                <w:szCs w:val="20"/>
              </w:rPr>
            </w:pPr>
            <w:r>
              <w:rPr>
                <w:sz w:val="20"/>
                <w:szCs w:val="20"/>
              </w:rPr>
              <w:t>Large Vat</w:t>
            </w:r>
          </w:p>
        </w:tc>
        <w:tc>
          <w:tcPr>
            <w:tcW w:w="1401" w:type="dxa"/>
            <w:vAlign w:val="center"/>
          </w:tcPr>
          <w:p w14:paraId="6D160EDE" w14:textId="655C0D30" w:rsidR="00891092" w:rsidRPr="00341732" w:rsidRDefault="004236D2" w:rsidP="00BB3B0A">
            <w:pPr>
              <w:keepNext/>
              <w:keepLines/>
              <w:spacing w:before="20" w:after="20"/>
              <w:jc w:val="center"/>
              <w:rPr>
                <w:rFonts w:cs="Arial"/>
                <w:sz w:val="20"/>
                <w:szCs w:val="20"/>
              </w:rPr>
            </w:pPr>
            <w:r>
              <w:rPr>
                <w:rFonts w:cs="Calibri Light"/>
                <w:sz w:val="20"/>
                <w:szCs w:val="20"/>
              </w:rPr>
              <w:t>≥</w:t>
            </w:r>
            <w:r w:rsidR="00BB4958">
              <w:rPr>
                <w:sz w:val="20"/>
                <w:szCs w:val="20"/>
              </w:rPr>
              <w:t xml:space="preserve"> 80</w:t>
            </w:r>
            <w:r w:rsidR="00891092">
              <w:rPr>
                <w:sz w:val="20"/>
                <w:szCs w:val="20"/>
              </w:rPr>
              <w:t>%</w:t>
            </w:r>
          </w:p>
        </w:tc>
        <w:tc>
          <w:tcPr>
            <w:tcW w:w="1890" w:type="dxa"/>
            <w:vAlign w:val="center"/>
          </w:tcPr>
          <w:p w14:paraId="02455529" w14:textId="1DDC155F" w:rsidR="00891092" w:rsidRPr="00341732" w:rsidRDefault="00BB4958" w:rsidP="00BB3B0A">
            <w:pPr>
              <w:keepNext/>
              <w:keepLines/>
              <w:spacing w:before="20" w:after="20"/>
              <w:jc w:val="center"/>
              <w:rPr>
                <w:rFonts w:cs="Arial"/>
                <w:sz w:val="20"/>
                <w:szCs w:val="20"/>
              </w:rPr>
            </w:pPr>
            <w:r>
              <w:rPr>
                <w:rFonts w:cs="Calibri Light"/>
                <w:sz w:val="20"/>
                <w:szCs w:val="20"/>
              </w:rPr>
              <w:t>≤</w:t>
            </w:r>
            <w:r w:rsidR="004236D2">
              <w:rPr>
                <w:rFonts w:cs="Calibri Light"/>
                <w:sz w:val="20"/>
                <w:szCs w:val="20"/>
              </w:rPr>
              <w:t xml:space="preserve"> </w:t>
            </w:r>
            <w:r>
              <w:rPr>
                <w:sz w:val="20"/>
                <w:szCs w:val="20"/>
              </w:rPr>
              <w:t>1,100 Watts</w:t>
            </w:r>
          </w:p>
        </w:tc>
        <w:tc>
          <w:tcPr>
            <w:tcW w:w="2745" w:type="dxa"/>
            <w:vMerge/>
            <w:vAlign w:val="center"/>
          </w:tcPr>
          <w:p w14:paraId="38E0B8C6" w14:textId="77777777" w:rsidR="00891092" w:rsidRPr="00BD26AF" w:rsidRDefault="00891092" w:rsidP="00BB3B0A">
            <w:pPr>
              <w:keepNext/>
              <w:keepLines/>
              <w:spacing w:before="20" w:after="20"/>
              <w:rPr>
                <w:rFonts w:cs="Arial"/>
                <w:sz w:val="18"/>
                <w:szCs w:val="20"/>
              </w:rPr>
            </w:pPr>
          </w:p>
        </w:tc>
      </w:tr>
      <w:tr w:rsidR="00C74886" w:rsidRPr="00320142" w14:paraId="262CC3B2" w14:textId="77777777" w:rsidTr="00FC0C17">
        <w:trPr>
          <w:trHeight w:val="237"/>
        </w:trPr>
        <w:tc>
          <w:tcPr>
            <w:tcW w:w="1255" w:type="dxa"/>
            <w:vMerge w:val="restart"/>
            <w:vAlign w:val="center"/>
          </w:tcPr>
          <w:p w14:paraId="6F71AE5E" w14:textId="7DD16C1E" w:rsidR="00C74886" w:rsidRPr="00320142" w:rsidRDefault="00C74886" w:rsidP="00C74886">
            <w:pPr>
              <w:keepNext/>
              <w:keepLines/>
              <w:spacing w:before="20" w:after="20"/>
              <w:jc w:val="center"/>
              <w:rPr>
                <w:sz w:val="20"/>
              </w:rPr>
            </w:pPr>
            <w:r w:rsidRPr="007B2E87">
              <w:rPr>
                <w:sz w:val="20"/>
              </w:rPr>
              <w:t>Gas</w:t>
            </w:r>
            <w:r w:rsidR="00D72918">
              <w:rPr>
                <w:sz w:val="20"/>
              </w:rPr>
              <w:t>- Tier 1</w:t>
            </w:r>
          </w:p>
          <w:p w14:paraId="773B4F6B" w14:textId="77777777" w:rsidR="00C74886" w:rsidRPr="00320142" w:rsidRDefault="00C74886" w:rsidP="00C74886">
            <w:pPr>
              <w:keepNext/>
              <w:keepLines/>
              <w:spacing w:before="20" w:after="20"/>
              <w:jc w:val="center"/>
              <w:rPr>
                <w:sz w:val="20"/>
              </w:rPr>
            </w:pPr>
          </w:p>
        </w:tc>
        <w:tc>
          <w:tcPr>
            <w:tcW w:w="2019" w:type="dxa"/>
            <w:vAlign w:val="center"/>
          </w:tcPr>
          <w:p w14:paraId="3962C511" w14:textId="7AD18DD9" w:rsidR="00C74886" w:rsidRPr="00341732" w:rsidRDefault="00C74886" w:rsidP="00C74886">
            <w:pPr>
              <w:keepNext/>
              <w:keepLines/>
              <w:spacing w:before="20" w:after="20"/>
              <w:jc w:val="center"/>
              <w:rPr>
                <w:sz w:val="20"/>
                <w:szCs w:val="20"/>
              </w:rPr>
            </w:pPr>
            <w:r>
              <w:rPr>
                <w:sz w:val="20"/>
                <w:szCs w:val="20"/>
              </w:rPr>
              <w:t>Standard</w:t>
            </w:r>
          </w:p>
        </w:tc>
        <w:tc>
          <w:tcPr>
            <w:tcW w:w="1401" w:type="dxa"/>
            <w:vAlign w:val="center"/>
          </w:tcPr>
          <w:p w14:paraId="1D2EE722" w14:textId="29EBA9AB" w:rsidR="00C74886" w:rsidRPr="00341732" w:rsidRDefault="004236D2" w:rsidP="00C74886">
            <w:pPr>
              <w:keepNext/>
              <w:keepLines/>
              <w:spacing w:before="20" w:after="20"/>
              <w:jc w:val="center"/>
              <w:rPr>
                <w:rFonts w:cs="Arial"/>
                <w:sz w:val="20"/>
                <w:szCs w:val="20"/>
              </w:rPr>
            </w:pPr>
            <w:r>
              <w:rPr>
                <w:rFonts w:cs="Calibri Light"/>
                <w:sz w:val="20"/>
                <w:szCs w:val="20"/>
              </w:rPr>
              <w:t>≥</w:t>
            </w:r>
            <w:r w:rsidR="00BB4958">
              <w:rPr>
                <w:sz w:val="20"/>
                <w:szCs w:val="20"/>
              </w:rPr>
              <w:t xml:space="preserve"> </w:t>
            </w:r>
            <w:r w:rsidR="00C74886">
              <w:rPr>
                <w:sz w:val="20"/>
                <w:szCs w:val="20"/>
              </w:rPr>
              <w:t>50%</w:t>
            </w:r>
          </w:p>
        </w:tc>
        <w:tc>
          <w:tcPr>
            <w:tcW w:w="1890" w:type="dxa"/>
            <w:vAlign w:val="center"/>
          </w:tcPr>
          <w:p w14:paraId="2B65C18B" w14:textId="79989C95" w:rsidR="00C74886" w:rsidRPr="00341732" w:rsidRDefault="004236D2" w:rsidP="00C74886">
            <w:pPr>
              <w:keepNext/>
              <w:keepLines/>
              <w:spacing w:before="20" w:after="20"/>
              <w:jc w:val="center"/>
              <w:rPr>
                <w:rFonts w:cs="Arial"/>
                <w:sz w:val="20"/>
                <w:szCs w:val="20"/>
              </w:rPr>
            </w:pPr>
            <w:r>
              <w:rPr>
                <w:rFonts w:cs="Calibri Light"/>
                <w:sz w:val="20"/>
                <w:szCs w:val="20"/>
              </w:rPr>
              <w:t xml:space="preserve">≤ </w:t>
            </w:r>
            <w:r w:rsidR="00FC0C17">
              <w:rPr>
                <w:sz w:val="20"/>
                <w:szCs w:val="20"/>
              </w:rPr>
              <w:t>9,000</w:t>
            </w:r>
            <w:r w:rsidR="00C74886">
              <w:rPr>
                <w:sz w:val="20"/>
                <w:szCs w:val="20"/>
              </w:rPr>
              <w:t xml:space="preserve"> Btu/h</w:t>
            </w:r>
          </w:p>
        </w:tc>
        <w:tc>
          <w:tcPr>
            <w:tcW w:w="2745" w:type="dxa"/>
            <w:vMerge/>
            <w:vAlign w:val="center"/>
          </w:tcPr>
          <w:p w14:paraId="79BEC231" w14:textId="77777777" w:rsidR="00C74886" w:rsidRPr="00BD26AF" w:rsidRDefault="00C74886" w:rsidP="00C74886">
            <w:pPr>
              <w:keepNext/>
              <w:keepLines/>
              <w:spacing w:before="20" w:after="20"/>
              <w:rPr>
                <w:rFonts w:cs="Arial"/>
                <w:sz w:val="18"/>
                <w:szCs w:val="20"/>
              </w:rPr>
            </w:pPr>
          </w:p>
        </w:tc>
      </w:tr>
      <w:tr w:rsidR="00C74886" w:rsidRPr="00320142" w14:paraId="62DDFCD7" w14:textId="77777777" w:rsidTr="00FC0C17">
        <w:trPr>
          <w:trHeight w:val="249"/>
        </w:trPr>
        <w:tc>
          <w:tcPr>
            <w:tcW w:w="1255" w:type="dxa"/>
            <w:vMerge/>
          </w:tcPr>
          <w:p w14:paraId="1E5C3ABD" w14:textId="77777777" w:rsidR="00C74886" w:rsidRPr="00320142" w:rsidRDefault="00C74886" w:rsidP="00C74886">
            <w:pPr>
              <w:keepNext/>
              <w:keepLines/>
              <w:spacing w:before="20" w:after="20"/>
              <w:rPr>
                <w:sz w:val="20"/>
              </w:rPr>
            </w:pPr>
          </w:p>
        </w:tc>
        <w:tc>
          <w:tcPr>
            <w:tcW w:w="2019" w:type="dxa"/>
            <w:vAlign w:val="center"/>
          </w:tcPr>
          <w:p w14:paraId="53462B8B" w14:textId="13636C1B" w:rsidR="00C74886" w:rsidRPr="00341732" w:rsidRDefault="00C74886" w:rsidP="00C74886">
            <w:pPr>
              <w:keepNext/>
              <w:keepLines/>
              <w:spacing w:before="20" w:after="20"/>
              <w:jc w:val="center"/>
              <w:rPr>
                <w:sz w:val="20"/>
                <w:szCs w:val="20"/>
              </w:rPr>
            </w:pPr>
            <w:r>
              <w:rPr>
                <w:sz w:val="20"/>
                <w:szCs w:val="20"/>
              </w:rPr>
              <w:t>Large Vat</w:t>
            </w:r>
          </w:p>
        </w:tc>
        <w:tc>
          <w:tcPr>
            <w:tcW w:w="1401" w:type="dxa"/>
            <w:vAlign w:val="center"/>
          </w:tcPr>
          <w:p w14:paraId="460146E4" w14:textId="2B3BF18C" w:rsidR="00C74886" w:rsidRPr="000F673D" w:rsidRDefault="004236D2" w:rsidP="00C74886">
            <w:pPr>
              <w:keepNext/>
              <w:keepLines/>
              <w:spacing w:before="20" w:after="20"/>
              <w:jc w:val="center"/>
              <w:rPr>
                <w:sz w:val="20"/>
                <w:szCs w:val="20"/>
              </w:rPr>
            </w:pPr>
            <w:r>
              <w:rPr>
                <w:rFonts w:cs="Calibri Light"/>
                <w:sz w:val="20"/>
                <w:szCs w:val="20"/>
              </w:rPr>
              <w:t>≥</w:t>
            </w:r>
            <w:r w:rsidR="00BB4958">
              <w:rPr>
                <w:sz w:val="20"/>
                <w:szCs w:val="20"/>
              </w:rPr>
              <w:t xml:space="preserve"> </w:t>
            </w:r>
            <w:r w:rsidR="00C74886">
              <w:rPr>
                <w:sz w:val="20"/>
                <w:szCs w:val="20"/>
              </w:rPr>
              <w:t>50</w:t>
            </w:r>
            <w:r w:rsidR="00C74886" w:rsidRPr="00DB17F1">
              <w:rPr>
                <w:sz w:val="20"/>
                <w:szCs w:val="20"/>
              </w:rPr>
              <w:t>%</w:t>
            </w:r>
          </w:p>
        </w:tc>
        <w:tc>
          <w:tcPr>
            <w:tcW w:w="1890" w:type="dxa"/>
            <w:vAlign w:val="center"/>
          </w:tcPr>
          <w:p w14:paraId="3A097909" w14:textId="44C5F6C4" w:rsidR="00C74886" w:rsidRPr="00341732" w:rsidRDefault="004236D2" w:rsidP="00C74886">
            <w:pPr>
              <w:keepNext/>
              <w:keepLines/>
              <w:spacing w:before="20" w:after="20"/>
              <w:jc w:val="center"/>
              <w:rPr>
                <w:rFonts w:cs="Arial"/>
                <w:sz w:val="20"/>
                <w:szCs w:val="20"/>
              </w:rPr>
            </w:pPr>
            <w:r>
              <w:rPr>
                <w:rFonts w:cs="Calibri Light"/>
                <w:sz w:val="20"/>
                <w:szCs w:val="20"/>
              </w:rPr>
              <w:t xml:space="preserve">≤ </w:t>
            </w:r>
            <w:r w:rsidR="00FC0C17">
              <w:rPr>
                <w:sz w:val="20"/>
                <w:szCs w:val="20"/>
              </w:rPr>
              <w:t>12,000</w:t>
            </w:r>
            <w:r w:rsidR="00C74886" w:rsidRPr="00D47B55">
              <w:rPr>
                <w:sz w:val="20"/>
                <w:szCs w:val="20"/>
              </w:rPr>
              <w:t xml:space="preserve"> Btu/h</w:t>
            </w:r>
          </w:p>
        </w:tc>
        <w:tc>
          <w:tcPr>
            <w:tcW w:w="2745" w:type="dxa"/>
            <w:vMerge/>
            <w:vAlign w:val="center"/>
          </w:tcPr>
          <w:p w14:paraId="187530CE" w14:textId="77777777" w:rsidR="00C74886" w:rsidRPr="00BD26AF" w:rsidRDefault="00C74886" w:rsidP="00C74886">
            <w:pPr>
              <w:keepNext/>
              <w:keepLines/>
              <w:spacing w:before="20" w:after="20"/>
              <w:rPr>
                <w:rFonts w:cs="Arial"/>
                <w:sz w:val="18"/>
                <w:szCs w:val="20"/>
              </w:rPr>
            </w:pPr>
          </w:p>
        </w:tc>
      </w:tr>
      <w:tr w:rsidR="00D72918" w:rsidRPr="00320142" w14:paraId="0F1F3D40" w14:textId="77777777" w:rsidTr="00FC0C17">
        <w:trPr>
          <w:trHeight w:val="249"/>
        </w:trPr>
        <w:tc>
          <w:tcPr>
            <w:tcW w:w="1255" w:type="dxa"/>
          </w:tcPr>
          <w:p w14:paraId="03A643D0" w14:textId="18E2FABF" w:rsidR="00D72918" w:rsidRPr="00320142" w:rsidRDefault="00D72918" w:rsidP="00D72918">
            <w:pPr>
              <w:keepNext/>
              <w:keepLines/>
              <w:spacing w:before="20" w:after="20"/>
              <w:jc w:val="center"/>
              <w:rPr>
                <w:sz w:val="20"/>
              </w:rPr>
            </w:pPr>
            <w:r w:rsidRPr="007B2E87">
              <w:rPr>
                <w:sz w:val="20"/>
              </w:rPr>
              <w:t>Gas</w:t>
            </w:r>
            <w:r>
              <w:rPr>
                <w:sz w:val="20"/>
              </w:rPr>
              <w:t>- Tier 2</w:t>
            </w:r>
          </w:p>
          <w:p w14:paraId="0D1F478A" w14:textId="77777777" w:rsidR="00D72918" w:rsidRPr="00320142" w:rsidRDefault="00D72918" w:rsidP="00D72918">
            <w:pPr>
              <w:keepNext/>
              <w:keepLines/>
              <w:spacing w:before="20" w:after="20"/>
              <w:rPr>
                <w:sz w:val="20"/>
              </w:rPr>
            </w:pPr>
          </w:p>
        </w:tc>
        <w:tc>
          <w:tcPr>
            <w:tcW w:w="2019" w:type="dxa"/>
            <w:vAlign w:val="center"/>
          </w:tcPr>
          <w:p w14:paraId="04083082" w14:textId="28F82540" w:rsidR="00D72918" w:rsidRDefault="00D72918" w:rsidP="00D72918">
            <w:pPr>
              <w:keepNext/>
              <w:keepLines/>
              <w:spacing w:before="20" w:after="20"/>
              <w:jc w:val="center"/>
              <w:rPr>
                <w:sz w:val="20"/>
                <w:szCs w:val="20"/>
              </w:rPr>
            </w:pPr>
            <w:r>
              <w:rPr>
                <w:sz w:val="20"/>
                <w:szCs w:val="20"/>
              </w:rPr>
              <w:t>Standard/ Large Vat</w:t>
            </w:r>
          </w:p>
        </w:tc>
        <w:tc>
          <w:tcPr>
            <w:tcW w:w="1401" w:type="dxa"/>
            <w:vAlign w:val="center"/>
          </w:tcPr>
          <w:p w14:paraId="4939A79E" w14:textId="459643C9" w:rsidR="00D72918" w:rsidRDefault="00D72918" w:rsidP="00D72918">
            <w:pPr>
              <w:keepNext/>
              <w:keepLines/>
              <w:spacing w:before="20" w:after="20"/>
              <w:jc w:val="center"/>
              <w:rPr>
                <w:rFonts w:cs="Calibri Light"/>
                <w:sz w:val="20"/>
                <w:szCs w:val="20"/>
              </w:rPr>
            </w:pPr>
            <w:r>
              <w:rPr>
                <w:rFonts w:cs="Calibri Light"/>
                <w:sz w:val="20"/>
                <w:szCs w:val="20"/>
              </w:rPr>
              <w:t>≥</w:t>
            </w:r>
            <w:r>
              <w:rPr>
                <w:sz w:val="20"/>
                <w:szCs w:val="20"/>
              </w:rPr>
              <w:t xml:space="preserve"> 60</w:t>
            </w:r>
            <w:r w:rsidRPr="00DB17F1">
              <w:rPr>
                <w:sz w:val="20"/>
                <w:szCs w:val="20"/>
              </w:rPr>
              <w:t>%</w:t>
            </w:r>
          </w:p>
        </w:tc>
        <w:tc>
          <w:tcPr>
            <w:tcW w:w="1890" w:type="dxa"/>
            <w:vAlign w:val="center"/>
          </w:tcPr>
          <w:p w14:paraId="43E041AC" w14:textId="1427AB15" w:rsidR="00D72918" w:rsidRDefault="00D72918" w:rsidP="00D72918">
            <w:pPr>
              <w:keepNext/>
              <w:keepLines/>
              <w:spacing w:before="20" w:after="20"/>
              <w:jc w:val="center"/>
              <w:rPr>
                <w:rFonts w:cs="Calibri Light"/>
                <w:sz w:val="20"/>
                <w:szCs w:val="20"/>
              </w:rPr>
            </w:pPr>
            <w:r>
              <w:rPr>
                <w:rFonts w:cs="Calibri Light"/>
                <w:sz w:val="20"/>
                <w:szCs w:val="20"/>
              </w:rPr>
              <w:t xml:space="preserve">≤ </w:t>
            </w:r>
            <w:r>
              <w:rPr>
                <w:sz w:val="20"/>
                <w:szCs w:val="20"/>
              </w:rPr>
              <w:t>6,100</w:t>
            </w:r>
            <w:r w:rsidRPr="00D47B55">
              <w:rPr>
                <w:sz w:val="20"/>
                <w:szCs w:val="20"/>
              </w:rPr>
              <w:t xml:space="preserve"> Btu/h</w:t>
            </w:r>
          </w:p>
        </w:tc>
        <w:tc>
          <w:tcPr>
            <w:tcW w:w="2745" w:type="dxa"/>
            <w:vAlign w:val="center"/>
          </w:tcPr>
          <w:p w14:paraId="0D444532" w14:textId="64F142A2" w:rsidR="00D72918" w:rsidRPr="00BD26AF" w:rsidRDefault="00E3104A" w:rsidP="00D72918">
            <w:pPr>
              <w:keepNext/>
              <w:keepLines/>
              <w:spacing w:before="20" w:after="20"/>
              <w:rPr>
                <w:rFonts w:cs="Arial"/>
                <w:sz w:val="18"/>
                <w:szCs w:val="20"/>
              </w:rPr>
            </w:pPr>
            <w:r>
              <w:rPr>
                <w:rFonts w:cs="Arial"/>
                <w:sz w:val="18"/>
                <w:szCs w:val="20"/>
              </w:rPr>
              <w:t>Frontier</w:t>
            </w:r>
            <w:r w:rsidR="00BD7013">
              <w:rPr>
                <w:rFonts w:cs="Arial"/>
                <w:sz w:val="18"/>
                <w:szCs w:val="20"/>
              </w:rPr>
              <w:t xml:space="preserve"> Energy Memo. 2020. “</w:t>
            </w:r>
            <w:r w:rsidR="00BD7013" w:rsidRPr="00BD7013">
              <w:rPr>
                <w:rFonts w:cs="Arial"/>
                <w:sz w:val="18"/>
                <w:szCs w:val="20"/>
              </w:rPr>
              <w:t>GasFryerTierAnalysis-R1</w:t>
            </w:r>
            <w:r w:rsidR="00BD7013">
              <w:rPr>
                <w:rFonts w:cs="Arial"/>
                <w:sz w:val="18"/>
                <w:szCs w:val="20"/>
              </w:rPr>
              <w:t>”</w:t>
            </w:r>
          </w:p>
        </w:tc>
      </w:tr>
    </w:tbl>
    <w:p w14:paraId="4D105EDD" w14:textId="6E4ECC18" w:rsidR="00525B43" w:rsidRPr="00564A6A" w:rsidRDefault="00525B43" w:rsidP="00564A6A"/>
    <w:p w14:paraId="0814313C" w14:textId="3B24EF86" w:rsidR="007B6A74" w:rsidRDefault="007B6A74" w:rsidP="003B29F1">
      <w:pPr>
        <w:pStyle w:val="eTRMHeading5"/>
        <w:keepNext/>
        <w:keepLines/>
      </w:pPr>
      <w:r w:rsidRPr="00401C43">
        <w:lastRenderedPageBreak/>
        <w:t>Eligible Building Types</w:t>
      </w:r>
      <w:r w:rsidR="00EC5BAC">
        <w:t xml:space="preserve"> and Vintages</w:t>
      </w:r>
    </w:p>
    <w:p w14:paraId="09B18253" w14:textId="1858D6FA" w:rsidR="007B1423" w:rsidRDefault="007B1423" w:rsidP="003B29F1">
      <w:pPr>
        <w:keepNext/>
        <w:keepLines/>
      </w:pPr>
      <w:r>
        <w:t xml:space="preserve">This measure is applicable </w:t>
      </w:r>
      <w:r w:rsidR="00743373">
        <w:t>for</w:t>
      </w:r>
      <w:r>
        <w:t xml:space="preserve"> any </w:t>
      </w:r>
      <w:r w:rsidR="00743373">
        <w:t xml:space="preserve">nonresidential </w:t>
      </w:r>
      <w:r w:rsidR="00EC5BAC">
        <w:t>building type and any vintage.</w:t>
      </w:r>
      <w:r w:rsidR="00751AA7" w:rsidRPr="00751AA7">
        <w:rPr>
          <w:rFonts w:cs="Arial"/>
        </w:rPr>
        <w:t xml:space="preserve"> </w:t>
      </w:r>
    </w:p>
    <w:p w14:paraId="79E14E1D" w14:textId="77777777" w:rsidR="00051BE9" w:rsidRPr="00051BE9" w:rsidRDefault="00051BE9" w:rsidP="00051BE9"/>
    <w:p w14:paraId="537EB5EE" w14:textId="77777777" w:rsidR="007B6A74" w:rsidRDefault="00196649" w:rsidP="00154391">
      <w:pPr>
        <w:pStyle w:val="eTRMHeading5"/>
      </w:pPr>
      <w:r>
        <w:t>Eligible Climate Zones</w:t>
      </w:r>
    </w:p>
    <w:p w14:paraId="3F164DFE" w14:textId="42169D15" w:rsidR="00051BE9" w:rsidRPr="00051BE9" w:rsidRDefault="00051BE9" w:rsidP="00051BE9">
      <w:r>
        <w:t>T</w:t>
      </w:r>
      <w:r w:rsidR="00EC5BAC">
        <w:t xml:space="preserve">his measure is applicable </w:t>
      </w:r>
      <w:r w:rsidR="00743373">
        <w:t>in</w:t>
      </w:r>
      <w:r w:rsidR="00EC5BAC">
        <w:t xml:space="preserve"> </w:t>
      </w:r>
      <w:r w:rsidR="00C51593">
        <w:t xml:space="preserve">all </w:t>
      </w:r>
      <w:r w:rsidR="00EC5BAC">
        <w:t>California climate zone</w:t>
      </w:r>
      <w:r w:rsidR="00C51593">
        <w:t>s</w:t>
      </w:r>
      <w:r>
        <w:t>.</w:t>
      </w:r>
    </w:p>
    <w:p w14:paraId="55BADDA4" w14:textId="77777777" w:rsidR="006C41AD" w:rsidRPr="004B06E3" w:rsidRDefault="006C41AD" w:rsidP="004B06E3"/>
    <w:p w14:paraId="7CD5CAA5" w14:textId="77777777" w:rsidR="007D230B" w:rsidRPr="004B06E3" w:rsidRDefault="007D230B" w:rsidP="0049281A">
      <w:pPr>
        <w:pStyle w:val="eTRMHeading3"/>
      </w:pPr>
      <w:bookmarkStart w:id="30" w:name="_Toc486490853"/>
      <w:bookmarkStart w:id="31" w:name="_Toc486580924"/>
      <w:bookmarkStart w:id="32" w:name="_Toc528684430"/>
      <w:r w:rsidRPr="004B06E3">
        <w:t>Program Exclusions</w:t>
      </w:r>
      <w:bookmarkEnd w:id="30"/>
      <w:bookmarkEnd w:id="31"/>
      <w:bookmarkEnd w:id="32"/>
      <w:r w:rsidRPr="004B06E3">
        <w:t xml:space="preserve"> </w:t>
      </w:r>
    </w:p>
    <w:p w14:paraId="0D031AF6" w14:textId="65A2611F" w:rsidR="00801601" w:rsidRPr="00390B98" w:rsidRDefault="00166114" w:rsidP="00154391">
      <w:pPr>
        <w:pStyle w:val="eTRMHeading5"/>
        <w:rPr>
          <w:i w:val="0"/>
          <w:color w:val="auto"/>
        </w:rPr>
      </w:pPr>
      <w:r w:rsidRPr="00390B98">
        <w:rPr>
          <w:i w:val="0"/>
          <w:color w:val="auto"/>
        </w:rPr>
        <w:t xml:space="preserve">Used or rebuilt equipment </w:t>
      </w:r>
      <w:r w:rsidR="00C5627A">
        <w:rPr>
          <w:i w:val="0"/>
          <w:color w:val="auto"/>
        </w:rPr>
        <w:t>are</w:t>
      </w:r>
      <w:r w:rsidRPr="00390B98">
        <w:rPr>
          <w:i w:val="0"/>
          <w:color w:val="auto"/>
        </w:rPr>
        <w:t xml:space="preserve"> not eligible.</w:t>
      </w:r>
      <w:r w:rsidRPr="00390B98">
        <w:rPr>
          <w:color w:val="auto"/>
        </w:rPr>
        <w:t xml:space="preserve"> </w:t>
      </w:r>
    </w:p>
    <w:p w14:paraId="158AFA71" w14:textId="77777777" w:rsidR="00564A6A" w:rsidRPr="00564A6A" w:rsidRDefault="00564A6A" w:rsidP="00564A6A"/>
    <w:p w14:paraId="0FB66EAF" w14:textId="77777777" w:rsidR="007D230B" w:rsidRPr="004B06E3" w:rsidRDefault="007D230B" w:rsidP="0049281A">
      <w:pPr>
        <w:pStyle w:val="eTRMHeading3"/>
      </w:pPr>
      <w:bookmarkStart w:id="33" w:name="_Toc486490854"/>
      <w:bookmarkStart w:id="34" w:name="_Toc486580925"/>
      <w:bookmarkStart w:id="35" w:name="_Toc528684431"/>
      <w:r w:rsidRPr="004B06E3">
        <w:t>Data Collection Requirements</w:t>
      </w:r>
      <w:bookmarkEnd w:id="33"/>
      <w:bookmarkEnd w:id="34"/>
      <w:bookmarkEnd w:id="35"/>
      <w:r w:rsidRPr="004B06E3">
        <w:t xml:space="preserve"> </w:t>
      </w:r>
    </w:p>
    <w:p w14:paraId="5302F6DA" w14:textId="233C05F8" w:rsidR="00891092" w:rsidRPr="004D7E42" w:rsidRDefault="00EF738F" w:rsidP="007A6C15">
      <w:pPr>
        <w:rPr>
          <w:rFonts w:cs="Calibri Light"/>
          <w:szCs w:val="22"/>
        </w:rPr>
      </w:pPr>
      <w:r>
        <w:t>Data collection requirements are to be determined.</w:t>
      </w:r>
    </w:p>
    <w:p w14:paraId="548A2321" w14:textId="77777777" w:rsidR="007D230B" w:rsidRPr="004B06E3" w:rsidRDefault="007D230B" w:rsidP="0049281A">
      <w:pPr>
        <w:pStyle w:val="eTRMHeading3"/>
      </w:pPr>
      <w:bookmarkStart w:id="36" w:name="_Toc486490855"/>
      <w:bookmarkStart w:id="37" w:name="_Toc486580926"/>
      <w:bookmarkStart w:id="38" w:name="_Toc528684432"/>
      <w:r w:rsidRPr="004B06E3">
        <w:t>Use Category</w:t>
      </w:r>
      <w:bookmarkEnd w:id="36"/>
      <w:bookmarkEnd w:id="37"/>
      <w:bookmarkEnd w:id="38"/>
    </w:p>
    <w:p w14:paraId="06C847E4" w14:textId="77777777" w:rsidR="00563A19" w:rsidRDefault="00563A19" w:rsidP="00563A19">
      <w:r>
        <w:t>Food service (</w:t>
      </w:r>
      <w:proofErr w:type="spellStart"/>
      <w:r>
        <w:t>FoodServ</w:t>
      </w:r>
      <w:proofErr w:type="spellEnd"/>
      <w:r>
        <w:t>)</w:t>
      </w:r>
    </w:p>
    <w:p w14:paraId="11228D62" w14:textId="77777777" w:rsidR="00127B06" w:rsidRPr="004142EF" w:rsidRDefault="00127B06" w:rsidP="004142EF"/>
    <w:p w14:paraId="60A340CB" w14:textId="77777777" w:rsidR="000772CA" w:rsidRDefault="000772CA" w:rsidP="0049281A">
      <w:pPr>
        <w:pStyle w:val="eTRMHeading3"/>
      </w:pPr>
      <w:bookmarkStart w:id="39" w:name="_Toc506890113"/>
      <w:bookmarkStart w:id="40" w:name="_Toc528684433"/>
      <w:bookmarkStart w:id="41" w:name="_Toc517178421"/>
      <w:r w:rsidRPr="004B06E3">
        <w:t>Electric Savings (</w:t>
      </w:r>
      <w:r w:rsidRPr="007D2355">
        <w:t>k</w:t>
      </w:r>
      <w:r w:rsidRPr="004B06E3">
        <w:t>W</w:t>
      </w:r>
      <w:r w:rsidRPr="00851FDC">
        <w:t>h</w:t>
      </w:r>
      <w:r w:rsidRPr="004B06E3">
        <w:t>)</w:t>
      </w:r>
      <w:bookmarkEnd w:id="39"/>
      <w:bookmarkEnd w:id="40"/>
    </w:p>
    <w:p w14:paraId="39926E72" w14:textId="0658D274" w:rsidR="00ED4D0D" w:rsidRDefault="00C51593" w:rsidP="00C03B52">
      <w:pPr>
        <w:keepNext/>
        <w:keepLines/>
      </w:pPr>
      <w:bookmarkStart w:id="42" w:name="_Hlk526859636"/>
      <w:bookmarkEnd w:id="41"/>
      <w:r>
        <w:t xml:space="preserve">The annual </w:t>
      </w:r>
      <w:r w:rsidR="009D34B5">
        <w:t xml:space="preserve">electric </w:t>
      </w:r>
      <w:r>
        <w:t xml:space="preserve">unit energy saving (UES) is calculated as the difference between the </w:t>
      </w:r>
      <w:r w:rsidR="00BD39C4">
        <w:t xml:space="preserve">baseline and </w:t>
      </w:r>
      <w:r>
        <w:t>measure case unit energy consumption (UEC).</w:t>
      </w:r>
      <w:r w:rsidR="000C0A0A">
        <w:t xml:space="preserve"> </w:t>
      </w:r>
    </w:p>
    <w:p w14:paraId="7CD2FD08" w14:textId="4C572090" w:rsidR="00ED4D0D" w:rsidRDefault="00F45BBC" w:rsidP="00ED4D0D">
      <w:pPr>
        <w:pStyle w:val="eTRMHeading4"/>
      </w:pPr>
      <w:r>
        <w:t>Annual</w:t>
      </w:r>
      <w:r w:rsidR="00E65410">
        <w:t xml:space="preserve"> Electric</w:t>
      </w:r>
      <w:r>
        <w:t xml:space="preserve"> </w:t>
      </w:r>
      <w:r w:rsidR="00ED4D0D">
        <w:t>Unit Energy Consumption</w:t>
      </w:r>
    </w:p>
    <w:p w14:paraId="6AFAB217" w14:textId="1ADE206A" w:rsidR="00C03B52" w:rsidRDefault="00D02E2B" w:rsidP="00C03B52">
      <w:pPr>
        <w:keepNext/>
        <w:keepLines/>
      </w:pPr>
      <w:r>
        <w:t>T</w:t>
      </w:r>
      <w:r w:rsidR="000C0A0A">
        <w:t xml:space="preserve">he </w:t>
      </w:r>
      <w:r w:rsidR="00236E94" w:rsidRPr="007B2BCC">
        <w:t xml:space="preserve">daily </w:t>
      </w:r>
      <w:r w:rsidR="00BA206B" w:rsidRPr="007B2BCC">
        <w:t xml:space="preserve">electric </w:t>
      </w:r>
      <w:r w:rsidR="000C0A0A" w:rsidRPr="007B2BCC">
        <w:t>UEC</w:t>
      </w:r>
      <w:r w:rsidR="00E65410">
        <w:t xml:space="preserve"> (base</w:t>
      </w:r>
      <w:r w:rsidR="00F1080D">
        <w:t>line</w:t>
      </w:r>
      <w:r w:rsidR="00E65410">
        <w:t xml:space="preserve"> or measure case)</w:t>
      </w:r>
      <w:r w:rsidR="000C0A0A">
        <w:t xml:space="preserve"> is equal to the sum of the energy required for cooking, preheat, and idle modes of fryer operation. </w:t>
      </w:r>
      <w:r w:rsidR="00C03B52">
        <w:t>These calculations and the inputs are provided below.</w:t>
      </w:r>
    </w:p>
    <w:p w14:paraId="188E9337" w14:textId="77777777" w:rsidR="00E65410" w:rsidRPr="003B77C5" w:rsidRDefault="00E65410" w:rsidP="00E65410">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bookmarkEnd w:id="42"/>
    <w:p w14:paraId="01F469E1" w14:textId="77777777" w:rsidR="00E65410" w:rsidRDefault="00E65410" w:rsidP="006A6F75"/>
    <w:p w14:paraId="3CE283F8" w14:textId="4885EF62" w:rsidR="00833AE5" w:rsidRPr="0058503B" w:rsidRDefault="00833AE5" w:rsidP="00833AE5">
      <w:bookmarkStart w:id="43" w:name="_Hlk526859751"/>
      <w:bookmarkStart w:id="44" w:name="_Hlk522370346"/>
      <w:bookmarkStart w:id="45" w:name="_Hlk526853991"/>
      <w:r w:rsidRPr="00833AE5">
        <w:rPr>
          <w:b/>
        </w:rPr>
        <w:t>Cooking energy</w:t>
      </w:r>
      <w:r>
        <w:t xml:space="preserve"> is a function of the pounds of food cooked per day, the energy absorbed per pound of food product during cooking, and the measured heavy load cooking energy efficiency. </w:t>
      </w:r>
      <w:bookmarkEnd w:id="43"/>
    </w:p>
    <w:bookmarkEnd w:id="44"/>
    <w:p w14:paraId="044FDC88" w14:textId="4BCE5626" w:rsidR="00EA25BC" w:rsidRPr="00EA25BC" w:rsidRDefault="003B77C5" w:rsidP="001974AA">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EFFICIENCY×Btu/kWh</m:t>
                  </m:r>
                </m:den>
              </m:f>
            </m:e>
          </m:d>
        </m:oMath>
      </m:oMathPara>
    </w:p>
    <w:p w14:paraId="096E449F" w14:textId="1EF5A484" w:rsidR="00161A55" w:rsidRDefault="00161A55" w:rsidP="001974AA">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sidR="00236E94">
        <w:rPr>
          <w:rFonts w:ascii="Cambria Math" w:hAnsi="Cambria Math" w:cs="Calibri Light"/>
          <w:i/>
          <w:sz w:val="18"/>
          <w:szCs w:val="20"/>
        </w:rPr>
        <w:t xml:space="preserve"> (lb)</w:t>
      </w:r>
    </w:p>
    <w:p w14:paraId="7BC2A36A" w14:textId="659EBC61" w:rsidR="001974AA" w:rsidRPr="00EA25BC" w:rsidRDefault="001974AA" w:rsidP="001974AA">
      <w:pPr>
        <w:tabs>
          <w:tab w:val="left" w:pos="1980"/>
          <w:tab w:val="left" w:pos="2880"/>
        </w:tabs>
        <w:spacing w:before="20" w:after="20"/>
        <w:ind w:left="2880" w:hanging="1440"/>
        <w:rPr>
          <w:rFonts w:ascii="Cambria Math" w:hAnsi="Cambria Math" w:cs="Arial"/>
          <w:i/>
          <w:sz w:val="18"/>
          <w:szCs w:val="20"/>
        </w:rPr>
      </w:pPr>
      <w:bookmarkStart w:id="46" w:name="_Hlk526860422"/>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sidR="003B77C5">
        <w:rPr>
          <w:rFonts w:ascii="Cambria Math" w:hAnsi="Cambria Math" w:cs="Arial"/>
          <w:i/>
          <w:sz w:val="18"/>
          <w:szCs w:val="20"/>
        </w:rPr>
        <w:t>ratio, the</w:t>
      </w:r>
      <w:r w:rsidRPr="00EA25BC">
        <w:rPr>
          <w:rFonts w:ascii="Cambria Math" w:hAnsi="Cambria Math" w:cs="Arial"/>
          <w:i/>
          <w:sz w:val="18"/>
          <w:szCs w:val="20"/>
        </w:rPr>
        <w:t xml:space="preserve"> energy absorbed by food during cooking</w:t>
      </w:r>
      <w:r w:rsidR="003B77C5">
        <w:rPr>
          <w:rFonts w:ascii="Cambria Math" w:hAnsi="Cambria Math" w:cs="Arial"/>
          <w:i/>
          <w:sz w:val="18"/>
          <w:szCs w:val="20"/>
        </w:rPr>
        <w:t xml:space="preserve"> </w:t>
      </w:r>
      <w:r w:rsidR="003B77C5" w:rsidRPr="00EA25BC">
        <w:rPr>
          <w:rFonts w:ascii="Cambria Math" w:hAnsi="Cambria Math" w:cs="Arial"/>
          <w:i/>
          <w:sz w:val="18"/>
          <w:szCs w:val="20"/>
        </w:rPr>
        <w:t>(</w:t>
      </w:r>
      <w:r w:rsidR="00236E94">
        <w:rPr>
          <w:rFonts w:ascii="Cambria Math" w:hAnsi="Cambria Math" w:cs="Arial"/>
          <w:i/>
          <w:sz w:val="18"/>
          <w:szCs w:val="20"/>
        </w:rPr>
        <w:t>Btu</w:t>
      </w:r>
      <w:r w:rsidR="003B77C5" w:rsidRPr="00EA25BC">
        <w:rPr>
          <w:rFonts w:ascii="Cambria Math" w:hAnsi="Cambria Math" w:cs="Arial"/>
          <w:i/>
          <w:sz w:val="18"/>
          <w:szCs w:val="20"/>
        </w:rPr>
        <w:t>/lb)</w:t>
      </w:r>
    </w:p>
    <w:bookmarkEnd w:id="46"/>
    <w:p w14:paraId="7504016E" w14:textId="5C9294AB" w:rsidR="001974AA" w:rsidRDefault="001974AA" w:rsidP="001974AA">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sidR="003B77C5">
        <w:rPr>
          <w:rFonts w:ascii="Cambria Math" w:hAnsi="Cambria Math" w:cs="Arial"/>
          <w:i/>
          <w:sz w:val="18"/>
          <w:szCs w:val="20"/>
        </w:rPr>
        <w:t>(</w:t>
      </w:r>
      <w:r w:rsidRPr="00EA25BC">
        <w:rPr>
          <w:rFonts w:ascii="Cambria Math" w:hAnsi="Cambria Math" w:cs="Arial"/>
          <w:i/>
          <w:sz w:val="18"/>
          <w:szCs w:val="20"/>
        </w:rPr>
        <w:t>%</w:t>
      </w:r>
      <w:r w:rsidR="003B77C5">
        <w:rPr>
          <w:rFonts w:ascii="Cambria Math" w:hAnsi="Cambria Math" w:cs="Arial"/>
          <w:i/>
          <w:sz w:val="18"/>
          <w:szCs w:val="20"/>
        </w:rPr>
        <w:t>, decimal format)</w:t>
      </w:r>
    </w:p>
    <w:p w14:paraId="1B00BE29" w14:textId="5B42F83C"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bookmarkStart w:id="47" w:name="_Hlk526860657"/>
      <w:r>
        <w:rPr>
          <w:rFonts w:ascii="Cambria Math" w:hAnsi="Cambria Math" w:cs="Arial"/>
          <w:i/>
          <w:sz w:val="18"/>
          <w:szCs w:val="20"/>
        </w:rPr>
        <w:t>Btu/</w:t>
      </w:r>
      <w:r w:rsidR="00D02E2B">
        <w:rPr>
          <w:rFonts w:ascii="Cambria Math" w:hAnsi="Cambria Math" w:cs="Arial"/>
          <w:i/>
          <w:sz w:val="18"/>
          <w:szCs w:val="20"/>
        </w:rPr>
        <w:t>kWh</w:t>
      </w:r>
      <w:r>
        <w:rPr>
          <w:rFonts w:ascii="Cambria Math" w:hAnsi="Cambria Math" w:cs="Arial"/>
          <w:i/>
          <w:sz w:val="18"/>
          <w:szCs w:val="20"/>
        </w:rPr>
        <w:t xml:space="preserve"> = </w:t>
      </w:r>
      <w:r>
        <w:rPr>
          <w:rFonts w:ascii="Cambria Math" w:hAnsi="Cambria Math" w:cs="Arial"/>
          <w:i/>
          <w:sz w:val="18"/>
          <w:szCs w:val="20"/>
        </w:rPr>
        <w:tab/>
      </w:r>
      <w:r w:rsidR="00D02E2B">
        <w:rPr>
          <w:rFonts w:ascii="Cambria Math" w:hAnsi="Cambria Math" w:cs="Arial"/>
          <w:i/>
          <w:sz w:val="18"/>
          <w:szCs w:val="20"/>
        </w:rPr>
        <w:t>Btu to kWh</w:t>
      </w:r>
      <w:r>
        <w:rPr>
          <w:rFonts w:ascii="Cambria Math" w:hAnsi="Cambria Math" w:cs="Arial"/>
          <w:i/>
          <w:sz w:val="18"/>
          <w:szCs w:val="20"/>
        </w:rPr>
        <w:t xml:space="preserve"> </w:t>
      </w:r>
      <w:r w:rsidR="007B2BCC">
        <w:rPr>
          <w:rFonts w:ascii="Cambria Math" w:hAnsi="Cambria Math" w:cs="Arial"/>
          <w:i/>
          <w:sz w:val="18"/>
          <w:szCs w:val="20"/>
        </w:rPr>
        <w:t>conversion factor</w:t>
      </w:r>
    </w:p>
    <w:bookmarkEnd w:id="45"/>
    <w:bookmarkEnd w:id="47"/>
    <w:p w14:paraId="6C28EA3F" w14:textId="77777777" w:rsidR="001974AA" w:rsidRDefault="001974AA" w:rsidP="003B77C5"/>
    <w:p w14:paraId="4F22114B" w14:textId="4A9CEE68" w:rsidR="00EA25BC" w:rsidRPr="00EA25BC" w:rsidRDefault="00833AE5" w:rsidP="00833AE5">
      <w:pPr>
        <w:rPr>
          <w:rFonts w:ascii="Arial" w:hAnsi="Arial" w:cs="Arial"/>
          <w:i/>
          <w:sz w:val="20"/>
          <w:szCs w:val="20"/>
        </w:rPr>
      </w:pPr>
      <w:bookmarkStart w:id="48" w:name="_Hlk526524816"/>
      <w:bookmarkStart w:id="49" w:name="_Hlk526867636"/>
      <w:bookmarkStart w:id="50" w:name="_Hlk526859816"/>
      <w:r w:rsidRPr="00833AE5">
        <w:rPr>
          <w:b/>
        </w:rPr>
        <w:t>Preheat energy</w:t>
      </w:r>
      <w:r>
        <w:t xml:space="preserve"> is calculated as the product of the assumed number of preheats per day and the energy required per preheat mode. </w:t>
      </w:r>
    </w:p>
    <w:bookmarkEnd w:id="48"/>
    <w:p w14:paraId="68FE534B" w14:textId="77777777" w:rsidR="00EA25BC" w:rsidRPr="00EA25BC" w:rsidRDefault="00EA25BC" w:rsidP="003B77C5">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058C340A" w14:textId="2380CAED" w:rsidR="003B77C5" w:rsidRPr="00EA25BC" w:rsidRDefault="003B77C5" w:rsidP="003B77C5">
      <w:pPr>
        <w:tabs>
          <w:tab w:val="left" w:pos="2880"/>
        </w:tabs>
        <w:spacing w:before="20" w:after="20"/>
        <w:ind w:left="2880" w:hanging="1440"/>
        <w:rPr>
          <w:rFonts w:ascii="Cambria Math" w:hAnsi="Cambria Math" w:cs="Arial"/>
          <w:i/>
          <w:sz w:val="18"/>
          <w:szCs w:val="20"/>
        </w:rPr>
      </w:pPr>
      <w:bookmarkStart w:id="51" w:name="_Hlk526854026"/>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t xml:space="preserve">Estimated </w:t>
      </w:r>
      <w:r>
        <w:rPr>
          <w:rFonts w:ascii="Cambria Math" w:hAnsi="Cambria Math" w:cs="Arial"/>
          <w:i/>
          <w:sz w:val="18"/>
          <w:szCs w:val="20"/>
        </w:rPr>
        <w:t>number of preheats per day (#)</w:t>
      </w:r>
    </w:p>
    <w:p w14:paraId="4D6C0772" w14:textId="77777777" w:rsidR="003B77C5" w:rsidRPr="00EA25BC" w:rsidRDefault="003B77C5" w:rsidP="003B77C5">
      <w:pPr>
        <w:tabs>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EP =</w:t>
      </w:r>
      <w:r w:rsidRPr="00EA25BC">
        <w:rPr>
          <w:rFonts w:ascii="Cambria Math" w:hAnsi="Cambria Math" w:cs="Arial"/>
          <w:i/>
          <w:sz w:val="18"/>
          <w:szCs w:val="20"/>
        </w:rPr>
        <w:tab/>
        <w:t xml:space="preserve">Measured </w:t>
      </w:r>
      <w:r>
        <w:rPr>
          <w:rFonts w:ascii="Cambria Math" w:hAnsi="Cambria Math" w:cs="Arial"/>
          <w:i/>
          <w:sz w:val="18"/>
          <w:szCs w:val="20"/>
        </w:rPr>
        <w:t>preheat energy</w:t>
      </w:r>
      <w:r w:rsidRPr="00EA25BC">
        <w:rPr>
          <w:rFonts w:ascii="Cambria Math" w:hAnsi="Cambria Math" w:cs="Arial"/>
          <w:i/>
          <w:sz w:val="18"/>
          <w:szCs w:val="20"/>
        </w:rPr>
        <w:t xml:space="preserve"> (kWh)</w:t>
      </w:r>
    </w:p>
    <w:bookmarkEnd w:id="49"/>
    <w:bookmarkEnd w:id="51"/>
    <w:p w14:paraId="7FCE5768" w14:textId="6704D851" w:rsidR="00EA25BC" w:rsidRDefault="00EA25BC" w:rsidP="00C03B52">
      <w:pPr>
        <w:tabs>
          <w:tab w:val="left" w:pos="720"/>
        </w:tabs>
        <w:ind w:left="720"/>
      </w:pPr>
    </w:p>
    <w:p w14:paraId="4C7A8C0C" w14:textId="77777777" w:rsidR="00236E94" w:rsidRPr="00EA25BC" w:rsidRDefault="00236E94" w:rsidP="00236E94">
      <w:pPr>
        <w:rPr>
          <w:rFonts w:ascii="Arial" w:hAnsi="Arial" w:cs="Arial"/>
          <w:i/>
          <w:sz w:val="18"/>
          <w:szCs w:val="18"/>
        </w:rPr>
      </w:pPr>
      <w:bookmarkStart w:id="52" w:name="_Hlk526859839"/>
      <w:bookmarkStart w:id="53" w:name="_Hlk526854061"/>
      <w:bookmarkStart w:id="54" w:name="_Hlk526867650"/>
      <w:bookmarkEnd w:id="50"/>
      <w:r w:rsidRPr="00833AE5">
        <w:rPr>
          <w:b/>
        </w:rPr>
        <w:t>Idle energy</w:t>
      </w:r>
      <w:r>
        <w:t xml:space="preserve"> is a function of the idle energy rate, operating hours per day, and production capacity; idle energy does not include preheat time.</w:t>
      </w:r>
    </w:p>
    <w:bookmarkEnd w:id="52"/>
    <w:p w14:paraId="145B9096" w14:textId="3FA07084" w:rsidR="00236E94" w:rsidRPr="003B77C5" w:rsidRDefault="00236E94" w:rsidP="00236E94">
      <w:pPr>
        <w:ind w:left="720"/>
        <w:rPr>
          <w:rFonts w:ascii="Arial" w:hAnsi="Arial" w:cs="Arial"/>
          <w:i/>
          <w:sz w:val="18"/>
          <w:szCs w:val="18"/>
        </w:rPr>
      </w:pPr>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TP/MinHr)</m:t>
                  </m:r>
                </m:e>
              </m:d>
            </m:e>
          </m:d>
        </m:oMath>
      </m:oMathPara>
    </w:p>
    <w:p w14:paraId="17C6975F" w14:textId="77777777"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bookmarkStart w:id="55" w:name="_Hlk526860983"/>
      <w:r w:rsidRPr="00EA25BC">
        <w:rPr>
          <w:rFonts w:ascii="Cambria Math" w:hAnsi="Cambria Math" w:cs="Arial"/>
          <w:i/>
          <w:sz w:val="18"/>
          <w:szCs w:val="20"/>
        </w:rPr>
        <w:t>IDLE RATE =</w:t>
      </w:r>
      <w:r w:rsidRPr="00EA25BC">
        <w:rPr>
          <w:rFonts w:ascii="Cambria Math" w:hAnsi="Cambria Math" w:cs="Arial"/>
          <w:i/>
          <w:sz w:val="18"/>
          <w:szCs w:val="20"/>
        </w:rPr>
        <w:tab/>
        <w:t xml:space="preserve">Measured </w:t>
      </w:r>
      <w:r>
        <w:rPr>
          <w:rFonts w:ascii="Cambria Math" w:hAnsi="Cambria Math" w:cs="Arial"/>
          <w:i/>
          <w:sz w:val="18"/>
          <w:szCs w:val="20"/>
        </w:rPr>
        <w:t>idle energy rate</w:t>
      </w:r>
      <w:r w:rsidRPr="00EA25BC">
        <w:rPr>
          <w:rFonts w:ascii="Cambria Math" w:hAnsi="Cambria Math" w:cs="Arial"/>
          <w:i/>
          <w:sz w:val="18"/>
          <w:szCs w:val="20"/>
        </w:rPr>
        <w:t xml:space="preserve"> (kW)</w:t>
      </w:r>
    </w:p>
    <w:p w14:paraId="38A9D8ED" w14:textId="09094369"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sidR="00FE2BCE">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(hr</w:t>
      </w:r>
      <w:r w:rsidR="00DF0387">
        <w:rPr>
          <w:rFonts w:ascii="Cambria Math" w:hAnsi="Cambria Math" w:cs="Arial"/>
          <w:i/>
          <w:sz w:val="18"/>
          <w:szCs w:val="20"/>
        </w:rPr>
        <w:t>s</w:t>
      </w:r>
      <w:r>
        <w:rPr>
          <w:rFonts w:ascii="Cambria Math" w:hAnsi="Cambria Math" w:cs="Arial"/>
          <w:i/>
          <w:sz w:val="18"/>
          <w:szCs w:val="20"/>
        </w:rPr>
        <w:t>)</w:t>
      </w:r>
    </w:p>
    <w:p w14:paraId="66F3C586" w14:textId="7AE10C5E"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(lb</w:t>
      </w:r>
      <w:r w:rsidR="00DF0387">
        <w:rPr>
          <w:rFonts w:ascii="Cambria Math" w:hAnsi="Cambria Math" w:cs="Arial"/>
          <w:i/>
          <w:sz w:val="18"/>
          <w:szCs w:val="20"/>
        </w:rPr>
        <w:t>s</w:t>
      </w:r>
      <w:r>
        <w:rPr>
          <w:rFonts w:ascii="Cambria Math" w:hAnsi="Cambria Math" w:cs="Arial"/>
          <w:i/>
          <w:sz w:val="18"/>
          <w:szCs w:val="20"/>
        </w:rPr>
        <w:t>)</w:t>
      </w:r>
    </w:p>
    <w:p w14:paraId="30EDA62F" w14:textId="77777777"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(lbs/hr)</w:t>
      </w:r>
    </w:p>
    <w:p w14:paraId="280D2042" w14:textId="6750D824" w:rsidR="00236E94" w:rsidRPr="00EA25BC" w:rsidRDefault="00236E94" w:rsidP="00236E94">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1A9B4CE2" w14:textId="622BF624" w:rsidR="00236E94" w:rsidRDefault="00236E94" w:rsidP="00236E94">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p w14:paraId="4B8EB32C" w14:textId="42390BED" w:rsidR="00B7389F" w:rsidRPr="00EA25BC" w:rsidRDefault="00B7389F" w:rsidP="00236E94">
      <w:pPr>
        <w:tabs>
          <w:tab w:val="left" w:pos="1980"/>
          <w:tab w:val="left" w:pos="2880"/>
        </w:tabs>
        <w:spacing w:before="20" w:after="20"/>
        <w:ind w:left="2880" w:hanging="1440"/>
        <w:rPr>
          <w:rFonts w:ascii="Cambria Math" w:hAnsi="Cambria Math" w:cs="Arial"/>
          <w:i/>
          <w:sz w:val="18"/>
          <w:szCs w:val="20"/>
        </w:rPr>
      </w:pPr>
      <w:proofErr w:type="spellStart"/>
      <w:r>
        <w:rPr>
          <w:rFonts w:ascii="Cambria Math" w:hAnsi="Cambria Math" w:cs="Arial"/>
          <w:i/>
          <w:sz w:val="18"/>
          <w:szCs w:val="20"/>
        </w:rPr>
        <w:t>MinHr</w:t>
      </w:r>
      <w:proofErr w:type="spellEnd"/>
      <w:r>
        <w:rPr>
          <w:rFonts w:ascii="Cambria Math" w:hAnsi="Cambria Math" w:cs="Arial"/>
          <w:i/>
          <w:sz w:val="18"/>
          <w:szCs w:val="20"/>
        </w:rPr>
        <w:t xml:space="preserve"> = </w:t>
      </w:r>
      <w:r>
        <w:rPr>
          <w:rFonts w:ascii="Cambria Math" w:hAnsi="Cambria Math" w:cs="Arial"/>
          <w:i/>
          <w:sz w:val="18"/>
          <w:szCs w:val="20"/>
        </w:rPr>
        <w:tab/>
        <w:t xml:space="preserve">Constant, </w:t>
      </w:r>
      <w:r w:rsidR="00D02E2B">
        <w:rPr>
          <w:rFonts w:ascii="Cambria Math" w:hAnsi="Cambria Math" w:cs="Arial"/>
          <w:i/>
          <w:sz w:val="18"/>
          <w:szCs w:val="20"/>
        </w:rPr>
        <w:t xml:space="preserve">60 </w:t>
      </w:r>
      <w:r>
        <w:rPr>
          <w:rFonts w:ascii="Cambria Math" w:hAnsi="Cambria Math" w:cs="Arial"/>
          <w:i/>
          <w:sz w:val="18"/>
          <w:szCs w:val="20"/>
        </w:rPr>
        <w:t>minutes per hour (min)</w:t>
      </w:r>
    </w:p>
    <w:bookmarkEnd w:id="53"/>
    <w:bookmarkEnd w:id="55"/>
    <w:p w14:paraId="52E149D3" w14:textId="77777777" w:rsidR="00236E94" w:rsidRPr="00EA25BC" w:rsidRDefault="00236E94" w:rsidP="00236E94"/>
    <w:p w14:paraId="417BD3B8" w14:textId="18C264BD" w:rsidR="00C03B52" w:rsidRDefault="00C03B52" w:rsidP="00C03B52">
      <w:bookmarkStart w:id="56" w:name="_Hlk526859876"/>
      <w:bookmarkStart w:id="57" w:name="_Hlk526854079"/>
      <w:bookmarkEnd w:id="54"/>
      <w:r>
        <w:t>T</w:t>
      </w:r>
      <w:bookmarkStart w:id="58" w:name="_Hlk526524862"/>
      <w:r>
        <w:t xml:space="preserve">he </w:t>
      </w:r>
      <w:r w:rsidRPr="00833AE5">
        <w:rPr>
          <w:b/>
        </w:rPr>
        <w:t>annual UEC</w:t>
      </w:r>
      <w:r>
        <w:t xml:space="preserve"> is calculated as the daily UEC multiplied by the number of operating days per year.</w:t>
      </w:r>
    </w:p>
    <w:p w14:paraId="6009272D" w14:textId="77777777" w:rsidR="00C03B52" w:rsidRPr="00955AF0" w:rsidRDefault="00C03B52" w:rsidP="00C03B52">
      <w:pPr>
        <w:tabs>
          <w:tab w:val="left" w:pos="720"/>
        </w:tabs>
        <w:ind w:left="720"/>
        <w:rPr>
          <w:sz w:val="18"/>
          <w:szCs w:val="18"/>
        </w:rPr>
      </w:pPr>
      <w:bookmarkStart w:id="59" w:name="_Hlk526859939"/>
      <w:bookmarkEnd w:id="56"/>
      <w:bookmarkEnd w:id="58"/>
      <m:oMathPara>
        <m:oMathParaPr>
          <m:jc m:val="left"/>
        </m:oMathParaPr>
        <m:oMath>
          <m:r>
            <w:rPr>
              <w:rFonts w:ascii="Cambria Math" w:hAnsi="Cambria Math"/>
              <w:sz w:val="18"/>
              <w:szCs w:val="18"/>
            </w:rPr>
            <m:t>UEC_YEAR=UEC_DAY×EDAYS</m:t>
          </m:r>
        </m:oMath>
      </m:oMathPara>
    </w:p>
    <w:p w14:paraId="7300593F" w14:textId="218B57C5" w:rsidR="003B77C5" w:rsidRDefault="003B77C5" w:rsidP="003B77C5">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r>
      <w:r>
        <w:rPr>
          <w:rFonts w:ascii="Cambria Math" w:hAnsi="Cambria Math" w:cs="Calibri Light"/>
          <w:i/>
          <w:sz w:val="18"/>
          <w:szCs w:val="20"/>
        </w:rPr>
        <w:t>Daily unit energy consumption</w:t>
      </w:r>
      <w:r w:rsidRPr="00E00DBE">
        <w:rPr>
          <w:rFonts w:ascii="Cambria Math" w:hAnsi="Cambria Math" w:cs="Calibri Light"/>
          <w:i/>
          <w:sz w:val="18"/>
          <w:szCs w:val="20"/>
        </w:rPr>
        <w:t xml:space="preserve"> (kWh)</w:t>
      </w:r>
    </w:p>
    <w:p w14:paraId="12FCFE01" w14:textId="0C15C133" w:rsidR="003B77C5" w:rsidRDefault="003B77C5" w:rsidP="003B77C5">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4BAB7A7C" w14:textId="77777777" w:rsidR="00741F76" w:rsidRDefault="00741F76" w:rsidP="00741F76">
      <w:bookmarkStart w:id="60" w:name="_Hlk526524900"/>
      <w:bookmarkStart w:id="61" w:name="_Hlk526862301"/>
      <w:bookmarkEnd w:id="57"/>
      <w:bookmarkEnd w:id="59"/>
    </w:p>
    <w:p w14:paraId="11DB1EF1" w14:textId="59812D16" w:rsidR="00ED4D0D" w:rsidRDefault="00F45BBC" w:rsidP="00ED4D0D">
      <w:pPr>
        <w:pStyle w:val="eTRMHeading4"/>
      </w:pPr>
      <w:r>
        <w:t xml:space="preserve">Annual </w:t>
      </w:r>
      <w:r w:rsidR="00E65410">
        <w:t xml:space="preserve">Electric </w:t>
      </w:r>
      <w:r w:rsidR="00ED4D0D">
        <w:t>Unit Energy Savings</w:t>
      </w:r>
    </w:p>
    <w:p w14:paraId="2ADFD43D" w14:textId="087AB049" w:rsidR="00FB10BA" w:rsidRDefault="00FB10BA" w:rsidP="00FB10BA">
      <w:bookmarkStart w:id="62" w:name="_Hlk526524922"/>
      <w:bookmarkStart w:id="63" w:name="_Hlk526854098"/>
      <w:bookmarkEnd w:id="60"/>
      <w:r>
        <w:t xml:space="preserve">The </w:t>
      </w:r>
      <w:r w:rsidR="002B0AD3">
        <w:rPr>
          <w:b/>
        </w:rPr>
        <w:t>annual</w:t>
      </w:r>
      <w:r w:rsidR="002B0AD3" w:rsidRPr="00ED4D0D">
        <w:rPr>
          <w:b/>
        </w:rPr>
        <w:t xml:space="preserve"> </w:t>
      </w:r>
      <w:r w:rsidRPr="00ED4D0D">
        <w:rPr>
          <w:b/>
        </w:rPr>
        <w:t>UES</w:t>
      </w:r>
      <w:r>
        <w:t xml:space="preserve"> is calculated as the difference between the </w:t>
      </w:r>
      <w:r w:rsidR="00F1080D">
        <w:t>baseline</w:t>
      </w:r>
      <w:r>
        <w:t xml:space="preserve"> and measure case </w:t>
      </w:r>
      <w:r w:rsidR="002B0AD3">
        <w:t xml:space="preserve">annual </w:t>
      </w:r>
      <w:r>
        <w:t xml:space="preserve">UEC.  </w:t>
      </w:r>
    </w:p>
    <w:p w14:paraId="43DAF07F" w14:textId="5825D3C2" w:rsidR="00955AF0" w:rsidRPr="00FD02A1" w:rsidRDefault="00955AF0" w:rsidP="00CA47ED">
      <w:pPr>
        <w:keepNext/>
        <w:keepLines/>
        <w:ind w:left="720"/>
        <w:rPr>
          <w:sz w:val="18"/>
          <w:szCs w:val="18"/>
        </w:rPr>
      </w:pPr>
      <w:bookmarkStart w:id="64" w:name="_Hlk522370366"/>
      <w:bookmarkStart w:id="65" w:name="_Hlk526854124"/>
      <w:bookmarkEnd w:id="62"/>
      <w:bookmarkEnd w:id="63"/>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bookmarkEnd w:id="64"/>
    <w:p w14:paraId="3350591B" w14:textId="45B74192" w:rsidR="00E46A17" w:rsidRPr="00E00DBE" w:rsidRDefault="00E46A17" w:rsidP="00CA47ED">
      <w:pPr>
        <w:keepNext/>
        <w:keepLines/>
        <w:ind w:left="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r>
      <w:r w:rsidR="00102F23">
        <w:rPr>
          <w:rFonts w:ascii="Cambria Math" w:hAnsi="Cambria Math" w:cs="Calibri Light"/>
          <w:i/>
          <w:sz w:val="18"/>
          <w:szCs w:val="20"/>
        </w:rPr>
        <w:t>A</w:t>
      </w:r>
      <w:r w:rsidR="009A2CF3">
        <w:rPr>
          <w:rFonts w:ascii="Cambria Math" w:hAnsi="Cambria Math" w:cs="Calibri Light"/>
          <w:i/>
          <w:sz w:val="18"/>
          <w:szCs w:val="20"/>
        </w:rPr>
        <w:t xml:space="preserve">nnual </w:t>
      </w:r>
      <w:r w:rsidR="00102F23">
        <w:rPr>
          <w:rFonts w:ascii="Cambria Math" w:hAnsi="Cambria Math" w:cs="Calibri Light"/>
          <w:i/>
          <w:sz w:val="18"/>
          <w:szCs w:val="20"/>
        </w:rPr>
        <w:t>UEC, baseline or measure</w:t>
      </w:r>
      <w:r>
        <w:rPr>
          <w:rFonts w:ascii="Cambria Math" w:hAnsi="Cambria Math" w:cs="Calibri Light"/>
          <w:i/>
          <w:sz w:val="18"/>
          <w:szCs w:val="20"/>
        </w:rPr>
        <w:t xml:space="preserve"> (kWh/year)</w:t>
      </w:r>
    </w:p>
    <w:p w14:paraId="1FFCCC1B" w14:textId="6AF27585" w:rsidR="00955AF0" w:rsidRDefault="00955AF0" w:rsidP="00CA47ED">
      <w:pPr>
        <w:keepNext/>
        <w:keepLines/>
        <w:ind w:left="1440"/>
        <w:rPr>
          <w:rFonts w:ascii="Cambria Math" w:hAnsi="Cambria Math" w:cs="Calibri Light"/>
          <w:i/>
          <w:sz w:val="18"/>
          <w:szCs w:val="20"/>
        </w:rPr>
      </w:pPr>
      <w:bookmarkStart w:id="66" w:name="_Hlk522370378"/>
      <w:r>
        <w:rPr>
          <w:rFonts w:ascii="Cambria Math" w:hAnsi="Cambria Math" w:cs="Calibri Light"/>
          <w:i/>
          <w:sz w:val="18"/>
          <w:szCs w:val="20"/>
        </w:rPr>
        <w:t>UES</w:t>
      </w:r>
      <w:r w:rsidR="00872D0C">
        <w:rPr>
          <w:rFonts w:ascii="Cambria Math" w:hAnsi="Cambria Math" w:cs="Calibri Light"/>
          <w:i/>
          <w:sz w:val="18"/>
          <w:szCs w:val="20"/>
        </w:rPr>
        <w:t>_YEAR</w:t>
      </w:r>
      <w:r>
        <w:rPr>
          <w:rFonts w:ascii="Cambria Math" w:hAnsi="Cambria Math" w:cs="Calibri Light"/>
          <w:i/>
          <w:sz w:val="18"/>
          <w:szCs w:val="20"/>
        </w:rPr>
        <w:t>=</w:t>
      </w:r>
      <w:r>
        <w:rPr>
          <w:rFonts w:ascii="Cambria Math" w:hAnsi="Cambria Math" w:cs="Calibri Light"/>
          <w:i/>
          <w:sz w:val="18"/>
          <w:szCs w:val="20"/>
        </w:rPr>
        <w:tab/>
        <w:t xml:space="preserve">Annual </w:t>
      </w:r>
      <w:r w:rsidR="00102F23">
        <w:rPr>
          <w:rFonts w:ascii="Cambria Math" w:hAnsi="Cambria Math" w:cs="Calibri Light"/>
          <w:i/>
          <w:sz w:val="18"/>
          <w:szCs w:val="20"/>
        </w:rPr>
        <w:t>UES</w:t>
      </w:r>
      <w:r w:rsidR="00D66620">
        <w:rPr>
          <w:rFonts w:ascii="Cambria Math" w:hAnsi="Cambria Math" w:cs="Calibri Light"/>
          <w:i/>
          <w:sz w:val="18"/>
          <w:szCs w:val="20"/>
        </w:rPr>
        <w:t xml:space="preserve"> (kWh/year)</w:t>
      </w:r>
    </w:p>
    <w:p w14:paraId="6B039DF3" w14:textId="77777777" w:rsidR="001148A6" w:rsidRDefault="001148A6" w:rsidP="00CA47ED"/>
    <w:bookmarkEnd w:id="61"/>
    <w:bookmarkEnd w:id="65"/>
    <w:p w14:paraId="0B8DB1FD" w14:textId="33BA4F67" w:rsidR="00A53BA8" w:rsidRDefault="00A53BA8" w:rsidP="00A53BA8">
      <w:pPr>
        <w:keepNext/>
        <w:keepLines/>
      </w:pPr>
      <w:r>
        <w:t xml:space="preserve">Note that for measures implemented through investor-owned utility (IOU) portfolios, </w:t>
      </w:r>
      <w:r w:rsidRPr="0058503B">
        <w:t>Decision 11-07-030</w:t>
      </w:r>
      <w:r w:rsidR="00F12BA4">
        <w:t xml:space="preserve"> stipulated a</w:t>
      </w:r>
      <w:r w:rsidR="00194158">
        <w:t>n</w:t>
      </w:r>
      <w:r w:rsidR="00F12BA4">
        <w:t xml:space="preserve"> adjustment to </w:t>
      </w:r>
      <w:r>
        <w:t>the UES</w:t>
      </w:r>
      <w:r w:rsidR="00F12BA4">
        <w:t>:</w:t>
      </w:r>
      <w:r>
        <w:t xml:space="preserve"> </w:t>
      </w:r>
      <w:r w:rsidRPr="0058503B">
        <w:t>“Energy Division believes that operating hours, food production rates and baseline efficiencies contribute to overly optimistic UES calculations and recommend a 30% reduction in UES values</w:t>
      </w:r>
      <w:r>
        <w:t>.</w:t>
      </w:r>
      <w:r w:rsidRPr="0058503B">
        <w:t>”</w:t>
      </w:r>
      <w:r w:rsidR="00194158" w:rsidRPr="00194158">
        <w:rPr>
          <w:rStyle w:val="FootnoteReference"/>
        </w:rPr>
        <w:t xml:space="preserve"> </w:t>
      </w:r>
      <w:r>
        <w:t xml:space="preserve">These operating characteristics </w:t>
      </w:r>
      <w:r w:rsidR="00F12BA4">
        <w:t>were</w:t>
      </w:r>
      <w:r>
        <w:t xml:space="preserve"> investigated and revised</w:t>
      </w:r>
      <w:r w:rsidR="00F12BA4">
        <w:t xml:space="preserve"> </w:t>
      </w:r>
      <w:r w:rsidR="00194158">
        <w:t>in 2019</w:t>
      </w:r>
      <w:r w:rsidR="0053133A">
        <w:t xml:space="preserve"> </w:t>
      </w:r>
      <w:r w:rsidR="00F12BA4">
        <w:t>and incorporated into the UEC calculation,</w:t>
      </w:r>
      <w:r w:rsidR="00F12BA4">
        <w:rPr>
          <w:vertAlign w:val="superscript"/>
        </w:rPr>
        <w:t>3</w:t>
      </w:r>
      <w:r w:rsidR="00F12BA4">
        <w:t xml:space="preserve"> thus </w:t>
      </w:r>
      <w:r>
        <w:t xml:space="preserve">the 30% reduction factor is </w:t>
      </w:r>
      <w:r w:rsidR="00F12BA4">
        <w:t>excluded from</w:t>
      </w:r>
      <w:r>
        <w:t xml:space="preserve"> the</w:t>
      </w:r>
      <w:r w:rsidR="00F12BA4">
        <w:t xml:space="preserve"> UES</w:t>
      </w:r>
      <w:r>
        <w:t xml:space="preserve"> calculation.</w:t>
      </w:r>
    </w:p>
    <w:p w14:paraId="482A629B" w14:textId="77777777" w:rsidR="00E65410" w:rsidRPr="00E00DBE" w:rsidRDefault="00E65410" w:rsidP="00F12BA4"/>
    <w:bookmarkEnd w:id="66"/>
    <w:p w14:paraId="59257221" w14:textId="77777777" w:rsidR="00E65410" w:rsidRDefault="00E65410" w:rsidP="00E65410">
      <w:pPr>
        <w:pStyle w:val="eTRMHeading4"/>
      </w:pPr>
      <w:r>
        <w:t>Inputs and Assumptions</w:t>
      </w:r>
    </w:p>
    <w:p w14:paraId="0479AA07" w14:textId="02180B46" w:rsidR="006C486E" w:rsidRPr="003D7B69" w:rsidRDefault="00C51593" w:rsidP="004B06E3">
      <w:r>
        <w:rPr>
          <w:szCs w:val="22"/>
        </w:rPr>
        <w:t>The</w:t>
      </w:r>
      <w:r w:rsidR="004271B3" w:rsidRPr="00743373">
        <w:rPr>
          <w:szCs w:val="22"/>
        </w:rPr>
        <w:t xml:space="preserve"> inputs for the calculation of </w:t>
      </w:r>
      <w:r w:rsidR="003B77C5">
        <w:rPr>
          <w:szCs w:val="22"/>
        </w:rPr>
        <w:t xml:space="preserve">the UES </w:t>
      </w:r>
      <w:r w:rsidR="004271B3" w:rsidRPr="00743373">
        <w:rPr>
          <w:szCs w:val="22"/>
        </w:rPr>
        <w:t xml:space="preserve">of </w:t>
      </w:r>
      <w:r w:rsidR="00B7389F">
        <w:rPr>
          <w:szCs w:val="22"/>
        </w:rPr>
        <w:t xml:space="preserve">an </w:t>
      </w:r>
      <w:r w:rsidR="00EA25BC" w:rsidRPr="00743373">
        <w:rPr>
          <w:szCs w:val="22"/>
        </w:rPr>
        <w:t xml:space="preserve">electric fryer </w:t>
      </w:r>
      <w:r>
        <w:rPr>
          <w:szCs w:val="22"/>
        </w:rPr>
        <w:t>are specified below</w:t>
      </w:r>
      <w:r w:rsidR="00EA25BC" w:rsidRPr="00743373">
        <w:rPr>
          <w:szCs w:val="22"/>
        </w:rPr>
        <w:t xml:space="preserve">. </w:t>
      </w:r>
      <w:r w:rsidR="003D7B69">
        <w:t>The CPUC issued disposition</w:t>
      </w:r>
      <w:r w:rsidR="0053133A">
        <w:t>,</w:t>
      </w:r>
      <w:r w:rsidR="003D7B69">
        <w:t xml:space="preserve"> </w:t>
      </w:r>
      <w:r w:rsidR="003D7B69" w:rsidRPr="00900086">
        <w:t>“Non-standard Disposition for the commercial electric and gas Fryer workpaper SWFS011-01</w:t>
      </w:r>
      <w:r w:rsidR="001148A6">
        <w:t>,</w:t>
      </w:r>
      <w:r w:rsidR="003D7B69" w:rsidRPr="00C333E3">
        <w:t xml:space="preserve">” </w:t>
      </w:r>
      <w:r w:rsidR="001148A6">
        <w:rPr>
          <w:rStyle w:val="FootnoteReference"/>
        </w:rPr>
        <w:footnoteReference w:id="8"/>
      </w:r>
      <w:r w:rsidR="003D7B69">
        <w:t xml:space="preserve"> required </w:t>
      </w:r>
      <w:r w:rsidR="0053133A">
        <w:t xml:space="preserve">the </w:t>
      </w:r>
      <w:r w:rsidR="003D7B69">
        <w:t xml:space="preserve">collection </w:t>
      </w:r>
      <w:r w:rsidR="0053133A">
        <w:t>and analysis of</w:t>
      </w:r>
      <w:r w:rsidR="003D7B69">
        <w:t xml:space="preserve"> secondary source test data. Electric fryers </w:t>
      </w:r>
      <w:r w:rsidR="003D7B69" w:rsidRPr="004236D2">
        <w:t xml:space="preserve">represent a smaller </w:t>
      </w:r>
      <w:r w:rsidR="001148A6">
        <w:t xml:space="preserve">share of the </w:t>
      </w:r>
      <w:r w:rsidR="003D7B69" w:rsidRPr="004236D2">
        <w:t xml:space="preserve">market segment </w:t>
      </w:r>
      <w:r w:rsidR="001148A6">
        <w:t xml:space="preserve">than gas fryers </w:t>
      </w:r>
      <w:r w:rsidR="003D7B69" w:rsidRPr="004236D2">
        <w:t>and,</w:t>
      </w:r>
      <w:r w:rsidR="003D7B69" w:rsidRPr="00B94F54">
        <w:rPr>
          <w:rFonts w:cs="Calibri Light"/>
          <w:szCs w:val="22"/>
        </w:rPr>
        <w:t xml:space="preserve"> </w:t>
      </w:r>
      <w:r w:rsidR="001148A6">
        <w:rPr>
          <w:rFonts w:cs="Calibri Light"/>
          <w:szCs w:val="22"/>
        </w:rPr>
        <w:t>thus</w:t>
      </w:r>
      <w:r w:rsidR="003D7B69" w:rsidRPr="00B94F54">
        <w:rPr>
          <w:rFonts w:cs="Calibri Light"/>
          <w:szCs w:val="22"/>
        </w:rPr>
        <w:t xml:space="preserve"> baseline data in both a lab and field </w:t>
      </w:r>
      <w:r w:rsidR="003D7B69" w:rsidRPr="00B94F54">
        <w:rPr>
          <w:rFonts w:cs="Calibri Light"/>
          <w:szCs w:val="22"/>
        </w:rPr>
        <w:lastRenderedPageBreak/>
        <w:t xml:space="preserve">context is </w:t>
      </w:r>
      <w:r w:rsidR="003D7B69" w:rsidRPr="004D7E42">
        <w:rPr>
          <w:rFonts w:cs="Calibri Light"/>
          <w:szCs w:val="22"/>
        </w:rPr>
        <w:t xml:space="preserve">scarce. </w:t>
      </w:r>
      <w:r w:rsidR="0053133A">
        <w:rPr>
          <w:rFonts w:cs="Calibri Light"/>
          <w:szCs w:val="22"/>
        </w:rPr>
        <w:t>M</w:t>
      </w:r>
      <w:r w:rsidR="00870E4F">
        <w:rPr>
          <w:rFonts w:cs="Calibri Light"/>
          <w:szCs w:val="22"/>
        </w:rPr>
        <w:t xml:space="preserve">easure case assumptions </w:t>
      </w:r>
      <w:r w:rsidR="0053133A">
        <w:rPr>
          <w:rFonts w:cs="Calibri Light"/>
          <w:szCs w:val="22"/>
        </w:rPr>
        <w:t>were</w:t>
      </w:r>
      <w:r w:rsidR="00870E4F">
        <w:rPr>
          <w:rFonts w:cs="Calibri Light"/>
          <w:szCs w:val="22"/>
        </w:rPr>
        <w:t xml:space="preserve"> </w:t>
      </w:r>
      <w:r w:rsidR="003F7D79">
        <w:rPr>
          <w:rFonts w:cs="Calibri Light"/>
          <w:szCs w:val="22"/>
        </w:rPr>
        <w:t xml:space="preserve">further </w:t>
      </w:r>
      <w:r w:rsidR="0053133A">
        <w:rPr>
          <w:rFonts w:cs="Calibri Light"/>
          <w:szCs w:val="22"/>
        </w:rPr>
        <w:t>updated in 2019</w:t>
      </w:r>
      <w:r w:rsidR="00870E4F">
        <w:rPr>
          <w:rFonts w:cs="Calibri Light"/>
          <w:szCs w:val="22"/>
        </w:rPr>
        <w:t xml:space="preserve"> based on the findings </w:t>
      </w:r>
      <w:r w:rsidR="0053133A">
        <w:rPr>
          <w:rFonts w:cs="Calibri Light"/>
          <w:szCs w:val="22"/>
        </w:rPr>
        <w:t>of the 2019 analysis</w:t>
      </w:r>
      <w:r w:rsidR="003F7D79">
        <w:rPr>
          <w:rFonts w:cs="Calibri Light"/>
          <w:szCs w:val="22"/>
        </w:rPr>
        <w:t xml:space="preserve"> per CPUC review comments from November 2019 </w:t>
      </w:r>
      <w:bookmarkStart w:id="67" w:name="_Ref27305172"/>
      <w:r w:rsidR="003F7D79">
        <w:rPr>
          <w:rStyle w:val="FootnoteReference"/>
          <w:rFonts w:cs="Calibri Light"/>
          <w:szCs w:val="22"/>
        </w:rPr>
        <w:footnoteReference w:id="9"/>
      </w:r>
      <w:bookmarkEnd w:id="67"/>
      <w:r w:rsidR="00C515C3">
        <w:rPr>
          <w:rFonts w:cs="Calibri Light"/>
          <w:szCs w:val="22"/>
        </w:rPr>
        <w:t>. These assumptions remain in the 2020 updated workpaper analysis, as the electric commercial fryer had no updates or changes.</w:t>
      </w:r>
    </w:p>
    <w:p w14:paraId="0F6C839C" w14:textId="587DDF7E" w:rsidR="007D230B" w:rsidRPr="00743373" w:rsidRDefault="00743373" w:rsidP="004B06E3">
      <w:pPr>
        <w:rPr>
          <w:rFonts w:cs="Arial"/>
          <w:szCs w:val="22"/>
        </w:rPr>
      </w:pPr>
      <w:r w:rsidRPr="00743373">
        <w:rPr>
          <w:rFonts w:cs="Arial"/>
          <w:szCs w:val="22"/>
        </w:rPr>
        <w:t xml:space="preserve">The assumed hours and days of operation are </w:t>
      </w:r>
      <w:r w:rsidR="00900086">
        <w:rPr>
          <w:rFonts w:cs="Arial"/>
          <w:szCs w:val="22"/>
        </w:rPr>
        <w:t>calculated from on-site monitored data and responses from surveys as shown in the referenced source.</w:t>
      </w:r>
    </w:p>
    <w:p w14:paraId="5101BC3B" w14:textId="466B190F" w:rsidR="007D3509" w:rsidRPr="002670D4" w:rsidRDefault="005828BC" w:rsidP="00AC5795">
      <w:pPr>
        <w:pStyle w:val="Caption"/>
        <w:rPr>
          <w:bCs/>
        </w:rPr>
      </w:pPr>
      <w:bookmarkStart w:id="68" w:name="_Ref503282014"/>
      <w:bookmarkStart w:id="69" w:name="_Ref458764044"/>
      <w:bookmarkStart w:id="70" w:name="_Toc458765601"/>
      <w:r>
        <w:t xml:space="preserve">Electric </w:t>
      </w:r>
      <w:bookmarkEnd w:id="68"/>
      <w:bookmarkEnd w:id="69"/>
      <w:bookmarkEnd w:id="70"/>
      <w:r w:rsidR="00D02E2B">
        <w:t>UEC</w:t>
      </w:r>
      <w:r w:rsidR="004271B3">
        <w:t xml:space="preserve"> Inputs</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532"/>
        <w:gridCol w:w="1230"/>
        <w:gridCol w:w="1143"/>
        <w:gridCol w:w="3445"/>
      </w:tblGrid>
      <w:tr w:rsidR="00E46A17" w:rsidRPr="00127B06" w14:paraId="60AC0508" w14:textId="33A9C327" w:rsidTr="00B5189A">
        <w:trPr>
          <w:trHeight w:val="432"/>
          <w:tblHeader/>
          <w:jc w:val="center"/>
        </w:trPr>
        <w:tc>
          <w:tcPr>
            <w:tcW w:w="1889" w:type="pct"/>
            <w:shd w:val="clear" w:color="auto" w:fill="F2F2F2" w:themeFill="background1" w:themeFillShade="F2"/>
            <w:vAlign w:val="bottom"/>
          </w:tcPr>
          <w:p w14:paraId="4A9F107E" w14:textId="02084615" w:rsidR="00D71637" w:rsidRPr="00127B06" w:rsidRDefault="00302C64" w:rsidP="00127B06">
            <w:pPr>
              <w:spacing w:before="20" w:after="20" w:line="240" w:lineRule="atLeast"/>
              <w:rPr>
                <w:rFonts w:cs="Arial"/>
                <w:b/>
                <w:sz w:val="20"/>
                <w:szCs w:val="20"/>
              </w:rPr>
            </w:pPr>
            <w:r>
              <w:rPr>
                <w:rFonts w:cs="Arial"/>
                <w:b/>
                <w:sz w:val="20"/>
                <w:szCs w:val="20"/>
              </w:rPr>
              <w:t>Parameter</w:t>
            </w:r>
          </w:p>
        </w:tc>
        <w:tc>
          <w:tcPr>
            <w:tcW w:w="658" w:type="pct"/>
            <w:shd w:val="clear" w:color="auto" w:fill="F2F2F2" w:themeFill="background1" w:themeFillShade="F2"/>
            <w:vAlign w:val="bottom"/>
          </w:tcPr>
          <w:p w14:paraId="534886E4" w14:textId="78C8AA55" w:rsidR="00D71637" w:rsidRPr="00127B06" w:rsidRDefault="00D71637" w:rsidP="00127B06">
            <w:pPr>
              <w:spacing w:before="20" w:after="20" w:line="240" w:lineRule="atLeast"/>
              <w:jc w:val="center"/>
              <w:rPr>
                <w:rFonts w:cs="Arial"/>
                <w:b/>
                <w:sz w:val="20"/>
                <w:szCs w:val="20"/>
              </w:rPr>
            </w:pPr>
            <w:r>
              <w:rPr>
                <w:rFonts w:cs="Arial"/>
                <w:b/>
                <w:sz w:val="20"/>
                <w:szCs w:val="20"/>
              </w:rPr>
              <w:t>Base Case</w:t>
            </w:r>
            <w:r w:rsidRPr="00127B06">
              <w:rPr>
                <w:rFonts w:cs="Arial"/>
                <w:b/>
                <w:sz w:val="20"/>
                <w:szCs w:val="20"/>
              </w:rPr>
              <w:t xml:space="preserve"> Model</w:t>
            </w:r>
          </w:p>
        </w:tc>
        <w:tc>
          <w:tcPr>
            <w:tcW w:w="611" w:type="pct"/>
            <w:shd w:val="clear" w:color="auto" w:fill="F2F2F2" w:themeFill="background1" w:themeFillShade="F2"/>
            <w:vAlign w:val="bottom"/>
          </w:tcPr>
          <w:p w14:paraId="206BBFDB" w14:textId="17A0CDB4" w:rsidR="00D71637" w:rsidRPr="00127B06" w:rsidRDefault="00D71637" w:rsidP="00127B06">
            <w:pPr>
              <w:spacing w:before="20" w:after="20" w:line="240" w:lineRule="atLeast"/>
              <w:jc w:val="center"/>
              <w:rPr>
                <w:rFonts w:cs="Arial"/>
                <w:b/>
                <w:sz w:val="20"/>
                <w:szCs w:val="20"/>
              </w:rPr>
            </w:pPr>
            <w:r>
              <w:rPr>
                <w:rFonts w:cs="Arial"/>
                <w:b/>
                <w:sz w:val="20"/>
                <w:szCs w:val="20"/>
              </w:rPr>
              <w:t>Measure Case</w:t>
            </w:r>
            <w:r w:rsidRPr="00127B06">
              <w:rPr>
                <w:rFonts w:cs="Arial"/>
                <w:b/>
                <w:sz w:val="20"/>
                <w:szCs w:val="20"/>
              </w:rPr>
              <w:t xml:space="preserve"> Model</w:t>
            </w:r>
          </w:p>
        </w:tc>
        <w:tc>
          <w:tcPr>
            <w:tcW w:w="1842" w:type="pct"/>
            <w:shd w:val="clear" w:color="auto" w:fill="F2F2F2" w:themeFill="background1" w:themeFillShade="F2"/>
            <w:vAlign w:val="bottom"/>
          </w:tcPr>
          <w:p w14:paraId="12B083B1" w14:textId="6E4F4A38" w:rsidR="00D71637" w:rsidRDefault="00D71637" w:rsidP="00127B06">
            <w:pPr>
              <w:spacing w:before="20" w:after="20" w:line="240" w:lineRule="atLeast"/>
              <w:jc w:val="center"/>
              <w:rPr>
                <w:rFonts w:cs="Arial"/>
                <w:b/>
                <w:sz w:val="20"/>
                <w:szCs w:val="20"/>
              </w:rPr>
            </w:pPr>
            <w:r>
              <w:rPr>
                <w:rFonts w:cs="Arial"/>
                <w:b/>
                <w:sz w:val="20"/>
                <w:szCs w:val="20"/>
              </w:rPr>
              <w:t>Source</w:t>
            </w:r>
          </w:p>
        </w:tc>
      </w:tr>
      <w:tr w:rsidR="00900086" w14:paraId="7487ADBE" w14:textId="77777777" w:rsidTr="00B5189A">
        <w:trPr>
          <w:trHeight w:hRule="exact" w:val="288"/>
          <w:jc w:val="center"/>
        </w:trPr>
        <w:tc>
          <w:tcPr>
            <w:tcW w:w="1889" w:type="pct"/>
            <w:vAlign w:val="center"/>
          </w:tcPr>
          <w:p w14:paraId="39E58972" w14:textId="77777777" w:rsidR="00900086" w:rsidRPr="00127B06" w:rsidRDefault="00900086" w:rsidP="0077013F">
            <w:pPr>
              <w:spacing w:before="20" w:after="20" w:line="240" w:lineRule="atLeast"/>
              <w:rPr>
                <w:rFonts w:cs="Arial"/>
                <w:sz w:val="20"/>
                <w:szCs w:val="20"/>
              </w:rPr>
            </w:pPr>
            <w:r w:rsidRPr="00127B06">
              <w:rPr>
                <w:rFonts w:cs="Arial"/>
                <w:sz w:val="20"/>
                <w:szCs w:val="20"/>
              </w:rPr>
              <w:t>Number of Preheats per Day (#/day)</w:t>
            </w:r>
          </w:p>
        </w:tc>
        <w:tc>
          <w:tcPr>
            <w:tcW w:w="658" w:type="pct"/>
            <w:vAlign w:val="center"/>
          </w:tcPr>
          <w:p w14:paraId="35D69FBA" w14:textId="77777777" w:rsidR="00900086" w:rsidRPr="00D66620" w:rsidRDefault="00900086" w:rsidP="005E4DF9">
            <w:pPr>
              <w:spacing w:before="20" w:after="20" w:line="240" w:lineRule="atLeast"/>
              <w:jc w:val="center"/>
              <w:rPr>
                <w:rFonts w:cs="Arial"/>
                <w:sz w:val="20"/>
                <w:szCs w:val="20"/>
              </w:rPr>
            </w:pPr>
            <w:r w:rsidRPr="00D66620">
              <w:rPr>
                <w:rFonts w:cs="Arial"/>
                <w:sz w:val="20"/>
                <w:szCs w:val="20"/>
              </w:rPr>
              <w:t>1</w:t>
            </w:r>
          </w:p>
        </w:tc>
        <w:tc>
          <w:tcPr>
            <w:tcW w:w="611" w:type="pct"/>
            <w:vAlign w:val="center"/>
          </w:tcPr>
          <w:p w14:paraId="05BA6DBA" w14:textId="77777777" w:rsidR="00900086" w:rsidRPr="00D66620" w:rsidRDefault="00900086" w:rsidP="005E4DF9">
            <w:pPr>
              <w:spacing w:before="20" w:after="20" w:line="240" w:lineRule="atLeast"/>
              <w:jc w:val="center"/>
              <w:rPr>
                <w:rFonts w:cs="Arial"/>
                <w:sz w:val="20"/>
                <w:szCs w:val="20"/>
              </w:rPr>
            </w:pPr>
            <w:r w:rsidRPr="00D66620">
              <w:rPr>
                <w:rFonts w:cs="Arial"/>
                <w:sz w:val="20"/>
                <w:szCs w:val="20"/>
              </w:rPr>
              <w:t>1</w:t>
            </w:r>
          </w:p>
        </w:tc>
        <w:tc>
          <w:tcPr>
            <w:tcW w:w="1842" w:type="pct"/>
            <w:vMerge w:val="restart"/>
          </w:tcPr>
          <w:p w14:paraId="5C10332A" w14:textId="0C527C0A" w:rsidR="00900086" w:rsidRPr="00743373" w:rsidRDefault="00900086" w:rsidP="00743373">
            <w:pPr>
              <w:spacing w:before="20" w:after="20" w:line="240" w:lineRule="atLeast"/>
              <w:rPr>
                <w:rFonts w:cs="Arial"/>
                <w:sz w:val="18"/>
                <w:szCs w:val="18"/>
              </w:rPr>
            </w:pPr>
            <w:r w:rsidRPr="00743373">
              <w:rPr>
                <w:rFonts w:cs="Arial"/>
                <w:sz w:val="18"/>
                <w:szCs w:val="18"/>
              </w:rPr>
              <w:br/>
            </w:r>
            <w:bookmarkStart w:id="71" w:name="_Hlk23781749"/>
            <w:r w:rsidRPr="00BB4958">
              <w:rPr>
                <w:rFonts w:cs="Arial"/>
                <w:sz w:val="18"/>
                <w:szCs w:val="18"/>
              </w:rPr>
              <w:t>The Southern California Gas Company (SCG). 20</w:t>
            </w:r>
            <w:r w:rsidR="00E3791F">
              <w:rPr>
                <w:rFonts w:cs="Arial"/>
                <w:sz w:val="18"/>
                <w:szCs w:val="18"/>
              </w:rPr>
              <w:t>20</w:t>
            </w:r>
            <w:r w:rsidRPr="00BB4958">
              <w:rPr>
                <w:rFonts w:cs="Arial"/>
                <w:sz w:val="18"/>
                <w:szCs w:val="18"/>
              </w:rPr>
              <w:t>. “</w:t>
            </w:r>
            <w:r w:rsidRPr="00900086">
              <w:rPr>
                <w:rFonts w:cs="Arial"/>
                <w:sz w:val="18"/>
                <w:szCs w:val="18"/>
              </w:rPr>
              <w:t>Update Plan_Fryer_1</w:t>
            </w:r>
            <w:r w:rsidR="00E3791F">
              <w:rPr>
                <w:rFonts w:cs="Arial"/>
                <w:sz w:val="18"/>
                <w:szCs w:val="18"/>
              </w:rPr>
              <w:t>109</w:t>
            </w:r>
            <w:r w:rsidRPr="00900086">
              <w:rPr>
                <w:rFonts w:cs="Arial"/>
                <w:sz w:val="18"/>
                <w:szCs w:val="18"/>
              </w:rPr>
              <w:t>20</w:t>
            </w:r>
            <w:r w:rsidR="00E3791F">
              <w:rPr>
                <w:rFonts w:cs="Arial"/>
                <w:sz w:val="18"/>
                <w:szCs w:val="18"/>
              </w:rPr>
              <w:t>20</w:t>
            </w:r>
            <w:r w:rsidRPr="00900086">
              <w:rPr>
                <w:rFonts w:cs="Arial"/>
                <w:sz w:val="18"/>
                <w:szCs w:val="18"/>
              </w:rPr>
              <w:t>.xlsx</w:t>
            </w:r>
            <w:r w:rsidRPr="00BB4958">
              <w:rPr>
                <w:rFonts w:cs="Arial"/>
                <w:sz w:val="18"/>
                <w:szCs w:val="18"/>
              </w:rPr>
              <w:t>”</w:t>
            </w:r>
            <w:r>
              <w:rPr>
                <w:rFonts w:cs="Arial"/>
                <w:sz w:val="18"/>
                <w:szCs w:val="18"/>
              </w:rPr>
              <w:t xml:space="preserve">, </w:t>
            </w:r>
            <w:bookmarkEnd w:id="71"/>
          </w:p>
        </w:tc>
      </w:tr>
      <w:tr w:rsidR="00900086" w14:paraId="497B6FD1" w14:textId="77777777" w:rsidTr="00B5189A">
        <w:trPr>
          <w:trHeight w:val="20"/>
          <w:jc w:val="center"/>
        </w:trPr>
        <w:tc>
          <w:tcPr>
            <w:tcW w:w="1889" w:type="pct"/>
            <w:vAlign w:val="center"/>
          </w:tcPr>
          <w:p w14:paraId="6C050A18" w14:textId="63E6641A" w:rsidR="00900086" w:rsidRPr="00127B06" w:rsidRDefault="00900086" w:rsidP="00153F57">
            <w:pPr>
              <w:spacing w:before="20" w:after="20" w:line="240" w:lineRule="atLeast"/>
              <w:rPr>
                <w:rFonts w:cs="Arial"/>
                <w:sz w:val="20"/>
                <w:szCs w:val="20"/>
              </w:rPr>
            </w:pPr>
            <w:r>
              <w:rPr>
                <w:rFonts w:cs="Arial"/>
                <w:sz w:val="20"/>
                <w:szCs w:val="20"/>
              </w:rPr>
              <w:t xml:space="preserve">Preheat Time (minutes) </w:t>
            </w:r>
          </w:p>
        </w:tc>
        <w:tc>
          <w:tcPr>
            <w:tcW w:w="658" w:type="pct"/>
            <w:vAlign w:val="center"/>
          </w:tcPr>
          <w:p w14:paraId="18611B14" w14:textId="493FCEDB" w:rsidR="00900086" w:rsidRPr="00D66620" w:rsidRDefault="00900086" w:rsidP="005E4DF9">
            <w:pPr>
              <w:spacing w:before="20" w:after="20" w:line="240" w:lineRule="atLeast"/>
              <w:jc w:val="center"/>
              <w:rPr>
                <w:rFonts w:cs="Arial"/>
                <w:sz w:val="20"/>
                <w:szCs w:val="20"/>
              </w:rPr>
            </w:pPr>
            <w:r>
              <w:rPr>
                <w:rFonts w:cs="Arial"/>
                <w:sz w:val="20"/>
                <w:szCs w:val="20"/>
              </w:rPr>
              <w:t>9.2</w:t>
            </w:r>
          </w:p>
        </w:tc>
        <w:tc>
          <w:tcPr>
            <w:tcW w:w="611" w:type="pct"/>
            <w:vAlign w:val="center"/>
          </w:tcPr>
          <w:p w14:paraId="60589885" w14:textId="2FEF8200" w:rsidR="00900086" w:rsidRPr="00D66620" w:rsidRDefault="00900086" w:rsidP="005E4DF9">
            <w:pPr>
              <w:spacing w:before="20" w:after="20" w:line="240" w:lineRule="atLeast"/>
              <w:jc w:val="center"/>
              <w:rPr>
                <w:rFonts w:cs="Arial"/>
                <w:sz w:val="20"/>
                <w:szCs w:val="20"/>
              </w:rPr>
            </w:pPr>
            <w:r>
              <w:rPr>
                <w:rFonts w:cs="Arial"/>
                <w:sz w:val="20"/>
                <w:szCs w:val="20"/>
              </w:rPr>
              <w:t>8.9</w:t>
            </w:r>
          </w:p>
        </w:tc>
        <w:tc>
          <w:tcPr>
            <w:tcW w:w="1842" w:type="pct"/>
            <w:vMerge/>
            <w:vAlign w:val="center"/>
          </w:tcPr>
          <w:p w14:paraId="41E00061" w14:textId="04B19C2B" w:rsidR="00900086" w:rsidRPr="00900086" w:rsidRDefault="00900086" w:rsidP="00743373">
            <w:pPr>
              <w:spacing w:before="20" w:after="20" w:line="240" w:lineRule="atLeast"/>
              <w:rPr>
                <w:rFonts w:cs="Arial"/>
                <w:sz w:val="18"/>
                <w:szCs w:val="18"/>
                <w:highlight w:val="yellow"/>
              </w:rPr>
            </w:pPr>
          </w:p>
        </w:tc>
      </w:tr>
      <w:tr w:rsidR="00900086" w14:paraId="19CDF0D9" w14:textId="18B8CC95" w:rsidTr="00B5189A">
        <w:trPr>
          <w:trHeight w:hRule="exact" w:val="288"/>
          <w:jc w:val="center"/>
        </w:trPr>
        <w:tc>
          <w:tcPr>
            <w:tcW w:w="1889" w:type="pct"/>
            <w:vAlign w:val="center"/>
          </w:tcPr>
          <w:p w14:paraId="4249E0E4" w14:textId="77777777" w:rsidR="00900086" w:rsidRPr="00127B06" w:rsidRDefault="00900086" w:rsidP="00127B06">
            <w:pPr>
              <w:spacing w:before="20" w:after="20" w:line="240" w:lineRule="atLeast"/>
              <w:rPr>
                <w:rFonts w:cs="Arial"/>
                <w:sz w:val="20"/>
                <w:szCs w:val="20"/>
              </w:rPr>
            </w:pPr>
            <w:r w:rsidRPr="00127B06">
              <w:rPr>
                <w:rFonts w:cs="Arial"/>
                <w:sz w:val="20"/>
                <w:szCs w:val="20"/>
              </w:rPr>
              <w:t>Fryer Size (inches)</w:t>
            </w:r>
          </w:p>
        </w:tc>
        <w:tc>
          <w:tcPr>
            <w:tcW w:w="658" w:type="pct"/>
            <w:vAlign w:val="center"/>
          </w:tcPr>
          <w:p w14:paraId="274574A1" w14:textId="5E1D8139" w:rsidR="00900086" w:rsidRPr="00D66620" w:rsidRDefault="00900086" w:rsidP="005E4DF9">
            <w:pPr>
              <w:spacing w:before="20" w:after="20" w:line="240" w:lineRule="atLeast"/>
              <w:jc w:val="center"/>
              <w:rPr>
                <w:rFonts w:cs="Arial"/>
                <w:sz w:val="20"/>
                <w:szCs w:val="20"/>
              </w:rPr>
            </w:pPr>
            <w:r w:rsidRPr="00D66620">
              <w:rPr>
                <w:rFonts w:cs="Arial"/>
                <w:sz w:val="20"/>
                <w:szCs w:val="20"/>
              </w:rPr>
              <w:t>14</w:t>
            </w:r>
            <w:r>
              <w:rPr>
                <w:rFonts w:cs="Arial"/>
                <w:sz w:val="20"/>
                <w:szCs w:val="20"/>
              </w:rPr>
              <w:t>.3</w:t>
            </w:r>
          </w:p>
        </w:tc>
        <w:tc>
          <w:tcPr>
            <w:tcW w:w="611" w:type="pct"/>
            <w:vAlign w:val="center"/>
          </w:tcPr>
          <w:p w14:paraId="2E980A3F" w14:textId="125AF6B2" w:rsidR="00900086" w:rsidRPr="00D66620" w:rsidRDefault="00900086" w:rsidP="005E4DF9">
            <w:pPr>
              <w:spacing w:before="20" w:after="20" w:line="240" w:lineRule="atLeast"/>
              <w:jc w:val="center"/>
              <w:rPr>
                <w:rFonts w:cs="Arial"/>
                <w:sz w:val="20"/>
                <w:szCs w:val="20"/>
              </w:rPr>
            </w:pPr>
            <w:r>
              <w:rPr>
                <w:rFonts w:cs="Arial"/>
                <w:sz w:val="20"/>
                <w:szCs w:val="20"/>
              </w:rPr>
              <w:t>12.4</w:t>
            </w:r>
          </w:p>
        </w:tc>
        <w:tc>
          <w:tcPr>
            <w:tcW w:w="1842" w:type="pct"/>
            <w:vMerge/>
          </w:tcPr>
          <w:p w14:paraId="048D3B36" w14:textId="04CA89E3" w:rsidR="00900086" w:rsidRPr="00743373" w:rsidRDefault="00900086" w:rsidP="00743373">
            <w:pPr>
              <w:spacing w:before="20" w:after="20" w:line="240" w:lineRule="atLeast"/>
              <w:rPr>
                <w:rFonts w:cs="Arial"/>
                <w:sz w:val="18"/>
                <w:szCs w:val="18"/>
              </w:rPr>
            </w:pPr>
          </w:p>
        </w:tc>
      </w:tr>
      <w:tr w:rsidR="00900086" w14:paraId="76E8F447" w14:textId="5C67B57F" w:rsidTr="00B5189A">
        <w:trPr>
          <w:trHeight w:hRule="exact" w:val="316"/>
          <w:jc w:val="center"/>
        </w:trPr>
        <w:tc>
          <w:tcPr>
            <w:tcW w:w="1889" w:type="pct"/>
            <w:vAlign w:val="center"/>
          </w:tcPr>
          <w:p w14:paraId="293D150E" w14:textId="4F97D800" w:rsidR="00900086" w:rsidRPr="00127B06" w:rsidRDefault="00900086" w:rsidP="00127B06">
            <w:pPr>
              <w:spacing w:before="20" w:after="20" w:line="240" w:lineRule="atLeast"/>
              <w:rPr>
                <w:rFonts w:cs="Arial"/>
                <w:sz w:val="20"/>
                <w:szCs w:val="20"/>
              </w:rPr>
            </w:pPr>
            <w:r w:rsidRPr="00127B06">
              <w:rPr>
                <w:rFonts w:cs="Arial"/>
                <w:sz w:val="20"/>
                <w:szCs w:val="20"/>
              </w:rPr>
              <w:t>Preheat Energy (kWh)</w:t>
            </w:r>
          </w:p>
        </w:tc>
        <w:tc>
          <w:tcPr>
            <w:tcW w:w="658" w:type="pct"/>
            <w:vAlign w:val="center"/>
          </w:tcPr>
          <w:p w14:paraId="275D8EE8" w14:textId="46B6C316" w:rsidR="00900086" w:rsidRPr="00D66620" w:rsidRDefault="00900086" w:rsidP="005E4DF9">
            <w:pPr>
              <w:spacing w:before="20" w:after="20" w:line="240" w:lineRule="atLeast"/>
              <w:jc w:val="center"/>
              <w:rPr>
                <w:rFonts w:cs="Arial"/>
                <w:sz w:val="20"/>
                <w:szCs w:val="20"/>
              </w:rPr>
            </w:pPr>
            <w:r>
              <w:rPr>
                <w:rFonts w:cs="Arial"/>
                <w:sz w:val="20"/>
                <w:szCs w:val="20"/>
              </w:rPr>
              <w:t>1.75</w:t>
            </w:r>
          </w:p>
        </w:tc>
        <w:tc>
          <w:tcPr>
            <w:tcW w:w="611" w:type="pct"/>
            <w:vAlign w:val="center"/>
          </w:tcPr>
          <w:p w14:paraId="4B40256F" w14:textId="44B3B7EC" w:rsidR="00900086" w:rsidRPr="00D66620" w:rsidRDefault="00900086" w:rsidP="005E4DF9">
            <w:pPr>
              <w:spacing w:before="20" w:after="20" w:line="240" w:lineRule="atLeast"/>
              <w:jc w:val="center"/>
              <w:rPr>
                <w:rFonts w:cs="Arial"/>
                <w:sz w:val="20"/>
                <w:szCs w:val="20"/>
              </w:rPr>
            </w:pPr>
            <w:r>
              <w:rPr>
                <w:rFonts w:cs="Arial"/>
                <w:sz w:val="20"/>
                <w:szCs w:val="20"/>
              </w:rPr>
              <w:t>1.56</w:t>
            </w:r>
          </w:p>
        </w:tc>
        <w:tc>
          <w:tcPr>
            <w:tcW w:w="1842" w:type="pct"/>
            <w:vMerge/>
          </w:tcPr>
          <w:p w14:paraId="11AABE7A" w14:textId="738344B0" w:rsidR="00900086" w:rsidRPr="00743373" w:rsidRDefault="00900086" w:rsidP="00743373">
            <w:pPr>
              <w:spacing w:before="20" w:after="20" w:line="240" w:lineRule="atLeast"/>
              <w:rPr>
                <w:rFonts w:cs="Arial"/>
                <w:sz w:val="18"/>
                <w:szCs w:val="18"/>
              </w:rPr>
            </w:pPr>
          </w:p>
        </w:tc>
      </w:tr>
      <w:tr w:rsidR="00900086" w14:paraId="7A2029EE" w14:textId="5E5A1307" w:rsidTr="00B5189A">
        <w:trPr>
          <w:trHeight w:hRule="exact" w:val="288"/>
          <w:jc w:val="center"/>
        </w:trPr>
        <w:tc>
          <w:tcPr>
            <w:tcW w:w="1889" w:type="pct"/>
            <w:vAlign w:val="center"/>
          </w:tcPr>
          <w:p w14:paraId="61F049A4" w14:textId="77777777" w:rsidR="00900086" w:rsidRPr="00127B06" w:rsidRDefault="00900086" w:rsidP="00127B06">
            <w:pPr>
              <w:spacing w:before="20" w:after="20" w:line="240" w:lineRule="atLeast"/>
              <w:rPr>
                <w:rFonts w:cs="Arial"/>
                <w:sz w:val="20"/>
                <w:szCs w:val="20"/>
              </w:rPr>
            </w:pPr>
            <w:r w:rsidRPr="00127B06">
              <w:rPr>
                <w:rFonts w:cs="Arial"/>
                <w:sz w:val="20"/>
                <w:szCs w:val="20"/>
              </w:rPr>
              <w:t>Idle Energy Rate (kW)</w:t>
            </w:r>
          </w:p>
        </w:tc>
        <w:tc>
          <w:tcPr>
            <w:tcW w:w="658" w:type="pct"/>
            <w:vAlign w:val="center"/>
          </w:tcPr>
          <w:p w14:paraId="5A461089" w14:textId="3DA3BFC3" w:rsidR="00900086" w:rsidRPr="00D66620" w:rsidRDefault="00900086" w:rsidP="005E4DF9">
            <w:pPr>
              <w:spacing w:before="20" w:after="20" w:line="240" w:lineRule="atLeast"/>
              <w:jc w:val="center"/>
              <w:rPr>
                <w:rFonts w:cs="Arial"/>
                <w:sz w:val="20"/>
                <w:szCs w:val="20"/>
              </w:rPr>
            </w:pPr>
            <w:r>
              <w:rPr>
                <w:rFonts w:cs="Arial"/>
                <w:sz w:val="20"/>
                <w:szCs w:val="20"/>
              </w:rPr>
              <w:t>0.873</w:t>
            </w:r>
          </w:p>
        </w:tc>
        <w:tc>
          <w:tcPr>
            <w:tcW w:w="611" w:type="pct"/>
            <w:vAlign w:val="center"/>
          </w:tcPr>
          <w:p w14:paraId="4CF5508E" w14:textId="0148160D" w:rsidR="00900086" w:rsidRPr="00D66620" w:rsidRDefault="00900086" w:rsidP="005E4DF9">
            <w:pPr>
              <w:spacing w:before="20" w:after="20" w:line="240" w:lineRule="atLeast"/>
              <w:jc w:val="center"/>
              <w:rPr>
                <w:rFonts w:cs="Arial"/>
                <w:sz w:val="20"/>
                <w:szCs w:val="20"/>
              </w:rPr>
            </w:pPr>
            <w:r>
              <w:rPr>
                <w:rFonts w:cs="Arial"/>
                <w:sz w:val="20"/>
                <w:szCs w:val="20"/>
              </w:rPr>
              <w:t>0.682</w:t>
            </w:r>
          </w:p>
        </w:tc>
        <w:tc>
          <w:tcPr>
            <w:tcW w:w="1842" w:type="pct"/>
            <w:vMerge/>
          </w:tcPr>
          <w:p w14:paraId="4098E309" w14:textId="37D13E95" w:rsidR="00900086" w:rsidRPr="00743373" w:rsidRDefault="00900086" w:rsidP="00743373">
            <w:pPr>
              <w:spacing w:before="20" w:after="20" w:line="240" w:lineRule="atLeast"/>
              <w:rPr>
                <w:rFonts w:cs="Arial"/>
                <w:sz w:val="18"/>
                <w:szCs w:val="18"/>
              </w:rPr>
            </w:pPr>
          </w:p>
        </w:tc>
      </w:tr>
      <w:tr w:rsidR="00900086" w14:paraId="2A5836B8" w14:textId="444AB4E6" w:rsidTr="00B5189A">
        <w:trPr>
          <w:trHeight w:val="288"/>
          <w:jc w:val="center"/>
        </w:trPr>
        <w:tc>
          <w:tcPr>
            <w:tcW w:w="1889" w:type="pct"/>
          </w:tcPr>
          <w:p w14:paraId="3EF58134" w14:textId="6B19C73F" w:rsidR="00900086" w:rsidRPr="00127B06" w:rsidRDefault="00900086" w:rsidP="00127B06">
            <w:pPr>
              <w:spacing w:before="20" w:after="20" w:line="240" w:lineRule="atLeast"/>
              <w:rPr>
                <w:rFonts w:cs="Arial"/>
                <w:sz w:val="20"/>
                <w:szCs w:val="20"/>
              </w:rPr>
            </w:pPr>
            <w:r w:rsidRPr="00127B06">
              <w:rPr>
                <w:rFonts w:cs="Arial"/>
                <w:sz w:val="20"/>
                <w:szCs w:val="20"/>
              </w:rPr>
              <w:t xml:space="preserve">Heavy Load Cooking Energy Efficiency </w:t>
            </w:r>
            <w:r>
              <w:rPr>
                <w:rFonts w:cs="Arial"/>
                <w:sz w:val="20"/>
                <w:szCs w:val="20"/>
              </w:rPr>
              <w:t>(%)</w:t>
            </w:r>
          </w:p>
        </w:tc>
        <w:tc>
          <w:tcPr>
            <w:tcW w:w="658" w:type="pct"/>
            <w:vAlign w:val="center"/>
          </w:tcPr>
          <w:p w14:paraId="6B6A7789" w14:textId="4582B428" w:rsidR="00900086" w:rsidRPr="00D66620" w:rsidRDefault="0040691B" w:rsidP="005E4DF9">
            <w:pPr>
              <w:spacing w:before="20" w:after="20" w:line="240" w:lineRule="atLeast"/>
              <w:jc w:val="center"/>
              <w:rPr>
                <w:rFonts w:cs="Arial"/>
                <w:sz w:val="20"/>
                <w:szCs w:val="20"/>
              </w:rPr>
            </w:pPr>
            <w:r>
              <w:rPr>
                <w:rFonts w:cs="Arial"/>
                <w:sz w:val="20"/>
                <w:szCs w:val="20"/>
              </w:rPr>
              <w:t>84</w:t>
            </w:r>
            <w:r w:rsidR="00900086" w:rsidRPr="00D66620">
              <w:rPr>
                <w:rFonts w:cs="Arial"/>
                <w:sz w:val="20"/>
                <w:szCs w:val="20"/>
              </w:rPr>
              <w:t>%</w:t>
            </w:r>
          </w:p>
        </w:tc>
        <w:tc>
          <w:tcPr>
            <w:tcW w:w="611" w:type="pct"/>
            <w:vAlign w:val="center"/>
          </w:tcPr>
          <w:p w14:paraId="6E78C631" w14:textId="42464EA7" w:rsidR="00900086" w:rsidRPr="00D66620" w:rsidRDefault="0040691B" w:rsidP="005E4DF9">
            <w:pPr>
              <w:spacing w:before="20" w:after="20" w:line="240" w:lineRule="atLeast"/>
              <w:jc w:val="center"/>
              <w:rPr>
                <w:rFonts w:cs="Arial"/>
                <w:sz w:val="20"/>
                <w:szCs w:val="20"/>
              </w:rPr>
            </w:pPr>
            <w:r>
              <w:rPr>
                <w:rFonts w:cs="Arial"/>
                <w:sz w:val="20"/>
                <w:szCs w:val="20"/>
              </w:rPr>
              <w:t>86</w:t>
            </w:r>
            <w:r w:rsidR="00900086" w:rsidRPr="00D66620">
              <w:rPr>
                <w:rFonts w:cs="Arial"/>
                <w:sz w:val="20"/>
                <w:szCs w:val="20"/>
              </w:rPr>
              <w:t>%</w:t>
            </w:r>
          </w:p>
        </w:tc>
        <w:tc>
          <w:tcPr>
            <w:tcW w:w="1842" w:type="pct"/>
            <w:vMerge/>
          </w:tcPr>
          <w:p w14:paraId="010AB33A" w14:textId="5BCD5283" w:rsidR="00900086" w:rsidRPr="00743373" w:rsidRDefault="00900086" w:rsidP="00743373">
            <w:pPr>
              <w:spacing w:before="20" w:after="20" w:line="240" w:lineRule="atLeast"/>
              <w:rPr>
                <w:rFonts w:cs="Arial"/>
                <w:sz w:val="18"/>
                <w:szCs w:val="18"/>
              </w:rPr>
            </w:pPr>
          </w:p>
        </w:tc>
      </w:tr>
      <w:tr w:rsidR="00900086" w14:paraId="4A508D71" w14:textId="128A591E" w:rsidTr="00B5189A">
        <w:trPr>
          <w:trHeight w:hRule="exact" w:val="288"/>
          <w:jc w:val="center"/>
        </w:trPr>
        <w:tc>
          <w:tcPr>
            <w:tcW w:w="1889" w:type="pct"/>
            <w:vAlign w:val="center"/>
          </w:tcPr>
          <w:p w14:paraId="1538007F" w14:textId="77777777" w:rsidR="00900086" w:rsidRPr="00127B06" w:rsidRDefault="00900086" w:rsidP="00127B06">
            <w:pPr>
              <w:spacing w:before="20" w:after="20" w:line="240" w:lineRule="atLeast"/>
              <w:rPr>
                <w:rFonts w:cs="Arial"/>
                <w:sz w:val="20"/>
                <w:szCs w:val="20"/>
              </w:rPr>
            </w:pPr>
            <w:r w:rsidRPr="00127B06">
              <w:rPr>
                <w:rFonts w:cs="Arial"/>
                <w:sz w:val="20"/>
                <w:szCs w:val="20"/>
              </w:rPr>
              <w:t>Production Capacity (lbs/hr)</w:t>
            </w:r>
          </w:p>
        </w:tc>
        <w:tc>
          <w:tcPr>
            <w:tcW w:w="658" w:type="pct"/>
            <w:vAlign w:val="center"/>
          </w:tcPr>
          <w:p w14:paraId="2077BED6" w14:textId="3C41D000" w:rsidR="00900086" w:rsidRPr="00D66620" w:rsidRDefault="0040691B" w:rsidP="005E4DF9">
            <w:pPr>
              <w:spacing w:before="20" w:after="20" w:line="240" w:lineRule="atLeast"/>
              <w:jc w:val="center"/>
              <w:rPr>
                <w:rFonts w:cs="Arial"/>
                <w:sz w:val="20"/>
                <w:szCs w:val="20"/>
              </w:rPr>
            </w:pPr>
            <w:r>
              <w:rPr>
                <w:rFonts w:cs="Arial"/>
                <w:sz w:val="20"/>
                <w:szCs w:val="20"/>
              </w:rPr>
              <w:t>69.4</w:t>
            </w:r>
          </w:p>
        </w:tc>
        <w:tc>
          <w:tcPr>
            <w:tcW w:w="611" w:type="pct"/>
            <w:vAlign w:val="center"/>
          </w:tcPr>
          <w:p w14:paraId="2CE0E226" w14:textId="6B3F0650" w:rsidR="00900086" w:rsidRPr="00D66620" w:rsidRDefault="0040691B" w:rsidP="005E4DF9">
            <w:pPr>
              <w:spacing w:before="20" w:after="20" w:line="240" w:lineRule="atLeast"/>
              <w:jc w:val="center"/>
              <w:rPr>
                <w:rFonts w:cs="Arial"/>
                <w:sz w:val="20"/>
                <w:szCs w:val="20"/>
              </w:rPr>
            </w:pPr>
            <w:r>
              <w:rPr>
                <w:rFonts w:cs="Arial"/>
                <w:sz w:val="20"/>
                <w:szCs w:val="20"/>
              </w:rPr>
              <w:t>62.1</w:t>
            </w:r>
          </w:p>
        </w:tc>
        <w:tc>
          <w:tcPr>
            <w:tcW w:w="1842" w:type="pct"/>
            <w:vMerge/>
          </w:tcPr>
          <w:p w14:paraId="60898B58" w14:textId="704B6DD4" w:rsidR="00900086" w:rsidRPr="00743373" w:rsidRDefault="00900086" w:rsidP="00743373">
            <w:pPr>
              <w:spacing w:before="20" w:after="20" w:line="240" w:lineRule="atLeast"/>
              <w:rPr>
                <w:rFonts w:cs="Arial"/>
                <w:sz w:val="18"/>
                <w:szCs w:val="18"/>
              </w:rPr>
            </w:pPr>
          </w:p>
        </w:tc>
      </w:tr>
      <w:tr w:rsidR="00900086" w14:paraId="3D6A2909" w14:textId="2083642E" w:rsidTr="00B5189A">
        <w:trPr>
          <w:trHeight w:hRule="exact" w:val="288"/>
          <w:jc w:val="center"/>
        </w:trPr>
        <w:tc>
          <w:tcPr>
            <w:tcW w:w="1889" w:type="pct"/>
            <w:vAlign w:val="center"/>
          </w:tcPr>
          <w:p w14:paraId="6481DBB8" w14:textId="77777777" w:rsidR="00900086" w:rsidRPr="00127B06" w:rsidRDefault="00900086" w:rsidP="00127B06">
            <w:pPr>
              <w:spacing w:before="20" w:after="20" w:line="240" w:lineRule="atLeast"/>
              <w:rPr>
                <w:rFonts w:cs="Arial"/>
                <w:sz w:val="20"/>
                <w:szCs w:val="20"/>
              </w:rPr>
            </w:pPr>
            <w:r w:rsidRPr="00127B06">
              <w:rPr>
                <w:rFonts w:cs="Arial"/>
                <w:sz w:val="20"/>
                <w:szCs w:val="20"/>
              </w:rPr>
              <w:t>Pounds of Food Cooked per Day</w:t>
            </w:r>
          </w:p>
        </w:tc>
        <w:tc>
          <w:tcPr>
            <w:tcW w:w="658" w:type="pct"/>
            <w:vAlign w:val="center"/>
          </w:tcPr>
          <w:p w14:paraId="64D708DE" w14:textId="55B08668" w:rsidR="00900086" w:rsidRPr="00D66620" w:rsidRDefault="00900086" w:rsidP="005E4DF9">
            <w:pPr>
              <w:spacing w:before="20" w:after="20" w:line="240" w:lineRule="atLeast"/>
              <w:jc w:val="center"/>
              <w:rPr>
                <w:rFonts w:cs="Arial"/>
                <w:sz w:val="20"/>
                <w:szCs w:val="20"/>
              </w:rPr>
            </w:pPr>
            <w:r>
              <w:rPr>
                <w:rFonts w:cs="Arial"/>
                <w:sz w:val="20"/>
                <w:szCs w:val="20"/>
              </w:rPr>
              <w:t>111</w:t>
            </w:r>
          </w:p>
        </w:tc>
        <w:tc>
          <w:tcPr>
            <w:tcW w:w="611" w:type="pct"/>
            <w:vAlign w:val="center"/>
          </w:tcPr>
          <w:p w14:paraId="287C237D" w14:textId="70212C4E" w:rsidR="00900086" w:rsidRPr="00D66620" w:rsidRDefault="00900086" w:rsidP="005E4DF9">
            <w:pPr>
              <w:spacing w:before="20" w:after="20" w:line="240" w:lineRule="atLeast"/>
              <w:jc w:val="center"/>
              <w:rPr>
                <w:rFonts w:cs="Arial"/>
                <w:sz w:val="20"/>
                <w:szCs w:val="20"/>
              </w:rPr>
            </w:pPr>
            <w:r>
              <w:rPr>
                <w:rFonts w:cs="Arial"/>
                <w:sz w:val="20"/>
                <w:szCs w:val="20"/>
              </w:rPr>
              <w:t>111</w:t>
            </w:r>
          </w:p>
        </w:tc>
        <w:tc>
          <w:tcPr>
            <w:tcW w:w="1842" w:type="pct"/>
            <w:vMerge/>
          </w:tcPr>
          <w:p w14:paraId="6BA6EC69" w14:textId="7AFDCADE" w:rsidR="00900086" w:rsidRPr="00743373" w:rsidRDefault="00900086" w:rsidP="00743373">
            <w:pPr>
              <w:spacing w:before="20" w:after="20" w:line="240" w:lineRule="atLeast"/>
              <w:rPr>
                <w:rFonts w:cs="Arial"/>
                <w:sz w:val="18"/>
                <w:szCs w:val="18"/>
              </w:rPr>
            </w:pPr>
          </w:p>
        </w:tc>
      </w:tr>
      <w:tr w:rsidR="00900086" w14:paraId="057EE786" w14:textId="7DC85EB8" w:rsidTr="00784AA3">
        <w:trPr>
          <w:trHeight w:hRule="exact" w:val="397"/>
          <w:jc w:val="center"/>
        </w:trPr>
        <w:tc>
          <w:tcPr>
            <w:tcW w:w="1889" w:type="pct"/>
            <w:vAlign w:val="center"/>
          </w:tcPr>
          <w:p w14:paraId="2CB501B5" w14:textId="43AD9516" w:rsidR="00900086" w:rsidRPr="00127B06" w:rsidRDefault="00900086" w:rsidP="00127B06">
            <w:pPr>
              <w:spacing w:before="20" w:after="20" w:line="240" w:lineRule="atLeast"/>
              <w:rPr>
                <w:rFonts w:cs="Arial"/>
                <w:sz w:val="20"/>
                <w:szCs w:val="20"/>
              </w:rPr>
            </w:pPr>
            <w:r w:rsidRPr="00127B06">
              <w:rPr>
                <w:rFonts w:cs="Arial"/>
                <w:sz w:val="20"/>
                <w:szCs w:val="20"/>
              </w:rPr>
              <w:t>ASTM Energy to Food (</w:t>
            </w:r>
            <w:r>
              <w:rPr>
                <w:rFonts w:cs="Arial"/>
                <w:sz w:val="20"/>
                <w:szCs w:val="20"/>
              </w:rPr>
              <w:t>kWh</w:t>
            </w:r>
            <w:r w:rsidRPr="00127B06">
              <w:rPr>
                <w:rFonts w:cs="Arial"/>
                <w:sz w:val="20"/>
                <w:szCs w:val="20"/>
              </w:rPr>
              <w:t>/lb)</w:t>
            </w:r>
            <w:r>
              <w:rPr>
                <w:rFonts w:cs="Arial"/>
                <w:sz w:val="20"/>
                <w:szCs w:val="20"/>
              </w:rPr>
              <w:t xml:space="preserve"> </w:t>
            </w:r>
          </w:p>
        </w:tc>
        <w:tc>
          <w:tcPr>
            <w:tcW w:w="658" w:type="pct"/>
            <w:vAlign w:val="center"/>
          </w:tcPr>
          <w:p w14:paraId="370F4283" w14:textId="753D446E" w:rsidR="00900086" w:rsidRPr="00D66620" w:rsidRDefault="00900086" w:rsidP="005E4DF9">
            <w:pPr>
              <w:spacing w:before="20" w:after="20" w:line="240" w:lineRule="atLeast"/>
              <w:jc w:val="center"/>
              <w:rPr>
                <w:rFonts w:cs="Arial"/>
                <w:sz w:val="20"/>
                <w:szCs w:val="20"/>
              </w:rPr>
            </w:pPr>
            <w:r>
              <w:rPr>
                <w:rFonts w:cs="Arial"/>
                <w:sz w:val="20"/>
                <w:szCs w:val="20"/>
              </w:rPr>
              <w:t>0.167</w:t>
            </w:r>
          </w:p>
        </w:tc>
        <w:tc>
          <w:tcPr>
            <w:tcW w:w="611" w:type="pct"/>
            <w:vAlign w:val="center"/>
          </w:tcPr>
          <w:p w14:paraId="5F77798C" w14:textId="4A772F30" w:rsidR="00900086" w:rsidRPr="00D66620" w:rsidRDefault="00900086" w:rsidP="005E4DF9">
            <w:pPr>
              <w:spacing w:before="20" w:after="20" w:line="240" w:lineRule="atLeast"/>
              <w:jc w:val="center"/>
              <w:rPr>
                <w:rFonts w:cs="Arial"/>
                <w:sz w:val="20"/>
                <w:szCs w:val="20"/>
              </w:rPr>
            </w:pPr>
            <w:r>
              <w:rPr>
                <w:rFonts w:cs="Arial"/>
                <w:sz w:val="20"/>
                <w:szCs w:val="20"/>
              </w:rPr>
              <w:t>0.167</w:t>
            </w:r>
          </w:p>
        </w:tc>
        <w:tc>
          <w:tcPr>
            <w:tcW w:w="1842" w:type="pct"/>
            <w:vMerge/>
          </w:tcPr>
          <w:p w14:paraId="0AE6AC50" w14:textId="325E87AD" w:rsidR="00900086" w:rsidRPr="00743373" w:rsidRDefault="00900086" w:rsidP="00743373">
            <w:pPr>
              <w:spacing w:before="20" w:after="20" w:line="240" w:lineRule="atLeast"/>
              <w:rPr>
                <w:rFonts w:cs="Arial"/>
                <w:sz w:val="18"/>
                <w:szCs w:val="18"/>
              </w:rPr>
            </w:pPr>
          </w:p>
        </w:tc>
      </w:tr>
      <w:tr w:rsidR="00900086" w14:paraId="3A6B0D1A" w14:textId="77777777" w:rsidTr="00B5189A">
        <w:trPr>
          <w:trHeight w:hRule="exact" w:val="288"/>
          <w:jc w:val="center"/>
        </w:trPr>
        <w:tc>
          <w:tcPr>
            <w:tcW w:w="1889" w:type="pct"/>
            <w:vAlign w:val="center"/>
          </w:tcPr>
          <w:p w14:paraId="4003B886" w14:textId="6B783176" w:rsidR="00900086" w:rsidRPr="00127B06" w:rsidRDefault="00900086" w:rsidP="00153F57">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658" w:type="pct"/>
            <w:vAlign w:val="center"/>
          </w:tcPr>
          <w:p w14:paraId="69CAC3E5" w14:textId="595A2EC2" w:rsidR="00900086" w:rsidRPr="00D66620" w:rsidRDefault="00900086" w:rsidP="005E4DF9">
            <w:pPr>
              <w:spacing w:before="20" w:after="20" w:line="240" w:lineRule="atLeast"/>
              <w:jc w:val="center"/>
              <w:rPr>
                <w:rFonts w:cs="Arial"/>
                <w:sz w:val="20"/>
                <w:szCs w:val="20"/>
              </w:rPr>
            </w:pPr>
            <w:r>
              <w:rPr>
                <w:rFonts w:cs="Arial"/>
                <w:sz w:val="20"/>
                <w:szCs w:val="20"/>
              </w:rPr>
              <w:t>12</w:t>
            </w:r>
          </w:p>
        </w:tc>
        <w:tc>
          <w:tcPr>
            <w:tcW w:w="611" w:type="pct"/>
            <w:vAlign w:val="center"/>
          </w:tcPr>
          <w:p w14:paraId="22CA1284" w14:textId="73C0BF03" w:rsidR="00900086" w:rsidRPr="00D66620" w:rsidRDefault="00900086" w:rsidP="005E4DF9">
            <w:pPr>
              <w:spacing w:before="20" w:after="20" w:line="240" w:lineRule="atLeast"/>
              <w:jc w:val="center"/>
              <w:rPr>
                <w:rFonts w:cs="Arial"/>
                <w:sz w:val="20"/>
                <w:szCs w:val="20"/>
              </w:rPr>
            </w:pPr>
            <w:r>
              <w:rPr>
                <w:rFonts w:cs="Arial"/>
                <w:sz w:val="20"/>
                <w:szCs w:val="20"/>
              </w:rPr>
              <w:t>12</w:t>
            </w:r>
          </w:p>
        </w:tc>
        <w:tc>
          <w:tcPr>
            <w:tcW w:w="1842" w:type="pct"/>
            <w:vMerge/>
          </w:tcPr>
          <w:p w14:paraId="3D352220" w14:textId="5C3F61A2" w:rsidR="00900086" w:rsidRPr="00743373" w:rsidRDefault="00900086" w:rsidP="00743373">
            <w:pPr>
              <w:spacing w:before="20" w:after="20" w:line="240" w:lineRule="atLeast"/>
              <w:rPr>
                <w:rFonts w:cs="Arial"/>
                <w:sz w:val="18"/>
                <w:szCs w:val="18"/>
              </w:rPr>
            </w:pPr>
          </w:p>
        </w:tc>
      </w:tr>
      <w:tr w:rsidR="00900086" w14:paraId="589B6B25" w14:textId="77777777" w:rsidTr="00B5189A">
        <w:trPr>
          <w:trHeight w:hRule="exact" w:val="288"/>
          <w:jc w:val="center"/>
        </w:trPr>
        <w:tc>
          <w:tcPr>
            <w:tcW w:w="1889" w:type="pct"/>
            <w:vAlign w:val="center"/>
          </w:tcPr>
          <w:p w14:paraId="37E2725E" w14:textId="77777777" w:rsidR="00900086" w:rsidRPr="00127B06" w:rsidRDefault="00900086" w:rsidP="00743373">
            <w:pPr>
              <w:spacing w:before="20" w:after="20" w:line="240" w:lineRule="atLeast"/>
              <w:rPr>
                <w:rFonts w:cs="Arial"/>
                <w:sz w:val="20"/>
                <w:szCs w:val="20"/>
              </w:rPr>
            </w:pPr>
            <w:r w:rsidRPr="00127B06">
              <w:rPr>
                <w:rFonts w:cs="Arial"/>
                <w:sz w:val="20"/>
                <w:szCs w:val="20"/>
              </w:rPr>
              <w:t>Operating Days/Year</w:t>
            </w:r>
          </w:p>
        </w:tc>
        <w:tc>
          <w:tcPr>
            <w:tcW w:w="658" w:type="pct"/>
            <w:vAlign w:val="center"/>
          </w:tcPr>
          <w:p w14:paraId="054A4469" w14:textId="5BFC3FF8" w:rsidR="00900086" w:rsidRPr="00D66620" w:rsidRDefault="0040691B" w:rsidP="005E4DF9">
            <w:pPr>
              <w:spacing w:before="20" w:after="20" w:line="240" w:lineRule="atLeast"/>
              <w:jc w:val="center"/>
              <w:rPr>
                <w:rFonts w:cs="Arial"/>
                <w:sz w:val="20"/>
                <w:szCs w:val="20"/>
              </w:rPr>
            </w:pPr>
            <w:r>
              <w:rPr>
                <w:rFonts w:cs="Arial"/>
                <w:sz w:val="20"/>
                <w:szCs w:val="20"/>
              </w:rPr>
              <w:t>351</w:t>
            </w:r>
          </w:p>
        </w:tc>
        <w:tc>
          <w:tcPr>
            <w:tcW w:w="611" w:type="pct"/>
            <w:vAlign w:val="center"/>
          </w:tcPr>
          <w:p w14:paraId="0D2F35D5" w14:textId="60608DD6" w:rsidR="00900086" w:rsidRPr="00D66620" w:rsidRDefault="0040691B" w:rsidP="005E4DF9">
            <w:pPr>
              <w:spacing w:before="20" w:after="20" w:line="240" w:lineRule="atLeast"/>
              <w:jc w:val="center"/>
              <w:rPr>
                <w:rFonts w:cs="Arial"/>
                <w:sz w:val="20"/>
                <w:szCs w:val="20"/>
              </w:rPr>
            </w:pPr>
            <w:r>
              <w:rPr>
                <w:rFonts w:cs="Arial"/>
                <w:sz w:val="20"/>
                <w:szCs w:val="20"/>
              </w:rPr>
              <w:t>351</w:t>
            </w:r>
          </w:p>
        </w:tc>
        <w:tc>
          <w:tcPr>
            <w:tcW w:w="1842" w:type="pct"/>
            <w:vMerge/>
          </w:tcPr>
          <w:p w14:paraId="6730DD01" w14:textId="046816E5" w:rsidR="00900086" w:rsidRPr="00743373" w:rsidRDefault="00900086" w:rsidP="00743373">
            <w:pPr>
              <w:spacing w:before="20" w:after="20" w:line="240" w:lineRule="atLeast"/>
              <w:rPr>
                <w:rFonts w:cs="Arial"/>
                <w:sz w:val="18"/>
                <w:szCs w:val="18"/>
              </w:rPr>
            </w:pPr>
          </w:p>
        </w:tc>
      </w:tr>
    </w:tbl>
    <w:p w14:paraId="56E2184E" w14:textId="4C0B78D7" w:rsidR="004142EF" w:rsidRDefault="004142EF" w:rsidP="004B06E3"/>
    <w:p w14:paraId="43C0F340" w14:textId="363E1F5D" w:rsidR="00B804FB" w:rsidRDefault="00B804FB" w:rsidP="00B804FB">
      <w:pPr>
        <w:keepNext/>
        <w:keepLines/>
        <w:rPr>
          <w:szCs w:val="22"/>
        </w:rPr>
      </w:pPr>
      <w:r w:rsidRPr="00AB3791">
        <w:rPr>
          <w:rFonts w:cs="Arial"/>
          <w:szCs w:val="22"/>
        </w:rPr>
        <w:t xml:space="preserve">A sample calculation </w:t>
      </w:r>
      <w:r>
        <w:rPr>
          <w:rFonts w:cs="Arial"/>
          <w:szCs w:val="22"/>
        </w:rPr>
        <w:t xml:space="preserve">of </w:t>
      </w:r>
      <w:r w:rsidR="0053133A">
        <w:rPr>
          <w:rFonts w:cs="Arial"/>
          <w:szCs w:val="22"/>
        </w:rPr>
        <w:t xml:space="preserve">the </w:t>
      </w:r>
      <w:r>
        <w:rPr>
          <w:rFonts w:cs="Arial"/>
          <w:szCs w:val="22"/>
        </w:rPr>
        <w:t xml:space="preserve">daily </w:t>
      </w:r>
      <w:r w:rsidR="0053133A">
        <w:rPr>
          <w:rFonts w:cs="Arial"/>
          <w:szCs w:val="22"/>
        </w:rPr>
        <w:t xml:space="preserve">baseline </w:t>
      </w:r>
      <w:r>
        <w:rPr>
          <w:rFonts w:cs="Arial"/>
          <w:szCs w:val="22"/>
        </w:rPr>
        <w:t xml:space="preserve">electric UEC </w:t>
      </w:r>
      <w:r w:rsidRPr="00AB3791">
        <w:rPr>
          <w:rFonts w:cs="Arial"/>
          <w:szCs w:val="22"/>
        </w:rPr>
        <w:t xml:space="preserve">is provided below. </w:t>
      </w:r>
    </w:p>
    <w:p w14:paraId="5C40B28B" w14:textId="77777777"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 xml:space="preserve">UEC_DAY=cooking energy+idle energy+preheat energy </m:t>
          </m:r>
        </m:oMath>
      </m:oMathPara>
    </w:p>
    <w:p w14:paraId="390E6599" w14:textId="1E1C6FD5" w:rsidR="00B804FB" w:rsidRPr="004271B3" w:rsidRDefault="00B804FB" w:rsidP="00B804FB">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box>
                    <m:boxPr>
                      <m:ctrlPr>
                        <w:rPr>
                          <w:rFonts w:ascii="Cambria Math" w:hAnsi="Cambria Math" w:cs="Arial"/>
                          <w:i/>
                          <w:sz w:val="18"/>
                          <w:szCs w:val="18"/>
                        </w:rPr>
                      </m:ctrlPr>
                    </m:boxPr>
                    <m:e>
                      <m:argPr>
                        <m:argSz m:val="-1"/>
                      </m:argPr>
                      <m:f>
                        <m:fPr>
                          <m:ctrlPr>
                            <w:rPr>
                              <w:rFonts w:ascii="Cambria Math" w:hAnsi="Cambria Math" w:cs="Arial"/>
                              <w:i/>
                              <w:sz w:val="18"/>
                              <w:szCs w:val="18"/>
                            </w:rPr>
                          </m:ctrlPr>
                        </m:fPr>
                        <m:num>
                          <m:r>
                            <w:rPr>
                              <w:rFonts w:ascii="Cambria Math" w:hAnsi="Cambria Math" w:cs="Arial"/>
                              <w:sz w:val="18"/>
                              <w:szCs w:val="18"/>
                            </w:rPr>
                            <m:t>1</m:t>
                          </m:r>
                        </m:num>
                        <m:den>
                          <m:r>
                            <w:rPr>
                              <w:rFonts w:ascii="Cambria Math" w:hAnsi="Cambria Math" w:cs="Arial"/>
                              <w:sz w:val="18"/>
                              <w:szCs w:val="18"/>
                            </w:rPr>
                            <m:t>3412.14</m:t>
                          </m:r>
                        </m:den>
                      </m:f>
                    </m:e>
                  </m:box>
                </m:num>
                <m:den>
                  <m:r>
                    <w:rPr>
                      <w:rFonts w:ascii="Cambria Math" w:hAnsi="Cambria Math" w:cs="Arial"/>
                      <w:sz w:val="18"/>
                      <w:szCs w:val="18"/>
                    </w:rPr>
                    <m:t>0.84</m:t>
                  </m:r>
                </m:den>
              </m:f>
            </m:e>
          </m:d>
          <m:r>
            <w:rPr>
              <w:rFonts w:ascii="Cambria Math" w:hAnsi="Cambria Math" w:cs="Arial"/>
              <w:sz w:val="18"/>
              <w:szCs w:val="18"/>
            </w:rPr>
            <m:t>=22.10 kWh/day</m:t>
          </m:r>
        </m:oMath>
      </m:oMathPara>
    </w:p>
    <w:p w14:paraId="785C7605" w14:textId="3B71DB75" w:rsidR="00B804FB" w:rsidRPr="004271B3" w:rsidRDefault="0072226A" w:rsidP="00B804FB">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0.873×</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69.4</m:t>
                      </m:r>
                    </m:den>
                  </m:f>
                  <m:r>
                    <w:rPr>
                      <w:rFonts w:ascii="Cambria Math" w:hAnsi="Cambria Math" w:cs="Arial"/>
                      <w:sz w:val="18"/>
                      <w:szCs w:val="18"/>
                    </w:rPr>
                    <m:t>-(1 × 9.2/60)</m:t>
                  </m:r>
                </m:e>
              </m:d>
            </m:e>
          </m:d>
          <m:r>
            <w:rPr>
              <w:rFonts w:ascii="Cambria Math" w:hAnsi="Cambria Math" w:cs="Arial"/>
              <w:sz w:val="18"/>
              <w:szCs w:val="18"/>
            </w:rPr>
            <m:t>=8.94 kWh/day</m:t>
          </m:r>
        </m:oMath>
      </m:oMathPara>
    </w:p>
    <w:p w14:paraId="0E289D0C" w14:textId="1958DC69" w:rsidR="00B804FB" w:rsidRDefault="0072226A" w:rsidP="00B804FB">
      <w:pPr>
        <w:ind w:left="720"/>
        <w:rPr>
          <w:rFonts w:ascii="Cambria Math" w:hAnsi="Cambria Math" w:cs="Arial"/>
          <w:i/>
          <w:sz w:val="18"/>
          <w:szCs w:val="18"/>
        </w:rPr>
      </w:p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1×1.75</m:t>
            </m:r>
          </m:e>
        </m:d>
        <m:r>
          <w:rPr>
            <w:rFonts w:ascii="Cambria Math" w:hAnsi="Cambria Math" w:cs="Arial"/>
            <w:sz w:val="18"/>
            <w:szCs w:val="18"/>
          </w:rPr>
          <m:t>=1.75</m:t>
        </m:r>
      </m:oMath>
      <w:r w:rsidR="00B804FB" w:rsidRPr="004271B3">
        <w:rPr>
          <w:rFonts w:ascii="Cambria Math" w:hAnsi="Cambria Math" w:cs="Arial"/>
          <w:i/>
          <w:sz w:val="18"/>
          <w:szCs w:val="18"/>
        </w:rPr>
        <w:t xml:space="preserve"> kWh/day</w:t>
      </w:r>
    </w:p>
    <w:p w14:paraId="471D9952" w14:textId="087BBBD6" w:rsidR="00B804FB" w:rsidRPr="004271B3" w:rsidRDefault="00B804FB" w:rsidP="00B804FB">
      <w:pPr>
        <w:keepNext/>
        <w:keepLines/>
        <w:ind w:left="720"/>
        <w:rPr>
          <w:rFonts w:ascii="Arial" w:hAnsi="Arial" w:cs="Arial"/>
          <w:i/>
          <w:sz w:val="18"/>
          <w:szCs w:val="18"/>
        </w:rPr>
      </w:pPr>
      <m:oMathPara>
        <m:oMathParaPr>
          <m:jc m:val="left"/>
        </m:oMathParaPr>
        <m:oMath>
          <m:r>
            <w:rPr>
              <w:rFonts w:ascii="Cambria Math" w:hAnsi="Cambria Math"/>
              <w:sz w:val="18"/>
              <w:szCs w:val="18"/>
            </w:rPr>
            <m:t>UEC_DAY=22.10+8.94+1.75=32.80 kWh/day</m:t>
          </m:r>
        </m:oMath>
      </m:oMathPara>
    </w:p>
    <w:p w14:paraId="6F27C0CC" w14:textId="77777777" w:rsidR="00B804FB" w:rsidRDefault="00B804FB" w:rsidP="004B06E3"/>
    <w:p w14:paraId="4F57D1EF" w14:textId="77777777" w:rsidR="004E0B20" w:rsidRPr="004B06E3" w:rsidRDefault="004E0B20" w:rsidP="0049281A">
      <w:pPr>
        <w:pStyle w:val="eTRMHeading3"/>
      </w:pPr>
      <w:bookmarkStart w:id="72" w:name="_Toc528684434"/>
      <w:bookmarkStart w:id="73" w:name="_Toc486490858"/>
      <w:bookmarkStart w:id="74" w:name="_Toc486580929"/>
      <w:r w:rsidRPr="004B06E3">
        <w:t>Peak Electric Demand Reduction (kW)</w:t>
      </w:r>
      <w:bookmarkEnd w:id="72"/>
    </w:p>
    <w:p w14:paraId="771DAE5D" w14:textId="1CA21920" w:rsidR="004E0B20" w:rsidRDefault="004E0B20" w:rsidP="004E0B20">
      <w:pPr>
        <w:rPr>
          <w:i/>
        </w:rPr>
      </w:pPr>
      <w:bookmarkStart w:id="75" w:name="_Hlk526868207"/>
      <w:r>
        <w:t>The actual contribution to building peak</w:t>
      </w:r>
      <w:r w:rsidRPr="00537143">
        <w:t xml:space="preserve"> demand may vary significantly depending on its usage pattern in relation to that of other electric equipment in the facility</w:t>
      </w:r>
      <w:r>
        <w:t xml:space="preserve"> </w:t>
      </w:r>
      <w:r w:rsidRPr="00537143">
        <w:t xml:space="preserve">(operating schedule, appliance </w:t>
      </w:r>
      <w:r w:rsidR="00C51593">
        <w:t>ON</w:t>
      </w:r>
      <w:r w:rsidR="00C51593" w:rsidRPr="00537143">
        <w:t xml:space="preserve"> </w:t>
      </w:r>
      <w:r w:rsidRPr="00537143">
        <w:t>time, etc.).</w:t>
      </w:r>
      <w:r>
        <w:t xml:space="preserve"> The probability of an appliance drawing its average rate during the period that the peak </w:t>
      </w:r>
      <w:r w:rsidR="00A46D07">
        <w:t>period</w:t>
      </w:r>
      <w:r>
        <w:t xml:space="preserve"> is </w:t>
      </w:r>
      <w:r>
        <w:lastRenderedPageBreak/>
        <w:t>significantly higher than for any other input rate for that appliance.</w:t>
      </w:r>
      <w:r w:rsidR="0053693D">
        <w:t xml:space="preserve"> Therefore, it has been assumed that the probable contribution to building peak demand is equal to the combination oven average demand.</w:t>
      </w:r>
    </w:p>
    <w:bookmarkEnd w:id="75"/>
    <w:p w14:paraId="1B6AD72C" w14:textId="77777777" w:rsidR="00A84AF8" w:rsidRDefault="00A84AF8" w:rsidP="00A84AF8"/>
    <w:p w14:paraId="14C5404F" w14:textId="3FACD66A" w:rsidR="00D66620" w:rsidRDefault="00D66620" w:rsidP="00D66620">
      <w:pPr>
        <w:pStyle w:val="eTRMHeading4"/>
      </w:pPr>
      <w:bookmarkStart w:id="76" w:name="_Hlk526868217"/>
      <w:bookmarkStart w:id="77" w:name="_Hlk526862913"/>
      <w:bookmarkStart w:id="78" w:name="_Hlk526879836"/>
      <w:r>
        <w:t>Peak Demand Reduction Calculation</w:t>
      </w:r>
    </w:p>
    <w:p w14:paraId="19208632" w14:textId="69E10263" w:rsidR="005D7440" w:rsidRPr="005D7440" w:rsidRDefault="00817CD6" w:rsidP="005D7440">
      <w:pPr>
        <w:rPr>
          <w:rFonts w:cs="Calibri Light"/>
          <w:szCs w:val="22"/>
          <w:shd w:val="clear" w:color="auto" w:fill="FFFFFF"/>
        </w:rPr>
      </w:pPr>
      <w:bookmarkStart w:id="79" w:name="_Hlk526868238"/>
      <w:bookmarkStart w:id="80" w:name="_Hlk526854594"/>
      <w:bookmarkEnd w:id="76"/>
      <w:r>
        <w:rPr>
          <w:rFonts w:cs="Calibri Light"/>
          <w:szCs w:val="22"/>
          <w:shd w:val="clear" w:color="auto" w:fill="FFFFFF"/>
        </w:rPr>
        <w:t>It is assumed that this measure operates within the Database of Energy Efficient Resources (DEER) peak period of 4 p.m. to 9 p.m. on weekdays</w:t>
      </w:r>
      <w:r>
        <w:rPr>
          <w:rStyle w:val="FootnoteReference"/>
          <w:rFonts w:cs="Calibri Light"/>
          <w:szCs w:val="22"/>
          <w:shd w:val="clear" w:color="auto" w:fill="FFFFFF"/>
        </w:rPr>
        <w:footnoteReference w:id="10"/>
      </w:r>
      <w:r>
        <w:rPr>
          <w:rFonts w:cs="Calibri Light"/>
          <w:szCs w:val="22"/>
          <w:shd w:val="clear" w:color="auto" w:fill="FFFFFF"/>
        </w:rPr>
        <w:t xml:space="preserve"> at a constant load throughout the day. </w:t>
      </w:r>
      <w:r w:rsidR="005D7440" w:rsidRPr="005D7440">
        <w:rPr>
          <w:rFonts w:cs="Calibri Light"/>
          <w:szCs w:val="22"/>
          <w:shd w:val="clear" w:color="auto" w:fill="FFFFFF"/>
        </w:rPr>
        <w:t>The average and peak demand reduction calculation</w:t>
      </w:r>
      <w:r w:rsidR="00FE2BCE">
        <w:rPr>
          <w:rFonts w:cs="Calibri Light"/>
          <w:szCs w:val="22"/>
          <w:shd w:val="clear" w:color="auto" w:fill="FFFFFF"/>
        </w:rPr>
        <w:t>s</w:t>
      </w:r>
      <w:r w:rsidR="005D7440" w:rsidRPr="005D7440">
        <w:rPr>
          <w:rFonts w:cs="Calibri Light"/>
          <w:szCs w:val="22"/>
          <w:shd w:val="clear" w:color="auto" w:fill="FFFFFF"/>
        </w:rPr>
        <w:t xml:space="preserve"> utilize the measured data of base case and measure case fryers specified for Electric Savings.  The </w:t>
      </w:r>
      <w:r w:rsidR="005D7440" w:rsidRPr="005D7440">
        <w:rPr>
          <w:rStyle w:val="Strong"/>
          <w:rFonts w:cs="Calibri Light"/>
          <w:b w:val="0"/>
          <w:bCs w:val="0"/>
          <w:color w:val="292929"/>
          <w:szCs w:val="22"/>
          <w:shd w:val="clear" w:color="auto" w:fill="FFFFFF"/>
        </w:rPr>
        <w:t>average demand </w:t>
      </w:r>
      <w:r w:rsidR="005D7440" w:rsidRPr="005D7440">
        <w:rPr>
          <w:rFonts w:cs="Calibri Light"/>
          <w:szCs w:val="22"/>
          <w:shd w:val="clear" w:color="auto" w:fill="FFFFFF"/>
        </w:rPr>
        <w:t>(baseline or measure case) is equal to the annual unit energy consumption (UEC) divided by the assumed annual hours of operation. </w:t>
      </w:r>
    </w:p>
    <w:bookmarkEnd w:id="77"/>
    <w:p w14:paraId="0869A61F" w14:textId="08C66F17" w:rsidR="00046DD3" w:rsidRPr="00626CDF" w:rsidRDefault="00FB3C38" w:rsidP="00626CDF">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Demand</m:t>
              </m:r>
            </m:e>
            <m:sub>
              <m:r>
                <w:rPr>
                  <w:rFonts w:ascii="Cambria Math" w:hAnsi="Cambria Math"/>
                  <w:sz w:val="18"/>
                </w:rPr>
                <m:t>avg</m:t>
              </m:r>
            </m:sub>
          </m:sSub>
          <m:r>
            <w:rPr>
              <w:rFonts w:ascii="Cambria Math" w:hAnsi="Cambria Math"/>
              <w:sz w:val="18"/>
            </w:rPr>
            <m:t>=</m:t>
          </m:r>
          <m:f>
            <m:fPr>
              <m:ctrlPr>
                <w:rPr>
                  <w:rFonts w:ascii="Cambria Math" w:hAnsi="Cambria Math"/>
                  <w:i/>
                  <w:sz w:val="18"/>
                </w:rPr>
              </m:ctrlPr>
            </m:fPr>
            <m:num>
              <m:sSub>
                <m:sSubPr>
                  <m:ctrlPr>
                    <w:rPr>
                      <w:rFonts w:ascii="Cambria Math" w:hAnsi="Cambria Math"/>
                      <w:i/>
                      <w:sz w:val="18"/>
                    </w:rPr>
                  </m:ctrlPr>
                </m:sSubPr>
                <m:e>
                  <m:r>
                    <w:rPr>
                      <w:rFonts w:ascii="Cambria Math" w:hAnsi="Cambria Math" w:cs="Calibri Light"/>
                      <w:sz w:val="18"/>
                      <w:szCs w:val="20"/>
                    </w:rPr>
                    <m:t xml:space="preserve">UEC_YEAR </m:t>
                  </m:r>
                </m:e>
                <m:sub>
                  <m:r>
                    <w:rPr>
                      <w:rFonts w:ascii="Cambria Math" w:hAnsi="Cambria Math"/>
                      <w:sz w:val="18"/>
                    </w:rPr>
                    <m:t>kWh</m:t>
                  </m:r>
                </m:sub>
              </m:sSub>
            </m:num>
            <m:den>
              <m:r>
                <w:rPr>
                  <w:rFonts w:ascii="Cambria Math" w:hAnsi="Cambria Math"/>
                  <w:sz w:val="18"/>
                </w:rPr>
                <m:t>EDAYS×EHOUR</m:t>
              </m:r>
            </m:den>
          </m:f>
        </m:oMath>
      </m:oMathPara>
    </w:p>
    <w:p w14:paraId="53350E64" w14:textId="77777777" w:rsidR="00FE2BCE" w:rsidRPr="00E00DBE" w:rsidRDefault="00FE2BCE" w:rsidP="00FE2BC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(kWh/year)</w:t>
      </w:r>
    </w:p>
    <w:p w14:paraId="0B7E566E" w14:textId="77777777" w:rsidR="00FE2BCE" w:rsidRDefault="00FE2BCE" w:rsidP="00FE2BCE">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182E3942" w14:textId="77777777" w:rsidR="00FE2BCE" w:rsidRDefault="00FE2BCE" w:rsidP="00FE2BCE">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Pr>
          <w:rFonts w:ascii="Cambria Math" w:hAnsi="Cambria Math" w:cs="Arial"/>
          <w:i/>
          <w:sz w:val="18"/>
          <w:szCs w:val="20"/>
        </w:rPr>
        <w:t>R</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(hrs)</w:t>
      </w:r>
    </w:p>
    <w:bookmarkEnd w:id="79"/>
    <w:p w14:paraId="6F173B94" w14:textId="77777777" w:rsidR="00FE2BCE" w:rsidRDefault="00FE2BCE" w:rsidP="00626CDF">
      <w:pPr>
        <w:rPr>
          <w:rFonts w:cs="Calibri Light"/>
          <w:szCs w:val="22"/>
          <w:shd w:val="clear" w:color="auto" w:fill="FFFFFF"/>
        </w:rPr>
      </w:pPr>
    </w:p>
    <w:p w14:paraId="6D24DA01" w14:textId="5CC2B3B7" w:rsidR="00626CDF" w:rsidRPr="00626CDF" w:rsidRDefault="00626CDF" w:rsidP="00626CDF">
      <w:pPr>
        <w:rPr>
          <w:rFonts w:cs="Calibri Light"/>
          <w:szCs w:val="22"/>
        </w:rPr>
      </w:pPr>
      <w:bookmarkStart w:id="81" w:name="_Hlk526862977"/>
      <w:bookmarkEnd w:id="78"/>
      <w:r w:rsidRPr="00626CDF">
        <w:rPr>
          <w:rFonts w:cs="Calibri Light"/>
          <w:szCs w:val="22"/>
          <w:shd w:val="clear" w:color="auto" w:fill="FFFFFF"/>
        </w:rPr>
        <w:t xml:space="preserve">The </w:t>
      </w:r>
      <w:r w:rsidRPr="00DC31F9">
        <w:rPr>
          <w:rFonts w:cs="Calibri Light"/>
          <w:szCs w:val="22"/>
          <w:shd w:val="clear" w:color="auto" w:fill="FFFFFF"/>
        </w:rPr>
        <w:t>average demand reduction</w:t>
      </w:r>
      <w:r w:rsidRPr="00626CDF">
        <w:rPr>
          <w:rFonts w:cs="Calibri Light"/>
          <w:szCs w:val="22"/>
          <w:shd w:val="clear" w:color="auto" w:fill="FFFFFF"/>
        </w:rPr>
        <w:t xml:space="preserve"> is the difference between the baseline and measure case average demand. The estimated </w:t>
      </w:r>
      <w:r w:rsidRPr="00626CDF">
        <w:rPr>
          <w:rStyle w:val="Strong"/>
          <w:rFonts w:cs="Calibri Light"/>
          <w:b w:val="0"/>
          <w:bCs w:val="0"/>
          <w:color w:val="292929"/>
          <w:szCs w:val="22"/>
          <w:shd w:val="clear" w:color="auto" w:fill="FFFFFF"/>
        </w:rPr>
        <w:t>peak demand reduction</w:t>
      </w:r>
      <w:r w:rsidRPr="00626CDF">
        <w:rPr>
          <w:rFonts w:cs="Calibri Light"/>
          <w:szCs w:val="22"/>
          <w:shd w:val="clear" w:color="auto" w:fill="FFFFFF"/>
        </w:rPr>
        <w:t> is calculated as the average demand reduction multiplied by the coincident demand factor (CDF).</w:t>
      </w:r>
      <w:bookmarkStart w:id="82" w:name="_Hlk522370408"/>
    </w:p>
    <w:bookmarkEnd w:id="81"/>
    <w:p w14:paraId="513FE189" w14:textId="32C28010" w:rsidR="002204E8" w:rsidRDefault="002204E8" w:rsidP="002204E8"/>
    <w:p w14:paraId="32B17DAA" w14:textId="23159FD0" w:rsidR="00FD02A1" w:rsidRPr="00AB04D4" w:rsidRDefault="00FD02A1" w:rsidP="005828BC">
      <w:pPr>
        <w:ind w:left="720"/>
      </w:pPr>
      <w:bookmarkStart w:id="83" w:name="_Hlk526526818"/>
      <m:oMathPara>
        <m:oMathParaPr>
          <m:jc m:val="left"/>
        </m:oMathParaPr>
        <m:oMath>
          <m:r>
            <w:rPr>
              <w:rFonts w:ascii="Cambria Math" w:hAnsi="Cambria Math"/>
              <w:sz w:val="18"/>
            </w:rPr>
            <m:t>PeakDemandReduction=</m:t>
          </m:r>
          <m:d>
            <m:dPr>
              <m:begChr m:val="["/>
              <m:endChr m:val="]"/>
              <m:ctrlPr>
                <w:rPr>
                  <w:rFonts w:ascii="Cambria Math" w:hAnsi="Cambria Math"/>
                  <w:i/>
                  <w:sz w:val="18"/>
                </w:rPr>
              </m:ctrlPr>
            </m:dPr>
            <m:e>
              <m:d>
                <m:dPr>
                  <m:ctrlPr>
                    <w:rPr>
                      <w:rFonts w:ascii="Cambria Math" w:hAnsi="Cambria Math"/>
                      <w:i/>
                      <w:sz w:val="18"/>
                    </w:rPr>
                  </m:ctrlPr>
                </m:dPr>
                <m:e>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base</m:t>
                      </m:r>
                    </m:sub>
                  </m:sSub>
                  <m:r>
                    <w:rPr>
                      <w:rFonts w:ascii="Cambria Math" w:hAnsi="Cambria Math"/>
                      <w:sz w:val="18"/>
                    </w:rPr>
                    <m:t>-</m:t>
                  </m:r>
                  <m:sSub>
                    <m:sSubPr>
                      <m:ctrlPr>
                        <w:rPr>
                          <w:rFonts w:ascii="Cambria Math" w:hAnsi="Cambria Math"/>
                          <w:i/>
                          <w:sz w:val="18"/>
                        </w:rPr>
                      </m:ctrlPr>
                    </m:sSubPr>
                    <m:e>
                      <m:r>
                        <w:rPr>
                          <w:rFonts w:ascii="Cambria Math" w:hAnsi="Cambria Math"/>
                          <w:sz w:val="18"/>
                        </w:rPr>
                        <m:t>Demand</m:t>
                      </m:r>
                    </m:e>
                    <m:sub>
                      <m:r>
                        <w:rPr>
                          <w:rFonts w:ascii="Cambria Math" w:hAnsi="Cambria Math"/>
                          <w:sz w:val="18"/>
                        </w:rPr>
                        <m:t>avg, measure</m:t>
                      </m:r>
                    </m:sub>
                  </m:sSub>
                  <m:r>
                    <w:rPr>
                      <w:rFonts w:ascii="Cambria Math" w:hAnsi="Cambria Math"/>
                      <w:sz w:val="18"/>
                    </w:rPr>
                    <m:t xml:space="preserve"> </m:t>
                  </m:r>
                </m:e>
              </m:d>
              <m:r>
                <w:rPr>
                  <w:rFonts w:ascii="Cambria Math" w:hAnsi="Cambria Math"/>
                  <w:sz w:val="18"/>
                </w:rPr>
                <m:t>×CDF</m:t>
              </m:r>
            </m:e>
          </m:d>
        </m:oMath>
      </m:oMathPara>
    </w:p>
    <w:p w14:paraId="78F1A591" w14:textId="3907853F" w:rsidR="00626CDF" w:rsidRPr="00626CDF" w:rsidRDefault="00626CDF" w:rsidP="00441622">
      <w:pPr>
        <w:tabs>
          <w:tab w:val="left" w:pos="2880"/>
        </w:tabs>
        <w:spacing w:beforeLines="20" w:before="48" w:afterLines="20" w:after="48" w:line="240" w:lineRule="auto"/>
        <w:ind w:left="1440"/>
        <w:rPr>
          <w:rFonts w:ascii="Cambria Math" w:hAnsi="Cambria Math"/>
          <w:i/>
          <w:sz w:val="18"/>
        </w:rPr>
      </w:pPr>
      <w:proofErr w:type="spellStart"/>
      <w:r>
        <w:rPr>
          <w:rFonts w:ascii="Cambria Math" w:hAnsi="Cambria Math"/>
          <w:i/>
          <w:sz w:val="18"/>
        </w:rPr>
        <w:t>Demand</w:t>
      </w:r>
      <w:r w:rsidRPr="00626CDF">
        <w:rPr>
          <w:rFonts w:ascii="Cambria Math" w:hAnsi="Cambria Math"/>
          <w:i/>
          <w:sz w:val="18"/>
          <w:vertAlign w:val="subscript"/>
        </w:rPr>
        <w:t>avg</w:t>
      </w:r>
      <w:proofErr w:type="spellEnd"/>
      <w:r>
        <w:rPr>
          <w:rFonts w:ascii="Cambria Math" w:hAnsi="Cambria Math"/>
          <w:i/>
          <w:sz w:val="18"/>
        </w:rPr>
        <w:t xml:space="preserve"> = </w:t>
      </w:r>
      <w:r>
        <w:rPr>
          <w:rFonts w:ascii="Cambria Math" w:hAnsi="Cambria Math"/>
          <w:i/>
          <w:sz w:val="18"/>
        </w:rPr>
        <w:tab/>
        <w:t xml:space="preserve">Average demand, </w:t>
      </w:r>
      <w:proofErr w:type="gramStart"/>
      <w:r>
        <w:rPr>
          <w:rFonts w:ascii="Cambria Math" w:hAnsi="Cambria Math"/>
          <w:i/>
          <w:sz w:val="18"/>
        </w:rPr>
        <w:t>base</w:t>
      </w:r>
      <w:proofErr w:type="gramEnd"/>
      <w:r>
        <w:rPr>
          <w:rFonts w:ascii="Cambria Math" w:hAnsi="Cambria Math"/>
          <w:i/>
          <w:sz w:val="18"/>
        </w:rPr>
        <w:t xml:space="preserve"> or measure case (kW)</w:t>
      </w:r>
    </w:p>
    <w:p w14:paraId="5230F477" w14:textId="759F3CEF" w:rsidR="00441622" w:rsidRPr="00441622" w:rsidRDefault="00441622" w:rsidP="00441622">
      <w:pPr>
        <w:tabs>
          <w:tab w:val="left" w:pos="2880"/>
        </w:tabs>
        <w:spacing w:beforeLines="20" w:before="48" w:afterLines="20" w:after="48" w:line="240" w:lineRule="auto"/>
        <w:ind w:left="1440"/>
        <w:rPr>
          <w:rFonts w:ascii="Cambria Math" w:hAnsi="Cambria Math"/>
          <w:i/>
          <w:sz w:val="18"/>
        </w:rPr>
      </w:pPr>
      <w:r w:rsidRPr="00441622">
        <w:rPr>
          <w:rFonts w:ascii="Cambria Math" w:hAnsi="Cambria Math"/>
          <w:i/>
          <w:sz w:val="18"/>
        </w:rPr>
        <w:t xml:space="preserve">CDF = </w:t>
      </w:r>
      <w:r>
        <w:rPr>
          <w:rFonts w:ascii="Cambria Math" w:hAnsi="Cambria Math"/>
          <w:i/>
          <w:sz w:val="18"/>
        </w:rPr>
        <w:tab/>
      </w:r>
      <w:r w:rsidRPr="00441622">
        <w:rPr>
          <w:rFonts w:ascii="Cambria Math" w:hAnsi="Cambria Math"/>
          <w:i/>
          <w:sz w:val="18"/>
        </w:rPr>
        <w:t>Coincident demand factor</w:t>
      </w:r>
    </w:p>
    <w:bookmarkEnd w:id="80"/>
    <w:bookmarkEnd w:id="82"/>
    <w:bookmarkEnd w:id="83"/>
    <w:p w14:paraId="1D0C4F2D" w14:textId="08359174" w:rsidR="00660A69" w:rsidRDefault="00660A69" w:rsidP="00BA206B"/>
    <w:p w14:paraId="1D07BA76" w14:textId="7E64156C" w:rsidR="0053133A" w:rsidRDefault="0053133A" w:rsidP="0053133A">
      <w:pPr>
        <w:keepNext/>
        <w:keepLines/>
      </w:pPr>
      <w:r>
        <w:t xml:space="preserve">Note that for measures implemented through investor-owned utility (IOU) portfolios, </w:t>
      </w:r>
      <w:r w:rsidRPr="0058503B">
        <w:t>Decision 11-07-030</w:t>
      </w:r>
      <w:r>
        <w:t xml:space="preserve"> stipulated an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rsidR="00F455B5" w:rsidRPr="00F455B5">
        <w:rPr>
          <w:rStyle w:val="FootnoteReference"/>
        </w:rPr>
        <w:t xml:space="preserve"> </w:t>
      </w:r>
      <w:r w:rsidR="00F455B5">
        <w:rPr>
          <w:rStyle w:val="FootnoteReference"/>
        </w:rPr>
        <w:footnoteReference w:id="11"/>
      </w:r>
      <w:r w:rsidRPr="00194158">
        <w:rPr>
          <w:rStyle w:val="FootnoteReference"/>
        </w:rPr>
        <w:t xml:space="preserve"> </w:t>
      </w:r>
      <w:r>
        <w:t>These operating characteristics were investigated and revised in 2019 and incorporated into the UEC calculation,</w:t>
      </w:r>
      <w:r>
        <w:rPr>
          <w:vertAlign w:val="superscript"/>
        </w:rPr>
        <w:t>3</w:t>
      </w:r>
      <w:r>
        <w:t xml:space="preserve"> thus the 30% reduction factor is excluded from the UES calculation.</w:t>
      </w:r>
    </w:p>
    <w:p w14:paraId="0A19C491" w14:textId="77777777" w:rsidR="0053133A" w:rsidRDefault="0053133A" w:rsidP="00BA206B"/>
    <w:p w14:paraId="5DBEFF61" w14:textId="6723EE70" w:rsidR="00BA206B" w:rsidRDefault="00BA206B" w:rsidP="00D66620">
      <w:pPr>
        <w:pStyle w:val="eTRMHeading4"/>
      </w:pPr>
      <w:bookmarkStart w:id="84" w:name="_Hlk526862995"/>
      <w:bookmarkStart w:id="85" w:name="_Hlk526879937"/>
      <w:r>
        <w:t>Inputs and Assumptions</w:t>
      </w:r>
    </w:p>
    <w:p w14:paraId="72EA7606" w14:textId="77777777" w:rsidR="00BA206B" w:rsidRDefault="00BA206B" w:rsidP="00BA206B">
      <w:bookmarkStart w:id="86" w:name="_Hlk526854644"/>
      <w:r>
        <w:t xml:space="preserve">The table below provides the inputs for the calculation of peak demand reduction of a commercial electric fryer. </w:t>
      </w:r>
      <w:bookmarkEnd w:id="86"/>
    </w:p>
    <w:p w14:paraId="05CE281E" w14:textId="55D77442" w:rsidR="004E0B20" w:rsidRPr="00152F0E" w:rsidRDefault="004E0B20" w:rsidP="00AC5795">
      <w:pPr>
        <w:pStyle w:val="Caption"/>
      </w:pPr>
      <w:r>
        <w:lastRenderedPageBreak/>
        <w:t xml:space="preserve">Demand Reduction </w:t>
      </w:r>
      <w:r w:rsidR="005828BC">
        <w:t>Inputs</w:t>
      </w:r>
      <w:r>
        <w:t xml:space="preserve"> </w:t>
      </w:r>
    </w:p>
    <w:tbl>
      <w:tblPr>
        <w:tblW w:w="9540"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A0" w:firstRow="1" w:lastRow="0" w:firstColumn="1" w:lastColumn="0" w:noHBand="0" w:noVBand="0"/>
      </w:tblPr>
      <w:tblGrid>
        <w:gridCol w:w="2578"/>
        <w:gridCol w:w="1350"/>
        <w:gridCol w:w="5612"/>
      </w:tblGrid>
      <w:tr w:rsidR="005828BC" w:rsidRPr="00BA206B" w14:paraId="5F142E84" w14:textId="77777777" w:rsidTr="00833AE5">
        <w:trPr>
          <w:cantSplit/>
          <w:trHeight w:val="20"/>
          <w:tblHeader/>
        </w:trPr>
        <w:tc>
          <w:tcPr>
            <w:tcW w:w="2578" w:type="dxa"/>
            <w:shd w:val="clear" w:color="auto" w:fill="F2F2F2" w:themeFill="background1" w:themeFillShade="F2"/>
            <w:vAlign w:val="bottom"/>
          </w:tcPr>
          <w:bookmarkEnd w:id="84"/>
          <w:p w14:paraId="50E5A864" w14:textId="77777777" w:rsidR="005828BC" w:rsidRPr="00BA206B" w:rsidRDefault="005828BC" w:rsidP="00153F57">
            <w:pPr>
              <w:keepNext/>
              <w:keepLines/>
              <w:spacing w:before="20" w:after="20"/>
              <w:rPr>
                <w:rFonts w:cs="Calibri Light"/>
                <w:b/>
                <w:sz w:val="20"/>
                <w:szCs w:val="20"/>
              </w:rPr>
            </w:pPr>
            <w:r w:rsidRPr="00BA206B">
              <w:rPr>
                <w:rFonts w:cs="Calibri Light"/>
                <w:b/>
                <w:sz w:val="20"/>
                <w:szCs w:val="20"/>
              </w:rPr>
              <w:t>Parameter</w:t>
            </w:r>
          </w:p>
        </w:tc>
        <w:tc>
          <w:tcPr>
            <w:tcW w:w="1350" w:type="dxa"/>
            <w:shd w:val="clear" w:color="auto" w:fill="F2F2F2" w:themeFill="background1" w:themeFillShade="F2"/>
            <w:vAlign w:val="bottom"/>
          </w:tcPr>
          <w:p w14:paraId="1579E597" w14:textId="796630A1" w:rsidR="005828BC" w:rsidRPr="00BA206B" w:rsidRDefault="005828BC" w:rsidP="00153F57">
            <w:pPr>
              <w:keepNext/>
              <w:keepLines/>
              <w:spacing w:before="20" w:after="20"/>
              <w:jc w:val="center"/>
              <w:rPr>
                <w:rFonts w:cs="Calibri Light"/>
                <w:b/>
                <w:sz w:val="20"/>
                <w:szCs w:val="20"/>
              </w:rPr>
            </w:pPr>
            <w:r w:rsidRPr="00BA206B">
              <w:rPr>
                <w:rFonts w:cs="Calibri Light"/>
                <w:b/>
                <w:sz w:val="20"/>
                <w:szCs w:val="20"/>
              </w:rPr>
              <w:t>Value</w:t>
            </w:r>
          </w:p>
        </w:tc>
        <w:tc>
          <w:tcPr>
            <w:tcW w:w="5612" w:type="dxa"/>
            <w:shd w:val="clear" w:color="auto" w:fill="F2F2F2" w:themeFill="background1" w:themeFillShade="F2"/>
            <w:vAlign w:val="bottom"/>
          </w:tcPr>
          <w:p w14:paraId="69D9AECF" w14:textId="77777777" w:rsidR="005828BC" w:rsidRPr="00BA206B" w:rsidRDefault="005828BC" w:rsidP="00153F57">
            <w:pPr>
              <w:keepNext/>
              <w:keepLines/>
              <w:spacing w:before="20" w:after="20"/>
              <w:jc w:val="center"/>
              <w:rPr>
                <w:rFonts w:cs="Calibri Light"/>
                <w:b/>
                <w:sz w:val="20"/>
                <w:szCs w:val="20"/>
              </w:rPr>
            </w:pPr>
            <w:r w:rsidRPr="00BA206B">
              <w:rPr>
                <w:rFonts w:cs="Calibri Light"/>
                <w:b/>
                <w:sz w:val="20"/>
                <w:szCs w:val="20"/>
              </w:rPr>
              <w:t>Source</w:t>
            </w:r>
          </w:p>
        </w:tc>
      </w:tr>
      <w:tr w:rsidR="005828BC" w:rsidRPr="00BA206B" w14:paraId="19A52A4D" w14:textId="77777777" w:rsidTr="00833AE5">
        <w:trPr>
          <w:cantSplit/>
          <w:trHeight w:val="288"/>
        </w:trPr>
        <w:tc>
          <w:tcPr>
            <w:tcW w:w="2578" w:type="dxa"/>
            <w:vAlign w:val="center"/>
          </w:tcPr>
          <w:p w14:paraId="244954B9" w14:textId="06315831" w:rsidR="005828BC" w:rsidRPr="00BA206B" w:rsidRDefault="005828BC" w:rsidP="00153F57">
            <w:pPr>
              <w:spacing w:before="20" w:after="20" w:line="220" w:lineRule="exact"/>
              <w:rPr>
                <w:rFonts w:cs="Calibri Light"/>
                <w:sz w:val="20"/>
                <w:szCs w:val="20"/>
              </w:rPr>
            </w:pPr>
            <w:r w:rsidRPr="00BA206B">
              <w:rPr>
                <w:rFonts w:cs="Calibri Light"/>
                <w:sz w:val="20"/>
                <w:szCs w:val="20"/>
              </w:rPr>
              <w:t>Coincident Demand Factor</w:t>
            </w:r>
          </w:p>
        </w:tc>
        <w:tc>
          <w:tcPr>
            <w:tcW w:w="1350" w:type="dxa"/>
            <w:vAlign w:val="center"/>
          </w:tcPr>
          <w:p w14:paraId="2C43FDB9" w14:textId="77777777" w:rsidR="005828BC" w:rsidRPr="00DE66C5" w:rsidRDefault="005828BC" w:rsidP="00153F57">
            <w:pPr>
              <w:spacing w:before="20" w:after="20" w:line="220" w:lineRule="exact"/>
              <w:jc w:val="center"/>
              <w:rPr>
                <w:rFonts w:cs="Calibri Light"/>
                <w:sz w:val="20"/>
                <w:szCs w:val="20"/>
              </w:rPr>
            </w:pPr>
            <w:r w:rsidRPr="00DE66C5">
              <w:rPr>
                <w:rFonts w:cs="Calibri Light"/>
                <w:sz w:val="20"/>
                <w:szCs w:val="20"/>
              </w:rPr>
              <w:t>0.90</w:t>
            </w:r>
          </w:p>
        </w:tc>
        <w:tc>
          <w:tcPr>
            <w:tcW w:w="5612" w:type="dxa"/>
            <w:vAlign w:val="center"/>
          </w:tcPr>
          <w:p w14:paraId="314AB241" w14:textId="77777777" w:rsidR="005828BC" w:rsidRPr="00BA206B" w:rsidRDefault="005828BC" w:rsidP="00153F57">
            <w:pPr>
              <w:spacing w:before="20" w:after="20" w:line="220" w:lineRule="exact"/>
              <w:rPr>
                <w:rFonts w:cs="Calibri Light"/>
                <w:sz w:val="18"/>
                <w:szCs w:val="20"/>
              </w:rPr>
            </w:pPr>
            <w:proofErr w:type="spellStart"/>
            <w:r w:rsidRPr="00BA206B">
              <w:rPr>
                <w:rStyle w:val="eTRMFootnoteTextChar"/>
                <w:szCs w:val="20"/>
              </w:rPr>
              <w:t>Itron</w:t>
            </w:r>
            <w:proofErr w:type="spellEnd"/>
            <w:r w:rsidRPr="00BA206B">
              <w:rPr>
                <w:rStyle w:val="eTRMFootnoteTextChar"/>
                <w:szCs w:val="20"/>
              </w:rPr>
              <w:t xml:space="preserve">, Inc. 2005. </w:t>
            </w:r>
            <w:r w:rsidRPr="00BA206B">
              <w:rPr>
                <w:rStyle w:val="eTRMFootnoteTextChar"/>
                <w:i/>
                <w:szCs w:val="20"/>
              </w:rPr>
              <w:t>2004-2005 Database for Energy Efficiency Resources (DEER) Update Study - Final Report.</w:t>
            </w:r>
            <w:r w:rsidRPr="00BA206B">
              <w:rPr>
                <w:rStyle w:val="eTRMFootnoteTextChar"/>
                <w:szCs w:val="20"/>
              </w:rPr>
              <w:t xml:space="preserve"> Prepared for Southern California Edison. Pages 3-15 to 3-17, Table 3-14.</w:t>
            </w:r>
          </w:p>
        </w:tc>
      </w:tr>
    </w:tbl>
    <w:p w14:paraId="3083E793" w14:textId="77777777" w:rsidR="004E0B20" w:rsidRDefault="004E0B20" w:rsidP="004271B3"/>
    <w:p w14:paraId="3ACB567B" w14:textId="251E6221" w:rsidR="007D230B" w:rsidRPr="004B06E3" w:rsidRDefault="007D230B" w:rsidP="006A6F75">
      <w:pPr>
        <w:pStyle w:val="eTRMHeading3"/>
      </w:pPr>
      <w:bookmarkStart w:id="87" w:name="_Toc528684435"/>
      <w:bookmarkEnd w:id="85"/>
      <w:r w:rsidRPr="004B06E3">
        <w:t>Gas Savings</w:t>
      </w:r>
      <w:r w:rsidR="00245AFF" w:rsidRPr="004B06E3">
        <w:t xml:space="preserve"> (Therms)</w:t>
      </w:r>
      <w:bookmarkEnd w:id="73"/>
      <w:bookmarkEnd w:id="74"/>
      <w:bookmarkEnd w:id="87"/>
    </w:p>
    <w:p w14:paraId="5BDD96F2" w14:textId="4F62F131" w:rsidR="00E65410" w:rsidRDefault="009D34B5" w:rsidP="006A6F75">
      <w:pPr>
        <w:keepNext/>
        <w:keepLines/>
      </w:pPr>
      <w:bookmarkStart w:id="88" w:name="_Hlk526527216"/>
      <w:bookmarkStart w:id="89" w:name="_Hlk526880050"/>
      <w:r>
        <w:t xml:space="preserve">The annual gas unit energy saving (UES) is calculated as the difference between the measure case and </w:t>
      </w:r>
      <w:r w:rsidR="00F1080D">
        <w:t>baseline</w:t>
      </w:r>
      <w:r>
        <w:t xml:space="preserve"> annual unit energy consumption (UEC).</w:t>
      </w:r>
      <w:r w:rsidRPr="00751AA7">
        <w:t xml:space="preserve"> </w:t>
      </w:r>
    </w:p>
    <w:p w14:paraId="3F6B67DC" w14:textId="77777777" w:rsidR="007B2BCC" w:rsidRDefault="007B2BCC" w:rsidP="00AA70C5"/>
    <w:bookmarkEnd w:id="88"/>
    <w:p w14:paraId="5EF49F7F" w14:textId="6A5EB3BE" w:rsidR="00E65410" w:rsidRDefault="00E65410" w:rsidP="00AA70C5">
      <w:pPr>
        <w:pStyle w:val="eTRMHeading4"/>
        <w:keepNext w:val="0"/>
        <w:keepLines w:val="0"/>
      </w:pPr>
      <w:r>
        <w:t>Annual Gas Unit Energy Consumption</w:t>
      </w:r>
    </w:p>
    <w:bookmarkEnd w:id="89"/>
    <w:p w14:paraId="0BF61D76" w14:textId="1FB32E07" w:rsidR="00E65410" w:rsidRDefault="00E65410" w:rsidP="00AA70C5">
      <w:r>
        <w:t xml:space="preserve">As shown below, </w:t>
      </w:r>
      <w:bookmarkStart w:id="90" w:name="_Hlk526527263"/>
      <w:r w:rsidR="002C30A8">
        <w:t>t</w:t>
      </w:r>
      <w:r>
        <w:t xml:space="preserve">he </w:t>
      </w:r>
      <w:r w:rsidR="00BA206B">
        <w:t xml:space="preserve">daily gas </w:t>
      </w:r>
      <w:r>
        <w:t>UEC (base</w:t>
      </w:r>
      <w:r w:rsidR="002C30A8">
        <w:t>line</w:t>
      </w:r>
      <w:r>
        <w:t xml:space="preserve"> or measure case) is equal to the sum of the energy required for cooking, preheat, and idle modes </w:t>
      </w:r>
      <w:bookmarkEnd w:id="90"/>
      <w:r>
        <w:t>of fryer operation. These calculations and the inputs are provided below.</w:t>
      </w:r>
    </w:p>
    <w:p w14:paraId="7BD4F30F" w14:textId="6B683052" w:rsidR="00E65410" w:rsidRPr="002C30A8" w:rsidRDefault="00E65410" w:rsidP="00E65410">
      <w:pPr>
        <w:tabs>
          <w:tab w:val="left" w:pos="720"/>
        </w:tabs>
        <w:ind w:left="720"/>
        <w:rPr>
          <w:i/>
          <w:sz w:val="18"/>
          <w:szCs w:val="18"/>
        </w:rPr>
      </w:pPr>
      <m:oMathPara>
        <m:oMathParaPr>
          <m:jc m:val="left"/>
        </m:oMathParaPr>
        <m:oMath>
          <m:r>
            <w:rPr>
              <w:rFonts w:ascii="Cambria Math" w:hAnsi="Cambria Math"/>
              <w:sz w:val="18"/>
              <w:szCs w:val="18"/>
            </w:rPr>
            <m:t>UEC_DAY=cooking energy+idle energy+preheat energy</m:t>
          </m:r>
        </m:oMath>
      </m:oMathPara>
    </w:p>
    <w:p w14:paraId="17129E92" w14:textId="77777777" w:rsidR="002C30A8" w:rsidRPr="003B77C5" w:rsidRDefault="002C30A8" w:rsidP="00E65410">
      <w:pPr>
        <w:tabs>
          <w:tab w:val="left" w:pos="720"/>
        </w:tabs>
        <w:ind w:left="720"/>
        <w:rPr>
          <w:i/>
          <w:sz w:val="18"/>
          <w:szCs w:val="18"/>
        </w:rPr>
      </w:pPr>
    </w:p>
    <w:p w14:paraId="42D89964" w14:textId="77777777" w:rsidR="00E65410" w:rsidRPr="0058503B" w:rsidRDefault="00E65410" w:rsidP="00E65410">
      <w:r w:rsidRPr="00833AE5">
        <w:rPr>
          <w:b/>
        </w:rPr>
        <w:t>Cooking energy</w:t>
      </w:r>
      <w:r>
        <w:t xml:space="preserve"> is a function of the pounds of food cooked per day, the energy absorbed per pound of food product during cooking, and the measured heavy load cooking energy efficiency. </w:t>
      </w:r>
    </w:p>
    <w:p w14:paraId="1F418198" w14:textId="655ABBAF" w:rsidR="00E65410" w:rsidRPr="00EA25BC" w:rsidRDefault="00E65410" w:rsidP="00E65410">
      <w:pPr>
        <w:ind w:left="720"/>
        <w:rPr>
          <w:rFonts w:ascii="Arial" w:hAnsi="Arial" w:cs="Arial"/>
          <w:i/>
          <w:sz w:val="18"/>
          <w:szCs w:val="18"/>
        </w:rPr>
      </w:pPr>
      <m:oMathPara>
        <m:oMathParaPr>
          <m:jc m:val="left"/>
        </m:oMathPara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LBFOOD×EFOOD</m:t>
                  </m:r>
                </m:num>
                <m:den>
                  <m:r>
                    <w:rPr>
                      <w:rFonts w:ascii="Cambria Math" w:hAnsi="Cambria Math" w:cs="Arial"/>
                      <w:sz w:val="18"/>
                      <w:szCs w:val="18"/>
                    </w:rPr>
                    <m:t>EFFICIENCY</m:t>
                  </m:r>
                </m:den>
              </m:f>
            </m:e>
          </m:d>
        </m:oMath>
      </m:oMathPara>
    </w:p>
    <w:p w14:paraId="51EE5451" w14:textId="792B843C" w:rsidR="00BA206B" w:rsidRDefault="00BA206B" w:rsidP="00BA206B">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 xml:space="preserve">LBFOOD = </w:t>
      </w:r>
      <w:r>
        <w:rPr>
          <w:rFonts w:ascii="Cambria Math" w:hAnsi="Cambria Math" w:cs="Arial"/>
          <w:i/>
          <w:sz w:val="18"/>
          <w:szCs w:val="20"/>
        </w:rPr>
        <w:tab/>
      </w:r>
      <w:r w:rsidRPr="00E00DBE">
        <w:rPr>
          <w:rFonts w:ascii="Cambria Math" w:hAnsi="Cambria Math" w:cs="Calibri Light"/>
          <w:i/>
          <w:sz w:val="18"/>
          <w:szCs w:val="20"/>
        </w:rPr>
        <w:t xml:space="preserve">Estimated </w:t>
      </w:r>
      <w:r>
        <w:rPr>
          <w:rFonts w:ascii="Cambria Math" w:hAnsi="Cambria Math" w:cs="Calibri Light"/>
          <w:i/>
          <w:sz w:val="18"/>
          <w:szCs w:val="20"/>
        </w:rPr>
        <w:t>p</w:t>
      </w:r>
      <w:r w:rsidRPr="00E00DBE">
        <w:rPr>
          <w:rFonts w:ascii="Cambria Math" w:hAnsi="Cambria Math" w:cs="Calibri Light"/>
          <w:i/>
          <w:sz w:val="18"/>
          <w:szCs w:val="20"/>
        </w:rPr>
        <w:t xml:space="preserve">ounds of </w:t>
      </w:r>
      <w:r>
        <w:rPr>
          <w:rFonts w:ascii="Cambria Math" w:hAnsi="Cambria Math" w:cs="Calibri Light"/>
          <w:i/>
          <w:sz w:val="18"/>
          <w:szCs w:val="20"/>
        </w:rPr>
        <w:t>f</w:t>
      </w:r>
      <w:r w:rsidRPr="00E00DBE">
        <w:rPr>
          <w:rFonts w:ascii="Cambria Math" w:hAnsi="Cambria Math" w:cs="Calibri Light"/>
          <w:i/>
          <w:sz w:val="18"/>
          <w:szCs w:val="20"/>
        </w:rPr>
        <w:t xml:space="preserve">ood </w:t>
      </w:r>
      <w:r>
        <w:rPr>
          <w:rFonts w:ascii="Cambria Math" w:hAnsi="Cambria Math" w:cs="Calibri Light"/>
          <w:i/>
          <w:sz w:val="18"/>
          <w:szCs w:val="20"/>
        </w:rPr>
        <w:t>c</w:t>
      </w:r>
      <w:r w:rsidRPr="00E00DBE">
        <w:rPr>
          <w:rFonts w:ascii="Cambria Math" w:hAnsi="Cambria Math" w:cs="Calibri Light"/>
          <w:i/>
          <w:sz w:val="18"/>
          <w:szCs w:val="20"/>
        </w:rPr>
        <w:t xml:space="preserve">ooked per </w:t>
      </w:r>
      <w:r>
        <w:rPr>
          <w:rFonts w:ascii="Cambria Math" w:hAnsi="Cambria Math" w:cs="Calibri Light"/>
          <w:i/>
          <w:sz w:val="18"/>
          <w:szCs w:val="20"/>
        </w:rPr>
        <w:t>d</w:t>
      </w:r>
      <w:r w:rsidRPr="00E00DBE">
        <w:rPr>
          <w:rFonts w:ascii="Cambria Math" w:hAnsi="Cambria Math" w:cs="Calibri Light"/>
          <w:i/>
          <w:sz w:val="18"/>
          <w:szCs w:val="20"/>
        </w:rPr>
        <w:t>ay</w:t>
      </w:r>
      <w:r>
        <w:rPr>
          <w:rFonts w:ascii="Cambria Math" w:hAnsi="Cambria Math" w:cs="Calibri Light"/>
          <w:i/>
          <w:sz w:val="18"/>
          <w:szCs w:val="20"/>
        </w:rPr>
        <w:t xml:space="preserve"> (lb</w:t>
      </w:r>
      <w:r w:rsidR="002C30A8">
        <w:rPr>
          <w:rFonts w:ascii="Cambria Math" w:hAnsi="Cambria Math" w:cs="Calibri Light"/>
          <w:i/>
          <w:sz w:val="18"/>
          <w:szCs w:val="20"/>
        </w:rPr>
        <w:t>s</w:t>
      </w:r>
      <w:r>
        <w:rPr>
          <w:rFonts w:ascii="Cambria Math" w:hAnsi="Cambria Math" w:cs="Calibri Light"/>
          <w:i/>
          <w:sz w:val="18"/>
          <w:szCs w:val="20"/>
        </w:rPr>
        <w:t>)</w:t>
      </w:r>
    </w:p>
    <w:p w14:paraId="2F155719" w14:textId="157CE44A"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EFOOD =</w:t>
      </w:r>
      <w:r w:rsidRPr="00EA25BC">
        <w:rPr>
          <w:rFonts w:ascii="Cambria Math" w:hAnsi="Cambria Math" w:cs="Arial"/>
          <w:i/>
          <w:sz w:val="18"/>
          <w:szCs w:val="20"/>
        </w:rPr>
        <w:tab/>
        <w:t xml:space="preserve">ASTM </w:t>
      </w:r>
      <w:r>
        <w:rPr>
          <w:rFonts w:ascii="Cambria Math" w:hAnsi="Cambria Math" w:cs="Arial"/>
          <w:i/>
          <w:sz w:val="18"/>
          <w:szCs w:val="20"/>
        </w:rPr>
        <w:t>energy to food</w:t>
      </w:r>
      <w:r w:rsidRPr="00EA25BC">
        <w:rPr>
          <w:rFonts w:ascii="Cambria Math" w:hAnsi="Cambria Math" w:cs="Arial"/>
          <w:i/>
          <w:sz w:val="18"/>
          <w:szCs w:val="20"/>
        </w:rPr>
        <w:t xml:space="preserve"> </w:t>
      </w:r>
      <w:r>
        <w:rPr>
          <w:rFonts w:ascii="Cambria Math" w:hAnsi="Cambria Math" w:cs="Arial"/>
          <w:i/>
          <w:sz w:val="18"/>
          <w:szCs w:val="20"/>
        </w:rPr>
        <w:t>ratio, the</w:t>
      </w:r>
      <w:r w:rsidRPr="00EA25BC">
        <w:rPr>
          <w:rFonts w:ascii="Cambria Math" w:hAnsi="Cambria Math" w:cs="Arial"/>
          <w:i/>
          <w:sz w:val="18"/>
          <w:szCs w:val="20"/>
        </w:rPr>
        <w:t xml:space="preserve"> energy absorbed by food product during cooking</w:t>
      </w:r>
      <w:r>
        <w:rPr>
          <w:rFonts w:ascii="Cambria Math" w:hAnsi="Cambria Math" w:cs="Arial"/>
          <w:i/>
          <w:sz w:val="18"/>
          <w:szCs w:val="20"/>
        </w:rPr>
        <w:t xml:space="preserve"> </w:t>
      </w:r>
      <w:r w:rsidRPr="00EA25BC">
        <w:rPr>
          <w:rFonts w:ascii="Cambria Math" w:hAnsi="Cambria Math" w:cs="Arial"/>
          <w:i/>
          <w:sz w:val="18"/>
          <w:szCs w:val="20"/>
        </w:rPr>
        <w:t>(</w:t>
      </w:r>
      <w:r w:rsidR="004A2546">
        <w:rPr>
          <w:rFonts w:ascii="Cambria Math" w:hAnsi="Cambria Math" w:cs="Arial"/>
          <w:i/>
          <w:sz w:val="18"/>
          <w:szCs w:val="20"/>
        </w:rPr>
        <w:t>Btu</w:t>
      </w:r>
      <w:r w:rsidRPr="00EA25BC">
        <w:rPr>
          <w:rFonts w:ascii="Cambria Math" w:hAnsi="Cambria Math" w:cs="Arial"/>
          <w:i/>
          <w:sz w:val="18"/>
          <w:szCs w:val="20"/>
        </w:rPr>
        <w:t>)</w:t>
      </w:r>
    </w:p>
    <w:p w14:paraId="60BB1A5E" w14:textId="77777777" w:rsidR="00E65410" w:rsidRPr="00EA25BC" w:rsidRDefault="00E65410" w:rsidP="00E65410">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 xml:space="preserve">EFFICIENCY = </w:t>
      </w:r>
      <w:r w:rsidRPr="00EA25BC">
        <w:rPr>
          <w:rFonts w:ascii="Cambria Math" w:hAnsi="Cambria Math" w:cs="Arial"/>
          <w:i/>
          <w:sz w:val="18"/>
          <w:szCs w:val="20"/>
        </w:rPr>
        <w:tab/>
        <w:t xml:space="preserve">Measured </w:t>
      </w:r>
      <w:r>
        <w:rPr>
          <w:rFonts w:ascii="Cambria Math" w:hAnsi="Cambria Math" w:cs="Arial"/>
          <w:i/>
          <w:sz w:val="18"/>
          <w:szCs w:val="20"/>
        </w:rPr>
        <w:t>heavy load cooking efficiency</w:t>
      </w:r>
      <w:r w:rsidRPr="00EA25BC">
        <w:rPr>
          <w:rFonts w:ascii="Cambria Math" w:hAnsi="Cambria Math" w:cs="Arial"/>
          <w:i/>
          <w:sz w:val="18"/>
          <w:szCs w:val="20"/>
        </w:rPr>
        <w:t xml:space="preserve"> </w:t>
      </w:r>
      <w:r>
        <w:rPr>
          <w:rFonts w:ascii="Cambria Math" w:hAnsi="Cambria Math" w:cs="Arial"/>
          <w:i/>
          <w:sz w:val="18"/>
          <w:szCs w:val="20"/>
        </w:rPr>
        <w:t>(</w:t>
      </w:r>
      <w:r w:rsidRPr="00EA25BC">
        <w:rPr>
          <w:rFonts w:ascii="Cambria Math" w:hAnsi="Cambria Math" w:cs="Arial"/>
          <w:i/>
          <w:sz w:val="18"/>
          <w:szCs w:val="20"/>
        </w:rPr>
        <w:t>%</w:t>
      </w:r>
      <w:r>
        <w:rPr>
          <w:rFonts w:ascii="Cambria Math" w:hAnsi="Cambria Math" w:cs="Arial"/>
          <w:i/>
          <w:sz w:val="18"/>
          <w:szCs w:val="20"/>
        </w:rPr>
        <w:t>, decimal format)</w:t>
      </w:r>
    </w:p>
    <w:p w14:paraId="7907FF43" w14:textId="77777777" w:rsidR="00E65410" w:rsidRPr="00751AA7" w:rsidRDefault="00E65410" w:rsidP="00751AA7"/>
    <w:p w14:paraId="12DA5524" w14:textId="61E53E60" w:rsidR="00E65410" w:rsidRPr="00EA25BC" w:rsidRDefault="00E65410" w:rsidP="00E65410">
      <w:pPr>
        <w:rPr>
          <w:rFonts w:ascii="Arial" w:hAnsi="Arial" w:cs="Arial"/>
          <w:i/>
          <w:sz w:val="20"/>
          <w:szCs w:val="20"/>
        </w:rPr>
      </w:pPr>
      <w:r w:rsidRPr="00833AE5">
        <w:rPr>
          <w:b/>
        </w:rPr>
        <w:t>Preheat energy</w:t>
      </w:r>
      <w:r>
        <w:t xml:space="preserve"> is calculated as the product of the assumed number of preheats per day and the energy required per preheat mode. </w:t>
      </w:r>
    </w:p>
    <w:p w14:paraId="17CF383E" w14:textId="3D1B4022" w:rsidR="00EA25BC" w:rsidRPr="00EA25BC" w:rsidRDefault="0072226A" w:rsidP="00C71429">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nP x EP</m:t>
              </m:r>
            </m:e>
          </m:d>
        </m:oMath>
      </m:oMathPara>
    </w:p>
    <w:p w14:paraId="5975D541" w14:textId="2D42DCE2" w:rsidR="002B1228" w:rsidRPr="00EA25BC" w:rsidRDefault="002B1228" w:rsidP="002B1228">
      <w:pPr>
        <w:tabs>
          <w:tab w:val="left" w:pos="1980"/>
          <w:tab w:val="left" w:pos="2880"/>
        </w:tabs>
        <w:spacing w:before="20" w:after="20"/>
        <w:ind w:left="2880" w:hanging="1440"/>
        <w:rPr>
          <w:rFonts w:ascii="Cambria Math" w:hAnsi="Cambria Math" w:cs="Arial"/>
          <w:i/>
          <w:sz w:val="18"/>
          <w:szCs w:val="20"/>
        </w:rPr>
      </w:pPr>
      <w:bookmarkStart w:id="91" w:name="_Hlk526855275"/>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w:t>
      </w:r>
    </w:p>
    <w:p w14:paraId="18831108" w14:textId="727863CD" w:rsidR="002B1228" w:rsidRPr="00EA25BC" w:rsidRDefault="002C30A8" w:rsidP="002B1228">
      <w:pPr>
        <w:tabs>
          <w:tab w:val="left" w:pos="1980"/>
          <w:tab w:val="left" w:pos="2880"/>
        </w:tabs>
        <w:spacing w:before="20" w:after="20"/>
        <w:ind w:left="2880" w:hanging="1440"/>
        <w:rPr>
          <w:rFonts w:ascii="Cambria Math" w:hAnsi="Cambria Math" w:cs="Arial"/>
          <w:i/>
          <w:sz w:val="18"/>
          <w:szCs w:val="20"/>
        </w:rPr>
      </w:pPr>
      <w:r>
        <w:rPr>
          <w:rFonts w:ascii="Cambria Math" w:hAnsi="Cambria Math" w:cs="Arial"/>
          <w:i/>
          <w:sz w:val="18"/>
          <w:szCs w:val="20"/>
        </w:rPr>
        <w:t>E</w:t>
      </w:r>
      <w:r w:rsidR="002B1228" w:rsidRPr="00EA25BC">
        <w:rPr>
          <w:rFonts w:ascii="Cambria Math" w:hAnsi="Cambria Math" w:cs="Arial"/>
          <w:i/>
          <w:sz w:val="18"/>
          <w:szCs w:val="20"/>
        </w:rPr>
        <w:t>P =</w:t>
      </w:r>
      <w:r w:rsidR="002B1228" w:rsidRPr="00EA25BC">
        <w:rPr>
          <w:rFonts w:ascii="Cambria Math" w:hAnsi="Cambria Math" w:cs="Arial"/>
          <w:i/>
          <w:sz w:val="18"/>
          <w:szCs w:val="20"/>
        </w:rPr>
        <w:tab/>
      </w:r>
      <w:r w:rsidR="002B1228">
        <w:rPr>
          <w:rFonts w:ascii="Cambria Math" w:hAnsi="Cambria Math" w:cs="Arial"/>
          <w:i/>
          <w:sz w:val="18"/>
          <w:szCs w:val="20"/>
        </w:rPr>
        <w:tab/>
      </w:r>
      <w:r>
        <w:rPr>
          <w:rFonts w:ascii="Cambria Math" w:hAnsi="Cambria Math" w:cs="Arial"/>
          <w:i/>
          <w:sz w:val="18"/>
          <w:szCs w:val="20"/>
        </w:rPr>
        <w:t>Measured preheat energy (Btu)</w:t>
      </w:r>
    </w:p>
    <w:bookmarkEnd w:id="91"/>
    <w:p w14:paraId="29A490B2" w14:textId="6743934B" w:rsidR="00751AA7" w:rsidRDefault="00751AA7" w:rsidP="003E6901"/>
    <w:p w14:paraId="2E2B5CFF" w14:textId="77777777" w:rsidR="00BA206B" w:rsidRPr="00EA25BC" w:rsidRDefault="00BA206B" w:rsidP="00BA206B">
      <w:pPr>
        <w:rPr>
          <w:rFonts w:ascii="Arial" w:hAnsi="Arial" w:cs="Arial"/>
          <w:i/>
          <w:sz w:val="18"/>
          <w:szCs w:val="18"/>
        </w:rPr>
      </w:pPr>
      <w:r w:rsidRPr="00833AE5">
        <w:rPr>
          <w:b/>
        </w:rPr>
        <w:t>Idle energy</w:t>
      </w:r>
      <w:r>
        <w:t xml:space="preserve"> is a function of the idle energy rate, operating hours per day, and production capacity; idle energy does not include preheat time.</w:t>
      </w:r>
    </w:p>
    <w:p w14:paraId="509B7774" w14:textId="59781FE8" w:rsidR="00BA206B" w:rsidRPr="00E65410" w:rsidRDefault="00BA206B" w:rsidP="00BA206B">
      <w:pPr>
        <w:ind w:left="720"/>
        <w:rPr>
          <w:rFonts w:ascii="Arial" w:hAnsi="Arial" w:cs="Arial"/>
          <w:i/>
          <w:sz w:val="18"/>
          <w:szCs w:val="18"/>
        </w:rPr>
      </w:pPr>
      <w:bookmarkStart w:id="92" w:name="_Hlk526855308"/>
      <m:oMathPara>
        <m:oMathParaPr>
          <m:jc m:val="left"/>
        </m:oMathParaPr>
        <m:oMath>
          <m:r>
            <w:rPr>
              <w:rFonts w:ascii="Cambria Math" w:hAnsi="Cambria Math" w:cs="Arial"/>
              <w:sz w:val="18"/>
              <w:szCs w:val="18"/>
            </w:rPr>
            <m:t xml:space="preserve"> Idle energy= </m:t>
          </m:r>
          <m:d>
            <m:dPr>
              <m:begChr m:val="["/>
              <m:endChr m:val="]"/>
              <m:ctrlPr>
                <w:rPr>
                  <w:rFonts w:ascii="Cambria Math" w:hAnsi="Cambria Math" w:cs="Arial"/>
                  <w:i/>
                  <w:sz w:val="18"/>
                  <w:szCs w:val="18"/>
                </w:rPr>
              </m:ctrlPr>
            </m:dPr>
            <m:e>
              <m:r>
                <w:rPr>
                  <w:rFonts w:ascii="Cambria Math" w:hAnsi="Cambria Math" w:cs="Arial"/>
                  <w:sz w:val="18"/>
                  <w:szCs w:val="18"/>
                </w:rPr>
                <m:t>IDLERATE×</m:t>
              </m:r>
              <m:d>
                <m:dPr>
                  <m:ctrlPr>
                    <w:rPr>
                      <w:rFonts w:ascii="Cambria Math" w:hAnsi="Cambria Math" w:cs="Arial"/>
                      <w:i/>
                      <w:sz w:val="18"/>
                      <w:szCs w:val="18"/>
                    </w:rPr>
                  </m:ctrlPr>
                </m:dPr>
                <m:e>
                  <m:r>
                    <w:rPr>
                      <w:rFonts w:ascii="Cambria Math" w:hAnsi="Cambria Math" w:cs="Arial"/>
                      <w:sz w:val="18"/>
                      <w:szCs w:val="18"/>
                    </w:rPr>
                    <m:t>EHOUR-</m:t>
                  </m:r>
                  <m:f>
                    <m:fPr>
                      <m:ctrlPr>
                        <w:rPr>
                          <w:rFonts w:ascii="Cambria Math" w:hAnsi="Cambria Math" w:cs="Arial"/>
                          <w:i/>
                          <w:sz w:val="18"/>
                          <w:szCs w:val="18"/>
                        </w:rPr>
                      </m:ctrlPr>
                    </m:fPr>
                    <m:num>
                      <m:r>
                        <w:rPr>
                          <w:rFonts w:ascii="Cambria Math" w:hAnsi="Cambria Math" w:cs="Arial"/>
                          <w:sz w:val="18"/>
                          <w:szCs w:val="18"/>
                        </w:rPr>
                        <m:t>LBFOOD</m:t>
                      </m:r>
                    </m:num>
                    <m:den>
                      <m:r>
                        <w:rPr>
                          <w:rFonts w:ascii="Cambria Math" w:hAnsi="Cambria Math" w:cs="Arial"/>
                          <w:sz w:val="18"/>
                          <w:szCs w:val="18"/>
                        </w:rPr>
                        <m:t>PC</m:t>
                      </m:r>
                    </m:den>
                  </m:f>
                  <m:r>
                    <w:rPr>
                      <w:rFonts w:ascii="Cambria Math" w:hAnsi="Cambria Math" w:cs="Arial"/>
                      <w:sz w:val="18"/>
                      <w:szCs w:val="18"/>
                    </w:rPr>
                    <m:t>-(nP × TP/60)</m:t>
                  </m:r>
                </m:e>
              </m:d>
            </m:e>
          </m:d>
        </m:oMath>
      </m:oMathPara>
    </w:p>
    <w:p w14:paraId="77428EA7" w14:textId="170B697C"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2C30A8">
        <w:rPr>
          <w:rFonts w:ascii="Cambria Math" w:hAnsi="Cambria Math" w:cs="Arial"/>
          <w:i/>
          <w:sz w:val="18"/>
          <w:szCs w:val="20"/>
        </w:rPr>
        <w:t>IDLE RATE =</w:t>
      </w:r>
      <w:r w:rsidRPr="002C30A8">
        <w:rPr>
          <w:rFonts w:ascii="Cambria Math" w:hAnsi="Cambria Math" w:cs="Arial"/>
          <w:i/>
          <w:sz w:val="18"/>
          <w:szCs w:val="20"/>
        </w:rPr>
        <w:tab/>
        <w:t>Measured idle energy rate (</w:t>
      </w:r>
      <w:r w:rsidR="002C30A8" w:rsidRPr="002C30A8">
        <w:rPr>
          <w:rFonts w:ascii="Cambria Math" w:hAnsi="Cambria Math" w:cs="Arial"/>
          <w:i/>
          <w:sz w:val="18"/>
          <w:szCs w:val="20"/>
        </w:rPr>
        <w:t>Btu</w:t>
      </w:r>
      <w:r w:rsidRPr="002C30A8">
        <w:rPr>
          <w:rFonts w:ascii="Cambria Math" w:hAnsi="Cambria Math" w:cs="Arial"/>
          <w:i/>
          <w:sz w:val="18"/>
          <w:szCs w:val="20"/>
        </w:rPr>
        <w:t>)</w:t>
      </w:r>
    </w:p>
    <w:p w14:paraId="4F67A3FD" w14:textId="1D97464F"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EHOU</w:t>
      </w:r>
      <w:r w:rsidR="00C02CF8">
        <w:rPr>
          <w:rFonts w:ascii="Cambria Math" w:hAnsi="Cambria Math" w:cs="Arial"/>
          <w:i/>
          <w:sz w:val="18"/>
          <w:szCs w:val="20"/>
        </w:rPr>
        <w:t xml:space="preserve">R </w:t>
      </w:r>
      <w:r w:rsidRPr="00EA25BC">
        <w:rPr>
          <w:rFonts w:ascii="Cambria Math" w:hAnsi="Cambria Math" w:cs="Arial"/>
          <w:i/>
          <w:sz w:val="18"/>
          <w:szCs w:val="20"/>
        </w:rPr>
        <w:t>=</w:t>
      </w:r>
      <w:r w:rsidRPr="00EA25BC">
        <w:rPr>
          <w:rFonts w:ascii="Cambria Math" w:hAnsi="Cambria Math" w:cs="Arial"/>
          <w:i/>
          <w:sz w:val="18"/>
          <w:szCs w:val="20"/>
        </w:rPr>
        <w:tab/>
        <w:t xml:space="preserve">Estimated </w:t>
      </w:r>
      <w:r>
        <w:rPr>
          <w:rFonts w:ascii="Cambria Math" w:hAnsi="Cambria Math" w:cs="Arial"/>
          <w:i/>
          <w:sz w:val="18"/>
          <w:szCs w:val="20"/>
        </w:rPr>
        <w:t>operating hours per day (hr</w:t>
      </w:r>
      <w:r w:rsidR="002C30A8">
        <w:rPr>
          <w:rFonts w:ascii="Cambria Math" w:hAnsi="Cambria Math" w:cs="Arial"/>
          <w:i/>
          <w:sz w:val="18"/>
          <w:szCs w:val="20"/>
        </w:rPr>
        <w:t>s)</w:t>
      </w:r>
    </w:p>
    <w:p w14:paraId="560AFC8C" w14:textId="3C50770A"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LBFOOD =</w:t>
      </w:r>
      <w:r w:rsidRPr="00EA25BC">
        <w:rPr>
          <w:rFonts w:ascii="Cambria Math" w:hAnsi="Cambria Math" w:cs="Arial"/>
          <w:i/>
          <w:sz w:val="18"/>
          <w:szCs w:val="20"/>
        </w:rPr>
        <w:tab/>
        <w:t xml:space="preserve">Estimated </w:t>
      </w:r>
      <w:r>
        <w:rPr>
          <w:rFonts w:ascii="Cambria Math" w:hAnsi="Cambria Math" w:cs="Arial"/>
          <w:i/>
          <w:sz w:val="18"/>
          <w:szCs w:val="20"/>
        </w:rPr>
        <w:t>pounds of food cooked per day (lb</w:t>
      </w:r>
      <w:r w:rsidR="002C30A8">
        <w:rPr>
          <w:rFonts w:ascii="Cambria Math" w:hAnsi="Cambria Math" w:cs="Arial"/>
          <w:i/>
          <w:sz w:val="18"/>
          <w:szCs w:val="20"/>
        </w:rPr>
        <w:t>s</w:t>
      </w:r>
      <w:r>
        <w:rPr>
          <w:rFonts w:ascii="Cambria Math" w:hAnsi="Cambria Math" w:cs="Arial"/>
          <w:i/>
          <w:sz w:val="18"/>
          <w:szCs w:val="20"/>
        </w:rPr>
        <w:t>)</w:t>
      </w:r>
    </w:p>
    <w:p w14:paraId="7E876651" w14:textId="77777777" w:rsidR="00BA206B"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PC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Measured </w:t>
      </w:r>
      <w:r>
        <w:rPr>
          <w:rFonts w:ascii="Cambria Math" w:hAnsi="Cambria Math" w:cs="Arial"/>
          <w:i/>
          <w:sz w:val="18"/>
          <w:szCs w:val="20"/>
        </w:rPr>
        <w:t>production capacity</w:t>
      </w:r>
      <w:r w:rsidRPr="00EA25BC">
        <w:rPr>
          <w:rFonts w:ascii="Cambria Math" w:hAnsi="Cambria Math" w:cs="Arial"/>
          <w:i/>
          <w:sz w:val="18"/>
          <w:szCs w:val="20"/>
        </w:rPr>
        <w:t xml:space="preserve"> (lbs/hr)</w:t>
      </w:r>
    </w:p>
    <w:p w14:paraId="2B6D1B00"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proofErr w:type="spellStart"/>
      <w:r w:rsidRPr="00EA25BC">
        <w:rPr>
          <w:rFonts w:ascii="Cambria Math" w:hAnsi="Cambria Math" w:cs="Arial"/>
          <w:i/>
          <w:sz w:val="18"/>
          <w:szCs w:val="20"/>
        </w:rPr>
        <w:t>nP</w:t>
      </w:r>
      <w:proofErr w:type="spellEnd"/>
      <w:r w:rsidRPr="00EA25BC">
        <w:rPr>
          <w:rFonts w:ascii="Cambria Math" w:hAnsi="Cambria Math" w:cs="Arial"/>
          <w:i/>
          <w:sz w:val="18"/>
          <w:szCs w:val="20"/>
        </w:rPr>
        <w:t xml:space="preserve">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number of preheats per day (#/day)</w:t>
      </w:r>
    </w:p>
    <w:p w14:paraId="13B1A64B" w14:textId="77777777" w:rsidR="00BA206B" w:rsidRPr="00EA25BC" w:rsidRDefault="00BA206B" w:rsidP="00BA206B">
      <w:pPr>
        <w:tabs>
          <w:tab w:val="left" w:pos="1980"/>
          <w:tab w:val="left" w:pos="2880"/>
        </w:tabs>
        <w:spacing w:before="20" w:after="20"/>
        <w:ind w:left="2880" w:hanging="1440"/>
        <w:rPr>
          <w:rFonts w:ascii="Cambria Math" w:hAnsi="Cambria Math" w:cs="Arial"/>
          <w:i/>
          <w:sz w:val="18"/>
          <w:szCs w:val="20"/>
        </w:rPr>
      </w:pPr>
      <w:r w:rsidRPr="00EA25BC">
        <w:rPr>
          <w:rFonts w:ascii="Cambria Math" w:hAnsi="Cambria Math" w:cs="Arial"/>
          <w:i/>
          <w:sz w:val="18"/>
          <w:szCs w:val="20"/>
        </w:rPr>
        <w:t>TP =</w:t>
      </w:r>
      <w:r w:rsidRPr="00EA25BC">
        <w:rPr>
          <w:rFonts w:ascii="Cambria Math" w:hAnsi="Cambria Math" w:cs="Arial"/>
          <w:i/>
          <w:sz w:val="18"/>
          <w:szCs w:val="20"/>
        </w:rPr>
        <w:tab/>
      </w:r>
      <w:r>
        <w:rPr>
          <w:rFonts w:ascii="Cambria Math" w:hAnsi="Cambria Math" w:cs="Arial"/>
          <w:i/>
          <w:sz w:val="18"/>
          <w:szCs w:val="20"/>
        </w:rPr>
        <w:tab/>
      </w:r>
      <w:r w:rsidRPr="00EA25BC">
        <w:rPr>
          <w:rFonts w:ascii="Cambria Math" w:hAnsi="Cambria Math" w:cs="Arial"/>
          <w:i/>
          <w:sz w:val="18"/>
          <w:szCs w:val="20"/>
        </w:rPr>
        <w:t xml:space="preserve">Estimated </w:t>
      </w:r>
      <w:r>
        <w:rPr>
          <w:rFonts w:ascii="Cambria Math" w:hAnsi="Cambria Math" w:cs="Arial"/>
          <w:i/>
          <w:sz w:val="18"/>
          <w:szCs w:val="20"/>
        </w:rPr>
        <w:t>preheat time</w:t>
      </w:r>
      <w:r w:rsidRPr="00EA25BC">
        <w:rPr>
          <w:rFonts w:ascii="Cambria Math" w:hAnsi="Cambria Math" w:cs="Arial"/>
          <w:i/>
          <w:sz w:val="18"/>
          <w:szCs w:val="20"/>
        </w:rPr>
        <w:t xml:space="preserve"> (min)</w:t>
      </w:r>
    </w:p>
    <w:bookmarkEnd w:id="92"/>
    <w:p w14:paraId="2676947E" w14:textId="77777777" w:rsidR="00BA206B" w:rsidRDefault="00BA206B" w:rsidP="003E6901"/>
    <w:p w14:paraId="48E41513" w14:textId="09052371" w:rsidR="00E65410" w:rsidRDefault="00E65410" w:rsidP="00E65410">
      <w:bookmarkStart w:id="93" w:name="_Hlk526527741"/>
      <w:bookmarkStart w:id="94" w:name="_Hlk526855340"/>
      <w:bookmarkStart w:id="95" w:name="_Hlk526880304"/>
      <w:r>
        <w:t xml:space="preserve">The </w:t>
      </w:r>
      <w:r w:rsidRPr="00833AE5">
        <w:rPr>
          <w:b/>
        </w:rPr>
        <w:t>annual UEC</w:t>
      </w:r>
      <w:r>
        <w:t xml:space="preserve"> (base</w:t>
      </w:r>
      <w:r w:rsidR="002C30A8">
        <w:t>line</w:t>
      </w:r>
      <w:r>
        <w:t xml:space="preserve"> or measure) is calculated as the daily UEC multiplied by the number of operating days per year.</w:t>
      </w:r>
    </w:p>
    <w:bookmarkEnd w:id="93"/>
    <w:p w14:paraId="5693168F" w14:textId="262145E0" w:rsidR="00E65410" w:rsidRPr="00955AF0" w:rsidRDefault="00E65410" w:rsidP="00E65410">
      <w:pPr>
        <w:tabs>
          <w:tab w:val="left" w:pos="720"/>
        </w:tabs>
        <w:ind w:left="720"/>
        <w:rPr>
          <w:sz w:val="18"/>
          <w:szCs w:val="18"/>
        </w:rPr>
      </w:pPr>
      <m:oMathPara>
        <m:oMathParaPr>
          <m:jc m:val="left"/>
        </m:oMathParaPr>
        <m:oMath>
          <m:r>
            <w:rPr>
              <w:rFonts w:ascii="Cambria Math" w:hAnsi="Cambria Math"/>
              <w:sz w:val="18"/>
              <w:szCs w:val="18"/>
            </w:rPr>
            <m:t>UEC_YEAR=</m:t>
          </m:r>
          <m:f>
            <m:fPr>
              <m:ctrlPr>
                <w:rPr>
                  <w:rFonts w:ascii="Cambria Math" w:hAnsi="Cambria Math"/>
                  <w:i/>
                  <w:sz w:val="18"/>
                  <w:szCs w:val="18"/>
                </w:rPr>
              </m:ctrlPr>
            </m:fPr>
            <m:num>
              <m:r>
                <w:rPr>
                  <w:rFonts w:ascii="Cambria Math" w:hAnsi="Cambria Math"/>
                  <w:sz w:val="18"/>
                  <w:szCs w:val="18"/>
                </w:rPr>
                <m:t>UEC_DAY×EDAYS</m:t>
              </m:r>
            </m:num>
            <m:den>
              <m:r>
                <w:rPr>
                  <w:rFonts w:ascii="Cambria Math" w:hAnsi="Cambria Math"/>
                  <w:sz w:val="18"/>
                  <w:szCs w:val="18"/>
                </w:rPr>
                <m:t>BtuTherm</m:t>
              </m:r>
            </m:den>
          </m:f>
        </m:oMath>
      </m:oMathPara>
    </w:p>
    <w:p w14:paraId="2A17E476" w14:textId="77777777" w:rsidR="00E65410" w:rsidRDefault="00E65410" w:rsidP="00E65410">
      <w:pPr>
        <w:tabs>
          <w:tab w:val="left" w:pos="2880"/>
        </w:tabs>
        <w:spacing w:before="20" w:after="20"/>
        <w:ind w:left="2880" w:hanging="1440"/>
        <w:rPr>
          <w:rFonts w:ascii="Cambria Math" w:hAnsi="Cambria Math" w:cs="Calibri Light"/>
          <w:i/>
          <w:sz w:val="18"/>
          <w:szCs w:val="20"/>
        </w:rPr>
      </w:pPr>
      <w:bookmarkStart w:id="96" w:name="_Hlk526527761"/>
      <w:r>
        <w:rPr>
          <w:rFonts w:ascii="Cambria Math" w:hAnsi="Cambria Math" w:cs="Calibri Light"/>
          <w:i/>
          <w:sz w:val="18"/>
          <w:szCs w:val="20"/>
        </w:rPr>
        <w:t>UEC_DAY</w:t>
      </w:r>
      <w:r w:rsidRPr="00E00DBE">
        <w:rPr>
          <w:rFonts w:ascii="Cambria Math" w:hAnsi="Cambria Math" w:cs="Calibri Light"/>
          <w:i/>
          <w:sz w:val="18"/>
          <w:szCs w:val="20"/>
        </w:rPr>
        <w:t xml:space="preserve"> =</w:t>
      </w:r>
      <w:r w:rsidRPr="00E00DBE">
        <w:rPr>
          <w:rFonts w:ascii="Cambria Math" w:hAnsi="Cambria Math" w:cs="Calibri Light"/>
          <w:i/>
          <w:sz w:val="18"/>
          <w:szCs w:val="20"/>
        </w:rPr>
        <w:tab/>
        <w:t xml:space="preserve">Calculated </w:t>
      </w:r>
      <w:r>
        <w:rPr>
          <w:rFonts w:ascii="Cambria Math" w:hAnsi="Cambria Math" w:cs="Calibri Light"/>
          <w:i/>
          <w:sz w:val="18"/>
          <w:szCs w:val="20"/>
        </w:rPr>
        <w:t>daily energy consumption</w:t>
      </w:r>
      <w:r w:rsidRPr="00E00DBE">
        <w:rPr>
          <w:rFonts w:ascii="Cambria Math" w:hAnsi="Cambria Math" w:cs="Calibri Light"/>
          <w:i/>
          <w:sz w:val="18"/>
          <w:szCs w:val="20"/>
        </w:rPr>
        <w:t xml:space="preserve"> (</w:t>
      </w:r>
      <w:r>
        <w:rPr>
          <w:rFonts w:ascii="Cambria Math" w:hAnsi="Cambria Math" w:cs="Calibri Light"/>
          <w:i/>
          <w:sz w:val="18"/>
          <w:szCs w:val="20"/>
        </w:rPr>
        <w:t>Btu</w:t>
      </w:r>
      <w:r w:rsidRPr="00E00DBE">
        <w:rPr>
          <w:rFonts w:ascii="Cambria Math" w:hAnsi="Cambria Math" w:cs="Calibri Light"/>
          <w:i/>
          <w:sz w:val="18"/>
          <w:szCs w:val="20"/>
        </w:rPr>
        <w:t>/day)</w:t>
      </w:r>
    </w:p>
    <w:p w14:paraId="41FFD65F" w14:textId="65826F79" w:rsidR="00E65410" w:rsidRDefault="00E65410" w:rsidP="00E65410">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EDAYS=</w:t>
      </w:r>
      <w:r>
        <w:rPr>
          <w:rFonts w:ascii="Cambria Math" w:hAnsi="Cambria Math" w:cs="Calibri Light"/>
          <w:i/>
          <w:sz w:val="18"/>
          <w:szCs w:val="20"/>
        </w:rPr>
        <w:tab/>
        <w:t>Estimated operating days per year (days)</w:t>
      </w:r>
    </w:p>
    <w:p w14:paraId="57FB71A3" w14:textId="500DE3CE" w:rsidR="00102F23" w:rsidRDefault="00102F23" w:rsidP="00E65410">
      <w:pPr>
        <w:tabs>
          <w:tab w:val="left" w:pos="2880"/>
        </w:tabs>
        <w:spacing w:before="20" w:after="20"/>
        <w:ind w:left="2880" w:hanging="1440"/>
        <w:rPr>
          <w:rFonts w:ascii="Cambria Math" w:hAnsi="Cambria Math" w:cs="Calibri Light"/>
          <w:i/>
          <w:sz w:val="18"/>
          <w:szCs w:val="20"/>
        </w:rPr>
      </w:pPr>
      <w:bookmarkStart w:id="97" w:name="_Hlk526868498"/>
      <w:proofErr w:type="spellStart"/>
      <w:r>
        <w:rPr>
          <w:rFonts w:ascii="Cambria Math" w:hAnsi="Cambria Math" w:cs="Calibri Light"/>
          <w:i/>
          <w:sz w:val="18"/>
          <w:szCs w:val="20"/>
        </w:rPr>
        <w:t>BtuTherm</w:t>
      </w:r>
      <w:proofErr w:type="spellEnd"/>
      <w:r>
        <w:rPr>
          <w:rFonts w:ascii="Cambria Math" w:hAnsi="Cambria Math" w:cs="Calibri Light"/>
          <w:i/>
          <w:sz w:val="18"/>
          <w:szCs w:val="20"/>
        </w:rPr>
        <w:t xml:space="preserve"> = </w:t>
      </w:r>
      <w:r>
        <w:rPr>
          <w:rFonts w:ascii="Cambria Math" w:hAnsi="Cambria Math" w:cs="Calibri Light"/>
          <w:i/>
          <w:sz w:val="18"/>
          <w:szCs w:val="20"/>
        </w:rPr>
        <w:tab/>
        <w:t>Btu to therm</w:t>
      </w:r>
      <w:r w:rsidR="007B2BCC">
        <w:rPr>
          <w:rFonts w:ascii="Cambria Math" w:hAnsi="Cambria Math" w:cs="Calibri Light"/>
          <w:i/>
          <w:sz w:val="18"/>
          <w:szCs w:val="20"/>
        </w:rPr>
        <w:t xml:space="preserve"> conversion factor</w:t>
      </w:r>
    </w:p>
    <w:bookmarkEnd w:id="94"/>
    <w:bookmarkEnd w:id="96"/>
    <w:bookmarkEnd w:id="97"/>
    <w:p w14:paraId="0A85C505" w14:textId="336E0412" w:rsidR="00E65410" w:rsidRDefault="00E65410" w:rsidP="006A6F75"/>
    <w:p w14:paraId="1E9EECAD" w14:textId="54B3CCC8" w:rsidR="00E65410" w:rsidRDefault="00E65410" w:rsidP="00E65410">
      <w:pPr>
        <w:pStyle w:val="eTRMHeading4"/>
      </w:pPr>
      <w:bookmarkStart w:id="98" w:name="_Hlk526527347"/>
      <w:bookmarkEnd w:id="95"/>
      <w:r>
        <w:t>Annual Gas Unit Energy Savings</w:t>
      </w:r>
    </w:p>
    <w:p w14:paraId="2EB51C55" w14:textId="7EDC7EC9" w:rsidR="00BA206B" w:rsidRDefault="00BA206B" w:rsidP="00BA206B">
      <w:bookmarkStart w:id="99" w:name="_Hlk526855353"/>
      <w:bookmarkStart w:id="100" w:name="_Hlk526527364"/>
      <w:bookmarkStart w:id="101" w:name="_Hlk526880350"/>
      <w:bookmarkEnd w:id="98"/>
      <w:r>
        <w:t xml:space="preserve">The </w:t>
      </w:r>
      <w:r w:rsidRPr="00FB3F8A">
        <w:rPr>
          <w:b/>
        </w:rPr>
        <w:t>annual</w:t>
      </w:r>
      <w:r w:rsidR="002C30A8">
        <w:rPr>
          <w:b/>
        </w:rPr>
        <w:t xml:space="preserve"> gas</w:t>
      </w:r>
      <w:r w:rsidRPr="00FB3F8A">
        <w:rPr>
          <w:b/>
        </w:rPr>
        <w:t xml:space="preserve"> UES</w:t>
      </w:r>
      <w:r>
        <w:t xml:space="preserve"> is calculated as the </w:t>
      </w:r>
      <w:r w:rsidR="002C30A8">
        <w:t>difference between the baseline and measure annual UEC</w:t>
      </w:r>
      <w:r>
        <w:t>.</w:t>
      </w:r>
      <w:bookmarkEnd w:id="99"/>
    </w:p>
    <w:bookmarkEnd w:id="100"/>
    <w:p w14:paraId="7A1BB36B" w14:textId="5C428CBF" w:rsidR="00E65410" w:rsidRDefault="00E65410" w:rsidP="00E65410">
      <w:pPr>
        <w:keepNext/>
        <w:keepLines/>
      </w:pPr>
    </w:p>
    <w:p w14:paraId="634EC232" w14:textId="21A9FA2F" w:rsidR="00102F23" w:rsidRPr="00FD02A1" w:rsidRDefault="00102F23" w:rsidP="00102F23">
      <w:pPr>
        <w:tabs>
          <w:tab w:val="left" w:pos="720"/>
        </w:tabs>
        <w:ind w:left="720"/>
        <w:rPr>
          <w:sz w:val="18"/>
          <w:szCs w:val="18"/>
        </w:rPr>
      </w:pPr>
      <w:bookmarkStart w:id="102" w:name="_Hlk526855377"/>
      <m:oMathPara>
        <m:oMathParaPr>
          <m:jc m:val="left"/>
        </m:oMathParaPr>
        <m:oMath>
          <m:r>
            <w:rPr>
              <w:rFonts w:ascii="Cambria Math" w:hAnsi="Cambria Math"/>
              <w:sz w:val="18"/>
              <w:szCs w:val="18"/>
            </w:rPr>
            <m:t>UE</m:t>
          </m:r>
          <m:sSub>
            <m:sSubPr>
              <m:ctrlPr>
                <w:rPr>
                  <w:rFonts w:ascii="Cambria Math" w:hAnsi="Cambria Math"/>
                  <w:i/>
                  <w:sz w:val="18"/>
                  <w:szCs w:val="18"/>
                </w:rPr>
              </m:ctrlPr>
            </m:sSubPr>
            <m:e>
              <m:r>
                <w:rPr>
                  <w:rFonts w:ascii="Cambria Math" w:hAnsi="Cambria Math"/>
                  <w:sz w:val="18"/>
                  <w:szCs w:val="18"/>
                </w:rPr>
                <m:t>S</m:t>
              </m:r>
            </m:e>
            <m:sub>
              <m:r>
                <w:rPr>
                  <w:rFonts w:ascii="Cambria Math" w:hAnsi="Cambria Math"/>
                  <w:sz w:val="18"/>
                  <w:szCs w:val="18"/>
                </w:rPr>
                <m:t>YEAR</m:t>
              </m:r>
            </m:sub>
          </m:sSub>
          <m:r>
            <w:rPr>
              <w:rFonts w:ascii="Cambria Math" w:hAnsi="Cambria Math"/>
              <w:sz w:val="18"/>
              <w:szCs w:val="18"/>
            </w:rPr>
            <m:t>=</m:t>
          </m:r>
          <m:d>
            <m:dPr>
              <m:begChr m:val="["/>
              <m:endChr m:val="]"/>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UEC_YEAR</m:t>
                  </m:r>
                </m:e>
                <m:sub>
                  <m:r>
                    <w:rPr>
                      <w:rFonts w:ascii="Cambria Math" w:hAnsi="Cambria Math"/>
                      <w:sz w:val="18"/>
                      <w:szCs w:val="18"/>
                    </w:rPr>
                    <m:t>Measure</m:t>
                  </m:r>
                </m:sub>
              </m:sSub>
            </m:e>
          </m:d>
        </m:oMath>
      </m:oMathPara>
    </w:p>
    <w:p w14:paraId="568AD441" w14:textId="2237ECB8" w:rsidR="00102F23" w:rsidRPr="00E00DBE" w:rsidRDefault="00102F23" w:rsidP="00102F2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UEC_YEAR =</w:t>
      </w:r>
      <w:r>
        <w:rPr>
          <w:rFonts w:ascii="Cambria Math" w:hAnsi="Cambria Math" w:cs="Calibri Light"/>
          <w:i/>
          <w:sz w:val="18"/>
          <w:szCs w:val="20"/>
        </w:rPr>
        <w:tab/>
        <w:t>Annual UEC, baseline or measure (therms/year)</w:t>
      </w:r>
    </w:p>
    <w:p w14:paraId="26FD99F5" w14:textId="12329DE0" w:rsidR="00102F23" w:rsidRDefault="00102F23" w:rsidP="00102F23">
      <w:pPr>
        <w:tabs>
          <w:tab w:val="left" w:pos="2880"/>
        </w:tabs>
        <w:spacing w:before="20" w:after="20"/>
        <w:ind w:left="2880" w:hanging="1440"/>
        <w:rPr>
          <w:rFonts w:ascii="Cambria Math" w:hAnsi="Cambria Math" w:cs="Calibri Light"/>
          <w:i/>
          <w:sz w:val="18"/>
          <w:szCs w:val="20"/>
        </w:rPr>
      </w:pPr>
      <w:r>
        <w:rPr>
          <w:rFonts w:ascii="Cambria Math" w:hAnsi="Cambria Math" w:cs="Calibri Light"/>
          <w:i/>
          <w:sz w:val="18"/>
          <w:szCs w:val="20"/>
        </w:rPr>
        <w:t>UES_YEAR=</w:t>
      </w:r>
      <w:r>
        <w:rPr>
          <w:rFonts w:ascii="Cambria Math" w:hAnsi="Cambria Math" w:cs="Calibri Light"/>
          <w:i/>
          <w:sz w:val="18"/>
          <w:szCs w:val="20"/>
        </w:rPr>
        <w:tab/>
        <w:t>Annual UES (therms/year)</w:t>
      </w:r>
    </w:p>
    <w:p w14:paraId="2011871B" w14:textId="105F0354" w:rsidR="009B55E3" w:rsidRDefault="009B55E3" w:rsidP="00102F23">
      <w:pPr>
        <w:tabs>
          <w:tab w:val="left" w:pos="2880"/>
        </w:tabs>
        <w:spacing w:before="20" w:after="20"/>
        <w:ind w:left="2880" w:hanging="1440"/>
        <w:rPr>
          <w:rFonts w:ascii="Cambria Math" w:hAnsi="Cambria Math" w:cs="Calibri Light"/>
          <w:i/>
          <w:sz w:val="18"/>
          <w:szCs w:val="20"/>
        </w:rPr>
      </w:pPr>
    </w:p>
    <w:p w14:paraId="2CB9AAA6" w14:textId="225C4C07" w:rsidR="009B55E3" w:rsidRDefault="009B55E3" w:rsidP="009B55E3">
      <w:pPr>
        <w:keepNext/>
        <w:keepLines/>
      </w:pPr>
      <w:r>
        <w:t xml:space="preserve">Note that for measures implemented through investor-owned utility (IOU) portfolios, </w:t>
      </w:r>
      <w:r w:rsidRPr="0058503B">
        <w:t>Decision 11-07-030</w:t>
      </w:r>
      <w:r>
        <w:rPr>
          <w:rStyle w:val="FootnoteReference"/>
        </w:rPr>
        <w:footnoteReference w:id="12"/>
      </w:r>
      <w:r>
        <w:t xml:space="preserve"> stipulated a downward adjustment to the UES: </w:t>
      </w:r>
      <w:r w:rsidRPr="0058503B">
        <w:t>“Energy Division believes that operating hours, food production rates and baseline efficiencies contribute to overly optimistic UES calculations and recommend a 30% reduction in UES values</w:t>
      </w:r>
      <w:r>
        <w:t>.</w:t>
      </w:r>
      <w:r w:rsidRPr="0058503B">
        <w:t>”</w:t>
      </w:r>
      <w:r>
        <w:t xml:space="preserve"> These operating characteristics were investigated and revised and incorporated into the UEC calculation,</w:t>
      </w:r>
      <w:r w:rsidRPr="00F12BA4">
        <w:rPr>
          <w:vertAlign w:val="superscript"/>
        </w:rPr>
        <w:t xml:space="preserve"> </w:t>
      </w:r>
      <w:r>
        <w:rPr>
          <w:vertAlign w:val="superscript"/>
        </w:rPr>
        <w:t>3</w:t>
      </w:r>
      <w:r>
        <w:t xml:space="preserve"> thus the 30% reduction factor is excluded from the UES calculation.</w:t>
      </w:r>
    </w:p>
    <w:bookmarkEnd w:id="101"/>
    <w:p w14:paraId="79841EB9" w14:textId="77777777" w:rsidR="00E65410" w:rsidRPr="00E00DBE" w:rsidRDefault="00E65410" w:rsidP="009B55E3"/>
    <w:p w14:paraId="03AD6E6E" w14:textId="675B9578" w:rsidR="00EA25BC" w:rsidRDefault="00E65410" w:rsidP="00E65410">
      <w:pPr>
        <w:pStyle w:val="eTRMHeading4"/>
      </w:pPr>
      <w:bookmarkStart w:id="103" w:name="_Hlk526868539"/>
      <w:bookmarkEnd w:id="102"/>
      <w:r>
        <w:t>Inputs and Assumptions</w:t>
      </w:r>
    </w:p>
    <w:p w14:paraId="1624389F" w14:textId="4CDA5FD6" w:rsidR="003D7B69" w:rsidRDefault="00C4425E" w:rsidP="00C333E3">
      <w:pPr>
        <w:rPr>
          <w:rFonts w:cs="Calibri Light"/>
          <w:szCs w:val="22"/>
        </w:rPr>
      </w:pPr>
      <w:bookmarkStart w:id="104" w:name="_Hlk526868564"/>
      <w:bookmarkEnd w:id="103"/>
      <w:r>
        <w:rPr>
          <w:szCs w:val="22"/>
        </w:rPr>
        <w:t>The</w:t>
      </w:r>
      <w:r w:rsidRPr="00743373">
        <w:rPr>
          <w:szCs w:val="22"/>
        </w:rPr>
        <w:t xml:space="preserve"> inputs for the calculation of </w:t>
      </w:r>
      <w:r>
        <w:rPr>
          <w:szCs w:val="22"/>
        </w:rPr>
        <w:t xml:space="preserve">the UES </w:t>
      </w:r>
      <w:r w:rsidRPr="00743373">
        <w:rPr>
          <w:szCs w:val="22"/>
        </w:rPr>
        <w:t xml:space="preserve">of </w:t>
      </w:r>
      <w:r>
        <w:rPr>
          <w:szCs w:val="22"/>
        </w:rPr>
        <w:t xml:space="preserve">an </w:t>
      </w:r>
      <w:r w:rsidRPr="00743373">
        <w:rPr>
          <w:szCs w:val="22"/>
        </w:rPr>
        <w:t xml:space="preserve">electric fryer </w:t>
      </w:r>
      <w:r>
        <w:rPr>
          <w:szCs w:val="22"/>
        </w:rPr>
        <w:t>are specified below</w:t>
      </w:r>
      <w:r w:rsidRPr="00743373">
        <w:rPr>
          <w:szCs w:val="22"/>
        </w:rPr>
        <w:t xml:space="preserve">. </w:t>
      </w:r>
      <w:r>
        <w:t xml:space="preserve">The CPUC issued disposition, </w:t>
      </w:r>
      <w:r w:rsidRPr="00EE231C">
        <w:t>“Non-standard Disposition for the commercial electric and gas Fryer workpaper SWFS011-01</w:t>
      </w:r>
      <w:r>
        <w:t>,</w:t>
      </w:r>
      <w:r w:rsidRPr="00EE231C">
        <w:t>”</w:t>
      </w:r>
      <w:r w:rsidR="00CE37EC" w:rsidRPr="00CE37EC">
        <w:rPr>
          <w:rStyle w:val="FootnoteReference"/>
        </w:rPr>
        <w:t xml:space="preserve"> </w:t>
      </w:r>
      <w:r w:rsidR="00CE37EC">
        <w:rPr>
          <w:rStyle w:val="FootnoteReference"/>
        </w:rPr>
        <w:footnoteReference w:id="13"/>
      </w:r>
      <w:r>
        <w:t xml:space="preserve"> required the collection and analysis of secondary source test data. </w:t>
      </w:r>
      <w:bookmarkEnd w:id="104"/>
      <w:r w:rsidR="003D7B69">
        <w:t xml:space="preserve">This </w:t>
      </w:r>
      <w:r w:rsidR="003D7B69" w:rsidRPr="00CC0F84">
        <w:rPr>
          <w:rFonts w:cs="Calibri Light"/>
        </w:rPr>
        <w:t>data was c</w:t>
      </w:r>
      <w:r w:rsidR="003D7B69" w:rsidRPr="00425A34">
        <w:rPr>
          <w:rFonts w:cs="Calibri Light"/>
        </w:rPr>
        <w:t>ollected from the FSTC</w:t>
      </w:r>
      <w:r w:rsidR="0072226A">
        <w:rPr>
          <w:rFonts w:cs="Calibri Light"/>
        </w:rPr>
        <w:t xml:space="preserve"> and </w:t>
      </w:r>
      <w:r>
        <w:rPr>
          <w:rFonts w:cs="Calibri Light"/>
        </w:rPr>
        <w:t>ENERGY STAR</w:t>
      </w:r>
      <w:r w:rsidR="003D7B69" w:rsidRPr="00425A34">
        <w:rPr>
          <w:rFonts w:cs="Calibri Light"/>
        </w:rPr>
        <w:t xml:space="preserve"> </w:t>
      </w:r>
      <w:r>
        <w:rPr>
          <w:rFonts w:cs="Calibri Light"/>
        </w:rPr>
        <w:t xml:space="preserve">certified product </w:t>
      </w:r>
      <w:r w:rsidR="003D7B69" w:rsidRPr="00425A34">
        <w:rPr>
          <w:rFonts w:cs="Calibri Light"/>
        </w:rPr>
        <w:t xml:space="preserve">database </w:t>
      </w:r>
      <w:r w:rsidR="003D7B69">
        <w:rPr>
          <w:rFonts w:cs="Calibri Light"/>
        </w:rPr>
        <w:t xml:space="preserve">and combined </w:t>
      </w:r>
      <w:r w:rsidR="00745CE9">
        <w:rPr>
          <w:rFonts w:cs="Calibri Light"/>
        </w:rPr>
        <w:t xml:space="preserve">with other data sources </w:t>
      </w:r>
      <w:r w:rsidR="003D7B69">
        <w:rPr>
          <w:rFonts w:cs="Calibri Light"/>
        </w:rPr>
        <w:t>into a comprehensive spreadsheet</w:t>
      </w:r>
      <w:r w:rsidR="00FA42B6">
        <w:rPr>
          <w:rFonts w:cs="Calibri Light"/>
        </w:rPr>
        <w:t xml:space="preserve"> </w:t>
      </w:r>
      <w:r w:rsidR="003D7B69">
        <w:rPr>
          <w:rFonts w:cs="Calibri Light"/>
        </w:rPr>
        <w:t xml:space="preserve">to revise baseline and measure assumptions </w:t>
      </w:r>
      <w:r>
        <w:rPr>
          <w:rFonts w:cs="Calibri Light"/>
        </w:rPr>
        <w:t>and to</w:t>
      </w:r>
      <w:r w:rsidR="003D7B69">
        <w:rPr>
          <w:rFonts w:cs="Calibri Light"/>
        </w:rPr>
        <w:t xml:space="preserve"> </w:t>
      </w:r>
      <w:r w:rsidR="003D7B69" w:rsidRPr="002C190D">
        <w:rPr>
          <w:rFonts w:cs="Calibri Light"/>
        </w:rPr>
        <w:t xml:space="preserve">verify </w:t>
      </w:r>
      <w:r w:rsidR="003D7B69" w:rsidRPr="000668A1">
        <w:rPr>
          <w:rFonts w:cs="Calibri Light"/>
          <w:szCs w:val="22"/>
        </w:rPr>
        <w:t xml:space="preserve">efficiency </w:t>
      </w:r>
      <w:r w:rsidR="003D7B69">
        <w:rPr>
          <w:rFonts w:cs="Calibri Light"/>
          <w:szCs w:val="22"/>
        </w:rPr>
        <w:t>eligibility requirements.</w:t>
      </w:r>
      <w:r w:rsidR="003D7B69">
        <w:t xml:space="preserve">  </w:t>
      </w:r>
    </w:p>
    <w:p w14:paraId="07F45F1E" w14:textId="1383473A" w:rsidR="005D45D6" w:rsidRPr="0098639E" w:rsidRDefault="005828BC" w:rsidP="00AC5795">
      <w:pPr>
        <w:pStyle w:val="Caption"/>
      </w:pPr>
      <w:bookmarkStart w:id="105" w:name="_Toc452735108"/>
      <w:bookmarkStart w:id="106" w:name="_Toc458765602"/>
      <w:r>
        <w:t>Gas</w:t>
      </w:r>
      <w:r w:rsidR="005D45D6" w:rsidRPr="0098639E">
        <w:t xml:space="preserve"> </w:t>
      </w:r>
      <w:r w:rsidR="00DF6165">
        <w:t xml:space="preserve">UEC </w:t>
      </w:r>
      <w:r w:rsidR="006106F3">
        <w:t>Inputs</w:t>
      </w:r>
      <w:r w:rsidR="005D45D6" w:rsidRPr="0098639E">
        <w:t xml:space="preserve"> </w:t>
      </w:r>
      <w:bookmarkEnd w:id="105"/>
      <w:bookmarkEnd w:id="106"/>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2343"/>
        <w:gridCol w:w="1072"/>
        <w:gridCol w:w="1522"/>
        <w:gridCol w:w="1769"/>
        <w:gridCol w:w="2644"/>
      </w:tblGrid>
      <w:tr w:rsidR="00D72918" w:rsidRPr="00127B06" w14:paraId="13B94AFA" w14:textId="77777777" w:rsidTr="00C639EE">
        <w:trPr>
          <w:trHeight w:val="432"/>
          <w:tblHeader/>
          <w:jc w:val="center"/>
        </w:trPr>
        <w:tc>
          <w:tcPr>
            <w:tcW w:w="1253" w:type="pct"/>
            <w:shd w:val="clear" w:color="auto" w:fill="F2F2F2" w:themeFill="background1" w:themeFillShade="F2"/>
            <w:vAlign w:val="bottom"/>
          </w:tcPr>
          <w:p w14:paraId="128F5DA8" w14:textId="77777777" w:rsidR="00D72918" w:rsidRPr="00127B06" w:rsidRDefault="00D72918" w:rsidP="00153F57">
            <w:pPr>
              <w:spacing w:before="20" w:after="20" w:line="240" w:lineRule="atLeast"/>
              <w:rPr>
                <w:rFonts w:cs="Arial"/>
                <w:b/>
                <w:sz w:val="20"/>
                <w:szCs w:val="20"/>
              </w:rPr>
            </w:pPr>
            <w:r>
              <w:rPr>
                <w:rFonts w:cs="Arial"/>
                <w:b/>
                <w:sz w:val="20"/>
                <w:szCs w:val="20"/>
              </w:rPr>
              <w:t>Parameter</w:t>
            </w:r>
          </w:p>
        </w:tc>
        <w:tc>
          <w:tcPr>
            <w:tcW w:w="573" w:type="pct"/>
            <w:shd w:val="clear" w:color="auto" w:fill="F2F2F2" w:themeFill="background1" w:themeFillShade="F2"/>
            <w:vAlign w:val="bottom"/>
          </w:tcPr>
          <w:p w14:paraId="2108B546" w14:textId="77777777" w:rsidR="00D72918" w:rsidRPr="00127B06" w:rsidRDefault="00D72918" w:rsidP="00153F57">
            <w:pPr>
              <w:spacing w:before="20" w:after="20" w:line="240" w:lineRule="atLeast"/>
              <w:jc w:val="center"/>
              <w:rPr>
                <w:rFonts w:cs="Arial"/>
                <w:b/>
                <w:sz w:val="20"/>
                <w:szCs w:val="20"/>
              </w:rPr>
            </w:pPr>
            <w:r>
              <w:rPr>
                <w:rFonts w:cs="Arial"/>
                <w:b/>
                <w:sz w:val="20"/>
                <w:szCs w:val="20"/>
              </w:rPr>
              <w:t>Base Case</w:t>
            </w:r>
            <w:r w:rsidRPr="00127B06">
              <w:rPr>
                <w:rFonts w:cs="Arial"/>
                <w:b/>
                <w:sz w:val="20"/>
                <w:szCs w:val="20"/>
              </w:rPr>
              <w:t xml:space="preserve"> Model</w:t>
            </w:r>
          </w:p>
        </w:tc>
        <w:tc>
          <w:tcPr>
            <w:tcW w:w="814" w:type="pct"/>
            <w:shd w:val="clear" w:color="auto" w:fill="F2F2F2" w:themeFill="background1" w:themeFillShade="F2"/>
            <w:vAlign w:val="bottom"/>
          </w:tcPr>
          <w:p w14:paraId="661EFD98" w14:textId="4138E407" w:rsidR="00D72918" w:rsidRPr="00127B06" w:rsidRDefault="00D72918" w:rsidP="00C639EE">
            <w:pPr>
              <w:spacing w:before="20" w:after="20" w:line="240" w:lineRule="atLeast"/>
              <w:rPr>
                <w:rFonts w:cs="Arial"/>
                <w:b/>
                <w:sz w:val="20"/>
                <w:szCs w:val="20"/>
              </w:rPr>
            </w:pPr>
            <w:r>
              <w:rPr>
                <w:rFonts w:cs="Arial"/>
                <w:b/>
                <w:sz w:val="20"/>
                <w:szCs w:val="20"/>
              </w:rPr>
              <w:t>Measure Case</w:t>
            </w:r>
            <w:r w:rsidRPr="00127B06">
              <w:rPr>
                <w:rFonts w:cs="Arial"/>
                <w:b/>
                <w:sz w:val="20"/>
                <w:szCs w:val="20"/>
              </w:rPr>
              <w:t xml:space="preserve"> Model</w:t>
            </w:r>
            <w:r>
              <w:rPr>
                <w:rFonts w:cs="Arial"/>
                <w:b/>
                <w:sz w:val="20"/>
                <w:szCs w:val="20"/>
              </w:rPr>
              <w:t>- Tier 1</w:t>
            </w:r>
          </w:p>
        </w:tc>
        <w:tc>
          <w:tcPr>
            <w:tcW w:w="946" w:type="pct"/>
            <w:shd w:val="clear" w:color="auto" w:fill="F2F2F2" w:themeFill="background1" w:themeFillShade="F2"/>
          </w:tcPr>
          <w:p w14:paraId="2299A9F3" w14:textId="34E1794A" w:rsidR="00D72918" w:rsidRDefault="00D72918" w:rsidP="00153F57">
            <w:pPr>
              <w:spacing w:before="20" w:after="20" w:line="240" w:lineRule="atLeast"/>
              <w:jc w:val="center"/>
              <w:rPr>
                <w:rFonts w:cs="Arial"/>
                <w:b/>
                <w:sz w:val="20"/>
                <w:szCs w:val="20"/>
              </w:rPr>
            </w:pPr>
            <w:r>
              <w:rPr>
                <w:rFonts w:cs="Arial"/>
                <w:b/>
                <w:sz w:val="20"/>
                <w:szCs w:val="20"/>
              </w:rPr>
              <w:t>Measure Case</w:t>
            </w:r>
            <w:r w:rsidRPr="00127B06">
              <w:rPr>
                <w:rFonts w:cs="Arial"/>
                <w:b/>
                <w:sz w:val="20"/>
                <w:szCs w:val="20"/>
              </w:rPr>
              <w:t xml:space="preserve"> Model</w:t>
            </w:r>
            <w:r>
              <w:rPr>
                <w:rFonts w:cs="Arial"/>
                <w:b/>
                <w:sz w:val="20"/>
                <w:szCs w:val="20"/>
              </w:rPr>
              <w:t>- Tier 2</w:t>
            </w:r>
          </w:p>
        </w:tc>
        <w:tc>
          <w:tcPr>
            <w:tcW w:w="1414" w:type="pct"/>
            <w:shd w:val="clear" w:color="auto" w:fill="F2F2F2" w:themeFill="background1" w:themeFillShade="F2"/>
            <w:vAlign w:val="bottom"/>
          </w:tcPr>
          <w:p w14:paraId="4DF38EC7" w14:textId="54678657" w:rsidR="00D72918" w:rsidRDefault="00D72918" w:rsidP="00153F57">
            <w:pPr>
              <w:spacing w:before="20" w:after="20" w:line="240" w:lineRule="atLeast"/>
              <w:jc w:val="center"/>
              <w:rPr>
                <w:rFonts w:cs="Arial"/>
                <w:b/>
                <w:sz w:val="20"/>
                <w:szCs w:val="20"/>
              </w:rPr>
            </w:pPr>
            <w:r>
              <w:rPr>
                <w:rFonts w:cs="Arial"/>
                <w:b/>
                <w:sz w:val="20"/>
                <w:szCs w:val="20"/>
              </w:rPr>
              <w:t>Source</w:t>
            </w:r>
          </w:p>
        </w:tc>
      </w:tr>
      <w:tr w:rsidR="00D72918" w14:paraId="1393FEBC" w14:textId="77777777" w:rsidTr="00C639EE">
        <w:trPr>
          <w:trHeight w:hRule="exact" w:val="288"/>
          <w:jc w:val="center"/>
        </w:trPr>
        <w:tc>
          <w:tcPr>
            <w:tcW w:w="1253" w:type="pct"/>
          </w:tcPr>
          <w:p w14:paraId="347B72CF" w14:textId="77777777" w:rsidR="00D72918" w:rsidRPr="00127B06" w:rsidRDefault="00D72918" w:rsidP="0077013F">
            <w:pPr>
              <w:spacing w:before="20" w:after="20" w:line="240" w:lineRule="atLeast"/>
              <w:rPr>
                <w:rFonts w:cs="Arial"/>
                <w:sz w:val="20"/>
                <w:szCs w:val="20"/>
              </w:rPr>
            </w:pPr>
            <w:r w:rsidRPr="00EA25BC">
              <w:rPr>
                <w:rFonts w:cs="Arial"/>
                <w:sz w:val="20"/>
                <w:szCs w:val="20"/>
              </w:rPr>
              <w:t>Number of Preheats per Day (#/day)</w:t>
            </w:r>
          </w:p>
        </w:tc>
        <w:tc>
          <w:tcPr>
            <w:tcW w:w="573" w:type="pct"/>
          </w:tcPr>
          <w:p w14:paraId="7EF0455D" w14:textId="77777777" w:rsidR="00D72918" w:rsidRPr="00DF0387" w:rsidRDefault="00D72918" w:rsidP="0077013F">
            <w:pPr>
              <w:spacing w:before="20" w:after="20" w:line="240" w:lineRule="atLeast"/>
              <w:jc w:val="center"/>
              <w:rPr>
                <w:rFonts w:cs="Arial"/>
                <w:sz w:val="20"/>
                <w:szCs w:val="20"/>
              </w:rPr>
            </w:pPr>
            <w:r w:rsidRPr="00DF0387">
              <w:rPr>
                <w:rFonts w:cs="Arial"/>
                <w:sz w:val="20"/>
                <w:szCs w:val="20"/>
              </w:rPr>
              <w:t>1</w:t>
            </w:r>
          </w:p>
        </w:tc>
        <w:tc>
          <w:tcPr>
            <w:tcW w:w="814" w:type="pct"/>
          </w:tcPr>
          <w:p w14:paraId="62A1FCA4" w14:textId="77777777" w:rsidR="00D72918" w:rsidRPr="00DF0387" w:rsidRDefault="00D72918" w:rsidP="0077013F">
            <w:pPr>
              <w:spacing w:before="20" w:after="20" w:line="240" w:lineRule="atLeast"/>
              <w:jc w:val="center"/>
              <w:rPr>
                <w:rFonts w:cs="Arial"/>
                <w:sz w:val="20"/>
                <w:szCs w:val="20"/>
              </w:rPr>
            </w:pPr>
            <w:r w:rsidRPr="00DF0387">
              <w:rPr>
                <w:rFonts w:cs="Arial"/>
                <w:sz w:val="20"/>
                <w:szCs w:val="20"/>
              </w:rPr>
              <w:t>1</w:t>
            </w:r>
          </w:p>
        </w:tc>
        <w:tc>
          <w:tcPr>
            <w:tcW w:w="946" w:type="pct"/>
          </w:tcPr>
          <w:p w14:paraId="37EC0481" w14:textId="0AADFC16" w:rsidR="00C958BD" w:rsidRPr="00C333E3" w:rsidRDefault="00C958BD" w:rsidP="0009672C">
            <w:pPr>
              <w:spacing w:before="20" w:after="20" w:line="240" w:lineRule="atLeast"/>
              <w:jc w:val="center"/>
              <w:rPr>
                <w:rFonts w:cs="Arial"/>
                <w:sz w:val="18"/>
                <w:szCs w:val="18"/>
              </w:rPr>
            </w:pPr>
            <w:r w:rsidRPr="00DF0387">
              <w:rPr>
                <w:rFonts w:cs="Arial"/>
                <w:sz w:val="20"/>
                <w:szCs w:val="20"/>
              </w:rPr>
              <w:t>1</w:t>
            </w:r>
          </w:p>
        </w:tc>
        <w:tc>
          <w:tcPr>
            <w:tcW w:w="1414" w:type="pct"/>
          </w:tcPr>
          <w:p w14:paraId="7B660328" w14:textId="6C3E9521" w:rsidR="00D72918" w:rsidRPr="00C333E3" w:rsidRDefault="00D72918" w:rsidP="0077013F">
            <w:pPr>
              <w:spacing w:before="20" w:after="20" w:line="240" w:lineRule="atLeast"/>
              <w:rPr>
                <w:rFonts w:cs="Arial"/>
                <w:sz w:val="18"/>
                <w:szCs w:val="18"/>
              </w:rPr>
            </w:pPr>
          </w:p>
        </w:tc>
      </w:tr>
      <w:tr w:rsidR="000C53C5" w14:paraId="3B6D9727" w14:textId="77777777" w:rsidTr="00C639EE">
        <w:trPr>
          <w:trHeight w:hRule="exact" w:val="288"/>
          <w:jc w:val="center"/>
        </w:trPr>
        <w:tc>
          <w:tcPr>
            <w:tcW w:w="1253" w:type="pct"/>
            <w:vAlign w:val="center"/>
          </w:tcPr>
          <w:p w14:paraId="74202C96" w14:textId="188ACE16" w:rsidR="000C53C5" w:rsidRPr="00EA25BC" w:rsidRDefault="000C53C5" w:rsidP="000C53C5">
            <w:pPr>
              <w:spacing w:before="20" w:after="20" w:line="240" w:lineRule="atLeast"/>
              <w:rPr>
                <w:rFonts w:cs="Arial"/>
                <w:sz w:val="20"/>
                <w:szCs w:val="20"/>
              </w:rPr>
            </w:pPr>
            <w:r>
              <w:rPr>
                <w:rFonts w:cs="Arial"/>
                <w:sz w:val="20"/>
                <w:szCs w:val="20"/>
              </w:rPr>
              <w:t xml:space="preserve">Preheat Time (minutes) </w:t>
            </w:r>
          </w:p>
        </w:tc>
        <w:tc>
          <w:tcPr>
            <w:tcW w:w="573" w:type="pct"/>
            <w:vAlign w:val="center"/>
          </w:tcPr>
          <w:p w14:paraId="115B70DA" w14:textId="216FB677" w:rsidR="000C53C5" w:rsidRPr="00DF0387" w:rsidRDefault="000C53C5" w:rsidP="000C53C5">
            <w:pPr>
              <w:spacing w:before="20" w:after="20" w:line="240" w:lineRule="atLeast"/>
              <w:jc w:val="center"/>
              <w:rPr>
                <w:rFonts w:cs="Arial"/>
                <w:sz w:val="20"/>
                <w:szCs w:val="20"/>
              </w:rPr>
            </w:pPr>
            <w:r>
              <w:rPr>
                <w:rFonts w:cs="Arial"/>
                <w:sz w:val="20"/>
                <w:szCs w:val="20"/>
              </w:rPr>
              <w:t>7</w:t>
            </w:r>
          </w:p>
        </w:tc>
        <w:tc>
          <w:tcPr>
            <w:tcW w:w="814" w:type="pct"/>
            <w:vAlign w:val="center"/>
          </w:tcPr>
          <w:p w14:paraId="7C05267F" w14:textId="55B7AB93" w:rsidR="000C53C5" w:rsidRPr="00DF0387" w:rsidRDefault="000C53C5" w:rsidP="000C53C5">
            <w:pPr>
              <w:spacing w:before="20" w:after="20" w:line="240" w:lineRule="atLeast"/>
              <w:jc w:val="center"/>
              <w:rPr>
                <w:rFonts w:cs="Arial"/>
                <w:sz w:val="20"/>
                <w:szCs w:val="20"/>
              </w:rPr>
            </w:pPr>
            <w:r>
              <w:rPr>
                <w:rFonts w:cs="Arial"/>
                <w:sz w:val="20"/>
                <w:szCs w:val="20"/>
              </w:rPr>
              <w:t>7</w:t>
            </w:r>
          </w:p>
        </w:tc>
        <w:tc>
          <w:tcPr>
            <w:tcW w:w="946" w:type="pct"/>
            <w:vAlign w:val="center"/>
          </w:tcPr>
          <w:p w14:paraId="4A95DC53" w14:textId="774E79A4" w:rsidR="000C53C5" w:rsidRPr="00BB4958" w:rsidRDefault="000C53C5" w:rsidP="0009672C">
            <w:pPr>
              <w:keepNext/>
              <w:keepLines/>
              <w:spacing w:before="0" w:after="0" w:line="220" w:lineRule="exact"/>
              <w:jc w:val="center"/>
              <w:rPr>
                <w:rFonts w:cs="Arial"/>
                <w:sz w:val="18"/>
                <w:szCs w:val="18"/>
              </w:rPr>
            </w:pPr>
            <w:r>
              <w:rPr>
                <w:rFonts w:cs="Arial"/>
                <w:sz w:val="20"/>
                <w:szCs w:val="20"/>
              </w:rPr>
              <w:t>7</w:t>
            </w:r>
          </w:p>
        </w:tc>
        <w:tc>
          <w:tcPr>
            <w:tcW w:w="1414" w:type="pct"/>
            <w:vMerge w:val="restart"/>
            <w:vAlign w:val="center"/>
          </w:tcPr>
          <w:p w14:paraId="0FC3C6DD" w14:textId="467A7905" w:rsidR="000C53C5" w:rsidRDefault="000C53C5" w:rsidP="000C53C5">
            <w:pPr>
              <w:keepNext/>
              <w:keepLines/>
              <w:spacing w:before="0" w:after="0" w:line="220" w:lineRule="exact"/>
              <w:rPr>
                <w:sz w:val="18"/>
                <w:szCs w:val="18"/>
              </w:rPr>
            </w:pPr>
            <w:r w:rsidRPr="00BB4958">
              <w:rPr>
                <w:rFonts w:cs="Arial"/>
                <w:sz w:val="18"/>
                <w:szCs w:val="18"/>
              </w:rPr>
              <w:t>The Southern California Gas Company (SCG). 20</w:t>
            </w:r>
            <w:r>
              <w:rPr>
                <w:rFonts w:cs="Arial"/>
                <w:sz w:val="18"/>
                <w:szCs w:val="18"/>
              </w:rPr>
              <w:t>20</w:t>
            </w:r>
            <w:r w:rsidRPr="00BB4958">
              <w:rPr>
                <w:rFonts w:cs="Arial"/>
                <w:sz w:val="18"/>
                <w:szCs w:val="18"/>
              </w:rPr>
              <w:t>. “</w:t>
            </w:r>
            <w:r w:rsidRPr="00647478">
              <w:rPr>
                <w:rFonts w:cs="Arial"/>
                <w:sz w:val="18"/>
                <w:szCs w:val="18"/>
              </w:rPr>
              <w:t>Update Plan_Fryer_1</w:t>
            </w:r>
            <w:r>
              <w:rPr>
                <w:rFonts w:cs="Arial"/>
                <w:sz w:val="18"/>
                <w:szCs w:val="18"/>
              </w:rPr>
              <w:t>109</w:t>
            </w:r>
            <w:r w:rsidRPr="00647478">
              <w:rPr>
                <w:rFonts w:cs="Arial"/>
                <w:sz w:val="18"/>
                <w:szCs w:val="18"/>
              </w:rPr>
              <w:t>20</w:t>
            </w:r>
            <w:r>
              <w:rPr>
                <w:rFonts w:cs="Arial"/>
                <w:sz w:val="18"/>
                <w:szCs w:val="18"/>
              </w:rPr>
              <w:t>20</w:t>
            </w:r>
            <w:r w:rsidRPr="00647478">
              <w:rPr>
                <w:rFonts w:cs="Arial"/>
                <w:sz w:val="18"/>
                <w:szCs w:val="18"/>
              </w:rPr>
              <w:t>.xlsx</w:t>
            </w:r>
            <w:r w:rsidRPr="00BB4958">
              <w:rPr>
                <w:rFonts w:cs="Arial"/>
                <w:sz w:val="18"/>
                <w:szCs w:val="18"/>
              </w:rPr>
              <w:t>”</w:t>
            </w:r>
          </w:p>
          <w:p w14:paraId="14B5135E" w14:textId="1EF0C130" w:rsidR="000C53C5" w:rsidRPr="0080589C" w:rsidRDefault="000C53C5" w:rsidP="000C53C5">
            <w:pPr>
              <w:spacing w:before="20" w:after="20" w:line="240" w:lineRule="atLeast"/>
              <w:rPr>
                <w:rFonts w:cs="Arial"/>
                <w:color w:val="FF0000"/>
                <w:sz w:val="18"/>
                <w:szCs w:val="18"/>
              </w:rPr>
            </w:pPr>
          </w:p>
          <w:p w14:paraId="6CA2C507" w14:textId="673447CC" w:rsidR="000C53C5" w:rsidRPr="00647478" w:rsidRDefault="000C53C5" w:rsidP="000C53C5">
            <w:pPr>
              <w:spacing w:before="20" w:after="20" w:line="240" w:lineRule="atLeast"/>
              <w:rPr>
                <w:rFonts w:cs="Arial"/>
                <w:color w:val="FF0000"/>
                <w:sz w:val="18"/>
                <w:szCs w:val="18"/>
              </w:rPr>
            </w:pPr>
          </w:p>
        </w:tc>
      </w:tr>
      <w:tr w:rsidR="000C53C5" w14:paraId="676A37D0" w14:textId="77777777" w:rsidTr="00C639EE">
        <w:trPr>
          <w:trHeight w:hRule="exact" w:val="288"/>
          <w:jc w:val="center"/>
        </w:trPr>
        <w:tc>
          <w:tcPr>
            <w:tcW w:w="1253" w:type="pct"/>
          </w:tcPr>
          <w:p w14:paraId="2A6D8393" w14:textId="5F8A973C" w:rsidR="000C53C5" w:rsidRPr="00127B06" w:rsidRDefault="000C53C5" w:rsidP="000C53C5">
            <w:pPr>
              <w:spacing w:before="20" w:after="20" w:line="240" w:lineRule="atLeast"/>
              <w:rPr>
                <w:rFonts w:cs="Arial"/>
                <w:sz w:val="20"/>
                <w:szCs w:val="20"/>
              </w:rPr>
            </w:pPr>
            <w:r w:rsidRPr="00EA25BC">
              <w:rPr>
                <w:rFonts w:cs="Arial"/>
                <w:sz w:val="20"/>
                <w:szCs w:val="20"/>
              </w:rPr>
              <w:lastRenderedPageBreak/>
              <w:t>Fryer Size (inches)</w:t>
            </w:r>
          </w:p>
        </w:tc>
        <w:tc>
          <w:tcPr>
            <w:tcW w:w="573" w:type="pct"/>
          </w:tcPr>
          <w:p w14:paraId="465D6D87" w14:textId="316EC4AD" w:rsidR="000C53C5" w:rsidRPr="00DF0387" w:rsidRDefault="000C53C5" w:rsidP="000C53C5">
            <w:pPr>
              <w:spacing w:before="20" w:after="20" w:line="240" w:lineRule="atLeast"/>
              <w:jc w:val="center"/>
              <w:rPr>
                <w:rFonts w:cs="Arial"/>
                <w:sz w:val="20"/>
                <w:szCs w:val="20"/>
              </w:rPr>
            </w:pPr>
            <w:r w:rsidRPr="00DF0387">
              <w:rPr>
                <w:rFonts w:cs="Arial"/>
                <w:sz w:val="20"/>
                <w:szCs w:val="20"/>
              </w:rPr>
              <w:t>14</w:t>
            </w:r>
          </w:p>
        </w:tc>
        <w:tc>
          <w:tcPr>
            <w:tcW w:w="814" w:type="pct"/>
          </w:tcPr>
          <w:p w14:paraId="093FA6B1" w14:textId="0BC8C990" w:rsidR="000C53C5" w:rsidRPr="00DF0387" w:rsidRDefault="000C53C5" w:rsidP="000C53C5">
            <w:pPr>
              <w:spacing w:before="20" w:after="20" w:line="240" w:lineRule="atLeast"/>
              <w:jc w:val="center"/>
              <w:rPr>
                <w:rFonts w:cs="Arial"/>
                <w:sz w:val="20"/>
                <w:szCs w:val="20"/>
              </w:rPr>
            </w:pPr>
            <w:r w:rsidRPr="00DF0387">
              <w:rPr>
                <w:rFonts w:cs="Arial"/>
                <w:sz w:val="20"/>
                <w:szCs w:val="20"/>
              </w:rPr>
              <w:t>14</w:t>
            </w:r>
          </w:p>
        </w:tc>
        <w:tc>
          <w:tcPr>
            <w:tcW w:w="946" w:type="pct"/>
          </w:tcPr>
          <w:p w14:paraId="1979709B" w14:textId="05CF59EE" w:rsidR="000C53C5" w:rsidRPr="00E46A17" w:rsidRDefault="000C53C5" w:rsidP="0009672C">
            <w:pPr>
              <w:spacing w:before="20" w:after="20" w:line="240" w:lineRule="atLeast"/>
              <w:jc w:val="center"/>
              <w:rPr>
                <w:rFonts w:cs="Arial"/>
                <w:sz w:val="20"/>
                <w:szCs w:val="20"/>
              </w:rPr>
            </w:pPr>
            <w:r w:rsidRPr="00DF0387">
              <w:rPr>
                <w:rFonts w:cs="Arial"/>
                <w:sz w:val="20"/>
                <w:szCs w:val="20"/>
              </w:rPr>
              <w:t>1</w:t>
            </w:r>
            <w:r>
              <w:rPr>
                <w:rFonts w:cs="Arial"/>
                <w:sz w:val="20"/>
                <w:szCs w:val="20"/>
              </w:rPr>
              <w:t>3</w:t>
            </w:r>
          </w:p>
        </w:tc>
        <w:tc>
          <w:tcPr>
            <w:tcW w:w="1414" w:type="pct"/>
            <w:vMerge/>
          </w:tcPr>
          <w:p w14:paraId="69EA9530" w14:textId="4C0FE964" w:rsidR="000C53C5" w:rsidRPr="00E46A17" w:rsidRDefault="000C53C5" w:rsidP="000C53C5">
            <w:pPr>
              <w:spacing w:before="20" w:after="20" w:line="240" w:lineRule="atLeast"/>
              <w:rPr>
                <w:rFonts w:cs="Arial"/>
                <w:sz w:val="20"/>
                <w:szCs w:val="20"/>
              </w:rPr>
            </w:pPr>
          </w:p>
        </w:tc>
      </w:tr>
      <w:tr w:rsidR="000C53C5" w14:paraId="2E37C038" w14:textId="77777777" w:rsidTr="00C639EE">
        <w:trPr>
          <w:trHeight w:hRule="exact" w:val="316"/>
          <w:jc w:val="center"/>
        </w:trPr>
        <w:tc>
          <w:tcPr>
            <w:tcW w:w="1253" w:type="pct"/>
          </w:tcPr>
          <w:p w14:paraId="70EC1D8C" w14:textId="00CC4337" w:rsidR="000C53C5" w:rsidRPr="00127B06" w:rsidRDefault="000C53C5" w:rsidP="000C53C5">
            <w:pPr>
              <w:spacing w:before="20" w:after="20" w:line="240" w:lineRule="atLeast"/>
              <w:rPr>
                <w:rFonts w:cs="Arial"/>
                <w:sz w:val="20"/>
                <w:szCs w:val="20"/>
              </w:rPr>
            </w:pPr>
            <w:r w:rsidRPr="00EA25BC">
              <w:rPr>
                <w:rFonts w:cs="Arial"/>
                <w:sz w:val="20"/>
                <w:szCs w:val="20"/>
              </w:rPr>
              <w:t>Preheat Energy (Btu)</w:t>
            </w:r>
          </w:p>
        </w:tc>
        <w:tc>
          <w:tcPr>
            <w:tcW w:w="573" w:type="pct"/>
          </w:tcPr>
          <w:p w14:paraId="2D366EC9" w14:textId="63818882" w:rsidR="000C53C5" w:rsidRPr="00DF0387" w:rsidRDefault="000C53C5" w:rsidP="000C53C5">
            <w:pPr>
              <w:spacing w:before="20" w:after="20" w:line="240" w:lineRule="atLeast"/>
              <w:jc w:val="center"/>
              <w:rPr>
                <w:rFonts w:cs="Arial"/>
                <w:sz w:val="20"/>
                <w:szCs w:val="20"/>
              </w:rPr>
            </w:pPr>
            <w:r>
              <w:rPr>
                <w:rFonts w:cs="Arial"/>
                <w:sz w:val="20"/>
                <w:szCs w:val="20"/>
              </w:rPr>
              <w:t>16,609</w:t>
            </w:r>
          </w:p>
        </w:tc>
        <w:tc>
          <w:tcPr>
            <w:tcW w:w="814" w:type="pct"/>
          </w:tcPr>
          <w:p w14:paraId="1C44D04A" w14:textId="7B5EDF4E" w:rsidR="000C53C5" w:rsidRPr="00DF0387" w:rsidRDefault="000C53C5" w:rsidP="000C53C5">
            <w:pPr>
              <w:spacing w:before="20" w:after="20" w:line="240" w:lineRule="atLeast"/>
              <w:jc w:val="center"/>
              <w:rPr>
                <w:rFonts w:cs="Arial"/>
                <w:sz w:val="20"/>
                <w:szCs w:val="20"/>
              </w:rPr>
            </w:pPr>
            <w:r>
              <w:rPr>
                <w:rFonts w:cs="Arial"/>
                <w:sz w:val="20"/>
                <w:szCs w:val="20"/>
              </w:rPr>
              <w:t>10,278</w:t>
            </w:r>
          </w:p>
        </w:tc>
        <w:tc>
          <w:tcPr>
            <w:tcW w:w="946" w:type="pct"/>
          </w:tcPr>
          <w:p w14:paraId="29598AC7" w14:textId="673C875E" w:rsidR="000C53C5" w:rsidRPr="00E46A17" w:rsidRDefault="000C53C5" w:rsidP="0009672C">
            <w:pPr>
              <w:spacing w:before="20" w:after="20" w:line="240" w:lineRule="atLeast"/>
              <w:jc w:val="center"/>
              <w:rPr>
                <w:rFonts w:cs="Arial"/>
                <w:sz w:val="20"/>
                <w:szCs w:val="20"/>
              </w:rPr>
            </w:pPr>
            <w:r>
              <w:rPr>
                <w:rFonts w:cs="Arial"/>
                <w:sz w:val="20"/>
                <w:szCs w:val="20"/>
              </w:rPr>
              <w:t>9,182</w:t>
            </w:r>
          </w:p>
        </w:tc>
        <w:tc>
          <w:tcPr>
            <w:tcW w:w="1414" w:type="pct"/>
            <w:vMerge/>
          </w:tcPr>
          <w:p w14:paraId="16F7745D" w14:textId="752F0ED9" w:rsidR="000C53C5" w:rsidRPr="00E46A17" w:rsidRDefault="000C53C5" w:rsidP="000C53C5">
            <w:pPr>
              <w:spacing w:before="20" w:after="20" w:line="240" w:lineRule="atLeast"/>
              <w:rPr>
                <w:rFonts w:cs="Arial"/>
                <w:sz w:val="20"/>
                <w:szCs w:val="20"/>
              </w:rPr>
            </w:pPr>
          </w:p>
        </w:tc>
      </w:tr>
      <w:tr w:rsidR="000C53C5" w14:paraId="7A5210E6" w14:textId="77777777" w:rsidTr="00C639EE">
        <w:trPr>
          <w:trHeight w:hRule="exact" w:val="288"/>
          <w:jc w:val="center"/>
        </w:trPr>
        <w:tc>
          <w:tcPr>
            <w:tcW w:w="1253" w:type="pct"/>
          </w:tcPr>
          <w:p w14:paraId="2BD5F32B" w14:textId="13C4CD95" w:rsidR="000C53C5" w:rsidRPr="00127B06" w:rsidRDefault="000C53C5" w:rsidP="000C53C5">
            <w:pPr>
              <w:spacing w:before="20" w:after="20" w:line="240" w:lineRule="atLeast"/>
              <w:rPr>
                <w:rFonts w:cs="Arial"/>
                <w:sz w:val="20"/>
                <w:szCs w:val="20"/>
              </w:rPr>
            </w:pPr>
            <w:r w:rsidRPr="00EA25BC">
              <w:rPr>
                <w:rFonts w:cs="Arial"/>
                <w:sz w:val="20"/>
                <w:szCs w:val="20"/>
              </w:rPr>
              <w:t>Idle Energy Rate (Btu/hr)</w:t>
            </w:r>
          </w:p>
        </w:tc>
        <w:tc>
          <w:tcPr>
            <w:tcW w:w="573" w:type="pct"/>
          </w:tcPr>
          <w:p w14:paraId="49DE95C2" w14:textId="51358F20" w:rsidR="000C53C5" w:rsidRPr="00DF0387" w:rsidRDefault="000C53C5" w:rsidP="000C53C5">
            <w:pPr>
              <w:spacing w:before="20" w:after="20" w:line="240" w:lineRule="atLeast"/>
              <w:jc w:val="center"/>
              <w:rPr>
                <w:rFonts w:cs="Arial"/>
                <w:sz w:val="20"/>
                <w:szCs w:val="20"/>
              </w:rPr>
            </w:pPr>
            <w:r>
              <w:rPr>
                <w:rFonts w:cs="Arial"/>
                <w:sz w:val="20"/>
                <w:szCs w:val="20"/>
              </w:rPr>
              <w:t>12,847</w:t>
            </w:r>
          </w:p>
        </w:tc>
        <w:tc>
          <w:tcPr>
            <w:tcW w:w="814" w:type="pct"/>
          </w:tcPr>
          <w:p w14:paraId="7B2404D8" w14:textId="652E9454" w:rsidR="000C53C5" w:rsidRPr="00DF0387" w:rsidRDefault="000C53C5" w:rsidP="000C53C5">
            <w:pPr>
              <w:spacing w:before="20" w:after="20" w:line="240" w:lineRule="atLeast"/>
              <w:jc w:val="center"/>
              <w:rPr>
                <w:rFonts w:cs="Arial"/>
                <w:sz w:val="20"/>
                <w:szCs w:val="20"/>
              </w:rPr>
            </w:pPr>
            <w:r>
              <w:rPr>
                <w:rFonts w:cs="Arial"/>
                <w:sz w:val="20"/>
                <w:szCs w:val="20"/>
              </w:rPr>
              <w:t>7,571</w:t>
            </w:r>
          </w:p>
        </w:tc>
        <w:tc>
          <w:tcPr>
            <w:tcW w:w="946" w:type="pct"/>
          </w:tcPr>
          <w:p w14:paraId="15C45120" w14:textId="6745FB6A" w:rsidR="000C53C5" w:rsidRPr="00E46A17" w:rsidRDefault="000C53C5" w:rsidP="0009672C">
            <w:pPr>
              <w:spacing w:before="20" w:after="20" w:line="240" w:lineRule="atLeast"/>
              <w:jc w:val="center"/>
              <w:rPr>
                <w:rFonts w:cs="Arial"/>
                <w:sz w:val="20"/>
                <w:szCs w:val="20"/>
              </w:rPr>
            </w:pPr>
            <w:r>
              <w:rPr>
                <w:rFonts w:cs="Arial"/>
                <w:sz w:val="20"/>
                <w:szCs w:val="20"/>
              </w:rPr>
              <w:t>3,957</w:t>
            </w:r>
          </w:p>
        </w:tc>
        <w:tc>
          <w:tcPr>
            <w:tcW w:w="1414" w:type="pct"/>
            <w:vMerge/>
          </w:tcPr>
          <w:p w14:paraId="2FDADCB6" w14:textId="6B5422B4" w:rsidR="000C53C5" w:rsidRPr="00E46A17" w:rsidRDefault="000C53C5" w:rsidP="000C53C5">
            <w:pPr>
              <w:spacing w:before="20" w:after="20" w:line="240" w:lineRule="atLeast"/>
              <w:rPr>
                <w:rFonts w:cs="Arial"/>
                <w:sz w:val="20"/>
                <w:szCs w:val="20"/>
              </w:rPr>
            </w:pPr>
          </w:p>
        </w:tc>
      </w:tr>
      <w:tr w:rsidR="000C53C5" w14:paraId="5BFC32A5" w14:textId="77777777" w:rsidTr="00C639EE">
        <w:trPr>
          <w:trHeight w:val="20"/>
          <w:jc w:val="center"/>
        </w:trPr>
        <w:tc>
          <w:tcPr>
            <w:tcW w:w="1253" w:type="pct"/>
            <w:vAlign w:val="center"/>
          </w:tcPr>
          <w:p w14:paraId="395F3F24" w14:textId="024F5A2C" w:rsidR="000C53C5" w:rsidRPr="00127B06" w:rsidRDefault="000C53C5" w:rsidP="000C53C5">
            <w:pPr>
              <w:spacing w:before="20" w:after="20" w:line="240" w:lineRule="atLeast"/>
              <w:rPr>
                <w:rFonts w:cs="Arial"/>
                <w:sz w:val="20"/>
                <w:szCs w:val="20"/>
              </w:rPr>
            </w:pPr>
            <w:r w:rsidRPr="00EA25BC">
              <w:rPr>
                <w:rFonts w:cs="Arial"/>
                <w:sz w:val="20"/>
                <w:szCs w:val="20"/>
              </w:rPr>
              <w:t>Heavy Load Cooking Energy Efficiency (%)</w:t>
            </w:r>
          </w:p>
        </w:tc>
        <w:tc>
          <w:tcPr>
            <w:tcW w:w="573" w:type="pct"/>
            <w:vAlign w:val="center"/>
          </w:tcPr>
          <w:p w14:paraId="16061E06" w14:textId="13CC21C8" w:rsidR="000C53C5" w:rsidRPr="00DF0387" w:rsidRDefault="000C53C5" w:rsidP="000C53C5">
            <w:pPr>
              <w:spacing w:before="20" w:after="20" w:line="240" w:lineRule="atLeast"/>
              <w:jc w:val="center"/>
              <w:rPr>
                <w:rFonts w:cs="Arial"/>
                <w:sz w:val="20"/>
                <w:szCs w:val="20"/>
              </w:rPr>
            </w:pPr>
            <w:r>
              <w:rPr>
                <w:rFonts w:cs="Arial"/>
                <w:sz w:val="20"/>
                <w:szCs w:val="20"/>
              </w:rPr>
              <w:t>37%</w:t>
            </w:r>
          </w:p>
        </w:tc>
        <w:tc>
          <w:tcPr>
            <w:tcW w:w="814" w:type="pct"/>
            <w:vAlign w:val="center"/>
          </w:tcPr>
          <w:p w14:paraId="03BA8CC6" w14:textId="46FD4178" w:rsidR="000C53C5" w:rsidRPr="00DF0387" w:rsidRDefault="000C53C5" w:rsidP="000C53C5">
            <w:pPr>
              <w:spacing w:before="20" w:after="20" w:line="240" w:lineRule="atLeast"/>
              <w:jc w:val="center"/>
              <w:rPr>
                <w:rFonts w:cs="Arial"/>
                <w:sz w:val="20"/>
                <w:szCs w:val="20"/>
              </w:rPr>
            </w:pPr>
            <w:r>
              <w:rPr>
                <w:rFonts w:cs="Arial"/>
                <w:sz w:val="20"/>
                <w:szCs w:val="20"/>
              </w:rPr>
              <w:t>52%</w:t>
            </w:r>
          </w:p>
        </w:tc>
        <w:tc>
          <w:tcPr>
            <w:tcW w:w="946" w:type="pct"/>
            <w:vAlign w:val="center"/>
          </w:tcPr>
          <w:p w14:paraId="0E1B9319" w14:textId="3CBBAE55" w:rsidR="000C53C5" w:rsidRPr="00E46A17" w:rsidRDefault="000C53C5" w:rsidP="0009672C">
            <w:pPr>
              <w:spacing w:before="20" w:after="20" w:line="240" w:lineRule="atLeast"/>
              <w:jc w:val="center"/>
              <w:rPr>
                <w:rFonts w:cs="Arial"/>
                <w:sz w:val="20"/>
                <w:szCs w:val="20"/>
              </w:rPr>
            </w:pPr>
            <w:r>
              <w:rPr>
                <w:rFonts w:cs="Arial"/>
                <w:sz w:val="20"/>
                <w:szCs w:val="20"/>
              </w:rPr>
              <w:t>61%</w:t>
            </w:r>
          </w:p>
        </w:tc>
        <w:tc>
          <w:tcPr>
            <w:tcW w:w="1414" w:type="pct"/>
            <w:vMerge/>
          </w:tcPr>
          <w:p w14:paraId="26B72B13" w14:textId="1A501AA9" w:rsidR="000C53C5" w:rsidRPr="00E46A17" w:rsidRDefault="000C53C5" w:rsidP="000C53C5">
            <w:pPr>
              <w:spacing w:before="20" w:after="20" w:line="240" w:lineRule="atLeast"/>
              <w:rPr>
                <w:rFonts w:cs="Arial"/>
                <w:sz w:val="20"/>
                <w:szCs w:val="20"/>
              </w:rPr>
            </w:pPr>
          </w:p>
        </w:tc>
      </w:tr>
      <w:tr w:rsidR="000C53C5" w14:paraId="1DE58784" w14:textId="77777777" w:rsidTr="00C639EE">
        <w:trPr>
          <w:trHeight w:hRule="exact" w:val="288"/>
          <w:jc w:val="center"/>
        </w:trPr>
        <w:tc>
          <w:tcPr>
            <w:tcW w:w="1253" w:type="pct"/>
          </w:tcPr>
          <w:p w14:paraId="752FCD5D" w14:textId="0C89F4EE" w:rsidR="000C53C5" w:rsidRPr="00127B06" w:rsidRDefault="000C53C5" w:rsidP="000C53C5">
            <w:pPr>
              <w:spacing w:before="20" w:after="20" w:line="240" w:lineRule="atLeast"/>
              <w:rPr>
                <w:rFonts w:cs="Arial"/>
                <w:sz w:val="20"/>
                <w:szCs w:val="20"/>
              </w:rPr>
            </w:pPr>
            <w:r w:rsidRPr="00EA25BC">
              <w:rPr>
                <w:rFonts w:cs="Arial"/>
                <w:sz w:val="20"/>
                <w:szCs w:val="20"/>
              </w:rPr>
              <w:t>Production Capacity (lbs/hr)</w:t>
            </w:r>
          </w:p>
        </w:tc>
        <w:tc>
          <w:tcPr>
            <w:tcW w:w="573" w:type="pct"/>
          </w:tcPr>
          <w:p w14:paraId="45E6586E" w14:textId="5B733DB5" w:rsidR="000C53C5" w:rsidRPr="00DF0387" w:rsidRDefault="000C53C5" w:rsidP="000C53C5">
            <w:pPr>
              <w:spacing w:before="20" w:after="20" w:line="240" w:lineRule="atLeast"/>
              <w:jc w:val="center"/>
              <w:rPr>
                <w:rFonts w:cs="Arial"/>
                <w:sz w:val="20"/>
                <w:szCs w:val="20"/>
              </w:rPr>
            </w:pPr>
            <w:r>
              <w:rPr>
                <w:rFonts w:cs="Arial"/>
                <w:sz w:val="20"/>
                <w:szCs w:val="20"/>
              </w:rPr>
              <w:t>58</w:t>
            </w:r>
          </w:p>
        </w:tc>
        <w:tc>
          <w:tcPr>
            <w:tcW w:w="814" w:type="pct"/>
          </w:tcPr>
          <w:p w14:paraId="30DB4050" w14:textId="7CC56D8F" w:rsidR="000C53C5" w:rsidRPr="00DF0387" w:rsidRDefault="000C53C5" w:rsidP="000C53C5">
            <w:pPr>
              <w:spacing w:before="20" w:after="20" w:line="240" w:lineRule="atLeast"/>
              <w:jc w:val="center"/>
              <w:rPr>
                <w:rFonts w:cs="Arial"/>
                <w:sz w:val="20"/>
                <w:szCs w:val="20"/>
              </w:rPr>
            </w:pPr>
            <w:r>
              <w:rPr>
                <w:rFonts w:cs="Arial"/>
                <w:sz w:val="20"/>
                <w:szCs w:val="20"/>
              </w:rPr>
              <w:t>63</w:t>
            </w:r>
          </w:p>
        </w:tc>
        <w:tc>
          <w:tcPr>
            <w:tcW w:w="946" w:type="pct"/>
          </w:tcPr>
          <w:p w14:paraId="35AA290E" w14:textId="30ABE037" w:rsidR="000C53C5" w:rsidRPr="00E46A17" w:rsidRDefault="000C53C5" w:rsidP="0009672C">
            <w:pPr>
              <w:spacing w:before="20" w:after="20" w:line="240" w:lineRule="atLeast"/>
              <w:jc w:val="center"/>
              <w:rPr>
                <w:rFonts w:cs="Arial"/>
                <w:sz w:val="20"/>
                <w:szCs w:val="20"/>
              </w:rPr>
            </w:pPr>
            <w:r>
              <w:rPr>
                <w:rFonts w:cs="Arial"/>
                <w:sz w:val="20"/>
                <w:szCs w:val="20"/>
              </w:rPr>
              <w:t>69</w:t>
            </w:r>
          </w:p>
        </w:tc>
        <w:tc>
          <w:tcPr>
            <w:tcW w:w="1414" w:type="pct"/>
            <w:vMerge/>
          </w:tcPr>
          <w:p w14:paraId="663F1A6C" w14:textId="294776ED" w:rsidR="000C53C5" w:rsidRPr="00E46A17" w:rsidRDefault="000C53C5" w:rsidP="000C53C5">
            <w:pPr>
              <w:spacing w:before="20" w:after="20" w:line="240" w:lineRule="atLeast"/>
              <w:rPr>
                <w:rFonts w:cs="Arial"/>
                <w:sz w:val="20"/>
                <w:szCs w:val="20"/>
              </w:rPr>
            </w:pPr>
          </w:p>
        </w:tc>
      </w:tr>
      <w:tr w:rsidR="000C53C5" w14:paraId="009F562A" w14:textId="77777777" w:rsidTr="00C639EE">
        <w:trPr>
          <w:trHeight w:hRule="exact" w:val="288"/>
          <w:jc w:val="center"/>
        </w:trPr>
        <w:tc>
          <w:tcPr>
            <w:tcW w:w="1253" w:type="pct"/>
          </w:tcPr>
          <w:p w14:paraId="4C1BEA86" w14:textId="04D329A9" w:rsidR="000C53C5" w:rsidRPr="00127B06" w:rsidRDefault="000C53C5" w:rsidP="000C53C5">
            <w:pPr>
              <w:spacing w:before="20" w:after="20" w:line="240" w:lineRule="atLeast"/>
              <w:rPr>
                <w:rFonts w:cs="Arial"/>
                <w:sz w:val="20"/>
                <w:szCs w:val="20"/>
              </w:rPr>
            </w:pPr>
            <w:r w:rsidRPr="00EA25BC">
              <w:rPr>
                <w:rFonts w:cs="Arial"/>
                <w:sz w:val="20"/>
                <w:szCs w:val="20"/>
              </w:rPr>
              <w:t>Pounds of Food Cooked per Day</w:t>
            </w:r>
          </w:p>
        </w:tc>
        <w:tc>
          <w:tcPr>
            <w:tcW w:w="573" w:type="pct"/>
          </w:tcPr>
          <w:p w14:paraId="6600E4AE" w14:textId="344CEA73" w:rsidR="000C53C5" w:rsidRPr="00DF0387" w:rsidRDefault="000C53C5" w:rsidP="000C53C5">
            <w:pPr>
              <w:spacing w:before="20" w:after="20" w:line="240" w:lineRule="atLeast"/>
              <w:jc w:val="center"/>
              <w:rPr>
                <w:rFonts w:cs="Arial"/>
                <w:sz w:val="20"/>
                <w:szCs w:val="20"/>
              </w:rPr>
            </w:pPr>
            <w:r>
              <w:rPr>
                <w:rFonts w:cs="Arial"/>
                <w:sz w:val="20"/>
                <w:szCs w:val="20"/>
              </w:rPr>
              <w:t>111</w:t>
            </w:r>
          </w:p>
        </w:tc>
        <w:tc>
          <w:tcPr>
            <w:tcW w:w="814" w:type="pct"/>
          </w:tcPr>
          <w:p w14:paraId="4B51C46C" w14:textId="5A86E361" w:rsidR="000C53C5" w:rsidRPr="00DF0387" w:rsidRDefault="000C53C5" w:rsidP="000C53C5">
            <w:pPr>
              <w:spacing w:before="20" w:after="20" w:line="240" w:lineRule="atLeast"/>
              <w:jc w:val="center"/>
              <w:rPr>
                <w:rFonts w:cs="Arial"/>
                <w:sz w:val="20"/>
                <w:szCs w:val="20"/>
              </w:rPr>
            </w:pPr>
            <w:r>
              <w:rPr>
                <w:rFonts w:cs="Arial"/>
                <w:sz w:val="20"/>
                <w:szCs w:val="20"/>
              </w:rPr>
              <w:t>111</w:t>
            </w:r>
          </w:p>
        </w:tc>
        <w:tc>
          <w:tcPr>
            <w:tcW w:w="946" w:type="pct"/>
          </w:tcPr>
          <w:p w14:paraId="5E18CCA6" w14:textId="1AE567C5" w:rsidR="000C53C5" w:rsidRPr="00E46A17" w:rsidRDefault="000C53C5" w:rsidP="0009672C">
            <w:pPr>
              <w:spacing w:before="20" w:after="20" w:line="240" w:lineRule="atLeast"/>
              <w:jc w:val="center"/>
              <w:rPr>
                <w:rFonts w:cs="Arial"/>
                <w:sz w:val="20"/>
                <w:szCs w:val="20"/>
              </w:rPr>
            </w:pPr>
            <w:r>
              <w:rPr>
                <w:rFonts w:cs="Arial"/>
                <w:sz w:val="20"/>
                <w:szCs w:val="20"/>
              </w:rPr>
              <w:t>111</w:t>
            </w:r>
          </w:p>
        </w:tc>
        <w:tc>
          <w:tcPr>
            <w:tcW w:w="1414" w:type="pct"/>
            <w:vMerge/>
          </w:tcPr>
          <w:p w14:paraId="1AE93B94" w14:textId="4904F431" w:rsidR="000C53C5" w:rsidRPr="00E46A17" w:rsidRDefault="000C53C5" w:rsidP="000C53C5">
            <w:pPr>
              <w:spacing w:before="20" w:after="20" w:line="240" w:lineRule="atLeast"/>
              <w:rPr>
                <w:rFonts w:cs="Arial"/>
                <w:sz w:val="20"/>
                <w:szCs w:val="20"/>
              </w:rPr>
            </w:pPr>
          </w:p>
        </w:tc>
      </w:tr>
      <w:tr w:rsidR="000C53C5" w14:paraId="65D51F2C" w14:textId="77777777" w:rsidTr="00C639EE">
        <w:trPr>
          <w:trHeight w:hRule="exact" w:val="622"/>
          <w:jc w:val="center"/>
        </w:trPr>
        <w:tc>
          <w:tcPr>
            <w:tcW w:w="1253" w:type="pct"/>
          </w:tcPr>
          <w:p w14:paraId="7BB941FA" w14:textId="410BDCF7" w:rsidR="000C53C5" w:rsidRPr="00127B06" w:rsidRDefault="000C53C5" w:rsidP="000C53C5">
            <w:pPr>
              <w:spacing w:before="20" w:after="20" w:line="240" w:lineRule="atLeast"/>
              <w:rPr>
                <w:rFonts w:cs="Arial"/>
                <w:sz w:val="20"/>
                <w:szCs w:val="20"/>
              </w:rPr>
            </w:pPr>
            <w:r w:rsidRPr="00EA25BC">
              <w:rPr>
                <w:rFonts w:cs="Arial"/>
                <w:sz w:val="20"/>
                <w:szCs w:val="20"/>
              </w:rPr>
              <w:t>ASTM Energy to Food (Btu/lb.)</w:t>
            </w:r>
            <w:r>
              <w:rPr>
                <w:rFonts w:cs="Arial"/>
                <w:sz w:val="20"/>
                <w:szCs w:val="20"/>
              </w:rPr>
              <w:t xml:space="preserve"> </w:t>
            </w:r>
          </w:p>
        </w:tc>
        <w:tc>
          <w:tcPr>
            <w:tcW w:w="573" w:type="pct"/>
          </w:tcPr>
          <w:p w14:paraId="0D2500EC" w14:textId="50FD798B" w:rsidR="000C53C5" w:rsidRPr="00DF0387" w:rsidRDefault="000C53C5" w:rsidP="000C53C5">
            <w:pPr>
              <w:spacing w:before="20" w:after="20" w:line="240" w:lineRule="atLeast"/>
              <w:jc w:val="center"/>
              <w:rPr>
                <w:rFonts w:cs="Arial"/>
                <w:sz w:val="20"/>
                <w:szCs w:val="20"/>
              </w:rPr>
            </w:pPr>
            <w:r w:rsidRPr="00DF0387">
              <w:rPr>
                <w:rFonts w:cs="Arial"/>
                <w:sz w:val="20"/>
                <w:szCs w:val="20"/>
              </w:rPr>
              <w:t>570</w:t>
            </w:r>
          </w:p>
        </w:tc>
        <w:tc>
          <w:tcPr>
            <w:tcW w:w="814" w:type="pct"/>
          </w:tcPr>
          <w:p w14:paraId="5FA1085E" w14:textId="7A00E3B1" w:rsidR="000C53C5" w:rsidRPr="00DF0387" w:rsidRDefault="000C53C5" w:rsidP="000C53C5">
            <w:pPr>
              <w:spacing w:before="20" w:after="20" w:line="240" w:lineRule="atLeast"/>
              <w:jc w:val="center"/>
              <w:rPr>
                <w:rFonts w:cs="Arial"/>
                <w:sz w:val="20"/>
                <w:szCs w:val="20"/>
              </w:rPr>
            </w:pPr>
            <w:r w:rsidRPr="00DF0387">
              <w:rPr>
                <w:rFonts w:cs="Arial"/>
                <w:sz w:val="20"/>
                <w:szCs w:val="20"/>
              </w:rPr>
              <w:t>570</w:t>
            </w:r>
          </w:p>
        </w:tc>
        <w:tc>
          <w:tcPr>
            <w:tcW w:w="946" w:type="pct"/>
          </w:tcPr>
          <w:p w14:paraId="344C7026" w14:textId="6DCAA204" w:rsidR="000C53C5" w:rsidRPr="00E46A17" w:rsidRDefault="000C53C5" w:rsidP="0009672C">
            <w:pPr>
              <w:spacing w:before="20" w:after="20" w:line="240" w:lineRule="atLeast"/>
              <w:jc w:val="center"/>
              <w:rPr>
                <w:rFonts w:cs="Arial"/>
                <w:sz w:val="20"/>
                <w:szCs w:val="20"/>
              </w:rPr>
            </w:pPr>
            <w:r w:rsidRPr="00DF0387">
              <w:rPr>
                <w:rFonts w:cs="Arial"/>
                <w:sz w:val="20"/>
                <w:szCs w:val="20"/>
              </w:rPr>
              <w:t>570</w:t>
            </w:r>
          </w:p>
        </w:tc>
        <w:tc>
          <w:tcPr>
            <w:tcW w:w="1414" w:type="pct"/>
            <w:vMerge/>
          </w:tcPr>
          <w:p w14:paraId="3FCAE58D" w14:textId="360D38E5" w:rsidR="000C53C5" w:rsidRPr="00E46A17" w:rsidRDefault="000C53C5" w:rsidP="000C53C5">
            <w:pPr>
              <w:spacing w:before="20" w:after="20" w:line="240" w:lineRule="atLeast"/>
              <w:rPr>
                <w:rFonts w:cs="Arial"/>
                <w:sz w:val="20"/>
                <w:szCs w:val="20"/>
              </w:rPr>
            </w:pPr>
          </w:p>
        </w:tc>
      </w:tr>
      <w:tr w:rsidR="000C53C5" w14:paraId="0E3C8BEA" w14:textId="77777777" w:rsidTr="00C639EE">
        <w:trPr>
          <w:trHeight w:hRule="exact" w:val="288"/>
          <w:jc w:val="center"/>
        </w:trPr>
        <w:tc>
          <w:tcPr>
            <w:tcW w:w="1253" w:type="pct"/>
            <w:vAlign w:val="center"/>
          </w:tcPr>
          <w:p w14:paraId="3C19C9BB" w14:textId="7F28C4FF" w:rsidR="000C53C5" w:rsidRPr="00127B06" w:rsidRDefault="000C53C5" w:rsidP="000C53C5">
            <w:pPr>
              <w:spacing w:before="20" w:after="20" w:line="240" w:lineRule="atLeast"/>
              <w:rPr>
                <w:rFonts w:cs="Arial"/>
                <w:sz w:val="20"/>
                <w:szCs w:val="20"/>
              </w:rPr>
            </w:pPr>
            <w:r w:rsidRPr="00127B06">
              <w:rPr>
                <w:rFonts w:cs="Arial"/>
                <w:sz w:val="20"/>
                <w:szCs w:val="20"/>
              </w:rPr>
              <w:t>Operating Hours/Day</w:t>
            </w:r>
            <w:r>
              <w:rPr>
                <w:rFonts w:cs="Arial"/>
                <w:sz w:val="20"/>
                <w:szCs w:val="20"/>
              </w:rPr>
              <w:t xml:space="preserve"> </w:t>
            </w:r>
          </w:p>
        </w:tc>
        <w:tc>
          <w:tcPr>
            <w:tcW w:w="573" w:type="pct"/>
            <w:vAlign w:val="center"/>
          </w:tcPr>
          <w:p w14:paraId="445CD03E" w14:textId="03CDF5CE" w:rsidR="000C53C5" w:rsidRPr="00DF0387" w:rsidRDefault="000C53C5" w:rsidP="000C53C5">
            <w:pPr>
              <w:spacing w:before="20" w:after="20" w:line="240" w:lineRule="atLeast"/>
              <w:jc w:val="center"/>
              <w:rPr>
                <w:rFonts w:cs="Arial"/>
                <w:sz w:val="20"/>
                <w:szCs w:val="20"/>
              </w:rPr>
            </w:pPr>
            <w:r>
              <w:rPr>
                <w:rFonts w:cs="Arial"/>
                <w:sz w:val="20"/>
                <w:szCs w:val="20"/>
              </w:rPr>
              <w:t>12</w:t>
            </w:r>
          </w:p>
        </w:tc>
        <w:tc>
          <w:tcPr>
            <w:tcW w:w="814" w:type="pct"/>
            <w:vAlign w:val="center"/>
          </w:tcPr>
          <w:p w14:paraId="37ADB50A" w14:textId="0F5B9317" w:rsidR="000C53C5" w:rsidRPr="00DF0387" w:rsidRDefault="000C53C5" w:rsidP="000C53C5">
            <w:pPr>
              <w:spacing w:before="20" w:after="20" w:line="240" w:lineRule="atLeast"/>
              <w:jc w:val="center"/>
              <w:rPr>
                <w:rFonts w:cs="Arial"/>
                <w:sz w:val="20"/>
                <w:szCs w:val="20"/>
              </w:rPr>
            </w:pPr>
            <w:r>
              <w:rPr>
                <w:rFonts w:cs="Arial"/>
                <w:sz w:val="20"/>
                <w:szCs w:val="20"/>
              </w:rPr>
              <w:t>12</w:t>
            </w:r>
          </w:p>
        </w:tc>
        <w:tc>
          <w:tcPr>
            <w:tcW w:w="946" w:type="pct"/>
            <w:vAlign w:val="center"/>
          </w:tcPr>
          <w:p w14:paraId="3A325F1D" w14:textId="11B66F2A" w:rsidR="000C53C5" w:rsidRPr="00743373" w:rsidRDefault="000C53C5" w:rsidP="0009672C">
            <w:pPr>
              <w:spacing w:before="20" w:after="20" w:line="240" w:lineRule="atLeast"/>
              <w:jc w:val="center"/>
              <w:rPr>
                <w:rFonts w:cs="Arial"/>
                <w:sz w:val="18"/>
                <w:szCs w:val="18"/>
              </w:rPr>
            </w:pPr>
            <w:r>
              <w:rPr>
                <w:rFonts w:cs="Arial"/>
                <w:sz w:val="20"/>
                <w:szCs w:val="20"/>
              </w:rPr>
              <w:t>12</w:t>
            </w:r>
          </w:p>
        </w:tc>
        <w:tc>
          <w:tcPr>
            <w:tcW w:w="1414" w:type="pct"/>
            <w:vMerge/>
          </w:tcPr>
          <w:p w14:paraId="1E07044C" w14:textId="428317BC" w:rsidR="000C53C5" w:rsidRPr="00743373" w:rsidRDefault="000C53C5" w:rsidP="000C53C5">
            <w:pPr>
              <w:spacing w:before="20" w:after="20" w:line="240" w:lineRule="atLeast"/>
              <w:rPr>
                <w:rFonts w:cs="Arial"/>
                <w:sz w:val="18"/>
                <w:szCs w:val="18"/>
              </w:rPr>
            </w:pPr>
          </w:p>
        </w:tc>
      </w:tr>
      <w:tr w:rsidR="000C53C5" w14:paraId="3CE5C058" w14:textId="77777777" w:rsidTr="00C639EE">
        <w:trPr>
          <w:trHeight w:hRule="exact" w:val="433"/>
          <w:jc w:val="center"/>
        </w:trPr>
        <w:tc>
          <w:tcPr>
            <w:tcW w:w="1253" w:type="pct"/>
            <w:vAlign w:val="center"/>
          </w:tcPr>
          <w:p w14:paraId="43D03B3E" w14:textId="77777777" w:rsidR="000C53C5" w:rsidRPr="00127B06" w:rsidRDefault="000C53C5" w:rsidP="000C53C5">
            <w:pPr>
              <w:spacing w:before="20" w:after="20" w:line="240" w:lineRule="atLeast"/>
              <w:rPr>
                <w:rFonts w:cs="Arial"/>
                <w:sz w:val="20"/>
                <w:szCs w:val="20"/>
              </w:rPr>
            </w:pPr>
            <w:r w:rsidRPr="00127B06">
              <w:rPr>
                <w:rFonts w:cs="Arial"/>
                <w:sz w:val="20"/>
                <w:szCs w:val="20"/>
              </w:rPr>
              <w:t>Operating Days/Year</w:t>
            </w:r>
          </w:p>
        </w:tc>
        <w:tc>
          <w:tcPr>
            <w:tcW w:w="573" w:type="pct"/>
            <w:vAlign w:val="center"/>
          </w:tcPr>
          <w:p w14:paraId="267D8BF2" w14:textId="2C58A47B" w:rsidR="000C53C5" w:rsidRPr="00DF0387" w:rsidRDefault="000C53C5" w:rsidP="000C53C5">
            <w:pPr>
              <w:spacing w:before="20" w:after="20" w:line="240" w:lineRule="atLeast"/>
              <w:jc w:val="center"/>
              <w:rPr>
                <w:rFonts w:cs="Arial"/>
                <w:sz w:val="20"/>
                <w:szCs w:val="20"/>
              </w:rPr>
            </w:pPr>
            <w:r>
              <w:rPr>
                <w:rFonts w:cs="Arial"/>
                <w:sz w:val="20"/>
                <w:szCs w:val="20"/>
              </w:rPr>
              <w:t>351</w:t>
            </w:r>
          </w:p>
        </w:tc>
        <w:tc>
          <w:tcPr>
            <w:tcW w:w="814" w:type="pct"/>
            <w:vAlign w:val="center"/>
          </w:tcPr>
          <w:p w14:paraId="396E9543" w14:textId="5FAADA59" w:rsidR="000C53C5" w:rsidRPr="00DF0387" w:rsidRDefault="000C53C5" w:rsidP="000C53C5">
            <w:pPr>
              <w:spacing w:before="20" w:after="20" w:line="240" w:lineRule="atLeast"/>
              <w:jc w:val="center"/>
              <w:rPr>
                <w:rFonts w:cs="Arial"/>
                <w:sz w:val="20"/>
                <w:szCs w:val="20"/>
              </w:rPr>
            </w:pPr>
            <w:r>
              <w:rPr>
                <w:rFonts w:cs="Arial"/>
                <w:sz w:val="20"/>
                <w:szCs w:val="20"/>
              </w:rPr>
              <w:t>351</w:t>
            </w:r>
          </w:p>
        </w:tc>
        <w:tc>
          <w:tcPr>
            <w:tcW w:w="946" w:type="pct"/>
            <w:vAlign w:val="center"/>
          </w:tcPr>
          <w:p w14:paraId="3373FA4F" w14:textId="1ED34D8A" w:rsidR="000C53C5" w:rsidRPr="00743373" w:rsidRDefault="000C53C5" w:rsidP="0009672C">
            <w:pPr>
              <w:spacing w:before="20" w:after="20" w:line="240" w:lineRule="atLeast"/>
              <w:jc w:val="center"/>
              <w:rPr>
                <w:rFonts w:cs="Arial"/>
                <w:sz w:val="18"/>
                <w:szCs w:val="18"/>
              </w:rPr>
            </w:pPr>
            <w:r>
              <w:rPr>
                <w:rFonts w:cs="Arial"/>
                <w:sz w:val="20"/>
                <w:szCs w:val="20"/>
              </w:rPr>
              <w:t>351</w:t>
            </w:r>
          </w:p>
        </w:tc>
        <w:tc>
          <w:tcPr>
            <w:tcW w:w="1414" w:type="pct"/>
            <w:vMerge/>
          </w:tcPr>
          <w:p w14:paraId="6260F6B7" w14:textId="2FD903CF" w:rsidR="000C53C5" w:rsidRPr="00743373" w:rsidRDefault="000C53C5" w:rsidP="000C53C5">
            <w:pPr>
              <w:spacing w:before="20" w:after="20" w:line="240" w:lineRule="atLeast"/>
              <w:rPr>
                <w:rFonts w:cs="Arial"/>
                <w:sz w:val="18"/>
                <w:szCs w:val="18"/>
              </w:rPr>
            </w:pPr>
          </w:p>
        </w:tc>
      </w:tr>
    </w:tbl>
    <w:p w14:paraId="5F170E60" w14:textId="77777777" w:rsidR="008449CC" w:rsidRDefault="008449CC" w:rsidP="006A6F75"/>
    <w:p w14:paraId="4C72816F" w14:textId="715499AE" w:rsidR="007F1C38" w:rsidRDefault="007F1C38" w:rsidP="007F1C38">
      <w:pPr>
        <w:keepNext/>
        <w:keepLines/>
      </w:pPr>
      <w:r w:rsidRPr="00AB3791">
        <w:rPr>
          <w:rFonts w:cs="Arial"/>
          <w:szCs w:val="22"/>
        </w:rPr>
        <w:t>A sample</w:t>
      </w:r>
      <w:r w:rsidR="00296196">
        <w:rPr>
          <w:rFonts w:cs="Arial"/>
          <w:szCs w:val="22"/>
        </w:rPr>
        <w:t xml:space="preserve"> base-case</w:t>
      </w:r>
      <w:r w:rsidRPr="00AB3791">
        <w:rPr>
          <w:rFonts w:cs="Arial"/>
          <w:szCs w:val="22"/>
        </w:rPr>
        <w:t xml:space="preserve"> calculation</w:t>
      </w:r>
      <w:r>
        <w:rPr>
          <w:rFonts w:cs="Arial"/>
          <w:szCs w:val="22"/>
        </w:rPr>
        <w:t xml:space="preserve"> of daily </w:t>
      </w:r>
      <w:r w:rsidR="002B1228">
        <w:rPr>
          <w:rFonts w:cs="Arial"/>
          <w:szCs w:val="22"/>
        </w:rPr>
        <w:t>UEC</w:t>
      </w:r>
      <w:r>
        <w:rPr>
          <w:rFonts w:cs="Arial"/>
          <w:szCs w:val="22"/>
        </w:rPr>
        <w:t xml:space="preserve"> is provided below. </w:t>
      </w:r>
    </w:p>
    <w:p w14:paraId="232D33BE" w14:textId="11E86E2E"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sz w:val="18"/>
              <w:szCs w:val="18"/>
            </w:rPr>
            <m:t xml:space="preserve">EDAY=cooking energy+idle energy+preheat energy </m:t>
          </m:r>
        </m:oMath>
      </m:oMathPara>
    </w:p>
    <w:p w14:paraId="588D38D2" w14:textId="18A21E34" w:rsidR="005D45D6" w:rsidRPr="00AA70C5" w:rsidRDefault="00AA70C5" w:rsidP="007F1C38">
      <w:pPr>
        <w:ind w:left="720"/>
        <w:rPr>
          <w:rFonts w:ascii="Cambria Math" w:hAnsi="Cambria Math" w:cs="Arial"/>
          <w:i/>
          <w:sz w:val="18"/>
          <w:szCs w:val="18"/>
        </w:rPr>
      </w:pPr>
      <m:oMath>
        <m:r>
          <w:rPr>
            <w:rFonts w:ascii="Cambria Math" w:hAnsi="Cambria Math" w:cs="Arial"/>
            <w:sz w:val="18"/>
            <w:szCs w:val="18"/>
          </w:rPr>
          <m:t>Cooking energy=</m:t>
        </m:r>
        <m:d>
          <m:dPr>
            <m:begChr m:val="["/>
            <m:endChr m:val="]"/>
            <m:ctrlPr>
              <w:rPr>
                <w:rFonts w:ascii="Cambria Math" w:hAnsi="Cambria Math" w:cs="Arial"/>
                <w:i/>
                <w:sz w:val="18"/>
                <w:szCs w:val="18"/>
              </w:rPr>
            </m:ctrlPr>
          </m:dPr>
          <m:e>
            <m:f>
              <m:fPr>
                <m:ctrlPr>
                  <w:rPr>
                    <w:rFonts w:ascii="Cambria Math" w:hAnsi="Cambria Math" w:cs="Arial"/>
                    <w:i/>
                    <w:sz w:val="18"/>
                    <w:szCs w:val="18"/>
                  </w:rPr>
                </m:ctrlPr>
              </m:fPr>
              <m:num>
                <m:r>
                  <w:rPr>
                    <w:rFonts w:ascii="Cambria Math" w:hAnsi="Cambria Math" w:cs="Arial"/>
                    <w:sz w:val="18"/>
                    <w:szCs w:val="18"/>
                  </w:rPr>
                  <m:t>111×570</m:t>
                </m:r>
              </m:num>
              <m:den>
                <m:r>
                  <w:rPr>
                    <w:rFonts w:ascii="Cambria Math" w:hAnsi="Cambria Math" w:cs="Arial"/>
                    <w:sz w:val="18"/>
                    <w:szCs w:val="18"/>
                  </w:rPr>
                  <m:t>.37</m:t>
                </m:r>
              </m:den>
            </m:f>
          </m:e>
        </m:d>
        <m:r>
          <w:rPr>
            <w:rFonts w:ascii="Cambria Math" w:hAnsi="Cambria Math" w:cs="Arial"/>
            <w:sz w:val="18"/>
            <w:szCs w:val="18"/>
          </w:rPr>
          <m:t>=170,597</m:t>
        </m:r>
      </m:oMath>
      <w:r w:rsidR="004627E9" w:rsidRPr="00AA70C5">
        <w:rPr>
          <w:rFonts w:ascii="Cambria Math" w:hAnsi="Cambria Math" w:cs="Arial"/>
          <w:i/>
          <w:sz w:val="18"/>
          <w:szCs w:val="18"/>
        </w:rPr>
        <w:t xml:space="preserve"> </w:t>
      </w:r>
      <w:r w:rsidR="002B1228" w:rsidRPr="00AA70C5">
        <w:rPr>
          <w:rFonts w:ascii="Cambria Math" w:hAnsi="Cambria Math" w:cs="Arial"/>
          <w:i/>
          <w:sz w:val="18"/>
          <w:szCs w:val="18"/>
        </w:rPr>
        <w:t>Btu</w:t>
      </w:r>
    </w:p>
    <w:p w14:paraId="20795B30" w14:textId="1E6D6199"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cs="Arial"/>
              <w:sz w:val="18"/>
              <w:szCs w:val="18"/>
            </w:rPr>
            <m:t xml:space="preserve">idle energy= </m:t>
          </m:r>
          <m:d>
            <m:dPr>
              <m:begChr m:val="["/>
              <m:endChr m:val="]"/>
              <m:ctrlPr>
                <w:rPr>
                  <w:rFonts w:ascii="Cambria Math" w:hAnsi="Cambria Math" w:cs="Arial"/>
                  <w:i/>
                  <w:sz w:val="18"/>
                  <w:szCs w:val="18"/>
                </w:rPr>
              </m:ctrlPr>
            </m:dPr>
            <m:e>
              <m:r>
                <w:rPr>
                  <w:rFonts w:ascii="Cambria Math" w:hAnsi="Cambria Math" w:cs="Arial"/>
                  <w:sz w:val="18"/>
                  <w:szCs w:val="18"/>
                </w:rPr>
                <m:t>12,847×</m:t>
              </m:r>
              <m:d>
                <m:dPr>
                  <m:ctrlPr>
                    <w:rPr>
                      <w:rFonts w:ascii="Cambria Math" w:hAnsi="Cambria Math" w:cs="Arial"/>
                      <w:i/>
                      <w:sz w:val="18"/>
                      <w:szCs w:val="18"/>
                    </w:rPr>
                  </m:ctrlPr>
                </m:dPr>
                <m:e>
                  <m:r>
                    <w:rPr>
                      <w:rFonts w:ascii="Cambria Math" w:hAnsi="Cambria Math" w:cs="Arial"/>
                      <w:sz w:val="18"/>
                      <w:szCs w:val="18"/>
                    </w:rPr>
                    <m:t>12-</m:t>
                  </m:r>
                  <m:f>
                    <m:fPr>
                      <m:ctrlPr>
                        <w:rPr>
                          <w:rFonts w:ascii="Cambria Math" w:hAnsi="Cambria Math" w:cs="Arial"/>
                          <w:i/>
                          <w:sz w:val="18"/>
                          <w:szCs w:val="18"/>
                        </w:rPr>
                      </m:ctrlPr>
                    </m:fPr>
                    <m:num>
                      <m:r>
                        <w:rPr>
                          <w:rFonts w:ascii="Cambria Math" w:hAnsi="Cambria Math" w:cs="Arial"/>
                          <w:sz w:val="18"/>
                          <w:szCs w:val="18"/>
                        </w:rPr>
                        <m:t>111</m:t>
                      </m:r>
                    </m:num>
                    <m:den>
                      <m:r>
                        <w:rPr>
                          <w:rFonts w:ascii="Cambria Math" w:hAnsi="Cambria Math" w:cs="Arial"/>
                          <w:sz w:val="18"/>
                          <w:szCs w:val="18"/>
                        </w:rPr>
                        <m:t>58</m:t>
                      </m:r>
                    </m:den>
                  </m:f>
                  <m:r>
                    <w:rPr>
                      <w:rFonts w:ascii="Cambria Math" w:hAnsi="Cambria Math" w:cs="Arial"/>
                      <w:sz w:val="18"/>
                      <w:szCs w:val="18"/>
                    </w:rPr>
                    <m:t>-(1 × 7/60)</m:t>
                  </m:r>
                </m:e>
              </m:d>
            </m:e>
          </m:d>
          <m:r>
            <w:rPr>
              <w:rFonts w:ascii="Cambria Math" w:hAnsi="Cambria Math" w:cs="Arial"/>
              <w:sz w:val="18"/>
              <w:szCs w:val="18"/>
            </w:rPr>
            <m:t>=128,124 Btu</m:t>
          </m:r>
        </m:oMath>
      </m:oMathPara>
    </w:p>
    <w:p w14:paraId="635FB6AB" w14:textId="603FBB6F" w:rsidR="005D45D6" w:rsidRPr="00AA70C5" w:rsidRDefault="00AA70C5" w:rsidP="007F1C38">
      <w:pPr>
        <w:ind w:left="720"/>
        <w:rPr>
          <w:rFonts w:ascii="Arial" w:hAnsi="Arial" w:cs="Arial"/>
          <w:i/>
          <w:sz w:val="18"/>
          <w:szCs w:val="18"/>
        </w:rPr>
      </w:pPr>
      <m:oMathPara>
        <m:oMathParaPr>
          <m:jc m:val="left"/>
        </m:oMathParaPr>
        <m:oMath>
          <m:r>
            <w:rPr>
              <w:rFonts w:ascii="Cambria Math" w:hAnsi="Cambria Math" w:cs="Arial"/>
              <w:sz w:val="18"/>
              <w:szCs w:val="18"/>
            </w:rPr>
            <m:t xml:space="preserve">preheat energy= </m:t>
          </m:r>
          <m:d>
            <m:dPr>
              <m:ctrlPr>
                <w:rPr>
                  <w:rFonts w:ascii="Cambria Math" w:hAnsi="Cambria Math" w:cs="Arial"/>
                  <w:i/>
                  <w:sz w:val="18"/>
                  <w:szCs w:val="18"/>
                </w:rPr>
              </m:ctrlPr>
            </m:dPr>
            <m:e>
              <m:r>
                <w:rPr>
                  <w:rFonts w:ascii="Cambria Math" w:hAnsi="Cambria Math" w:cs="Arial"/>
                  <w:sz w:val="18"/>
                  <w:szCs w:val="18"/>
                </w:rPr>
                <m:t>1 ×16,609</m:t>
              </m:r>
            </m:e>
          </m:d>
          <m:r>
            <w:rPr>
              <w:rFonts w:ascii="Cambria Math" w:hAnsi="Cambria Math" w:cs="Arial"/>
              <w:sz w:val="18"/>
              <w:szCs w:val="18"/>
            </w:rPr>
            <m:t>=16,609 Btu</m:t>
          </m:r>
        </m:oMath>
      </m:oMathPara>
    </w:p>
    <w:p w14:paraId="785572FF" w14:textId="682FB6D6" w:rsidR="005828BC" w:rsidRPr="00AA70C5" w:rsidRDefault="00AA70C5" w:rsidP="005828BC">
      <w:pPr>
        <w:ind w:left="720"/>
        <w:rPr>
          <w:rFonts w:ascii="Arial" w:hAnsi="Arial" w:cs="Arial"/>
          <w:i/>
          <w:sz w:val="18"/>
          <w:szCs w:val="18"/>
        </w:rPr>
      </w:pPr>
      <m:oMathPara>
        <m:oMathParaPr>
          <m:jc m:val="left"/>
        </m:oMathParaPr>
        <m:oMath>
          <m:r>
            <w:rPr>
              <w:rFonts w:ascii="Cambria Math" w:hAnsi="Cambria Math"/>
              <w:sz w:val="18"/>
              <w:szCs w:val="18"/>
            </w:rPr>
            <m:t>EDAY=170,597+128,124+16,609=315,330  Btu</m:t>
          </m:r>
        </m:oMath>
      </m:oMathPara>
    </w:p>
    <w:p w14:paraId="69EF9F87" w14:textId="77777777" w:rsidR="004142EF" w:rsidRDefault="004142EF" w:rsidP="004B06E3"/>
    <w:p w14:paraId="28C7DCFB" w14:textId="59E0C84D" w:rsidR="007D230B" w:rsidRPr="004B06E3" w:rsidRDefault="00245AFF" w:rsidP="0049281A">
      <w:pPr>
        <w:pStyle w:val="eTRMHeading3"/>
      </w:pPr>
      <w:bookmarkStart w:id="107" w:name="_Toc528684436"/>
      <w:bookmarkStart w:id="108" w:name="_Toc486490859"/>
      <w:bookmarkStart w:id="109" w:name="_Toc486580930"/>
      <w:r w:rsidRPr="004B06E3">
        <w:t>Life Cycle</w:t>
      </w:r>
      <w:bookmarkEnd w:id="107"/>
      <w:r w:rsidR="007D230B" w:rsidRPr="004B06E3">
        <w:t xml:space="preserve"> </w:t>
      </w:r>
      <w:bookmarkEnd w:id="108"/>
      <w:bookmarkEnd w:id="109"/>
    </w:p>
    <w:p w14:paraId="171B167B" w14:textId="72DD154A" w:rsidR="00021E0C" w:rsidRDefault="008B372A" w:rsidP="008B372A">
      <w:pPr>
        <w:rPr>
          <w:rFonts w:eastAsia="Times New Roman"/>
        </w:rPr>
      </w:pPr>
      <w:bookmarkStart w:id="110" w:name="_Hlk526880803"/>
      <w:bookmarkStart w:id="111" w:name="_Hlk494219725"/>
      <w:bookmarkStart w:id="112" w:name="_Toc45876559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113" w:name="_Hlk494267093"/>
    </w:p>
    <w:p w14:paraId="2B7107E3" w14:textId="3627BA3A" w:rsidR="007F1C38" w:rsidRPr="008B372A" w:rsidRDefault="008B372A" w:rsidP="008B372A">
      <w:bookmarkStart w:id="114" w:name="_Hlk526869260"/>
      <w:bookmarkEnd w:id="110"/>
      <w:r>
        <w:t xml:space="preserve">The EUL specified for gas and electric commercial fryers are </w:t>
      </w:r>
      <w:r w:rsidR="009D34B5">
        <w:t>specified below</w:t>
      </w:r>
      <w:r w:rsidR="00021E0C">
        <w:t xml:space="preserve">. </w:t>
      </w:r>
      <w:bookmarkStart w:id="115" w:name="_Hlk526864122"/>
      <w:bookmarkEnd w:id="114"/>
      <w:r w:rsidR="00DA7107">
        <w:t xml:space="preserve">Note that RUL is only applicable for </w:t>
      </w:r>
      <w:r w:rsidR="009D34B5">
        <w:t>add-on</w:t>
      </w:r>
      <w:r w:rsidR="00DA7107">
        <w:t xml:space="preserve"> and </w:t>
      </w:r>
      <w:r w:rsidR="009D34B5">
        <w:t xml:space="preserve">accelerated </w:t>
      </w:r>
      <w:r w:rsidR="00DA7107">
        <w:t xml:space="preserve">replacement measures </w:t>
      </w:r>
      <w:r w:rsidR="009D34B5">
        <w:t xml:space="preserve">and </w:t>
      </w:r>
      <w:r w:rsidR="00577E30">
        <w:t>not applicable</w:t>
      </w:r>
      <w:r w:rsidR="009D34B5">
        <w:t xml:space="preserve"> for this measure.</w:t>
      </w:r>
      <w:r w:rsidR="00DA7107">
        <w:t xml:space="preserve"> </w:t>
      </w:r>
      <w:r>
        <w:t xml:space="preserve"> </w:t>
      </w:r>
      <w:bookmarkEnd w:id="111"/>
      <w:bookmarkEnd w:id="113"/>
      <w:bookmarkEnd w:id="115"/>
    </w:p>
    <w:p w14:paraId="2A4850CE" w14:textId="47C89F19" w:rsidR="007F1C38" w:rsidRPr="00052C24" w:rsidRDefault="007F1C38" w:rsidP="00AC5795">
      <w:pPr>
        <w:pStyle w:val="Caption"/>
      </w:pPr>
      <w:r>
        <w:t>Effective Useful Life</w:t>
      </w:r>
      <w:r w:rsidR="005828BC">
        <w:t xml:space="preserve"> and Remaining Useful Life</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6300"/>
      </w:tblGrid>
      <w:tr w:rsidR="00DD5D95" w:rsidRPr="00052C24" w14:paraId="186F8075" w14:textId="77777777" w:rsidTr="00DD5D95">
        <w:tc>
          <w:tcPr>
            <w:tcW w:w="1620" w:type="dxa"/>
            <w:shd w:val="clear" w:color="auto" w:fill="F2F2F2" w:themeFill="background1" w:themeFillShade="F2"/>
            <w:vAlign w:val="bottom"/>
          </w:tcPr>
          <w:p w14:paraId="781B1F00" w14:textId="77777777" w:rsidR="00DD5D95" w:rsidRPr="00052C24" w:rsidRDefault="00DD5D95" w:rsidP="00021E0C">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51972CA7" w14:textId="5F30B254" w:rsidR="00DD5D95" w:rsidRPr="00052C24" w:rsidRDefault="00DD5D95" w:rsidP="00021E0C">
            <w:pPr>
              <w:keepNext/>
              <w:keepLines/>
              <w:spacing w:before="0" w:after="0" w:line="200" w:lineRule="atLeast"/>
              <w:jc w:val="center"/>
              <w:rPr>
                <w:b/>
                <w:sz w:val="20"/>
              </w:rPr>
            </w:pPr>
            <w:r>
              <w:rPr>
                <w:b/>
                <w:sz w:val="20"/>
              </w:rPr>
              <w:t>Value</w:t>
            </w:r>
          </w:p>
        </w:tc>
        <w:tc>
          <w:tcPr>
            <w:tcW w:w="6300" w:type="dxa"/>
            <w:shd w:val="clear" w:color="auto" w:fill="F2F2F2" w:themeFill="background1" w:themeFillShade="F2"/>
            <w:vAlign w:val="bottom"/>
          </w:tcPr>
          <w:p w14:paraId="2F98EAAB" w14:textId="77777777" w:rsidR="00DD5D95" w:rsidRDefault="00DD5D95" w:rsidP="00021E0C">
            <w:pPr>
              <w:keepNext/>
              <w:keepLines/>
              <w:spacing w:before="0" w:after="0" w:line="200" w:lineRule="atLeast"/>
              <w:jc w:val="center"/>
              <w:rPr>
                <w:b/>
                <w:sz w:val="20"/>
              </w:rPr>
            </w:pPr>
            <w:r>
              <w:rPr>
                <w:b/>
                <w:sz w:val="20"/>
              </w:rPr>
              <w:t>Source</w:t>
            </w:r>
          </w:p>
        </w:tc>
      </w:tr>
      <w:tr w:rsidR="00DD5D95" w:rsidRPr="00052C24" w14:paraId="0AC60E23" w14:textId="77777777" w:rsidTr="00DD5D95">
        <w:trPr>
          <w:trHeight w:val="260"/>
        </w:trPr>
        <w:tc>
          <w:tcPr>
            <w:tcW w:w="1620" w:type="dxa"/>
            <w:vAlign w:val="center"/>
          </w:tcPr>
          <w:p w14:paraId="089FD648" w14:textId="77777777" w:rsidR="00DD5D95" w:rsidRPr="00C45400" w:rsidRDefault="00DD5D95" w:rsidP="00021E0C">
            <w:pPr>
              <w:keepNext/>
              <w:keepLines/>
              <w:spacing w:before="0" w:after="0" w:line="200" w:lineRule="atLeast"/>
              <w:rPr>
                <w:sz w:val="20"/>
              </w:rPr>
            </w:pPr>
            <w:r w:rsidRPr="00C45400">
              <w:rPr>
                <w:sz w:val="20"/>
              </w:rPr>
              <w:t>EUL (yrs)</w:t>
            </w:r>
          </w:p>
        </w:tc>
        <w:tc>
          <w:tcPr>
            <w:tcW w:w="1440" w:type="dxa"/>
            <w:vAlign w:val="center"/>
          </w:tcPr>
          <w:p w14:paraId="62D7A392" w14:textId="77777777" w:rsidR="00DD5D95" w:rsidRPr="00DF0387" w:rsidRDefault="00DD5D95" w:rsidP="00021E0C">
            <w:pPr>
              <w:keepNext/>
              <w:keepLines/>
              <w:spacing w:before="0" w:after="0" w:line="200" w:lineRule="atLeast"/>
              <w:jc w:val="center"/>
              <w:rPr>
                <w:sz w:val="20"/>
              </w:rPr>
            </w:pPr>
            <w:r w:rsidRPr="00DF0387">
              <w:rPr>
                <w:sz w:val="20"/>
              </w:rPr>
              <w:t>12</w:t>
            </w:r>
          </w:p>
        </w:tc>
        <w:tc>
          <w:tcPr>
            <w:tcW w:w="6300" w:type="dxa"/>
            <w:vAlign w:val="center"/>
          </w:tcPr>
          <w:p w14:paraId="7266C82A" w14:textId="77777777" w:rsidR="00DD5D95" w:rsidRDefault="00DD5D95" w:rsidP="00021E0C">
            <w:pPr>
              <w:keepNext/>
              <w:keepLines/>
              <w:spacing w:before="0" w:after="0" w:line="240" w:lineRule="auto"/>
              <w:rPr>
                <w:rFonts w:eastAsia="Times New Roman" w:cs="Times New Roman"/>
                <w:color w:val="000000"/>
                <w:sz w:val="18"/>
                <w:szCs w:val="18"/>
              </w:rPr>
            </w:pPr>
            <w:r w:rsidRPr="00EB04AC">
              <w:rPr>
                <w:rFonts w:eastAsia="Times New Roman" w:cs="Times New Roman"/>
                <w:color w:val="000000"/>
                <w:sz w:val="18"/>
                <w:szCs w:val="18"/>
              </w:rPr>
              <w:t xml:space="preserve">Robert </w:t>
            </w:r>
            <w:proofErr w:type="spellStart"/>
            <w:r w:rsidRPr="00EB04AC">
              <w:rPr>
                <w:rFonts w:eastAsia="Times New Roman" w:cs="Times New Roman"/>
                <w:color w:val="000000"/>
                <w:sz w:val="18"/>
                <w:szCs w:val="18"/>
              </w:rPr>
              <w:t>Mowris</w:t>
            </w:r>
            <w:proofErr w:type="spellEnd"/>
            <w:r w:rsidRPr="00EB04AC">
              <w:rPr>
                <w:rFonts w:eastAsia="Times New Roman" w:cs="Times New Roman"/>
                <w:color w:val="000000"/>
                <w:sz w:val="18"/>
                <w:szCs w:val="18"/>
              </w:rPr>
              <w:t xml:space="preserve"> &amp; Associates. 2005. </w:t>
            </w:r>
            <w:r w:rsidRPr="00EB04AC">
              <w:rPr>
                <w:rFonts w:eastAsia="Times New Roman" w:cs="Times New Roman"/>
                <w:i/>
                <w:iCs/>
                <w:color w:val="000000"/>
                <w:sz w:val="18"/>
                <w:szCs w:val="18"/>
              </w:rPr>
              <w:t>Ninth Year Retention Study of the 1995 Southern California Gas Company Commercial New Construction Program</w:t>
            </w:r>
            <w:r w:rsidRPr="00EB04AC">
              <w:rPr>
                <w:rFonts w:eastAsia="Times New Roman" w:cs="Times New Roman"/>
                <w:color w:val="000000"/>
                <w:sz w:val="18"/>
                <w:szCs w:val="18"/>
              </w:rPr>
              <w:t xml:space="preserve">. Prepared for Southern California Gas Company. Study ID Number 718A. </w:t>
            </w:r>
          </w:p>
          <w:p w14:paraId="6C19E37F" w14:textId="77777777" w:rsidR="00DD5D95" w:rsidRDefault="00DD5D95" w:rsidP="00021E0C">
            <w:pPr>
              <w:keepNext/>
              <w:keepLines/>
              <w:spacing w:before="0" w:after="0" w:line="240" w:lineRule="auto"/>
              <w:rPr>
                <w:rFonts w:eastAsia="Times New Roman" w:cs="Times New Roman"/>
                <w:color w:val="000000"/>
                <w:sz w:val="18"/>
                <w:szCs w:val="18"/>
              </w:rPr>
            </w:pPr>
          </w:p>
          <w:p w14:paraId="05AAF6AD" w14:textId="0DD8C7E7" w:rsidR="00DD5D95" w:rsidRPr="00EB04AC" w:rsidRDefault="00DD5D95" w:rsidP="00021E0C">
            <w:pPr>
              <w:keepNext/>
              <w:keepLines/>
              <w:spacing w:before="0" w:after="0" w:line="240" w:lineRule="auto"/>
              <w:rPr>
                <w:rFonts w:eastAsia="Times New Roman" w:cs="Times New Roman"/>
                <w:color w:val="000000"/>
                <w:sz w:val="18"/>
                <w:szCs w:val="18"/>
              </w:rPr>
            </w:pPr>
            <w:r w:rsidRPr="006948A0">
              <w:rPr>
                <w:rFonts w:eastAsia="Times New Roman" w:cs="Times New Roman"/>
                <w:color w:val="000000"/>
                <w:sz w:val="18"/>
                <w:szCs w:val="18"/>
              </w:rPr>
              <w:t xml:space="preserve">California Public Utilities Commission (CPUC), Energy Division.  2003. </w:t>
            </w:r>
            <w:r w:rsidRPr="006948A0">
              <w:rPr>
                <w:rFonts w:eastAsia="Times New Roman" w:cs="Times New Roman"/>
                <w:i/>
                <w:color w:val="000000"/>
                <w:sz w:val="18"/>
                <w:szCs w:val="18"/>
              </w:rPr>
              <w:t>Energy Efficiency Policy Manual v 2.0.</w:t>
            </w:r>
            <w:r>
              <w:rPr>
                <w:rFonts w:eastAsia="Times New Roman" w:cs="Times New Roman"/>
                <w:i/>
                <w:color w:val="000000"/>
                <w:sz w:val="18"/>
                <w:szCs w:val="18"/>
              </w:rPr>
              <w:t xml:space="preserve"> </w:t>
            </w:r>
            <w:r w:rsidRPr="006948A0">
              <w:rPr>
                <w:rFonts w:eastAsia="Times New Roman" w:cs="Times New Roman"/>
                <w:color w:val="000000"/>
                <w:sz w:val="18"/>
                <w:szCs w:val="18"/>
              </w:rPr>
              <w:t>Page 18 Table 4.1.</w:t>
            </w:r>
          </w:p>
        </w:tc>
      </w:tr>
      <w:tr w:rsidR="00DD5D95" w:rsidRPr="00052C24" w14:paraId="59208141" w14:textId="77777777" w:rsidTr="00DD5D95">
        <w:tc>
          <w:tcPr>
            <w:tcW w:w="1620" w:type="dxa"/>
            <w:vAlign w:val="center"/>
          </w:tcPr>
          <w:p w14:paraId="6B190C89" w14:textId="77777777" w:rsidR="00DD5D95" w:rsidRPr="00C45400" w:rsidRDefault="00DD5D95" w:rsidP="00021E0C">
            <w:pPr>
              <w:keepNext/>
              <w:keepLines/>
              <w:spacing w:before="0" w:after="0" w:line="200" w:lineRule="atLeast"/>
              <w:rPr>
                <w:sz w:val="20"/>
              </w:rPr>
            </w:pPr>
            <w:r w:rsidRPr="00C45400">
              <w:rPr>
                <w:sz w:val="20"/>
              </w:rPr>
              <w:t>RUL (yrs)</w:t>
            </w:r>
          </w:p>
        </w:tc>
        <w:tc>
          <w:tcPr>
            <w:tcW w:w="1440" w:type="dxa"/>
            <w:vAlign w:val="center"/>
          </w:tcPr>
          <w:p w14:paraId="750B2601" w14:textId="1055E3DF" w:rsidR="00DD5D95" w:rsidRPr="00DF0387" w:rsidRDefault="00DD5D95" w:rsidP="00577E30">
            <w:pPr>
              <w:keepNext/>
              <w:keepLines/>
              <w:spacing w:before="0" w:after="0" w:line="200" w:lineRule="atLeast"/>
              <w:jc w:val="center"/>
              <w:rPr>
                <w:sz w:val="20"/>
              </w:rPr>
            </w:pPr>
            <w:r>
              <w:rPr>
                <w:sz w:val="20"/>
              </w:rPr>
              <w:t>n/a</w:t>
            </w:r>
          </w:p>
        </w:tc>
        <w:tc>
          <w:tcPr>
            <w:tcW w:w="6300" w:type="dxa"/>
            <w:vAlign w:val="center"/>
          </w:tcPr>
          <w:p w14:paraId="47BDD851" w14:textId="60B66CD8" w:rsidR="00DD5D95" w:rsidRPr="00EB04AC" w:rsidRDefault="00DD5D95" w:rsidP="00021E0C">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n/a</w:t>
            </w:r>
          </w:p>
        </w:tc>
      </w:tr>
    </w:tbl>
    <w:p w14:paraId="3FD99954" w14:textId="77777777" w:rsidR="00021E0C" w:rsidRPr="00C54D8A" w:rsidRDefault="00021E0C" w:rsidP="00C54D8A"/>
    <w:p w14:paraId="5D449DF6" w14:textId="38B29F2E" w:rsidR="007D230B" w:rsidRPr="004B06E3" w:rsidRDefault="007D230B" w:rsidP="0049281A">
      <w:pPr>
        <w:pStyle w:val="eTRMHeading3"/>
      </w:pPr>
      <w:bookmarkStart w:id="116" w:name="_Toc486490860"/>
      <w:bookmarkStart w:id="117" w:name="_Toc486580931"/>
      <w:bookmarkStart w:id="118" w:name="_Toc528684437"/>
      <w:bookmarkEnd w:id="112"/>
      <w:r w:rsidRPr="004B06E3">
        <w:lastRenderedPageBreak/>
        <w:t>Base Case Material Cost ($/unit)</w:t>
      </w:r>
      <w:bookmarkEnd w:id="116"/>
      <w:bookmarkEnd w:id="117"/>
      <w:bookmarkEnd w:id="118"/>
    </w:p>
    <w:p w14:paraId="270E3420" w14:textId="77777777" w:rsidR="00FB6E18" w:rsidRDefault="00FB6E18" w:rsidP="00FB6E18">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67F04B0E" w14:textId="64386DD1" w:rsidR="007F1C38" w:rsidRDefault="00FB6E18" w:rsidP="007E6A20">
      <w:pPr>
        <w:rPr>
          <w:rFonts w:eastAsia="Times New Roman" w:cs="Times New Roman"/>
          <w:color w:val="000000"/>
          <w:szCs w:val="22"/>
        </w:rPr>
      </w:pPr>
      <w:r>
        <w:rPr>
          <w:szCs w:val="22"/>
        </w:rPr>
        <w:t xml:space="preserve">For </w:t>
      </w:r>
      <w:r w:rsidRPr="00C94922">
        <w:rPr>
          <w:i/>
          <w:szCs w:val="22"/>
        </w:rPr>
        <w:t>all other delivery types</w:t>
      </w:r>
      <w:r w:rsidR="008057DC">
        <w:rPr>
          <w:i/>
          <w:szCs w:val="22"/>
        </w:rPr>
        <w:t xml:space="preserve"> of electric commercial fryers</w:t>
      </w:r>
      <w:r>
        <w:rPr>
          <w:szCs w:val="22"/>
        </w:rPr>
        <w:t>, the b</w:t>
      </w:r>
      <w:r w:rsidRPr="00AA5B3F">
        <w:rPr>
          <w:szCs w:val="22"/>
        </w:rPr>
        <w:t xml:space="preserve">ase case </w:t>
      </w:r>
      <w:r>
        <w:rPr>
          <w:szCs w:val="22"/>
        </w:rPr>
        <w:t>material cost was</w:t>
      </w:r>
      <w:r w:rsidR="00883172">
        <w:t xml:space="preserve"> </w:t>
      </w:r>
      <w:r w:rsidR="004A48A4">
        <w:t>calculated</w:t>
      </w:r>
      <w:r w:rsidR="00883172">
        <w:t xml:space="preserve"> as the average of the manufacturer </w:t>
      </w:r>
      <w:r w:rsidR="00883172" w:rsidRPr="00EA7C9F">
        <w:t xml:space="preserve">list prices </w:t>
      </w:r>
      <w:r w:rsidR="00883172">
        <w:t>for electric commercial fryers</w:t>
      </w:r>
      <w:r w:rsidR="00883172" w:rsidRPr="00333ACE">
        <w:t xml:space="preserve"> </w:t>
      </w:r>
      <w:r w:rsidR="00883172">
        <w:t xml:space="preserve">retrieved </w:t>
      </w:r>
      <w:r w:rsidR="00883172" w:rsidRPr="00EA7C9F">
        <w:t xml:space="preserve">from </w:t>
      </w:r>
      <w:r w:rsidR="00883172">
        <w:t xml:space="preserve">the </w:t>
      </w:r>
      <w:proofErr w:type="spellStart"/>
      <w:r w:rsidR="00883172" w:rsidRPr="00EA7C9F">
        <w:t>AutoQuotes</w:t>
      </w:r>
      <w:proofErr w:type="spellEnd"/>
      <w:r w:rsidR="00883172" w:rsidRPr="00EA7C9F">
        <w:t xml:space="preserve"> </w:t>
      </w:r>
      <w:r w:rsidR="00883172">
        <w:t xml:space="preserve">online </w:t>
      </w:r>
      <w:r w:rsidR="00883172" w:rsidRPr="000911F4">
        <w:rPr>
          <w:szCs w:val="22"/>
        </w:rPr>
        <w:t>catalog</w:t>
      </w:r>
      <w:r w:rsidR="00883172" w:rsidRPr="000911F4">
        <w:rPr>
          <w:rFonts w:cs="Calibri Light"/>
          <w:szCs w:val="22"/>
        </w:rPr>
        <w:t xml:space="preserve"> for foodservice equipment and supplies</w:t>
      </w:r>
      <w:r w:rsidR="00883172" w:rsidRPr="000911F4">
        <w:rPr>
          <w:szCs w:val="22"/>
        </w:rPr>
        <w:t>.</w:t>
      </w:r>
      <w:r w:rsidR="00883172">
        <w:rPr>
          <w:rStyle w:val="FootnoteReference"/>
          <w:szCs w:val="22"/>
        </w:rPr>
        <w:footnoteReference w:id="14"/>
      </w:r>
      <w:r w:rsidR="00883172" w:rsidRPr="000911F4">
        <w:rPr>
          <w:sz w:val="24"/>
        </w:rPr>
        <w:t xml:space="preserve"> </w:t>
      </w:r>
      <w:r w:rsidR="00D94A9A" w:rsidRPr="00AA5B3F">
        <w:rPr>
          <w:szCs w:val="22"/>
        </w:rPr>
        <w:t xml:space="preserve">Because it is common knowledge that dealers </w:t>
      </w:r>
      <w:r w:rsidR="00D94A9A">
        <w:rPr>
          <w:szCs w:val="22"/>
        </w:rPr>
        <w:t>do not</w:t>
      </w:r>
      <w:r w:rsidR="00D94A9A" w:rsidRPr="00AA5B3F">
        <w:rPr>
          <w:szCs w:val="22"/>
        </w:rPr>
        <w:t xml:space="preserve"> pay the published list prices for equipment, it was necessary </w:t>
      </w:r>
      <w:r w:rsidR="00D94A9A">
        <w:rPr>
          <w:szCs w:val="22"/>
        </w:rPr>
        <w:t>apply a</w:t>
      </w:r>
      <w:r w:rsidR="00D94A9A" w:rsidRPr="00AA5B3F">
        <w:rPr>
          <w:szCs w:val="22"/>
        </w:rPr>
        <w:t xml:space="preserve"> discount factor to the </w:t>
      </w:r>
      <w:proofErr w:type="spellStart"/>
      <w:r w:rsidR="00D94A9A" w:rsidRPr="00AA5B3F">
        <w:rPr>
          <w:szCs w:val="22"/>
        </w:rPr>
        <w:t>AutoQuotes</w:t>
      </w:r>
      <w:proofErr w:type="spellEnd"/>
      <w:r w:rsidR="00D94A9A" w:rsidRPr="00AA5B3F">
        <w:rPr>
          <w:szCs w:val="22"/>
        </w:rPr>
        <w:t xml:space="preserve"> data to more accurately reflect the actual prices paid for the equipment. The discount factor</w:t>
      </w:r>
      <w:r w:rsidR="00D94A9A">
        <w:rPr>
          <w:szCs w:val="22"/>
        </w:rPr>
        <w:t xml:space="preserve"> of 50%</w:t>
      </w:r>
      <w:r w:rsidR="00D94A9A" w:rsidRPr="00AA5B3F">
        <w:rPr>
          <w:szCs w:val="22"/>
        </w:rPr>
        <w:t xml:space="preserve"> </w:t>
      </w:r>
      <w:r w:rsidR="00D94A9A">
        <w:rPr>
          <w:szCs w:val="22"/>
        </w:rPr>
        <w:t>was based upon</w:t>
      </w:r>
      <w:r w:rsidR="00D94A9A" w:rsidRPr="00AA5B3F">
        <w:rPr>
          <w:szCs w:val="22"/>
        </w:rPr>
        <w:t xml:space="preserve"> professional judgement by </w:t>
      </w:r>
      <w:bookmarkStart w:id="119" w:name="_Hlk526880820"/>
      <w:bookmarkStart w:id="120" w:name="_Hlk526870232"/>
      <w:r w:rsidR="004B148A">
        <w:rPr>
          <w:szCs w:val="22"/>
        </w:rPr>
        <w:t>Food Service Technology Center (</w:t>
      </w:r>
      <w:r w:rsidR="004B148A" w:rsidRPr="00AA5B3F">
        <w:rPr>
          <w:szCs w:val="22"/>
        </w:rPr>
        <w:t>FSTC</w:t>
      </w:r>
      <w:r w:rsidR="004B148A">
        <w:rPr>
          <w:szCs w:val="22"/>
        </w:rPr>
        <w:t>)</w:t>
      </w:r>
      <w:r w:rsidR="004B148A" w:rsidRPr="00AA5B3F">
        <w:rPr>
          <w:szCs w:val="22"/>
        </w:rPr>
        <w:t xml:space="preserve"> </w:t>
      </w:r>
      <w:r w:rsidR="00D94A9A" w:rsidRPr="00AA5B3F">
        <w:rPr>
          <w:szCs w:val="22"/>
        </w:rPr>
        <w:t>staff</w:t>
      </w:r>
      <w:bookmarkEnd w:id="119"/>
      <w:r w:rsidR="00D94A9A" w:rsidRPr="00AA5B3F">
        <w:rPr>
          <w:szCs w:val="22"/>
        </w:rPr>
        <w:t xml:space="preserve">. </w:t>
      </w:r>
      <w:bookmarkEnd w:id="120"/>
      <w:r w:rsidR="00D94A9A" w:rsidRPr="00AA5B3F">
        <w:rPr>
          <w:szCs w:val="22"/>
        </w:rPr>
        <w:t xml:space="preserve">Additional analysis to validate the reasonableness of this value was conducted by comparing </w:t>
      </w:r>
      <w:proofErr w:type="spellStart"/>
      <w:r w:rsidR="00D94A9A" w:rsidRPr="00AA5B3F">
        <w:rPr>
          <w:szCs w:val="22"/>
        </w:rPr>
        <w:t>AutoQuotes</w:t>
      </w:r>
      <w:proofErr w:type="spellEnd"/>
      <w:r w:rsidR="00D94A9A" w:rsidRPr="00AA5B3F">
        <w:rPr>
          <w:szCs w:val="22"/>
        </w:rPr>
        <w:t xml:space="preserve"> published prices with actual prices on invoices submitted </w:t>
      </w:r>
      <w:r w:rsidR="00D94A9A" w:rsidRPr="00AA5B3F">
        <w:rPr>
          <w:rFonts w:eastAsia="Times New Roman" w:cs="Times New Roman"/>
          <w:color w:val="000000"/>
          <w:szCs w:val="22"/>
        </w:rPr>
        <w:t xml:space="preserve">through </w:t>
      </w:r>
      <w:bookmarkStart w:id="121" w:name="_Hlk526880842"/>
      <w:r w:rsidR="00D94A9A" w:rsidRPr="00AA5B3F">
        <w:rPr>
          <w:rFonts w:eastAsia="Times New Roman" w:cs="Times New Roman"/>
          <w:color w:val="000000"/>
          <w:szCs w:val="22"/>
        </w:rPr>
        <w:t xml:space="preserve">the </w:t>
      </w:r>
      <w:r w:rsidR="00955AD3">
        <w:t>Southern California Gas Company Instant Rebates! point-of-sale rebate program</w:t>
      </w:r>
      <w:bookmarkEnd w:id="121"/>
      <w:r w:rsidR="00955AD3">
        <w:t xml:space="preserve"> </w:t>
      </w:r>
      <w:r w:rsidR="00D94A9A" w:rsidRPr="00AA5B3F">
        <w:rPr>
          <w:rFonts w:eastAsia="Times New Roman" w:cs="Times New Roman"/>
          <w:color w:val="000000"/>
          <w:szCs w:val="22"/>
        </w:rPr>
        <w:t>from 2015 through August of 2017.</w:t>
      </w:r>
      <w:r w:rsidR="00D94A9A">
        <w:rPr>
          <w:rStyle w:val="FootnoteReference"/>
          <w:rFonts w:eastAsia="Times New Roman" w:cs="Times New Roman"/>
          <w:color w:val="000000"/>
          <w:szCs w:val="22"/>
        </w:rPr>
        <w:footnoteReference w:id="15"/>
      </w:r>
      <w:r w:rsidR="00D94A9A" w:rsidRPr="00AA5B3F">
        <w:rPr>
          <w:rFonts w:eastAsia="Times New Roman" w:cs="Times New Roman"/>
          <w:color w:val="000000"/>
          <w:szCs w:val="22"/>
        </w:rPr>
        <w:t xml:space="preserve"> </w:t>
      </w:r>
      <w:bookmarkStart w:id="122" w:name="_Hlk526856016"/>
      <w:r w:rsidR="00D94A9A" w:rsidRPr="00AA5B3F">
        <w:rPr>
          <w:rFonts w:eastAsia="Times New Roman" w:cs="Times New Roman"/>
          <w:color w:val="000000"/>
          <w:szCs w:val="22"/>
        </w:rPr>
        <w:t xml:space="preserve">This verification revealed that a </w:t>
      </w:r>
      <w:r w:rsidR="00DF0387">
        <w:rPr>
          <w:rFonts w:eastAsia="Times New Roman" w:cs="Times New Roman"/>
          <w:color w:val="000000"/>
          <w:szCs w:val="22"/>
        </w:rPr>
        <w:t>“</w:t>
      </w:r>
      <w:r w:rsidR="00763A97">
        <w:rPr>
          <w:rFonts w:eastAsia="Times New Roman" w:cs="Times New Roman"/>
          <w:color w:val="000000"/>
          <w:szCs w:val="22"/>
        </w:rPr>
        <w:t>list-to-actual” cost ratio</w:t>
      </w:r>
      <w:r w:rsidR="00D94A9A" w:rsidRPr="00AA5B3F">
        <w:rPr>
          <w:rFonts w:eastAsia="Times New Roman" w:cs="Times New Roman"/>
          <w:color w:val="000000"/>
          <w:szCs w:val="22"/>
        </w:rPr>
        <w:t xml:space="preserve"> for food service equipment of 50% is a reasonable average </w:t>
      </w:r>
      <w:r w:rsidR="00D94A9A">
        <w:rPr>
          <w:rFonts w:eastAsia="Times New Roman" w:cs="Times New Roman"/>
          <w:color w:val="000000"/>
          <w:szCs w:val="22"/>
        </w:rPr>
        <w:t>discount factor</w:t>
      </w:r>
      <w:r w:rsidR="00D94A9A" w:rsidRPr="00AA5B3F">
        <w:rPr>
          <w:rFonts w:eastAsia="Times New Roman" w:cs="Times New Roman"/>
          <w:color w:val="000000"/>
          <w:szCs w:val="22"/>
        </w:rPr>
        <w:t>.</w:t>
      </w:r>
      <w:bookmarkEnd w:id="122"/>
    </w:p>
    <w:p w14:paraId="1ABA6389" w14:textId="219713C1" w:rsidR="008057DC" w:rsidRPr="008057DC" w:rsidRDefault="008057DC" w:rsidP="00B5189A">
      <w:pPr>
        <w:rPr>
          <w:szCs w:val="22"/>
        </w:rPr>
      </w:pPr>
      <w:r>
        <w:rPr>
          <w:szCs w:val="22"/>
        </w:rPr>
        <w:t xml:space="preserve">For </w:t>
      </w:r>
      <w:r w:rsidRPr="00C94922">
        <w:rPr>
          <w:i/>
          <w:szCs w:val="22"/>
        </w:rPr>
        <w:t>all other delivery types</w:t>
      </w:r>
      <w:r>
        <w:rPr>
          <w:i/>
          <w:szCs w:val="22"/>
        </w:rPr>
        <w:t xml:space="preserve"> of gas commercial fryers</w:t>
      </w:r>
      <w:r>
        <w:rPr>
          <w:szCs w:val="22"/>
        </w:rPr>
        <w:t>, the base case cost was updated based on a query of published prices from online equipment and supply dealers from Frontier Energy’s “Gas Fryer Tier Analysis”</w:t>
      </w:r>
      <w:r w:rsidRPr="008057DC">
        <w:rPr>
          <w:rStyle w:val="FootnoteReference"/>
          <w:szCs w:val="22"/>
        </w:rPr>
        <w:t xml:space="preserve"> </w:t>
      </w:r>
      <w:r>
        <w:rPr>
          <w:rStyle w:val="FootnoteReference"/>
          <w:szCs w:val="22"/>
        </w:rPr>
        <w:footnoteReference w:id="16"/>
      </w:r>
      <w:r>
        <w:rPr>
          <w:szCs w:val="22"/>
        </w:rPr>
        <w:t xml:space="preserve"> memo.</w:t>
      </w:r>
      <w:r w:rsidR="001148EB">
        <w:rPr>
          <w:szCs w:val="22"/>
        </w:rPr>
        <w:t xml:space="preserve"> A discount factor was not applied as these are published retail prices that reflect the typical price the customer would pay.</w:t>
      </w:r>
    </w:p>
    <w:p w14:paraId="087C4842" w14:textId="77777777" w:rsidR="0060081D" w:rsidRPr="004B06E3" w:rsidRDefault="0060081D" w:rsidP="0049281A">
      <w:pPr>
        <w:pStyle w:val="eTRMHeading3"/>
      </w:pPr>
      <w:bookmarkStart w:id="123" w:name="_Toc487396938"/>
      <w:bookmarkStart w:id="124" w:name="_Toc528684438"/>
      <w:bookmarkStart w:id="125" w:name="_Toc486490861"/>
      <w:bookmarkStart w:id="126" w:name="_Toc486580932"/>
      <w:r w:rsidRPr="004B06E3">
        <w:t>Measure Case Material Cost ($/unit)</w:t>
      </w:r>
      <w:bookmarkEnd w:id="123"/>
      <w:bookmarkEnd w:id="124"/>
    </w:p>
    <w:bookmarkEnd w:id="125"/>
    <w:bookmarkEnd w:id="126"/>
    <w:p w14:paraId="0FCFDDEC" w14:textId="5D2EE7F3" w:rsidR="007D230B" w:rsidRDefault="00FB6E18" w:rsidP="004142EF">
      <w:pPr>
        <w:rPr>
          <w:rFonts w:eastAsia="Times New Roman" w:cs="Times New Roman"/>
          <w:color w:val="000000"/>
          <w:szCs w:val="22"/>
        </w:rPr>
      </w:pPr>
      <w:r>
        <w:t xml:space="preserve">The measure case material cost for </w:t>
      </w:r>
      <w:r w:rsidRPr="00076709">
        <w:rPr>
          <w:i/>
        </w:rPr>
        <w:t>all delivery types</w:t>
      </w:r>
      <w:r w:rsidR="008057DC">
        <w:rPr>
          <w:i/>
        </w:rPr>
        <w:t xml:space="preserve"> of </w:t>
      </w:r>
      <w:r w:rsidR="001148EB">
        <w:rPr>
          <w:i/>
        </w:rPr>
        <w:t>electric commercial fryers</w:t>
      </w:r>
      <w:r>
        <w:t xml:space="preserve"> w</w:t>
      </w:r>
      <w:r w:rsidR="001148EB">
        <w:t>ere</w:t>
      </w:r>
      <w:r>
        <w:t xml:space="preserve"> calculated</w:t>
      </w:r>
      <w:r w:rsidR="00E23768">
        <w:t xml:space="preserve"> as the average of the manufacturer </w:t>
      </w:r>
      <w:r w:rsidR="00E23768" w:rsidRPr="00EA7C9F">
        <w:t xml:space="preserve">list prices </w:t>
      </w:r>
      <w:r w:rsidR="00E23768">
        <w:t>for electric commercial fryers</w:t>
      </w:r>
      <w:r w:rsidR="00E23768" w:rsidRPr="00333ACE">
        <w:t xml:space="preserve"> </w:t>
      </w:r>
      <w:r w:rsidR="00E23768">
        <w:t xml:space="preserve">retrieved </w:t>
      </w:r>
      <w:r w:rsidR="00E23768" w:rsidRPr="00EA7C9F">
        <w:t xml:space="preserve">from </w:t>
      </w:r>
      <w:r w:rsidR="00E23768">
        <w:t xml:space="preserve">the </w:t>
      </w:r>
      <w:proofErr w:type="spellStart"/>
      <w:r w:rsidR="00E23768" w:rsidRPr="00EA7C9F">
        <w:t>AutoQuotes</w:t>
      </w:r>
      <w:proofErr w:type="spellEnd"/>
      <w:r w:rsidR="00E23768" w:rsidRPr="00EA7C9F">
        <w:t xml:space="preserve"> </w:t>
      </w:r>
      <w:r w:rsidR="00E23768">
        <w:t xml:space="preserve">online </w:t>
      </w:r>
      <w:r w:rsidR="00E23768" w:rsidRPr="000911F4">
        <w:rPr>
          <w:szCs w:val="22"/>
        </w:rPr>
        <w:t>catalog</w:t>
      </w:r>
      <w:r w:rsidR="00E23768" w:rsidRPr="000911F4">
        <w:rPr>
          <w:rFonts w:cs="Calibri Light"/>
          <w:szCs w:val="22"/>
        </w:rPr>
        <w:t xml:space="preserve"> for foodservice equipment and supplies</w:t>
      </w:r>
      <w:r w:rsidR="00E23768" w:rsidRPr="000911F4">
        <w:rPr>
          <w:szCs w:val="22"/>
        </w:rPr>
        <w:t>.</w:t>
      </w:r>
      <w:r w:rsidR="00E23768">
        <w:rPr>
          <w:rStyle w:val="FootnoteReference"/>
          <w:szCs w:val="22"/>
        </w:rPr>
        <w:footnoteReference w:id="17"/>
      </w:r>
      <w:r w:rsidR="00E23768" w:rsidRPr="000911F4">
        <w:rPr>
          <w:sz w:val="24"/>
        </w:rPr>
        <w:t xml:space="preserve"> </w:t>
      </w:r>
      <w:r w:rsidR="00D94A9A" w:rsidRPr="00AA5B3F">
        <w:rPr>
          <w:szCs w:val="22"/>
        </w:rPr>
        <w:t xml:space="preserve">Because it is common knowledge that dealers </w:t>
      </w:r>
      <w:r w:rsidR="00D94A9A">
        <w:rPr>
          <w:szCs w:val="22"/>
        </w:rPr>
        <w:t>do not</w:t>
      </w:r>
      <w:r w:rsidR="00D94A9A" w:rsidRPr="00AA5B3F">
        <w:rPr>
          <w:szCs w:val="22"/>
        </w:rPr>
        <w:t xml:space="preserve"> pay the published list prices for equipment, it was necessary </w:t>
      </w:r>
      <w:r w:rsidR="00D94A9A">
        <w:rPr>
          <w:szCs w:val="22"/>
        </w:rPr>
        <w:t>apply a</w:t>
      </w:r>
      <w:r w:rsidR="00D94A9A" w:rsidRPr="00AA5B3F">
        <w:rPr>
          <w:szCs w:val="22"/>
        </w:rPr>
        <w:t xml:space="preserve"> discount factor to the </w:t>
      </w:r>
      <w:proofErr w:type="spellStart"/>
      <w:r w:rsidR="00D94A9A" w:rsidRPr="00AA5B3F">
        <w:rPr>
          <w:szCs w:val="22"/>
        </w:rPr>
        <w:t>AutoQuotes</w:t>
      </w:r>
      <w:proofErr w:type="spellEnd"/>
      <w:r w:rsidR="00D94A9A" w:rsidRPr="00AA5B3F">
        <w:rPr>
          <w:szCs w:val="22"/>
        </w:rPr>
        <w:t xml:space="preserve"> data to more accurately reflect the actual prices paid for the equipment. The discount factor</w:t>
      </w:r>
      <w:r w:rsidR="00D94A9A">
        <w:rPr>
          <w:szCs w:val="22"/>
        </w:rPr>
        <w:t xml:space="preserve"> of 50%</w:t>
      </w:r>
      <w:r w:rsidR="00D94A9A" w:rsidRPr="00AA5B3F">
        <w:rPr>
          <w:szCs w:val="22"/>
        </w:rPr>
        <w:t xml:space="preserve"> </w:t>
      </w:r>
      <w:r w:rsidR="00D94A9A">
        <w:rPr>
          <w:szCs w:val="22"/>
        </w:rPr>
        <w:t>was based upon</w:t>
      </w:r>
      <w:r w:rsidR="00D94A9A" w:rsidRPr="00AA5B3F">
        <w:rPr>
          <w:szCs w:val="22"/>
        </w:rPr>
        <w:t xml:space="preserve"> professional judgement by </w:t>
      </w:r>
      <w:r w:rsidR="004B148A">
        <w:rPr>
          <w:szCs w:val="22"/>
        </w:rPr>
        <w:t>Food Service Technology Center (</w:t>
      </w:r>
      <w:r w:rsidR="004B148A" w:rsidRPr="00AA5B3F">
        <w:rPr>
          <w:szCs w:val="22"/>
        </w:rPr>
        <w:t>FSTC</w:t>
      </w:r>
      <w:r w:rsidR="004B148A">
        <w:rPr>
          <w:szCs w:val="22"/>
        </w:rPr>
        <w:t>)</w:t>
      </w:r>
      <w:r w:rsidR="004B148A" w:rsidRPr="00AA5B3F">
        <w:rPr>
          <w:szCs w:val="22"/>
        </w:rPr>
        <w:t xml:space="preserve"> </w:t>
      </w:r>
      <w:r w:rsidR="00D94A9A" w:rsidRPr="00AA5B3F">
        <w:rPr>
          <w:szCs w:val="22"/>
        </w:rPr>
        <w:t xml:space="preserve">staff. Additional analysis to validate the reasonableness of this value was conducted by comparing </w:t>
      </w:r>
      <w:proofErr w:type="spellStart"/>
      <w:r w:rsidR="00D94A9A" w:rsidRPr="00AA5B3F">
        <w:rPr>
          <w:szCs w:val="22"/>
        </w:rPr>
        <w:t>AutoQuotes</w:t>
      </w:r>
      <w:proofErr w:type="spellEnd"/>
      <w:r w:rsidR="00D94A9A" w:rsidRPr="00AA5B3F">
        <w:rPr>
          <w:szCs w:val="22"/>
        </w:rPr>
        <w:t xml:space="preserve"> published prices with actual prices on invoices submitted </w:t>
      </w:r>
      <w:r w:rsidR="00D94A9A" w:rsidRPr="00AA5B3F">
        <w:rPr>
          <w:rFonts w:eastAsia="Times New Roman" w:cs="Times New Roman"/>
          <w:color w:val="000000"/>
          <w:szCs w:val="22"/>
        </w:rPr>
        <w:t xml:space="preserve">through </w:t>
      </w:r>
      <w:bookmarkStart w:id="127" w:name="_Hlk526870259"/>
      <w:r w:rsidR="00D94A9A" w:rsidRPr="00AA5B3F">
        <w:rPr>
          <w:rFonts w:eastAsia="Times New Roman" w:cs="Times New Roman"/>
          <w:color w:val="000000"/>
          <w:szCs w:val="22"/>
        </w:rPr>
        <w:t xml:space="preserve">the </w:t>
      </w:r>
      <w:r w:rsidR="00955AD3">
        <w:t xml:space="preserve">Southern California Gas Company Instant Rebates! point-of-sale rebate program </w:t>
      </w:r>
      <w:bookmarkEnd w:id="127"/>
      <w:r w:rsidR="00D94A9A" w:rsidRPr="00AA5B3F">
        <w:rPr>
          <w:rFonts w:eastAsia="Times New Roman" w:cs="Times New Roman"/>
          <w:color w:val="000000"/>
          <w:szCs w:val="22"/>
        </w:rPr>
        <w:t>from 2015 through August of 2017.</w:t>
      </w:r>
      <w:r w:rsidR="00D94A9A">
        <w:rPr>
          <w:rStyle w:val="FootnoteReference"/>
          <w:rFonts w:eastAsia="Times New Roman" w:cs="Times New Roman"/>
          <w:color w:val="000000"/>
          <w:szCs w:val="22"/>
        </w:rPr>
        <w:footnoteReference w:id="18"/>
      </w:r>
      <w:r w:rsidR="00D94A9A" w:rsidRPr="00AA5B3F">
        <w:rPr>
          <w:rFonts w:eastAsia="Times New Roman" w:cs="Times New Roman"/>
          <w:color w:val="000000"/>
          <w:szCs w:val="22"/>
        </w:rPr>
        <w:t xml:space="preserve"> </w:t>
      </w:r>
      <w:bookmarkStart w:id="128" w:name="_Hlk526870305"/>
      <w:r w:rsidR="00D94A9A" w:rsidRPr="00AA5B3F">
        <w:rPr>
          <w:rFonts w:eastAsia="Times New Roman" w:cs="Times New Roman"/>
          <w:color w:val="000000"/>
          <w:szCs w:val="22"/>
        </w:rPr>
        <w:t xml:space="preserve">This verification revealed that a </w:t>
      </w:r>
      <w:r w:rsidR="00DF0387">
        <w:rPr>
          <w:rFonts w:eastAsia="Times New Roman" w:cs="Times New Roman"/>
          <w:color w:val="000000"/>
          <w:szCs w:val="22"/>
        </w:rPr>
        <w:t>“</w:t>
      </w:r>
      <w:r w:rsidR="00763A97">
        <w:rPr>
          <w:rFonts w:eastAsia="Times New Roman" w:cs="Times New Roman"/>
          <w:color w:val="000000"/>
          <w:szCs w:val="22"/>
        </w:rPr>
        <w:t>list-to-actual” cost ratio</w:t>
      </w:r>
      <w:r w:rsidR="00763A97" w:rsidRPr="00AA5B3F">
        <w:rPr>
          <w:rFonts w:eastAsia="Times New Roman" w:cs="Times New Roman"/>
          <w:color w:val="000000"/>
          <w:szCs w:val="22"/>
        </w:rPr>
        <w:t xml:space="preserve"> </w:t>
      </w:r>
      <w:r w:rsidR="00D94A9A" w:rsidRPr="00AA5B3F">
        <w:rPr>
          <w:rFonts w:eastAsia="Times New Roman" w:cs="Times New Roman"/>
          <w:color w:val="000000"/>
          <w:szCs w:val="22"/>
        </w:rPr>
        <w:t xml:space="preserve">for food service equipment of 50% is a reasonable average </w:t>
      </w:r>
      <w:r w:rsidR="00D94A9A">
        <w:rPr>
          <w:rFonts w:eastAsia="Times New Roman" w:cs="Times New Roman"/>
          <w:color w:val="000000"/>
          <w:szCs w:val="22"/>
        </w:rPr>
        <w:t>discount factor</w:t>
      </w:r>
      <w:r w:rsidR="00D94A9A" w:rsidRPr="00AA5B3F">
        <w:rPr>
          <w:rFonts w:eastAsia="Times New Roman" w:cs="Times New Roman"/>
          <w:color w:val="000000"/>
          <w:szCs w:val="22"/>
        </w:rPr>
        <w:t>.</w:t>
      </w:r>
      <w:bookmarkEnd w:id="128"/>
    </w:p>
    <w:p w14:paraId="0475742F" w14:textId="3AD0F345" w:rsidR="00D94A9A" w:rsidRPr="004B06E3" w:rsidRDefault="001148EB" w:rsidP="004142EF">
      <w:r>
        <w:t xml:space="preserve">The measure case material cost for </w:t>
      </w:r>
      <w:r w:rsidRPr="00076709">
        <w:rPr>
          <w:i/>
        </w:rPr>
        <w:t>all delivery types</w:t>
      </w:r>
      <w:r>
        <w:rPr>
          <w:i/>
        </w:rPr>
        <w:t xml:space="preserve"> of gas commercial fryers</w:t>
      </w:r>
      <w:r>
        <w:t xml:space="preserve"> were calculated as the average of equipment costs based on a query of published prices from online equipment and supply dealers from </w:t>
      </w:r>
      <w:r>
        <w:rPr>
          <w:szCs w:val="22"/>
        </w:rPr>
        <w:t>Frontier Energy’s “Gas Fryer Tier Analysis”</w:t>
      </w:r>
      <w:r>
        <w:rPr>
          <w:szCs w:val="22"/>
          <w:vertAlign w:val="superscript"/>
        </w:rPr>
        <w:t>16</w:t>
      </w:r>
      <w:r>
        <w:rPr>
          <w:szCs w:val="22"/>
        </w:rPr>
        <w:t xml:space="preserve"> memo</w:t>
      </w:r>
      <w:r w:rsidR="00157EF7">
        <w:rPr>
          <w:szCs w:val="22"/>
        </w:rPr>
        <w:t xml:space="preserve">. A discount factor was not applied as these are published retail prices that reflect the typical price the customer would </w:t>
      </w:r>
      <w:proofErr w:type="gramStart"/>
      <w:r w:rsidR="00157EF7">
        <w:rPr>
          <w:szCs w:val="22"/>
        </w:rPr>
        <w:t>pay.</w:t>
      </w:r>
      <w:r>
        <w:rPr>
          <w:szCs w:val="22"/>
        </w:rPr>
        <w:t>.</w:t>
      </w:r>
      <w:proofErr w:type="gramEnd"/>
    </w:p>
    <w:p w14:paraId="348157BD" w14:textId="0885703C" w:rsidR="007D230B" w:rsidRPr="004B06E3" w:rsidRDefault="00C01622" w:rsidP="0049281A">
      <w:pPr>
        <w:pStyle w:val="eTRMHeading3"/>
      </w:pPr>
      <w:bookmarkStart w:id="129" w:name="_Toc486490862"/>
      <w:bookmarkStart w:id="130" w:name="_Toc486580933"/>
      <w:bookmarkStart w:id="131" w:name="_Toc528684439"/>
      <w:r>
        <w:lastRenderedPageBreak/>
        <w:t xml:space="preserve">Base Case </w:t>
      </w:r>
      <w:r w:rsidR="007D230B" w:rsidRPr="004B06E3">
        <w:t>Labor Cost ($/unit)</w:t>
      </w:r>
      <w:bookmarkEnd w:id="129"/>
      <w:bookmarkEnd w:id="130"/>
      <w:bookmarkEnd w:id="131"/>
    </w:p>
    <w:p w14:paraId="32E21CF7" w14:textId="77777777" w:rsidR="00FB6E18" w:rsidRDefault="00FB6E18" w:rsidP="00FB6E18">
      <w:bookmarkStart w:id="132" w:name="_Toc486490863"/>
      <w:bookmarkStart w:id="133" w:name="_Toc486580934"/>
      <w:r>
        <w:t xml:space="preserve">The base case labor cost for equipment </w:t>
      </w:r>
      <w:r w:rsidRPr="00B310F1">
        <w:rPr>
          <w:i/>
        </w:rPr>
        <w:t>delivered via direct install</w:t>
      </w:r>
      <w:r>
        <w:t xml:space="preserve"> is equal to $0.</w:t>
      </w:r>
    </w:p>
    <w:p w14:paraId="277DF437" w14:textId="77777777" w:rsidR="00FB6E18" w:rsidRDefault="00FB6E18" w:rsidP="00FB6E18">
      <w:r>
        <w:t xml:space="preserve">For </w:t>
      </w:r>
      <w:r w:rsidRPr="00B310F1">
        <w:rPr>
          <w:i/>
        </w:rPr>
        <w:t>all other delivery types</w:t>
      </w:r>
      <w:r>
        <w:t>, the base case and measure case model installation costs are expected to be the same for the customer and thus were not estimated for the incremental cost analysis.</w:t>
      </w:r>
    </w:p>
    <w:p w14:paraId="0BCFA118" w14:textId="77777777" w:rsidR="00955AD3" w:rsidRDefault="00955AD3" w:rsidP="007F1C38"/>
    <w:p w14:paraId="1B695685" w14:textId="6676AF31" w:rsidR="00C01622" w:rsidRPr="004B06E3" w:rsidRDefault="00C01622" w:rsidP="0049281A">
      <w:pPr>
        <w:pStyle w:val="eTRMHeading3"/>
      </w:pPr>
      <w:bookmarkStart w:id="134" w:name="_Toc528684440"/>
      <w:r>
        <w:t xml:space="preserve">Measure Case </w:t>
      </w:r>
      <w:r w:rsidRPr="004B06E3">
        <w:t>Labor Cost ($/unit)</w:t>
      </w:r>
      <w:bookmarkEnd w:id="134"/>
    </w:p>
    <w:p w14:paraId="5E4418BA" w14:textId="77777777" w:rsidR="00FB6E18" w:rsidRDefault="00FB6E18" w:rsidP="00FB6E18">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7EB824DC" w14:textId="77777777" w:rsidR="00FB6E18" w:rsidRDefault="00FB6E18" w:rsidP="00FB6E18">
      <w:r>
        <w:t xml:space="preserve">For </w:t>
      </w:r>
      <w:r w:rsidRPr="00C315A6">
        <w:rPr>
          <w:i/>
        </w:rPr>
        <w:t>all other delivery types</w:t>
      </w:r>
      <w:r>
        <w:t>, a high efficiency model</w:t>
      </w:r>
      <w:r w:rsidRPr="00C33CB0">
        <w:t xml:space="preserve"> </w:t>
      </w:r>
      <w:r>
        <w:t xml:space="preserve">does not </w:t>
      </w:r>
      <w:r w:rsidRPr="00C33CB0">
        <w:t xml:space="preserve">require additional </w:t>
      </w:r>
      <w:r>
        <w:t xml:space="preserve">installation </w:t>
      </w:r>
      <w:r w:rsidRPr="00C33CB0">
        <w:t xml:space="preserve">labor compared to </w:t>
      </w:r>
      <w:r>
        <w:t xml:space="preserve">a </w:t>
      </w:r>
      <w:r w:rsidRPr="00C33CB0">
        <w:t xml:space="preserve">base case </w:t>
      </w:r>
      <w:r>
        <w:t>model</w:t>
      </w:r>
      <w:r w:rsidRPr="00C33CB0">
        <w:t xml:space="preserve">. </w:t>
      </w:r>
      <w:r>
        <w:t>Since this measure is applicable for normal replacement and new construction installations, the base case and measure case model installation costs are expected to be the same for the customer and thus were not estimated for the incremental cost analysis.</w:t>
      </w:r>
    </w:p>
    <w:p w14:paraId="6DFE86E9" w14:textId="77777777" w:rsidR="007E22AE" w:rsidRDefault="007E22AE" w:rsidP="007F1C38"/>
    <w:p w14:paraId="60D9D7F6" w14:textId="6318C8D1" w:rsidR="007D230B" w:rsidRPr="004B06E3" w:rsidRDefault="004B06E3" w:rsidP="0049281A">
      <w:pPr>
        <w:pStyle w:val="eTRMHeading3"/>
      </w:pPr>
      <w:bookmarkStart w:id="135" w:name="_Toc528684441"/>
      <w:r>
        <w:t>Net-to-Gross</w:t>
      </w:r>
      <w:bookmarkEnd w:id="132"/>
      <w:bookmarkEnd w:id="133"/>
      <w:r w:rsidR="008D32AF">
        <w:t xml:space="preserve"> (NTG)</w:t>
      </w:r>
      <w:bookmarkEnd w:id="135"/>
    </w:p>
    <w:p w14:paraId="28E18116" w14:textId="4D3CDCD7" w:rsidR="007F1C38" w:rsidRPr="00C33CB0" w:rsidRDefault="00760C68" w:rsidP="007F1C38">
      <w:bookmarkStart w:id="136" w:name="_Hlk494309148"/>
      <w:r w:rsidRPr="00860FEC">
        <w:t xml:space="preserve">The net-to-gross (NTG) ratio represents the portion of gross impacts that are determined to be directly attributed to a specific program intervention. </w:t>
      </w:r>
      <w:bookmarkEnd w:id="136"/>
      <w:r w:rsidR="00DE4604" w:rsidRPr="00AF3038">
        <w:t xml:space="preserve">These NTG values are based upon the average of all NTG ratios for all evaluated 2006 – 2008 commercial, industrial, and agriculture programs, as documented in the 2011 DEER Update Study conducted by </w:t>
      </w:r>
      <w:proofErr w:type="spellStart"/>
      <w:r w:rsidR="00DE4604" w:rsidRPr="00AF3038">
        <w:t>Itron</w:t>
      </w:r>
      <w:proofErr w:type="spellEnd"/>
      <w:r w:rsidR="00DE4604" w:rsidRPr="00AF3038">
        <w:t xml:space="preserve">, Inc. These sector average NTGs (“default NTGs”) are applicable </w:t>
      </w:r>
      <w:r w:rsidR="00DE4604">
        <w:t xml:space="preserve">to </w:t>
      </w:r>
      <w:r w:rsidR="00DE4604" w:rsidRPr="00AF3038">
        <w:t xml:space="preserve">all energy efficiency measures that have been offered </w:t>
      </w:r>
      <w:r w:rsidR="00DE4604">
        <w:t>through</w:t>
      </w:r>
      <w:r w:rsidR="00DE4604" w:rsidRPr="00AF3038">
        <w:t xml:space="preserve"> commercial, industrial, and agriculture </w:t>
      </w:r>
      <w:r w:rsidR="00DE4604">
        <w:t xml:space="preserve">sector </w:t>
      </w:r>
      <w:r w:rsidR="00DE4604" w:rsidRPr="00AF3038">
        <w:t>programs for more than two years and for which impact evaluation results are not available.</w:t>
      </w:r>
      <w:r w:rsidR="00DE4604" w:rsidRPr="00765218">
        <w:t> </w:t>
      </w:r>
    </w:p>
    <w:p w14:paraId="6E21F26B" w14:textId="26872F1F" w:rsidR="007F1C38" w:rsidRPr="0059426D" w:rsidRDefault="007F1C38" w:rsidP="00AC5795">
      <w:pPr>
        <w:pStyle w:val="Caption"/>
      </w:pPr>
      <w:r>
        <w:t>Net-to-Gross Ratios</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1620"/>
        <w:gridCol w:w="4140"/>
      </w:tblGrid>
      <w:tr w:rsidR="0031433D" w:rsidRPr="00052C24" w14:paraId="4EBDB2B2" w14:textId="77777777" w:rsidTr="00021E0C">
        <w:tc>
          <w:tcPr>
            <w:tcW w:w="2070" w:type="dxa"/>
            <w:shd w:val="clear" w:color="auto" w:fill="F2F2F2" w:themeFill="background1" w:themeFillShade="F2"/>
            <w:vAlign w:val="bottom"/>
          </w:tcPr>
          <w:p w14:paraId="705F1B7F" w14:textId="77777777" w:rsidR="0031433D" w:rsidRPr="00052C24" w:rsidRDefault="0031433D" w:rsidP="008240F9">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0BAED073" w14:textId="524424F1" w:rsidR="0031433D" w:rsidRPr="00052C24" w:rsidRDefault="0031433D" w:rsidP="00021E0C">
            <w:pPr>
              <w:keepNext/>
              <w:keepLines/>
              <w:spacing w:before="0" w:after="0" w:line="200" w:lineRule="atLeast"/>
              <w:jc w:val="center"/>
              <w:rPr>
                <w:b/>
                <w:sz w:val="20"/>
              </w:rPr>
            </w:pPr>
            <w:r>
              <w:rPr>
                <w:b/>
                <w:sz w:val="20"/>
              </w:rPr>
              <w:t xml:space="preserve">Commercial Fryer – Electric  </w:t>
            </w:r>
          </w:p>
        </w:tc>
        <w:tc>
          <w:tcPr>
            <w:tcW w:w="1620" w:type="dxa"/>
            <w:shd w:val="clear" w:color="auto" w:fill="F2F2F2" w:themeFill="background1" w:themeFillShade="F2"/>
            <w:vAlign w:val="bottom"/>
          </w:tcPr>
          <w:p w14:paraId="4C7F8DCA" w14:textId="6A7EC6B5" w:rsidR="0031433D" w:rsidRPr="00052C24" w:rsidRDefault="0031433D" w:rsidP="00021E0C">
            <w:pPr>
              <w:keepNext/>
              <w:keepLines/>
              <w:spacing w:before="0" w:after="0" w:line="200" w:lineRule="atLeast"/>
              <w:jc w:val="center"/>
              <w:rPr>
                <w:b/>
                <w:sz w:val="20"/>
              </w:rPr>
            </w:pPr>
            <w:r>
              <w:rPr>
                <w:b/>
                <w:sz w:val="20"/>
              </w:rPr>
              <w:t xml:space="preserve">Commercial Fryer – Gas  </w:t>
            </w:r>
          </w:p>
        </w:tc>
        <w:tc>
          <w:tcPr>
            <w:tcW w:w="4140" w:type="dxa"/>
            <w:shd w:val="clear" w:color="auto" w:fill="F2F2F2" w:themeFill="background1" w:themeFillShade="F2"/>
            <w:vAlign w:val="bottom"/>
          </w:tcPr>
          <w:p w14:paraId="546F5932" w14:textId="77777777" w:rsidR="0031433D" w:rsidRDefault="0031433D" w:rsidP="00021E0C">
            <w:pPr>
              <w:keepNext/>
              <w:keepLines/>
              <w:spacing w:before="0" w:after="0" w:line="200" w:lineRule="atLeast"/>
              <w:jc w:val="center"/>
              <w:rPr>
                <w:b/>
                <w:sz w:val="20"/>
              </w:rPr>
            </w:pPr>
            <w:r>
              <w:rPr>
                <w:b/>
                <w:sz w:val="20"/>
              </w:rPr>
              <w:t>Source</w:t>
            </w:r>
          </w:p>
        </w:tc>
      </w:tr>
      <w:tr w:rsidR="00A62F27" w:rsidRPr="009062D0" w14:paraId="640BB7D1" w14:textId="77777777" w:rsidTr="008240F9">
        <w:trPr>
          <w:trHeight w:val="260"/>
        </w:trPr>
        <w:tc>
          <w:tcPr>
            <w:tcW w:w="2070" w:type="dxa"/>
            <w:vAlign w:val="center"/>
          </w:tcPr>
          <w:p w14:paraId="5E7D4734" w14:textId="77777777" w:rsidR="00A62F27" w:rsidRPr="009062D0" w:rsidRDefault="00A62F27" w:rsidP="00021E0C">
            <w:pPr>
              <w:keepNext/>
              <w:keepLines/>
              <w:spacing w:before="0" w:after="0" w:line="200" w:lineRule="atLeast"/>
              <w:rPr>
                <w:sz w:val="20"/>
              </w:rPr>
            </w:pPr>
            <w:r w:rsidRPr="009062D0">
              <w:rPr>
                <w:sz w:val="20"/>
              </w:rPr>
              <w:t>NTG – Commercial</w:t>
            </w:r>
          </w:p>
        </w:tc>
        <w:tc>
          <w:tcPr>
            <w:tcW w:w="1620" w:type="dxa"/>
            <w:shd w:val="clear" w:color="auto" w:fill="auto"/>
            <w:vAlign w:val="center"/>
          </w:tcPr>
          <w:p w14:paraId="07218F5A" w14:textId="77777777" w:rsidR="00A62F27" w:rsidRPr="00275CA0" w:rsidRDefault="00A62F27" w:rsidP="00021E0C">
            <w:pPr>
              <w:keepNext/>
              <w:keepLines/>
              <w:spacing w:before="0" w:after="0" w:line="200" w:lineRule="atLeast"/>
              <w:jc w:val="center"/>
              <w:rPr>
                <w:sz w:val="20"/>
              </w:rPr>
            </w:pPr>
            <w:r w:rsidRPr="00275CA0">
              <w:rPr>
                <w:sz w:val="20"/>
                <w:szCs w:val="20"/>
              </w:rPr>
              <w:t>0.60</w:t>
            </w:r>
          </w:p>
        </w:tc>
        <w:tc>
          <w:tcPr>
            <w:tcW w:w="1620" w:type="dxa"/>
            <w:vAlign w:val="center"/>
          </w:tcPr>
          <w:p w14:paraId="2D853408" w14:textId="77777777" w:rsidR="00A62F27" w:rsidRPr="00275CA0" w:rsidRDefault="00A62F27" w:rsidP="00021E0C">
            <w:pPr>
              <w:keepNext/>
              <w:keepLines/>
              <w:spacing w:before="0" w:after="0" w:line="200" w:lineRule="atLeast"/>
              <w:jc w:val="center"/>
              <w:rPr>
                <w:sz w:val="20"/>
              </w:rPr>
            </w:pPr>
            <w:r w:rsidRPr="00275CA0">
              <w:rPr>
                <w:sz w:val="20"/>
                <w:szCs w:val="20"/>
              </w:rPr>
              <w:t>0.60</w:t>
            </w:r>
          </w:p>
        </w:tc>
        <w:tc>
          <w:tcPr>
            <w:tcW w:w="4140" w:type="dxa"/>
            <w:vMerge w:val="restart"/>
            <w:vAlign w:val="center"/>
          </w:tcPr>
          <w:p w14:paraId="6A29E38E" w14:textId="7E8683DB" w:rsidR="00A62F27" w:rsidRPr="006D78A7" w:rsidRDefault="00A62F27" w:rsidP="00390B98">
            <w:pPr>
              <w:keepNext/>
              <w:keepLines/>
              <w:spacing w:before="0" w:after="0"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r w:rsidR="0031433D" w:rsidRPr="009062D0" w14:paraId="467D9FDD" w14:textId="77777777" w:rsidTr="008240F9">
        <w:tc>
          <w:tcPr>
            <w:tcW w:w="2070" w:type="dxa"/>
            <w:vAlign w:val="center"/>
          </w:tcPr>
          <w:p w14:paraId="3097C915" w14:textId="77777777" w:rsidR="0031433D" w:rsidRPr="009062D0" w:rsidRDefault="0031433D" w:rsidP="00021E0C">
            <w:pPr>
              <w:keepNext/>
              <w:keepLines/>
              <w:spacing w:before="0" w:after="0" w:line="200" w:lineRule="atLeast"/>
              <w:rPr>
                <w:sz w:val="20"/>
              </w:rPr>
            </w:pPr>
            <w:r w:rsidRPr="009062D0">
              <w:rPr>
                <w:sz w:val="20"/>
              </w:rPr>
              <w:t>NTG – Industrial</w:t>
            </w:r>
          </w:p>
        </w:tc>
        <w:tc>
          <w:tcPr>
            <w:tcW w:w="1620" w:type="dxa"/>
            <w:shd w:val="clear" w:color="auto" w:fill="auto"/>
            <w:vAlign w:val="center"/>
          </w:tcPr>
          <w:p w14:paraId="4A0A03A5"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1620" w:type="dxa"/>
            <w:vAlign w:val="center"/>
          </w:tcPr>
          <w:p w14:paraId="7D3AA2AF"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4140" w:type="dxa"/>
            <w:vMerge/>
            <w:vAlign w:val="center"/>
          </w:tcPr>
          <w:p w14:paraId="4D801A4B" w14:textId="77777777" w:rsidR="0031433D" w:rsidRPr="009062D0" w:rsidRDefault="0031433D" w:rsidP="00021E0C">
            <w:pPr>
              <w:keepNext/>
              <w:keepLines/>
              <w:spacing w:before="0" w:after="0" w:line="240" w:lineRule="auto"/>
              <w:rPr>
                <w:rFonts w:eastAsia="Times New Roman" w:cs="Times New Roman"/>
                <w:color w:val="000000"/>
                <w:sz w:val="18"/>
                <w:szCs w:val="18"/>
              </w:rPr>
            </w:pPr>
          </w:p>
        </w:tc>
      </w:tr>
      <w:tr w:rsidR="0031433D" w:rsidRPr="009062D0" w14:paraId="0CA379EF" w14:textId="77777777" w:rsidTr="008240F9">
        <w:tc>
          <w:tcPr>
            <w:tcW w:w="2070" w:type="dxa"/>
            <w:vAlign w:val="center"/>
          </w:tcPr>
          <w:p w14:paraId="5C6ABB59" w14:textId="77777777" w:rsidR="0031433D" w:rsidRPr="009062D0" w:rsidRDefault="0031433D" w:rsidP="00021E0C">
            <w:pPr>
              <w:keepNext/>
              <w:keepLines/>
              <w:spacing w:before="0" w:after="0" w:line="200" w:lineRule="atLeast"/>
              <w:rPr>
                <w:sz w:val="20"/>
              </w:rPr>
            </w:pPr>
            <w:r w:rsidRPr="009062D0">
              <w:rPr>
                <w:sz w:val="20"/>
              </w:rPr>
              <w:t>NTG - Agriculture</w:t>
            </w:r>
          </w:p>
        </w:tc>
        <w:tc>
          <w:tcPr>
            <w:tcW w:w="1620" w:type="dxa"/>
            <w:shd w:val="clear" w:color="auto" w:fill="auto"/>
            <w:vAlign w:val="center"/>
          </w:tcPr>
          <w:p w14:paraId="05A22BEA"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1620" w:type="dxa"/>
            <w:vAlign w:val="center"/>
          </w:tcPr>
          <w:p w14:paraId="397B56AC" w14:textId="77777777" w:rsidR="0031433D" w:rsidRPr="00275CA0" w:rsidRDefault="0031433D" w:rsidP="00021E0C">
            <w:pPr>
              <w:keepNext/>
              <w:keepLines/>
              <w:spacing w:before="0" w:after="0" w:line="200" w:lineRule="atLeast"/>
              <w:jc w:val="center"/>
              <w:rPr>
                <w:sz w:val="20"/>
              </w:rPr>
            </w:pPr>
            <w:r w:rsidRPr="00275CA0">
              <w:rPr>
                <w:sz w:val="20"/>
                <w:szCs w:val="20"/>
              </w:rPr>
              <w:t>0.60</w:t>
            </w:r>
          </w:p>
        </w:tc>
        <w:tc>
          <w:tcPr>
            <w:tcW w:w="4140" w:type="dxa"/>
            <w:vMerge/>
            <w:vAlign w:val="center"/>
          </w:tcPr>
          <w:p w14:paraId="4BB8D3D5" w14:textId="77777777" w:rsidR="0031433D" w:rsidRPr="009062D0" w:rsidRDefault="0031433D" w:rsidP="00021E0C">
            <w:pPr>
              <w:keepNext/>
              <w:keepLines/>
              <w:spacing w:before="0" w:after="0" w:line="240" w:lineRule="auto"/>
              <w:rPr>
                <w:sz w:val="18"/>
              </w:rPr>
            </w:pPr>
          </w:p>
        </w:tc>
      </w:tr>
    </w:tbl>
    <w:p w14:paraId="76897A59" w14:textId="77777777" w:rsidR="0031433D" w:rsidRPr="004B06E3" w:rsidRDefault="0031433D" w:rsidP="0031433D"/>
    <w:p w14:paraId="2DAAB57C" w14:textId="77777777" w:rsidR="007D230B" w:rsidRPr="004B06E3" w:rsidRDefault="008D32AF" w:rsidP="0049281A">
      <w:pPr>
        <w:pStyle w:val="eTRMHeading3"/>
      </w:pPr>
      <w:bookmarkStart w:id="137" w:name="_Toc486490864"/>
      <w:bookmarkStart w:id="138" w:name="_Toc486580935"/>
      <w:bookmarkStart w:id="139" w:name="_Toc528684442"/>
      <w:r>
        <w:t>Gross Savings Installation Adjustment (</w:t>
      </w:r>
      <w:r w:rsidR="007D230B" w:rsidRPr="004B06E3">
        <w:t>GSIA</w:t>
      </w:r>
      <w:bookmarkEnd w:id="137"/>
      <w:bookmarkEnd w:id="138"/>
      <w:r>
        <w:t>)</w:t>
      </w:r>
      <w:bookmarkEnd w:id="139"/>
      <w:r>
        <w:t xml:space="preserve"> </w:t>
      </w:r>
    </w:p>
    <w:p w14:paraId="3833AE53" w14:textId="4C02F71F" w:rsidR="00A62F27" w:rsidRDefault="00A62F27" w:rsidP="00A62F27">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31B3847D" w14:textId="171919C0" w:rsidR="00A62F27" w:rsidRPr="0059426D" w:rsidRDefault="00A62F27" w:rsidP="00AC5795">
      <w:pPr>
        <w:pStyle w:val="Caption"/>
      </w:pPr>
      <w:bookmarkStart w:id="140" w:name="_Hlk526880946"/>
      <w:bookmarkStart w:id="141" w:name="_Hlk526864321"/>
      <w:r>
        <w:lastRenderedPageBreak/>
        <w:t xml:space="preserve">Gross Savings Installation Adjustment </w:t>
      </w:r>
      <w:r w:rsidR="005828BC">
        <w:t>Rate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760"/>
      </w:tblGrid>
      <w:tr w:rsidR="00275CA0" w:rsidRPr="00052C24" w14:paraId="2723A98B" w14:textId="77777777" w:rsidTr="00275CA0">
        <w:tc>
          <w:tcPr>
            <w:tcW w:w="2070" w:type="dxa"/>
            <w:shd w:val="clear" w:color="auto" w:fill="F2F2F2" w:themeFill="background1" w:themeFillShade="F2"/>
            <w:vAlign w:val="bottom"/>
          </w:tcPr>
          <w:p w14:paraId="4EEE7D2F" w14:textId="77777777" w:rsidR="00275CA0" w:rsidRPr="00052C24" w:rsidRDefault="00275CA0" w:rsidP="008240F9">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36E9F7BA" w14:textId="758034EF" w:rsidR="00275CA0" w:rsidRPr="00052C24" w:rsidRDefault="00275CA0" w:rsidP="00153F57">
            <w:pPr>
              <w:keepNext/>
              <w:keepLines/>
              <w:spacing w:before="0" w:after="0" w:line="200" w:lineRule="atLeast"/>
              <w:jc w:val="center"/>
              <w:rPr>
                <w:b/>
                <w:sz w:val="20"/>
              </w:rPr>
            </w:pPr>
            <w:r>
              <w:rPr>
                <w:b/>
                <w:sz w:val="20"/>
              </w:rPr>
              <w:t>Value</w:t>
            </w:r>
          </w:p>
        </w:tc>
        <w:tc>
          <w:tcPr>
            <w:tcW w:w="5760" w:type="dxa"/>
            <w:shd w:val="clear" w:color="auto" w:fill="F2F2F2" w:themeFill="background1" w:themeFillShade="F2"/>
            <w:vAlign w:val="bottom"/>
          </w:tcPr>
          <w:p w14:paraId="48D17934" w14:textId="77777777" w:rsidR="00275CA0" w:rsidRDefault="00275CA0" w:rsidP="00153F57">
            <w:pPr>
              <w:keepNext/>
              <w:keepLines/>
              <w:spacing w:before="0" w:after="0" w:line="200" w:lineRule="atLeast"/>
              <w:jc w:val="center"/>
              <w:rPr>
                <w:b/>
                <w:sz w:val="20"/>
              </w:rPr>
            </w:pPr>
            <w:r>
              <w:rPr>
                <w:b/>
                <w:sz w:val="20"/>
              </w:rPr>
              <w:t>Source</w:t>
            </w:r>
          </w:p>
        </w:tc>
      </w:tr>
      <w:tr w:rsidR="00275CA0" w:rsidRPr="009062D0" w14:paraId="6299C062" w14:textId="77777777" w:rsidTr="00275CA0">
        <w:trPr>
          <w:trHeight w:val="260"/>
        </w:trPr>
        <w:tc>
          <w:tcPr>
            <w:tcW w:w="2070" w:type="dxa"/>
            <w:vAlign w:val="center"/>
          </w:tcPr>
          <w:p w14:paraId="1E2BF152" w14:textId="77777777" w:rsidR="00275CA0" w:rsidRPr="009062D0" w:rsidRDefault="00275CA0" w:rsidP="00153F57">
            <w:pPr>
              <w:keepNext/>
              <w:keepLines/>
              <w:spacing w:before="0" w:after="0" w:line="200" w:lineRule="atLeast"/>
              <w:rPr>
                <w:sz w:val="20"/>
              </w:rPr>
            </w:pPr>
            <w:r>
              <w:rPr>
                <w:sz w:val="20"/>
              </w:rPr>
              <w:t>GSIA</w:t>
            </w:r>
          </w:p>
        </w:tc>
        <w:tc>
          <w:tcPr>
            <w:tcW w:w="1620" w:type="dxa"/>
            <w:vAlign w:val="center"/>
          </w:tcPr>
          <w:p w14:paraId="1B006F0A" w14:textId="77777777" w:rsidR="00275CA0" w:rsidRPr="00DF0387" w:rsidRDefault="00275CA0" w:rsidP="00153F57">
            <w:pPr>
              <w:keepNext/>
              <w:keepLines/>
              <w:spacing w:before="0" w:after="0" w:line="200" w:lineRule="atLeast"/>
              <w:jc w:val="center"/>
              <w:rPr>
                <w:sz w:val="20"/>
              </w:rPr>
            </w:pPr>
            <w:r w:rsidRPr="00DF0387">
              <w:rPr>
                <w:sz w:val="20"/>
                <w:szCs w:val="20"/>
              </w:rPr>
              <w:t>1.0</w:t>
            </w:r>
          </w:p>
        </w:tc>
        <w:tc>
          <w:tcPr>
            <w:tcW w:w="5760" w:type="dxa"/>
            <w:vAlign w:val="center"/>
          </w:tcPr>
          <w:p w14:paraId="7AB09038" w14:textId="77777777" w:rsidR="00275CA0" w:rsidRPr="009062D0" w:rsidRDefault="00275CA0" w:rsidP="00153F57">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140"/>
    </w:tbl>
    <w:p w14:paraId="3F765C2C" w14:textId="77777777" w:rsidR="00A62F27" w:rsidRDefault="00A62F27" w:rsidP="00A62F27">
      <w:pPr>
        <w:rPr>
          <w:rFonts w:cs="Arial"/>
          <w:sz w:val="20"/>
          <w:szCs w:val="20"/>
        </w:rPr>
      </w:pPr>
    </w:p>
    <w:p w14:paraId="47C93EA4" w14:textId="0D5CC4F7" w:rsidR="00A23F2D" w:rsidRPr="004B06E3" w:rsidRDefault="00A23F2D" w:rsidP="0049281A">
      <w:pPr>
        <w:pStyle w:val="eTRMHeading3"/>
      </w:pPr>
      <w:bookmarkStart w:id="142" w:name="_Toc486490865"/>
      <w:bookmarkStart w:id="143" w:name="_Toc486580936"/>
      <w:bookmarkStart w:id="144" w:name="_Toc494369270"/>
      <w:bookmarkStart w:id="145" w:name="_Toc528684443"/>
      <w:bookmarkEnd w:id="141"/>
      <w:r w:rsidRPr="004B06E3">
        <w:t xml:space="preserve">Non-Energy </w:t>
      </w:r>
      <w:bookmarkEnd w:id="142"/>
      <w:bookmarkEnd w:id="143"/>
      <w:bookmarkEnd w:id="144"/>
      <w:r>
        <w:t>Impacts</w:t>
      </w:r>
      <w:bookmarkEnd w:id="145"/>
    </w:p>
    <w:p w14:paraId="0E74F0CC" w14:textId="77777777" w:rsidR="00A23F2D" w:rsidRDefault="00A23F2D" w:rsidP="00A23F2D">
      <w:r>
        <w:t>Non-energy impacts for this measure have not been quantified.</w:t>
      </w:r>
    </w:p>
    <w:p w14:paraId="6E5D43B2" w14:textId="148B1AFE" w:rsidR="005C43E2" w:rsidRDefault="005C43E2" w:rsidP="005C43E2"/>
    <w:p w14:paraId="249FCB61" w14:textId="77777777" w:rsidR="006C66ED" w:rsidRPr="004B06E3" w:rsidRDefault="006C66ED" w:rsidP="0049281A">
      <w:pPr>
        <w:pStyle w:val="eTRMHeading3"/>
      </w:pPr>
      <w:bookmarkStart w:id="146" w:name="_Toc494177557"/>
      <w:bookmarkStart w:id="147" w:name="_Toc528684444"/>
      <w:bookmarkStart w:id="148" w:name="_Hlk494283790"/>
      <w:bookmarkStart w:id="149" w:name="_Hlk494353329"/>
      <w:r>
        <w:t>DEER Differences Analysis</w:t>
      </w:r>
      <w:bookmarkEnd w:id="146"/>
      <w:bookmarkEnd w:id="147"/>
    </w:p>
    <w:p w14:paraId="320A81F5" w14:textId="077AEF2F" w:rsidR="006C66ED" w:rsidRDefault="00DE66C5" w:rsidP="006C66ED">
      <w:bookmarkStart w:id="150" w:name="_Hlk526856348"/>
      <w:r>
        <w:t>The table below</w:t>
      </w:r>
      <w:r w:rsidR="008240F9">
        <w:t xml:space="preserve"> </w:t>
      </w:r>
      <w:r>
        <w:t>summarizes the</w:t>
      </w:r>
      <w:r w:rsidR="008240F9">
        <w:t xml:space="preserve"> inputs and methods </w:t>
      </w:r>
      <w:r w:rsidR="00C01622">
        <w:t>that are</w:t>
      </w:r>
      <w:r>
        <w:t xml:space="preserve"> and </w:t>
      </w:r>
      <w:r w:rsidR="00C01622">
        <w:t xml:space="preserve">are not </w:t>
      </w:r>
      <w:r w:rsidR="008240F9">
        <w:t>based upon the Database for Energy Efficient Resources (DEER).</w:t>
      </w:r>
    </w:p>
    <w:bookmarkEnd w:id="150"/>
    <w:p w14:paraId="5828720A" w14:textId="42BA22C8" w:rsidR="006C66ED" w:rsidRPr="00920905" w:rsidRDefault="006C66ED" w:rsidP="00AC5795">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6C66ED" w:rsidRPr="00500C4E" w14:paraId="0681AC2D" w14:textId="77777777" w:rsidTr="003E6901">
        <w:trPr>
          <w:trHeight w:val="20"/>
          <w:tblHeader/>
        </w:trPr>
        <w:tc>
          <w:tcPr>
            <w:tcW w:w="1730" w:type="pct"/>
            <w:shd w:val="clear" w:color="auto" w:fill="F2F2F2" w:themeFill="background1" w:themeFillShade="F2"/>
          </w:tcPr>
          <w:p w14:paraId="22ABC1E7" w14:textId="77777777" w:rsidR="006C66ED" w:rsidRPr="00EA057C" w:rsidRDefault="006C66ED" w:rsidP="00275CA0">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323A6D59" w14:textId="77777777" w:rsidR="006C66ED" w:rsidRPr="00EA057C" w:rsidRDefault="006C66ED" w:rsidP="00275CA0">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6C66ED" w:rsidRPr="00500C4E" w14:paraId="3EC74AFD" w14:textId="77777777" w:rsidTr="008F7E81">
        <w:trPr>
          <w:trHeight w:val="20"/>
        </w:trPr>
        <w:tc>
          <w:tcPr>
            <w:tcW w:w="1730" w:type="pct"/>
          </w:tcPr>
          <w:p w14:paraId="37B700B5" w14:textId="77777777" w:rsidR="006C66ED" w:rsidRPr="00EA057C" w:rsidRDefault="006C66ED" w:rsidP="00275CA0">
            <w:pPr>
              <w:spacing w:before="20" w:after="20"/>
              <w:rPr>
                <w:rFonts w:cs="Arial"/>
                <w:sz w:val="20"/>
                <w:szCs w:val="20"/>
              </w:rPr>
            </w:pPr>
            <w:r w:rsidRPr="00EA057C">
              <w:rPr>
                <w:rFonts w:cs="Arial"/>
                <w:sz w:val="20"/>
                <w:szCs w:val="20"/>
              </w:rPr>
              <w:t>Modified DEER methodology</w:t>
            </w:r>
          </w:p>
        </w:tc>
        <w:tc>
          <w:tcPr>
            <w:tcW w:w="3270" w:type="pct"/>
          </w:tcPr>
          <w:p w14:paraId="02A2E8BD" w14:textId="4D4740F1"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48E36A37" w14:textId="77777777" w:rsidTr="008F7E81">
        <w:trPr>
          <w:trHeight w:val="20"/>
        </w:trPr>
        <w:tc>
          <w:tcPr>
            <w:tcW w:w="1730" w:type="pct"/>
          </w:tcPr>
          <w:p w14:paraId="7E94ABD1" w14:textId="77777777" w:rsidR="006C66ED" w:rsidRPr="00EA057C" w:rsidRDefault="006C66ED" w:rsidP="00275CA0">
            <w:pPr>
              <w:spacing w:before="20" w:after="20"/>
              <w:rPr>
                <w:rFonts w:cs="Arial"/>
                <w:sz w:val="20"/>
                <w:szCs w:val="20"/>
              </w:rPr>
            </w:pPr>
            <w:r w:rsidRPr="00EA057C">
              <w:rPr>
                <w:rFonts w:cs="Arial"/>
                <w:sz w:val="20"/>
                <w:szCs w:val="20"/>
              </w:rPr>
              <w:t>Scaled DEER measure</w:t>
            </w:r>
          </w:p>
        </w:tc>
        <w:tc>
          <w:tcPr>
            <w:tcW w:w="3270" w:type="pct"/>
          </w:tcPr>
          <w:p w14:paraId="289074F4" w14:textId="49C631B9"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010879DE" w14:textId="77777777" w:rsidTr="008F7E81">
        <w:trPr>
          <w:trHeight w:val="20"/>
        </w:trPr>
        <w:tc>
          <w:tcPr>
            <w:tcW w:w="1730" w:type="pct"/>
          </w:tcPr>
          <w:p w14:paraId="576E94F3" w14:textId="77777777" w:rsidR="006C66ED" w:rsidRPr="00EA057C" w:rsidRDefault="006C66ED" w:rsidP="00275CA0">
            <w:pPr>
              <w:spacing w:before="20" w:after="20"/>
              <w:rPr>
                <w:rFonts w:cs="Arial"/>
                <w:sz w:val="20"/>
                <w:szCs w:val="20"/>
              </w:rPr>
            </w:pPr>
            <w:r w:rsidRPr="00EA057C">
              <w:rPr>
                <w:rFonts w:cs="Arial"/>
                <w:sz w:val="20"/>
                <w:szCs w:val="20"/>
              </w:rPr>
              <w:t>DEER Base Case</w:t>
            </w:r>
          </w:p>
        </w:tc>
        <w:tc>
          <w:tcPr>
            <w:tcW w:w="3270" w:type="pct"/>
          </w:tcPr>
          <w:p w14:paraId="4855075E" w14:textId="545BB3A3" w:rsidR="006C66ED" w:rsidRPr="00E940AA" w:rsidRDefault="00156D1A" w:rsidP="00275CA0">
            <w:pPr>
              <w:spacing w:before="20" w:after="20"/>
              <w:rPr>
                <w:rFonts w:cs="Arial"/>
                <w:sz w:val="20"/>
                <w:szCs w:val="20"/>
              </w:rPr>
            </w:pPr>
            <w:r>
              <w:rPr>
                <w:rFonts w:cs="Arial"/>
                <w:sz w:val="20"/>
                <w:szCs w:val="20"/>
              </w:rPr>
              <w:t>No</w:t>
            </w:r>
          </w:p>
        </w:tc>
      </w:tr>
      <w:tr w:rsidR="006C66ED" w:rsidRPr="00500C4E" w14:paraId="047BA2F8" w14:textId="77777777" w:rsidTr="008F7E81">
        <w:trPr>
          <w:trHeight w:val="20"/>
        </w:trPr>
        <w:tc>
          <w:tcPr>
            <w:tcW w:w="1730" w:type="pct"/>
          </w:tcPr>
          <w:p w14:paraId="3D37EF86" w14:textId="77777777" w:rsidR="006C66ED" w:rsidRPr="00EA057C" w:rsidRDefault="006C66ED" w:rsidP="00275CA0">
            <w:pPr>
              <w:spacing w:before="20" w:after="20"/>
              <w:rPr>
                <w:rFonts w:cs="Arial"/>
                <w:sz w:val="20"/>
                <w:szCs w:val="20"/>
              </w:rPr>
            </w:pPr>
            <w:r w:rsidRPr="00EA057C">
              <w:rPr>
                <w:rFonts w:cs="Arial"/>
                <w:sz w:val="20"/>
                <w:szCs w:val="20"/>
              </w:rPr>
              <w:t>DEER Measure Case</w:t>
            </w:r>
          </w:p>
        </w:tc>
        <w:tc>
          <w:tcPr>
            <w:tcW w:w="3270" w:type="pct"/>
          </w:tcPr>
          <w:p w14:paraId="25ECB229" w14:textId="7F16008D" w:rsidR="006C66ED" w:rsidRPr="00E940AA" w:rsidRDefault="00156D1A" w:rsidP="00275CA0">
            <w:pPr>
              <w:spacing w:before="20" w:after="20"/>
              <w:rPr>
                <w:rFonts w:cs="Arial"/>
                <w:sz w:val="20"/>
                <w:szCs w:val="20"/>
              </w:rPr>
            </w:pPr>
            <w:r>
              <w:rPr>
                <w:rFonts w:cs="Arial"/>
                <w:sz w:val="20"/>
                <w:szCs w:val="20"/>
              </w:rPr>
              <w:t>No</w:t>
            </w:r>
          </w:p>
        </w:tc>
      </w:tr>
      <w:tr w:rsidR="006C66ED" w:rsidRPr="00500C4E" w14:paraId="6D6A47A8" w14:textId="77777777" w:rsidTr="008F7E81">
        <w:trPr>
          <w:trHeight w:val="20"/>
        </w:trPr>
        <w:tc>
          <w:tcPr>
            <w:tcW w:w="1730" w:type="pct"/>
          </w:tcPr>
          <w:p w14:paraId="1627AFEE" w14:textId="77777777" w:rsidR="006C66ED" w:rsidRPr="00EA057C" w:rsidRDefault="006C66ED" w:rsidP="00275CA0">
            <w:pPr>
              <w:spacing w:before="20" w:after="20"/>
              <w:rPr>
                <w:rFonts w:cs="Arial"/>
                <w:sz w:val="20"/>
                <w:szCs w:val="20"/>
              </w:rPr>
            </w:pPr>
            <w:r w:rsidRPr="00EA057C">
              <w:rPr>
                <w:rFonts w:cs="Arial"/>
                <w:sz w:val="20"/>
                <w:szCs w:val="20"/>
              </w:rPr>
              <w:t>DEER Building Types</w:t>
            </w:r>
          </w:p>
        </w:tc>
        <w:tc>
          <w:tcPr>
            <w:tcW w:w="3270" w:type="pct"/>
          </w:tcPr>
          <w:p w14:paraId="0B94FAE8" w14:textId="4A67D50D" w:rsidR="006C66ED" w:rsidRPr="00E940AA" w:rsidRDefault="00E940AA" w:rsidP="00275CA0">
            <w:pPr>
              <w:spacing w:before="20" w:after="20"/>
              <w:rPr>
                <w:rFonts w:cs="Arial"/>
                <w:sz w:val="20"/>
                <w:szCs w:val="20"/>
              </w:rPr>
            </w:pPr>
            <w:r w:rsidRPr="00E940AA">
              <w:rPr>
                <w:rFonts w:cs="Arial"/>
                <w:sz w:val="20"/>
                <w:szCs w:val="20"/>
              </w:rPr>
              <w:t>No</w:t>
            </w:r>
          </w:p>
        </w:tc>
      </w:tr>
      <w:tr w:rsidR="006C66ED" w:rsidRPr="00500C4E" w14:paraId="09733675" w14:textId="77777777" w:rsidTr="008F7E81">
        <w:trPr>
          <w:trHeight w:val="20"/>
        </w:trPr>
        <w:tc>
          <w:tcPr>
            <w:tcW w:w="1730" w:type="pct"/>
          </w:tcPr>
          <w:p w14:paraId="214BECC6" w14:textId="77777777" w:rsidR="006C66ED" w:rsidRPr="00EA057C" w:rsidRDefault="006C66ED" w:rsidP="00275CA0">
            <w:pPr>
              <w:spacing w:before="20" w:after="20"/>
              <w:rPr>
                <w:rFonts w:cs="Arial"/>
                <w:sz w:val="20"/>
                <w:szCs w:val="20"/>
              </w:rPr>
            </w:pPr>
            <w:r w:rsidRPr="00EA057C">
              <w:rPr>
                <w:rFonts w:cs="Arial"/>
                <w:sz w:val="20"/>
                <w:szCs w:val="20"/>
              </w:rPr>
              <w:t>DEER Operating Hours</w:t>
            </w:r>
          </w:p>
        </w:tc>
        <w:tc>
          <w:tcPr>
            <w:tcW w:w="3270" w:type="pct"/>
          </w:tcPr>
          <w:p w14:paraId="78C71B67" w14:textId="0F10B484" w:rsidR="006C66ED" w:rsidRPr="00E940AA" w:rsidRDefault="00156D1A" w:rsidP="00275CA0">
            <w:pPr>
              <w:spacing w:before="20" w:after="20"/>
              <w:rPr>
                <w:rFonts w:cs="Arial"/>
                <w:sz w:val="20"/>
                <w:szCs w:val="20"/>
              </w:rPr>
            </w:pPr>
            <w:r>
              <w:rPr>
                <w:rFonts w:cs="Arial"/>
                <w:sz w:val="20"/>
                <w:szCs w:val="20"/>
              </w:rPr>
              <w:t>No</w:t>
            </w:r>
          </w:p>
        </w:tc>
      </w:tr>
      <w:tr w:rsidR="006C66ED" w:rsidRPr="00500C4E" w14:paraId="14755A63" w14:textId="77777777" w:rsidTr="008F7E81">
        <w:trPr>
          <w:trHeight w:val="20"/>
        </w:trPr>
        <w:tc>
          <w:tcPr>
            <w:tcW w:w="1730" w:type="pct"/>
          </w:tcPr>
          <w:p w14:paraId="23FCD9AF" w14:textId="77777777" w:rsidR="006C66ED" w:rsidRPr="00EA057C" w:rsidRDefault="006C66ED" w:rsidP="00275CA0">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637C460" w14:textId="3DF96773" w:rsidR="006C66ED" w:rsidRPr="00E940AA" w:rsidDel="00505CEC" w:rsidRDefault="00156D1A" w:rsidP="00275CA0">
            <w:pPr>
              <w:spacing w:before="20" w:after="20"/>
              <w:rPr>
                <w:rFonts w:cs="Arial"/>
                <w:sz w:val="20"/>
                <w:szCs w:val="20"/>
              </w:rPr>
            </w:pPr>
            <w:r>
              <w:rPr>
                <w:rFonts w:cs="Arial"/>
                <w:sz w:val="20"/>
                <w:szCs w:val="20"/>
              </w:rPr>
              <w:t>No</w:t>
            </w:r>
          </w:p>
        </w:tc>
      </w:tr>
      <w:tr w:rsidR="006C66ED" w:rsidRPr="00500C4E" w14:paraId="20870AD4" w14:textId="77777777" w:rsidTr="008F7E81">
        <w:trPr>
          <w:trHeight w:val="180"/>
        </w:trPr>
        <w:tc>
          <w:tcPr>
            <w:tcW w:w="1730" w:type="pct"/>
          </w:tcPr>
          <w:p w14:paraId="751954B0" w14:textId="77777777" w:rsidR="006C66ED" w:rsidRPr="00EA057C" w:rsidRDefault="006C66ED" w:rsidP="00275CA0">
            <w:pPr>
              <w:spacing w:before="20" w:after="20"/>
              <w:rPr>
                <w:rFonts w:cs="Arial"/>
                <w:sz w:val="20"/>
                <w:szCs w:val="20"/>
              </w:rPr>
            </w:pPr>
            <w:r w:rsidRPr="00EA057C">
              <w:rPr>
                <w:rFonts w:cs="Arial"/>
                <w:sz w:val="20"/>
                <w:szCs w:val="20"/>
              </w:rPr>
              <w:t>DEER Version</w:t>
            </w:r>
          </w:p>
        </w:tc>
        <w:tc>
          <w:tcPr>
            <w:tcW w:w="3270" w:type="pct"/>
          </w:tcPr>
          <w:p w14:paraId="67D2E423" w14:textId="2ACD7F9F" w:rsidR="006C66ED" w:rsidRPr="00E940AA" w:rsidRDefault="00E940AA" w:rsidP="00275CA0">
            <w:pPr>
              <w:spacing w:before="20" w:after="20"/>
              <w:rPr>
                <w:rFonts w:cs="Arial"/>
                <w:sz w:val="20"/>
                <w:szCs w:val="20"/>
              </w:rPr>
            </w:pPr>
            <w:r w:rsidRPr="00E940AA">
              <w:rPr>
                <w:rFonts w:cs="Arial"/>
                <w:sz w:val="20"/>
                <w:szCs w:val="20"/>
              </w:rPr>
              <w:t>n/a</w:t>
            </w:r>
          </w:p>
        </w:tc>
      </w:tr>
      <w:tr w:rsidR="006C66ED" w:rsidRPr="00500C4E" w14:paraId="37175C5E" w14:textId="77777777" w:rsidTr="008F7E81">
        <w:trPr>
          <w:trHeight w:val="20"/>
        </w:trPr>
        <w:tc>
          <w:tcPr>
            <w:tcW w:w="1730" w:type="pct"/>
          </w:tcPr>
          <w:p w14:paraId="77B72102" w14:textId="77777777" w:rsidR="006C66ED" w:rsidRPr="00EA057C" w:rsidRDefault="006C66ED" w:rsidP="00275CA0">
            <w:pPr>
              <w:spacing w:before="20" w:after="20"/>
              <w:rPr>
                <w:rFonts w:cs="Arial"/>
                <w:sz w:val="20"/>
                <w:szCs w:val="20"/>
              </w:rPr>
            </w:pPr>
            <w:r w:rsidRPr="00EA057C">
              <w:rPr>
                <w:rFonts w:cs="Arial"/>
                <w:sz w:val="20"/>
                <w:szCs w:val="20"/>
              </w:rPr>
              <w:t>Reason for Deviation from DEER</w:t>
            </w:r>
          </w:p>
        </w:tc>
        <w:tc>
          <w:tcPr>
            <w:tcW w:w="3270" w:type="pct"/>
          </w:tcPr>
          <w:p w14:paraId="477A3A32" w14:textId="59974E3C" w:rsidR="006C66ED" w:rsidRPr="00E940AA" w:rsidRDefault="00E940AA" w:rsidP="00275CA0">
            <w:pPr>
              <w:spacing w:before="20" w:after="20"/>
              <w:rPr>
                <w:rFonts w:cs="Arial"/>
                <w:sz w:val="20"/>
                <w:szCs w:val="20"/>
              </w:rPr>
            </w:pPr>
            <w:r w:rsidRPr="00E940AA">
              <w:rPr>
                <w:rFonts w:cs="Arial"/>
                <w:sz w:val="20"/>
                <w:szCs w:val="20"/>
              </w:rPr>
              <w:t>DEER 20</w:t>
            </w:r>
            <w:r w:rsidR="0009672C">
              <w:rPr>
                <w:rFonts w:cs="Arial"/>
                <w:sz w:val="20"/>
                <w:szCs w:val="20"/>
              </w:rPr>
              <w:t>20</w:t>
            </w:r>
            <w:r w:rsidRPr="00E940AA">
              <w:rPr>
                <w:rFonts w:cs="Arial"/>
                <w:sz w:val="20"/>
                <w:szCs w:val="20"/>
              </w:rPr>
              <w:t xml:space="preserve"> does not contain these measures.</w:t>
            </w:r>
          </w:p>
        </w:tc>
      </w:tr>
      <w:tr w:rsidR="006C66ED" w:rsidRPr="00500C4E" w14:paraId="470510B7" w14:textId="77777777" w:rsidTr="008F7E81">
        <w:trPr>
          <w:trHeight w:val="20"/>
        </w:trPr>
        <w:tc>
          <w:tcPr>
            <w:tcW w:w="1730" w:type="pct"/>
          </w:tcPr>
          <w:p w14:paraId="163F5193" w14:textId="77777777" w:rsidR="006C66ED" w:rsidRPr="00EA057C" w:rsidRDefault="006C66ED" w:rsidP="00275CA0">
            <w:pPr>
              <w:spacing w:before="20" w:after="20"/>
              <w:rPr>
                <w:rFonts w:cs="Arial"/>
                <w:sz w:val="20"/>
                <w:szCs w:val="20"/>
              </w:rPr>
            </w:pPr>
            <w:r w:rsidRPr="00EA057C">
              <w:rPr>
                <w:rFonts w:cs="Arial"/>
                <w:sz w:val="20"/>
                <w:szCs w:val="20"/>
              </w:rPr>
              <w:t>DEER Measure IDs Used</w:t>
            </w:r>
          </w:p>
        </w:tc>
        <w:tc>
          <w:tcPr>
            <w:tcW w:w="3270" w:type="pct"/>
          </w:tcPr>
          <w:p w14:paraId="16293C90" w14:textId="6BC4A3C0" w:rsidR="006C66ED" w:rsidRPr="00E940AA" w:rsidRDefault="00E940AA" w:rsidP="00275CA0">
            <w:pPr>
              <w:spacing w:before="20" w:after="20"/>
              <w:rPr>
                <w:rFonts w:cs="Arial"/>
                <w:sz w:val="20"/>
                <w:szCs w:val="20"/>
              </w:rPr>
            </w:pPr>
            <w:r w:rsidRPr="00E940AA">
              <w:rPr>
                <w:rFonts w:cs="Arial"/>
                <w:sz w:val="20"/>
                <w:szCs w:val="20"/>
              </w:rPr>
              <w:t>n/a</w:t>
            </w:r>
          </w:p>
        </w:tc>
      </w:tr>
      <w:tr w:rsidR="006C66ED" w:rsidRPr="00500C4E" w14:paraId="7101963B" w14:textId="77777777" w:rsidTr="008F7E81">
        <w:trPr>
          <w:trHeight w:val="20"/>
        </w:trPr>
        <w:tc>
          <w:tcPr>
            <w:tcW w:w="1730" w:type="pct"/>
          </w:tcPr>
          <w:p w14:paraId="285F235C" w14:textId="77777777" w:rsidR="006C66ED" w:rsidRPr="00EA057C" w:rsidRDefault="006C66ED" w:rsidP="00275CA0">
            <w:pPr>
              <w:spacing w:before="20" w:after="20"/>
              <w:rPr>
                <w:rFonts w:cs="Arial"/>
                <w:sz w:val="20"/>
                <w:szCs w:val="20"/>
              </w:rPr>
            </w:pPr>
            <w:r>
              <w:rPr>
                <w:rFonts w:cs="Arial"/>
                <w:sz w:val="20"/>
                <w:szCs w:val="20"/>
              </w:rPr>
              <w:t>NTG</w:t>
            </w:r>
          </w:p>
        </w:tc>
        <w:tc>
          <w:tcPr>
            <w:tcW w:w="3270" w:type="pct"/>
          </w:tcPr>
          <w:p w14:paraId="64DC42F5" w14:textId="547B4D64" w:rsidR="006C66ED" w:rsidRPr="00EA057C" w:rsidRDefault="00E940AA" w:rsidP="00275CA0">
            <w:pPr>
              <w:spacing w:before="20" w:after="20"/>
              <w:rPr>
                <w:rFonts w:cs="Arial"/>
                <w:sz w:val="20"/>
                <w:szCs w:val="20"/>
              </w:rPr>
            </w:pPr>
            <w:r>
              <w:rPr>
                <w:rFonts w:eastAsia="Times New Roman"/>
                <w:sz w:val="20"/>
                <w:szCs w:val="20"/>
              </w:rPr>
              <w:t xml:space="preserve">Source: </w:t>
            </w:r>
            <w:r w:rsidRPr="007B7761">
              <w:rPr>
                <w:rFonts w:eastAsia="Times New Roman"/>
                <w:sz w:val="20"/>
                <w:szCs w:val="20"/>
              </w:rPr>
              <w:t xml:space="preserve">DEER </w:t>
            </w:r>
            <w:r w:rsidR="007B7761" w:rsidRPr="007B7761">
              <w:rPr>
                <w:rFonts w:eastAsia="Times New Roman"/>
                <w:sz w:val="20"/>
                <w:szCs w:val="20"/>
              </w:rPr>
              <w:t>2011</w:t>
            </w:r>
            <w:r w:rsidR="004B28EE">
              <w:rPr>
                <w:rFonts w:eastAsia="Times New Roman"/>
                <w:sz w:val="20"/>
                <w:szCs w:val="20"/>
              </w:rPr>
              <w:t xml:space="preserve"> </w:t>
            </w:r>
            <w:r w:rsidR="00BF6542">
              <w:rPr>
                <w:rFonts w:eastAsia="Times New Roman"/>
                <w:sz w:val="20"/>
                <w:szCs w:val="20"/>
              </w:rPr>
              <w:t>/</w:t>
            </w:r>
            <w:r w:rsidR="004B28EE">
              <w:rPr>
                <w:rFonts w:eastAsia="Times New Roman"/>
                <w:sz w:val="20"/>
                <w:szCs w:val="20"/>
              </w:rPr>
              <w:t xml:space="preserve"> DEER 2016.</w:t>
            </w:r>
            <w:r>
              <w:rPr>
                <w:rFonts w:eastAsia="Times New Roman"/>
                <w:sz w:val="20"/>
                <w:szCs w:val="20"/>
              </w:rPr>
              <w:t xml:space="preserve"> </w:t>
            </w:r>
            <w:r w:rsidR="002E3CE4">
              <w:rPr>
                <w:sz w:val="20"/>
                <w:szCs w:val="22"/>
              </w:rPr>
              <w:t xml:space="preserve">NTG of 0.60 is associated with </w:t>
            </w:r>
            <w:r w:rsidR="002E3CE4" w:rsidRPr="00D45DA4">
              <w:rPr>
                <w:sz w:val="20"/>
                <w:szCs w:val="22"/>
              </w:rPr>
              <w:t xml:space="preserve">NTG ID:  </w:t>
            </w:r>
            <w:r w:rsidR="002E3CE4" w:rsidRPr="00D45DA4">
              <w:rPr>
                <w:rFonts w:cs="Arial"/>
                <w:i/>
                <w:sz w:val="20"/>
                <w:szCs w:val="22"/>
              </w:rPr>
              <w:t>Com-Default&gt;2yrs</w:t>
            </w:r>
            <w:r w:rsidR="002E3CE4">
              <w:rPr>
                <w:sz w:val="20"/>
                <w:szCs w:val="22"/>
              </w:rPr>
              <w:t xml:space="preserve">, </w:t>
            </w:r>
            <w:r w:rsidR="002E3CE4" w:rsidRPr="003830E7">
              <w:rPr>
                <w:i/>
                <w:sz w:val="20"/>
                <w:szCs w:val="22"/>
              </w:rPr>
              <w:t>Ag-Default</w:t>
            </w:r>
            <w:r w:rsidR="002E3CE4">
              <w:rPr>
                <w:i/>
                <w:sz w:val="20"/>
                <w:szCs w:val="22"/>
              </w:rPr>
              <w:t>&gt;</w:t>
            </w:r>
            <w:r w:rsidR="002E3CE4" w:rsidRPr="003830E7">
              <w:rPr>
                <w:i/>
                <w:sz w:val="20"/>
                <w:szCs w:val="22"/>
              </w:rPr>
              <w:t>2yrs</w:t>
            </w:r>
            <w:r w:rsidR="002E3CE4">
              <w:rPr>
                <w:sz w:val="20"/>
                <w:szCs w:val="22"/>
              </w:rPr>
              <w:t xml:space="preserve">, </w:t>
            </w:r>
            <w:r w:rsidR="002E3CE4" w:rsidRPr="003830E7">
              <w:rPr>
                <w:i/>
                <w:sz w:val="20"/>
                <w:szCs w:val="22"/>
              </w:rPr>
              <w:t>Ind-Default&gt;2yrs</w:t>
            </w:r>
          </w:p>
        </w:tc>
      </w:tr>
      <w:tr w:rsidR="006C66ED" w:rsidRPr="00500C4E" w14:paraId="450B1061" w14:textId="77777777" w:rsidTr="008F7E81">
        <w:trPr>
          <w:trHeight w:val="20"/>
        </w:trPr>
        <w:tc>
          <w:tcPr>
            <w:tcW w:w="1730" w:type="pct"/>
          </w:tcPr>
          <w:p w14:paraId="64ED3E7B" w14:textId="77777777" w:rsidR="006C66ED" w:rsidRDefault="006C66ED" w:rsidP="00275CA0">
            <w:pPr>
              <w:spacing w:before="20" w:after="20"/>
              <w:rPr>
                <w:rFonts w:cs="Arial"/>
                <w:sz w:val="20"/>
                <w:szCs w:val="20"/>
              </w:rPr>
            </w:pPr>
            <w:r>
              <w:rPr>
                <w:rFonts w:cs="Arial"/>
                <w:sz w:val="20"/>
                <w:szCs w:val="20"/>
              </w:rPr>
              <w:t>GSIA</w:t>
            </w:r>
          </w:p>
        </w:tc>
        <w:tc>
          <w:tcPr>
            <w:tcW w:w="3270" w:type="pct"/>
          </w:tcPr>
          <w:p w14:paraId="7C82E7FF" w14:textId="58E77FA3" w:rsidR="006C66ED" w:rsidRPr="00EA057C" w:rsidRDefault="00E940AA" w:rsidP="00275CA0">
            <w:pPr>
              <w:spacing w:before="20" w:after="20"/>
              <w:rPr>
                <w:rFonts w:cs="Arial"/>
                <w:sz w:val="20"/>
                <w:szCs w:val="20"/>
              </w:rPr>
            </w:pPr>
            <w:r>
              <w:rPr>
                <w:rFonts w:cs="Arial"/>
                <w:sz w:val="20"/>
                <w:szCs w:val="20"/>
              </w:rPr>
              <w:t xml:space="preserve">Source: DEER. The value of 1.0 is associated with GSIA ID: </w:t>
            </w:r>
            <w:r>
              <w:rPr>
                <w:rFonts w:cs="Arial"/>
                <w:i/>
                <w:iCs/>
                <w:sz w:val="20"/>
                <w:szCs w:val="20"/>
              </w:rPr>
              <w:t>Def-GSIA</w:t>
            </w:r>
          </w:p>
        </w:tc>
      </w:tr>
      <w:tr w:rsidR="006C66ED" w:rsidRPr="00500C4E" w14:paraId="3621B156" w14:textId="77777777" w:rsidTr="008F7E81">
        <w:trPr>
          <w:trHeight w:val="20"/>
        </w:trPr>
        <w:tc>
          <w:tcPr>
            <w:tcW w:w="1730" w:type="pct"/>
          </w:tcPr>
          <w:p w14:paraId="5480450F" w14:textId="77777777" w:rsidR="006C66ED" w:rsidRDefault="006C66ED" w:rsidP="00275CA0">
            <w:pPr>
              <w:spacing w:before="20" w:after="20"/>
              <w:rPr>
                <w:rFonts w:cs="Arial"/>
                <w:sz w:val="20"/>
                <w:szCs w:val="20"/>
              </w:rPr>
            </w:pPr>
            <w:r>
              <w:rPr>
                <w:rFonts w:cs="Arial"/>
                <w:sz w:val="20"/>
                <w:szCs w:val="20"/>
              </w:rPr>
              <w:t>EUL/RUL</w:t>
            </w:r>
          </w:p>
        </w:tc>
        <w:tc>
          <w:tcPr>
            <w:tcW w:w="3270" w:type="pct"/>
          </w:tcPr>
          <w:p w14:paraId="57E638E6" w14:textId="7B62806B" w:rsidR="006C66ED" w:rsidRPr="007B7761" w:rsidRDefault="00E940AA" w:rsidP="00275CA0">
            <w:pPr>
              <w:spacing w:before="20" w:after="20"/>
              <w:rPr>
                <w:rFonts w:cs="Calibri Light"/>
                <w:sz w:val="20"/>
                <w:szCs w:val="20"/>
              </w:rPr>
            </w:pPr>
            <w:r w:rsidRPr="007B7761">
              <w:rPr>
                <w:rFonts w:eastAsia="Times New Roman" w:cs="Calibri Light"/>
                <w:sz w:val="20"/>
                <w:szCs w:val="20"/>
              </w:rPr>
              <w:t>Source: DEER 2014</w:t>
            </w:r>
            <w:r w:rsidR="004B28EE">
              <w:rPr>
                <w:rFonts w:eastAsia="Times New Roman" w:cs="Calibri Light"/>
                <w:sz w:val="20"/>
                <w:szCs w:val="20"/>
              </w:rPr>
              <w:t xml:space="preserve"> </w:t>
            </w:r>
            <w:r w:rsidR="00BF6542">
              <w:rPr>
                <w:rFonts w:eastAsia="Times New Roman" w:cs="Calibri Light"/>
                <w:sz w:val="20"/>
                <w:szCs w:val="20"/>
              </w:rPr>
              <w:t>/</w:t>
            </w:r>
            <w:r w:rsidR="004B28EE">
              <w:rPr>
                <w:rFonts w:eastAsia="Times New Roman" w:cs="Calibri Light"/>
                <w:sz w:val="20"/>
                <w:szCs w:val="20"/>
              </w:rPr>
              <w:t xml:space="preserve"> 2016</w:t>
            </w:r>
            <w:r w:rsidR="00BF6542">
              <w:rPr>
                <w:rFonts w:eastAsia="Times New Roman" w:cs="Calibri Light"/>
                <w:sz w:val="20"/>
                <w:szCs w:val="20"/>
              </w:rPr>
              <w:t>.</w:t>
            </w:r>
            <w:r w:rsidR="004B28EE">
              <w:rPr>
                <w:rFonts w:eastAsia="Times New Roman" w:cs="Calibri Light"/>
                <w:sz w:val="20"/>
                <w:szCs w:val="20"/>
              </w:rPr>
              <w:t xml:space="preserve"> </w:t>
            </w:r>
            <w:r w:rsidRPr="007B7761">
              <w:rPr>
                <w:rFonts w:eastAsia="Times New Roman" w:cs="Calibri Light"/>
                <w:sz w:val="20"/>
                <w:szCs w:val="20"/>
              </w:rPr>
              <w:t xml:space="preserve">The value of </w:t>
            </w:r>
            <w:r w:rsidR="007B7761" w:rsidRPr="007B7761">
              <w:rPr>
                <w:rFonts w:eastAsia="Times New Roman" w:cs="Calibri Light"/>
                <w:sz w:val="20"/>
                <w:szCs w:val="20"/>
              </w:rPr>
              <w:t>12</w:t>
            </w:r>
            <w:r w:rsidRPr="007B7761">
              <w:rPr>
                <w:rFonts w:eastAsia="Times New Roman" w:cs="Calibri Light"/>
                <w:sz w:val="20"/>
                <w:szCs w:val="20"/>
              </w:rPr>
              <w:t xml:space="preserve"> year</w:t>
            </w:r>
            <w:r w:rsidR="007B7761" w:rsidRPr="007B7761">
              <w:rPr>
                <w:rFonts w:eastAsia="Times New Roman" w:cs="Calibri Light"/>
                <w:sz w:val="20"/>
                <w:szCs w:val="20"/>
              </w:rPr>
              <w:t xml:space="preserve">s is associated with EUL ID: </w:t>
            </w:r>
            <w:r w:rsidR="007B7761" w:rsidRPr="007B7761">
              <w:rPr>
                <w:rFonts w:cs="Calibri Light"/>
                <w:i/>
                <w:sz w:val="20"/>
                <w:szCs w:val="20"/>
              </w:rPr>
              <w:t>Cook-</w:t>
            </w:r>
            <w:proofErr w:type="spellStart"/>
            <w:r w:rsidR="007B7761" w:rsidRPr="007B7761">
              <w:rPr>
                <w:rFonts w:cs="Calibri Light"/>
                <w:i/>
                <w:sz w:val="20"/>
                <w:szCs w:val="20"/>
              </w:rPr>
              <w:t>GasFryer</w:t>
            </w:r>
            <w:proofErr w:type="spellEnd"/>
            <w:r w:rsidR="004B28EE">
              <w:rPr>
                <w:rFonts w:cs="Calibri Light"/>
                <w:i/>
                <w:sz w:val="20"/>
                <w:szCs w:val="20"/>
              </w:rPr>
              <w:t xml:space="preserve"> </w:t>
            </w:r>
            <w:r w:rsidR="004B28EE" w:rsidRPr="004B28EE">
              <w:rPr>
                <w:rFonts w:cs="Calibri Light"/>
                <w:sz w:val="20"/>
                <w:szCs w:val="20"/>
              </w:rPr>
              <w:t>and</w:t>
            </w:r>
            <w:r w:rsidR="004B28EE">
              <w:rPr>
                <w:rFonts w:cs="Calibri Light"/>
                <w:i/>
                <w:sz w:val="20"/>
                <w:szCs w:val="20"/>
              </w:rPr>
              <w:t xml:space="preserve"> </w:t>
            </w:r>
            <w:r w:rsidR="004B28EE" w:rsidRPr="004B28EE">
              <w:rPr>
                <w:rFonts w:cs="Arial"/>
                <w:i/>
                <w:sz w:val="20"/>
                <w:szCs w:val="20"/>
              </w:rPr>
              <w:t xml:space="preserve">Cook- </w:t>
            </w:r>
            <w:proofErr w:type="spellStart"/>
            <w:r w:rsidR="004B28EE" w:rsidRPr="004B28EE">
              <w:rPr>
                <w:rFonts w:cs="Arial"/>
                <w:i/>
                <w:sz w:val="20"/>
                <w:szCs w:val="20"/>
              </w:rPr>
              <w:t>ElecFryer</w:t>
            </w:r>
            <w:proofErr w:type="spellEnd"/>
            <w:r w:rsidR="004B28EE">
              <w:rPr>
                <w:rFonts w:cs="Arial"/>
                <w:sz w:val="20"/>
                <w:szCs w:val="20"/>
              </w:rPr>
              <w:t>.</w:t>
            </w:r>
          </w:p>
        </w:tc>
      </w:tr>
    </w:tbl>
    <w:p w14:paraId="26495873" w14:textId="77777777" w:rsidR="00C55A0D" w:rsidRDefault="00C55A0D" w:rsidP="0049281A">
      <w:pPr>
        <w:pStyle w:val="eTRMHeading3"/>
      </w:pPr>
      <w:bookmarkStart w:id="151" w:name="_Toc486490866"/>
      <w:bookmarkStart w:id="152" w:name="_Toc486580937"/>
      <w:bookmarkStart w:id="153" w:name="_Toc515951877"/>
      <w:bookmarkStart w:id="154" w:name="_Toc528684445"/>
      <w:bookmarkStart w:id="155" w:name="_Hlk516047558"/>
      <w:bookmarkStart w:id="156" w:name="_Hlk494287459"/>
      <w:bookmarkEnd w:id="148"/>
      <w:r w:rsidRPr="004B06E3">
        <w:lastRenderedPageBreak/>
        <w:t>Revision History</w:t>
      </w:r>
      <w:bookmarkEnd w:id="151"/>
      <w:bookmarkEnd w:id="152"/>
      <w:bookmarkEnd w:id="153"/>
      <w:bookmarkEnd w:id="154"/>
    </w:p>
    <w:p w14:paraId="66D2FD34" w14:textId="2283DADE" w:rsidR="00C55A0D" w:rsidRDefault="00C55A0D" w:rsidP="00AC5795">
      <w:pPr>
        <w:pStyle w:val="Caption"/>
      </w:pPr>
      <w:bookmarkStart w:id="15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3"/>
        <w:gridCol w:w="1541"/>
        <w:gridCol w:w="1666"/>
        <w:gridCol w:w="5200"/>
      </w:tblGrid>
      <w:tr w:rsidR="00C55A0D" w:rsidRPr="00500C4E" w14:paraId="61D55AD9" w14:textId="77777777" w:rsidTr="00B5189A">
        <w:trPr>
          <w:trHeight w:val="20"/>
        </w:trPr>
        <w:tc>
          <w:tcPr>
            <w:tcW w:w="504" w:type="pct"/>
            <w:shd w:val="clear" w:color="auto" w:fill="F2F2F2" w:themeFill="background1" w:themeFillShade="F2"/>
            <w:vAlign w:val="bottom"/>
          </w:tcPr>
          <w:p w14:paraId="4748B464" w14:textId="77777777" w:rsidR="00C55A0D" w:rsidRPr="00EA057C" w:rsidRDefault="00C55A0D" w:rsidP="002F4E09">
            <w:pPr>
              <w:keepNext/>
              <w:keepLines/>
              <w:tabs>
                <w:tab w:val="right" w:pos="2957"/>
              </w:tabs>
              <w:spacing w:before="20" w:after="20"/>
              <w:rPr>
                <w:rFonts w:cs="Arial"/>
                <w:b/>
                <w:sz w:val="20"/>
                <w:szCs w:val="20"/>
              </w:rPr>
            </w:pPr>
            <w:r>
              <w:rPr>
                <w:rFonts w:cs="Arial"/>
                <w:b/>
                <w:sz w:val="20"/>
                <w:szCs w:val="20"/>
              </w:rPr>
              <w:t>Revision Number</w:t>
            </w:r>
          </w:p>
        </w:tc>
        <w:tc>
          <w:tcPr>
            <w:tcW w:w="824" w:type="pct"/>
            <w:shd w:val="clear" w:color="auto" w:fill="F2F2F2" w:themeFill="background1" w:themeFillShade="F2"/>
            <w:vAlign w:val="bottom"/>
          </w:tcPr>
          <w:p w14:paraId="4B3D4DDF" w14:textId="01CDDCB5" w:rsidR="00C55A0D" w:rsidRPr="00EA057C" w:rsidRDefault="007609EF" w:rsidP="002F4E09">
            <w:pPr>
              <w:keepNext/>
              <w:keepLines/>
              <w:spacing w:before="20" w:after="20"/>
              <w:rPr>
                <w:rFonts w:cs="Arial"/>
                <w:b/>
                <w:sz w:val="20"/>
                <w:szCs w:val="20"/>
              </w:rPr>
            </w:pPr>
            <w:r>
              <w:rPr>
                <w:rFonts w:cs="Arial"/>
                <w:b/>
                <w:sz w:val="20"/>
                <w:szCs w:val="20"/>
              </w:rPr>
              <w:t xml:space="preserve">Revision Complete </w:t>
            </w:r>
            <w:r w:rsidR="00C55A0D">
              <w:rPr>
                <w:rFonts w:cs="Arial"/>
                <w:b/>
                <w:sz w:val="20"/>
                <w:szCs w:val="20"/>
              </w:rPr>
              <w:t>Date</w:t>
            </w:r>
          </w:p>
        </w:tc>
        <w:tc>
          <w:tcPr>
            <w:tcW w:w="891" w:type="pct"/>
            <w:shd w:val="clear" w:color="auto" w:fill="F2F2F2" w:themeFill="background1" w:themeFillShade="F2"/>
            <w:vAlign w:val="bottom"/>
          </w:tcPr>
          <w:p w14:paraId="09E15349" w14:textId="77777777" w:rsidR="00C55A0D" w:rsidRDefault="00C55A0D" w:rsidP="002F4E09">
            <w:pPr>
              <w:keepNext/>
              <w:keepLines/>
              <w:spacing w:before="20" w:after="20"/>
              <w:rPr>
                <w:rFonts w:cs="Arial"/>
                <w:b/>
                <w:sz w:val="20"/>
                <w:szCs w:val="20"/>
              </w:rPr>
            </w:pPr>
            <w:r>
              <w:rPr>
                <w:rFonts w:cs="Arial"/>
                <w:b/>
                <w:sz w:val="20"/>
                <w:szCs w:val="20"/>
              </w:rPr>
              <w:t>Primary Author, Title, Organization</w:t>
            </w:r>
          </w:p>
        </w:tc>
        <w:tc>
          <w:tcPr>
            <w:tcW w:w="2781" w:type="pct"/>
            <w:shd w:val="clear" w:color="auto" w:fill="F2F2F2" w:themeFill="background1" w:themeFillShade="F2"/>
            <w:vAlign w:val="bottom"/>
          </w:tcPr>
          <w:p w14:paraId="7CA85BC4" w14:textId="65F2D4F3" w:rsidR="00C55A0D" w:rsidRDefault="00C55A0D" w:rsidP="002A7AE3">
            <w:pPr>
              <w:keepNext/>
              <w:keepLines/>
              <w:spacing w:before="20" w:after="20"/>
              <w:rPr>
                <w:rFonts w:cs="Arial"/>
                <w:b/>
                <w:sz w:val="20"/>
                <w:szCs w:val="20"/>
              </w:rPr>
            </w:pPr>
            <w:r>
              <w:rPr>
                <w:rFonts w:cs="Arial"/>
                <w:b/>
                <w:sz w:val="20"/>
                <w:szCs w:val="20"/>
              </w:rPr>
              <w:t xml:space="preserve">Revision Summary </w:t>
            </w:r>
          </w:p>
        </w:tc>
      </w:tr>
      <w:tr w:rsidR="00B5189A" w:rsidRPr="00CA1CB3" w14:paraId="030030D8" w14:textId="77777777" w:rsidTr="00B5189A">
        <w:trPr>
          <w:trHeight w:val="20"/>
        </w:trPr>
        <w:tc>
          <w:tcPr>
            <w:tcW w:w="504" w:type="pct"/>
            <w:vMerge w:val="restart"/>
          </w:tcPr>
          <w:p w14:paraId="510B1F5B" w14:textId="77777777" w:rsidR="00B5189A" w:rsidRPr="00CA1CB3" w:rsidRDefault="00B5189A" w:rsidP="002F4E09">
            <w:pPr>
              <w:keepNext/>
              <w:keepLines/>
              <w:spacing w:before="20" w:after="20"/>
              <w:rPr>
                <w:rFonts w:cs="Arial"/>
                <w:sz w:val="20"/>
                <w:szCs w:val="20"/>
              </w:rPr>
            </w:pPr>
            <w:r w:rsidRPr="00CA1CB3">
              <w:rPr>
                <w:rFonts w:cs="Arial"/>
                <w:sz w:val="20"/>
                <w:szCs w:val="20"/>
              </w:rPr>
              <w:t>0</w:t>
            </w:r>
            <w:r>
              <w:rPr>
                <w:rFonts w:cs="Arial"/>
                <w:sz w:val="20"/>
                <w:szCs w:val="20"/>
              </w:rPr>
              <w:t>1</w:t>
            </w:r>
          </w:p>
        </w:tc>
        <w:tc>
          <w:tcPr>
            <w:tcW w:w="824" w:type="pct"/>
          </w:tcPr>
          <w:p w14:paraId="32BECECF" w14:textId="016C391D" w:rsidR="00B5189A" w:rsidRPr="00743373" w:rsidRDefault="00B5189A" w:rsidP="002F4E09">
            <w:pPr>
              <w:keepNext/>
              <w:keepLines/>
              <w:spacing w:before="20" w:after="20"/>
              <w:rPr>
                <w:rFonts w:cs="Arial"/>
                <w:sz w:val="20"/>
                <w:szCs w:val="20"/>
              </w:rPr>
            </w:pPr>
            <w:r w:rsidRPr="00743373">
              <w:rPr>
                <w:rFonts w:cs="Arial"/>
                <w:sz w:val="20"/>
                <w:szCs w:val="20"/>
              </w:rPr>
              <w:t>12/31/2017</w:t>
            </w:r>
          </w:p>
        </w:tc>
        <w:tc>
          <w:tcPr>
            <w:tcW w:w="891" w:type="pct"/>
          </w:tcPr>
          <w:p w14:paraId="5D10B27D" w14:textId="77777777" w:rsidR="00B5189A" w:rsidRPr="00743373" w:rsidRDefault="00B5189A" w:rsidP="002F4E09">
            <w:pPr>
              <w:keepNext/>
              <w:keepLines/>
              <w:spacing w:before="20" w:after="20"/>
              <w:rPr>
                <w:rFonts w:cs="Arial"/>
                <w:sz w:val="20"/>
                <w:szCs w:val="20"/>
              </w:rPr>
            </w:pPr>
            <w:r w:rsidRPr="00743373">
              <w:rPr>
                <w:rFonts w:cs="Arial"/>
                <w:sz w:val="20"/>
                <w:szCs w:val="20"/>
              </w:rPr>
              <w:t>Jennifer Holmes</w:t>
            </w:r>
          </w:p>
          <w:p w14:paraId="649C56B3" w14:textId="77777777" w:rsidR="00B5189A" w:rsidRPr="00743373" w:rsidRDefault="00B5189A" w:rsidP="002F4E09">
            <w:pPr>
              <w:keepNext/>
              <w:keepLines/>
              <w:spacing w:before="20" w:after="20"/>
              <w:rPr>
                <w:rFonts w:cs="Arial"/>
                <w:sz w:val="20"/>
                <w:szCs w:val="20"/>
              </w:rPr>
            </w:pPr>
            <w:r w:rsidRPr="00743373">
              <w:rPr>
                <w:rFonts w:cs="Arial"/>
                <w:sz w:val="20"/>
                <w:szCs w:val="20"/>
              </w:rPr>
              <w:t>Cal TF Staff</w:t>
            </w:r>
          </w:p>
        </w:tc>
        <w:tc>
          <w:tcPr>
            <w:tcW w:w="2781" w:type="pct"/>
          </w:tcPr>
          <w:p w14:paraId="5CB70371" w14:textId="77777777" w:rsidR="00B5189A" w:rsidRDefault="00B5189A" w:rsidP="002F4E09">
            <w:pPr>
              <w:keepNext/>
              <w:keepLines/>
              <w:spacing w:before="20" w:after="20"/>
              <w:rPr>
                <w:rFonts w:cs="Arial"/>
                <w:sz w:val="20"/>
                <w:szCs w:val="20"/>
              </w:rPr>
            </w:pPr>
            <w:r>
              <w:rPr>
                <w:rFonts w:cs="Arial"/>
                <w:sz w:val="20"/>
                <w:szCs w:val="20"/>
              </w:rPr>
              <w:t>Draft of consolidated text for this statewide measure is based upon:</w:t>
            </w:r>
          </w:p>
          <w:p w14:paraId="740BEDE6" w14:textId="527F4690" w:rsidR="00B5189A" w:rsidRDefault="00B5189A" w:rsidP="002F4E09">
            <w:pPr>
              <w:keepNext/>
              <w:keepLines/>
              <w:spacing w:before="20" w:after="20"/>
              <w:rPr>
                <w:rFonts w:cs="Arial"/>
                <w:sz w:val="20"/>
                <w:szCs w:val="20"/>
              </w:rPr>
            </w:pPr>
            <w:r>
              <w:rPr>
                <w:rFonts w:cs="Arial"/>
                <w:sz w:val="20"/>
                <w:szCs w:val="20"/>
              </w:rPr>
              <w:t>PGECOFST102, Revision 6 (June 2016)</w:t>
            </w:r>
          </w:p>
          <w:p w14:paraId="77C2E6B7" w14:textId="417872D0" w:rsidR="00B5189A" w:rsidRDefault="00B5189A" w:rsidP="002F4E09">
            <w:pPr>
              <w:keepNext/>
              <w:keepLines/>
              <w:spacing w:before="20" w:after="20"/>
              <w:rPr>
                <w:rFonts w:cs="Arial"/>
                <w:sz w:val="20"/>
                <w:szCs w:val="20"/>
              </w:rPr>
            </w:pPr>
            <w:r w:rsidRPr="00743373">
              <w:rPr>
                <w:rFonts w:cs="Arial"/>
                <w:sz w:val="20"/>
                <w:szCs w:val="20"/>
              </w:rPr>
              <w:t>SCE13CC004</w:t>
            </w:r>
            <w:r>
              <w:rPr>
                <w:rFonts w:cs="Arial"/>
                <w:sz w:val="20"/>
                <w:szCs w:val="20"/>
              </w:rPr>
              <w:t>, Revision 2 (January 21, 2016)</w:t>
            </w:r>
          </w:p>
          <w:p w14:paraId="44D96CA1" w14:textId="0B3561C7" w:rsidR="00B5189A" w:rsidRDefault="00B5189A" w:rsidP="002F4E09">
            <w:pPr>
              <w:keepNext/>
              <w:keepLines/>
              <w:spacing w:before="20" w:after="20"/>
              <w:rPr>
                <w:rFonts w:cs="Arial"/>
                <w:sz w:val="20"/>
                <w:szCs w:val="20"/>
              </w:rPr>
            </w:pPr>
            <w:r w:rsidRPr="00743373">
              <w:rPr>
                <w:rFonts w:cs="Arial"/>
                <w:sz w:val="20"/>
                <w:szCs w:val="20"/>
              </w:rPr>
              <w:t>WPSDGENRCC0014</w:t>
            </w:r>
            <w:r>
              <w:rPr>
                <w:rFonts w:cs="Arial"/>
                <w:sz w:val="20"/>
                <w:szCs w:val="20"/>
              </w:rPr>
              <w:t>, Revision 3.1 (June 27, 2014)</w:t>
            </w:r>
          </w:p>
          <w:p w14:paraId="19F4D13C" w14:textId="4C9A41AA" w:rsidR="00B5189A" w:rsidRDefault="00B5189A" w:rsidP="002F4E09">
            <w:pPr>
              <w:keepNext/>
              <w:keepLines/>
              <w:spacing w:before="20" w:after="20"/>
              <w:rPr>
                <w:rFonts w:cs="Arial"/>
                <w:sz w:val="20"/>
                <w:szCs w:val="20"/>
              </w:rPr>
            </w:pPr>
            <w:r w:rsidRPr="00743373">
              <w:rPr>
                <w:rFonts w:cs="Arial"/>
                <w:sz w:val="20"/>
                <w:szCs w:val="20"/>
              </w:rPr>
              <w:t>SCE13CC004</w:t>
            </w:r>
            <w:r>
              <w:rPr>
                <w:rFonts w:cs="Arial"/>
                <w:sz w:val="20"/>
                <w:szCs w:val="20"/>
              </w:rPr>
              <w:t>, Revision 1 (June 5, 2014)</w:t>
            </w:r>
          </w:p>
          <w:p w14:paraId="43FE0485" w14:textId="492E89C0" w:rsidR="00B5189A" w:rsidRPr="00CA1CB3" w:rsidRDefault="00B5189A" w:rsidP="00743373">
            <w:pPr>
              <w:keepNext/>
              <w:keepLines/>
              <w:spacing w:before="20" w:after="20"/>
              <w:rPr>
                <w:rFonts w:cs="Arial"/>
                <w:sz w:val="20"/>
                <w:szCs w:val="20"/>
              </w:rPr>
            </w:pPr>
            <w:r>
              <w:rPr>
                <w:rFonts w:cs="Arial"/>
                <w:sz w:val="20"/>
                <w:szCs w:val="20"/>
              </w:rPr>
              <w:t>Consensus reached among Cal TF members.</w:t>
            </w:r>
          </w:p>
        </w:tc>
      </w:tr>
      <w:tr w:rsidR="00B5189A" w:rsidRPr="00CA1CB3" w14:paraId="2B425BAA" w14:textId="77777777" w:rsidTr="00B5189A">
        <w:trPr>
          <w:trHeight w:val="20"/>
        </w:trPr>
        <w:tc>
          <w:tcPr>
            <w:tcW w:w="504" w:type="pct"/>
            <w:vMerge/>
          </w:tcPr>
          <w:p w14:paraId="7E0E9410" w14:textId="6D5A1AB7" w:rsidR="00B5189A" w:rsidRPr="00CA1CB3" w:rsidRDefault="00B5189A" w:rsidP="00150E50">
            <w:pPr>
              <w:keepNext/>
              <w:keepLines/>
              <w:spacing w:before="20" w:after="20"/>
              <w:rPr>
                <w:rFonts w:cs="Arial"/>
                <w:sz w:val="20"/>
                <w:szCs w:val="20"/>
              </w:rPr>
            </w:pPr>
          </w:p>
        </w:tc>
        <w:tc>
          <w:tcPr>
            <w:tcW w:w="824" w:type="pct"/>
          </w:tcPr>
          <w:p w14:paraId="6825CA05" w14:textId="77777777" w:rsidR="00B5189A" w:rsidRDefault="00B5189A" w:rsidP="00150E50">
            <w:pPr>
              <w:keepNext/>
              <w:keepLines/>
              <w:spacing w:before="20" w:after="20"/>
              <w:rPr>
                <w:rFonts w:cs="Arial"/>
                <w:sz w:val="20"/>
                <w:szCs w:val="20"/>
              </w:rPr>
            </w:pPr>
            <w:r>
              <w:rPr>
                <w:rFonts w:cs="Arial"/>
                <w:sz w:val="20"/>
                <w:szCs w:val="20"/>
              </w:rPr>
              <w:t>10/9/2018</w:t>
            </w:r>
          </w:p>
          <w:p w14:paraId="1053375B" w14:textId="240DC231" w:rsidR="00B5189A" w:rsidRPr="00743373" w:rsidRDefault="00B5189A" w:rsidP="00150E50">
            <w:pPr>
              <w:keepNext/>
              <w:keepLines/>
              <w:spacing w:before="20" w:after="20"/>
              <w:rPr>
                <w:rFonts w:cs="Arial"/>
                <w:sz w:val="20"/>
                <w:szCs w:val="20"/>
              </w:rPr>
            </w:pPr>
            <w:r>
              <w:rPr>
                <w:rFonts w:cs="Arial"/>
                <w:sz w:val="20"/>
                <w:szCs w:val="20"/>
              </w:rPr>
              <w:t>10/</w:t>
            </w:r>
            <w:r w:rsidR="00741F76">
              <w:rPr>
                <w:rFonts w:cs="Arial"/>
                <w:sz w:val="20"/>
                <w:szCs w:val="20"/>
              </w:rPr>
              <w:t>30</w:t>
            </w:r>
            <w:r>
              <w:rPr>
                <w:rFonts w:cs="Arial"/>
                <w:sz w:val="20"/>
                <w:szCs w:val="20"/>
              </w:rPr>
              <w:t>/2018</w:t>
            </w:r>
          </w:p>
        </w:tc>
        <w:tc>
          <w:tcPr>
            <w:tcW w:w="891" w:type="pct"/>
          </w:tcPr>
          <w:p w14:paraId="5F0684BD" w14:textId="77777777" w:rsidR="00B5189A" w:rsidRPr="00743373" w:rsidRDefault="00B5189A" w:rsidP="00150E50">
            <w:pPr>
              <w:keepNext/>
              <w:keepLines/>
              <w:spacing w:before="20" w:after="20"/>
              <w:rPr>
                <w:rFonts w:cs="Arial"/>
                <w:sz w:val="20"/>
                <w:szCs w:val="20"/>
              </w:rPr>
            </w:pPr>
            <w:r w:rsidRPr="00743373">
              <w:rPr>
                <w:rFonts w:cs="Arial"/>
                <w:sz w:val="20"/>
                <w:szCs w:val="20"/>
              </w:rPr>
              <w:t>Jennifer Holmes</w:t>
            </w:r>
          </w:p>
          <w:p w14:paraId="637F562E" w14:textId="181F3183" w:rsidR="00B5189A" w:rsidRPr="00743373" w:rsidRDefault="00B5189A" w:rsidP="00150E50">
            <w:pPr>
              <w:keepNext/>
              <w:keepLines/>
              <w:spacing w:before="20" w:after="20"/>
              <w:rPr>
                <w:rFonts w:cs="Arial"/>
                <w:sz w:val="20"/>
                <w:szCs w:val="20"/>
              </w:rPr>
            </w:pPr>
            <w:r w:rsidRPr="00743373">
              <w:rPr>
                <w:rFonts w:cs="Arial"/>
                <w:sz w:val="20"/>
                <w:szCs w:val="20"/>
              </w:rPr>
              <w:t>Cal TF Staff</w:t>
            </w:r>
          </w:p>
        </w:tc>
        <w:tc>
          <w:tcPr>
            <w:tcW w:w="2781" w:type="pct"/>
          </w:tcPr>
          <w:p w14:paraId="2719FE6D" w14:textId="562C1A97" w:rsidR="00B5189A" w:rsidRDefault="00B5189A" w:rsidP="00150E50">
            <w:pPr>
              <w:keepNext/>
              <w:keepLines/>
              <w:spacing w:before="20" w:after="20"/>
              <w:rPr>
                <w:rFonts w:cs="Arial"/>
                <w:sz w:val="20"/>
                <w:szCs w:val="20"/>
              </w:rPr>
            </w:pPr>
            <w:r>
              <w:rPr>
                <w:rFonts w:cs="Arial"/>
                <w:sz w:val="20"/>
                <w:szCs w:val="20"/>
              </w:rPr>
              <w:t>Completed final revisions for submittal of version 01.</w:t>
            </w:r>
          </w:p>
        </w:tc>
      </w:tr>
      <w:tr w:rsidR="00FC363D" w:rsidRPr="00CA1CB3" w14:paraId="73DE73D1" w14:textId="77777777" w:rsidTr="00B5189A">
        <w:trPr>
          <w:trHeight w:val="20"/>
        </w:trPr>
        <w:tc>
          <w:tcPr>
            <w:tcW w:w="504" w:type="pct"/>
            <w:vMerge w:val="restart"/>
          </w:tcPr>
          <w:p w14:paraId="77FD445A" w14:textId="6D91D212" w:rsidR="00FC363D" w:rsidRDefault="00FC363D" w:rsidP="00256BA9">
            <w:pPr>
              <w:keepNext/>
              <w:keepLines/>
              <w:spacing w:before="20" w:after="20"/>
              <w:rPr>
                <w:rFonts w:cs="Arial"/>
                <w:sz w:val="20"/>
                <w:szCs w:val="20"/>
              </w:rPr>
            </w:pPr>
            <w:r>
              <w:rPr>
                <w:rFonts w:cs="Arial"/>
                <w:sz w:val="20"/>
                <w:szCs w:val="20"/>
              </w:rPr>
              <w:t>02</w:t>
            </w:r>
          </w:p>
        </w:tc>
        <w:tc>
          <w:tcPr>
            <w:tcW w:w="824" w:type="pct"/>
          </w:tcPr>
          <w:p w14:paraId="4A341F24" w14:textId="0A3B0B5C" w:rsidR="00FC363D" w:rsidDel="000E517A" w:rsidRDefault="00FC363D" w:rsidP="00256BA9">
            <w:pPr>
              <w:keepNext/>
              <w:keepLines/>
              <w:spacing w:before="20" w:after="20"/>
              <w:rPr>
                <w:rFonts w:cs="Arial"/>
                <w:sz w:val="20"/>
                <w:szCs w:val="20"/>
              </w:rPr>
            </w:pPr>
            <w:r w:rsidRPr="00647478">
              <w:rPr>
                <w:rFonts w:cs="Arial"/>
                <w:sz w:val="20"/>
                <w:szCs w:val="20"/>
              </w:rPr>
              <w:t>9/26/2019</w:t>
            </w:r>
          </w:p>
        </w:tc>
        <w:tc>
          <w:tcPr>
            <w:tcW w:w="891" w:type="pct"/>
          </w:tcPr>
          <w:p w14:paraId="4C9B7807" w14:textId="162F6D97" w:rsidR="00FC363D" w:rsidDel="000E517A" w:rsidRDefault="00FC363D" w:rsidP="00256BA9">
            <w:pPr>
              <w:keepNext/>
              <w:keepLines/>
              <w:spacing w:before="20" w:after="20"/>
              <w:rPr>
                <w:rFonts w:cs="Arial"/>
                <w:sz w:val="20"/>
                <w:szCs w:val="20"/>
              </w:rPr>
            </w:pPr>
            <w:r w:rsidRPr="00647478">
              <w:rPr>
                <w:rFonts w:cs="Arial"/>
                <w:sz w:val="20"/>
                <w:szCs w:val="20"/>
              </w:rPr>
              <w:t>Jaime Lopez-SoCalGas</w:t>
            </w:r>
          </w:p>
        </w:tc>
        <w:tc>
          <w:tcPr>
            <w:tcW w:w="2781" w:type="pct"/>
          </w:tcPr>
          <w:p w14:paraId="0358771E" w14:textId="348BF0EE" w:rsidR="00FC363D" w:rsidRDefault="00FC363D" w:rsidP="00256BA9">
            <w:pPr>
              <w:shd w:val="clear" w:color="auto" w:fill="F8F8F8"/>
              <w:spacing w:before="0" w:after="0" w:line="240" w:lineRule="auto"/>
              <w:rPr>
                <w:rFonts w:cs="Arial"/>
                <w:sz w:val="20"/>
                <w:szCs w:val="20"/>
              </w:rPr>
            </w:pPr>
            <w:r w:rsidRPr="00647478">
              <w:rPr>
                <w:rFonts w:cs="Arial"/>
                <w:sz w:val="20"/>
                <w:szCs w:val="20"/>
              </w:rPr>
              <w:t xml:space="preserve">Updates to the gas measure case, gas base cases as well as gas calculation assumptions were made to reflect direction given by CPUC in disposition “Non-standard Disposition for the commercial electric and gas Fryer workpaper SWFS011-01” </w:t>
            </w:r>
          </w:p>
        </w:tc>
      </w:tr>
      <w:tr w:rsidR="00AD1651" w:rsidRPr="00CA1CB3" w14:paraId="00BD70D2" w14:textId="77777777" w:rsidTr="00B5189A">
        <w:trPr>
          <w:trHeight w:val="20"/>
        </w:trPr>
        <w:tc>
          <w:tcPr>
            <w:tcW w:w="504" w:type="pct"/>
            <w:vMerge/>
          </w:tcPr>
          <w:p w14:paraId="080A8C97" w14:textId="77777777" w:rsidR="00AD1651" w:rsidRDefault="00AD1651" w:rsidP="00AD1651">
            <w:pPr>
              <w:keepNext/>
              <w:keepLines/>
              <w:spacing w:before="20" w:after="20"/>
              <w:rPr>
                <w:rFonts w:cs="Arial"/>
                <w:sz w:val="20"/>
                <w:szCs w:val="20"/>
              </w:rPr>
            </w:pPr>
          </w:p>
        </w:tc>
        <w:tc>
          <w:tcPr>
            <w:tcW w:w="824" w:type="pct"/>
          </w:tcPr>
          <w:p w14:paraId="17C0349B" w14:textId="508F2969" w:rsidR="00AD1651" w:rsidRPr="00647478" w:rsidRDefault="00AD1651" w:rsidP="00AD1651">
            <w:pPr>
              <w:keepNext/>
              <w:keepLines/>
              <w:spacing w:before="20" w:after="20"/>
              <w:rPr>
                <w:rFonts w:cs="Arial"/>
                <w:sz w:val="20"/>
                <w:szCs w:val="20"/>
              </w:rPr>
            </w:pPr>
            <w:r w:rsidRPr="00647478">
              <w:rPr>
                <w:rFonts w:cs="Arial"/>
                <w:sz w:val="20"/>
                <w:szCs w:val="20"/>
              </w:rPr>
              <w:t>1</w:t>
            </w:r>
            <w:r>
              <w:rPr>
                <w:rFonts w:cs="Arial"/>
                <w:sz w:val="20"/>
                <w:szCs w:val="20"/>
              </w:rPr>
              <w:t>2</w:t>
            </w:r>
            <w:r w:rsidRPr="00647478">
              <w:rPr>
                <w:rFonts w:cs="Arial"/>
                <w:sz w:val="20"/>
                <w:szCs w:val="20"/>
              </w:rPr>
              <w:t>/</w:t>
            </w:r>
            <w:r>
              <w:rPr>
                <w:rFonts w:cs="Arial"/>
                <w:sz w:val="20"/>
                <w:szCs w:val="20"/>
              </w:rPr>
              <w:t>1</w:t>
            </w:r>
            <w:r w:rsidRPr="00647478">
              <w:rPr>
                <w:rFonts w:cs="Arial"/>
                <w:sz w:val="20"/>
                <w:szCs w:val="20"/>
              </w:rPr>
              <w:t>4/2019</w:t>
            </w:r>
          </w:p>
        </w:tc>
        <w:tc>
          <w:tcPr>
            <w:tcW w:w="891" w:type="pct"/>
          </w:tcPr>
          <w:p w14:paraId="43AED72E" w14:textId="1F347CB6" w:rsidR="00AD1651" w:rsidRPr="00647478" w:rsidRDefault="00AD1651" w:rsidP="00AD1651">
            <w:pPr>
              <w:keepNext/>
              <w:keepLines/>
              <w:spacing w:before="20" w:after="20"/>
              <w:rPr>
                <w:rFonts w:cs="Arial"/>
                <w:sz w:val="20"/>
                <w:szCs w:val="20"/>
              </w:rPr>
            </w:pPr>
            <w:r w:rsidRPr="00647478">
              <w:rPr>
                <w:rFonts w:cs="Arial"/>
                <w:sz w:val="20"/>
                <w:szCs w:val="20"/>
              </w:rPr>
              <w:t>Chan Paek</w:t>
            </w:r>
          </w:p>
        </w:tc>
        <w:tc>
          <w:tcPr>
            <w:tcW w:w="2781" w:type="pct"/>
          </w:tcPr>
          <w:p w14:paraId="2581D462" w14:textId="039451DA" w:rsidR="00AD1651" w:rsidRPr="00647478" w:rsidRDefault="00AD1651" w:rsidP="00AD1651">
            <w:pPr>
              <w:shd w:val="clear" w:color="auto" w:fill="F8F8F8"/>
              <w:spacing w:before="0" w:after="0" w:line="240" w:lineRule="auto"/>
              <w:rPr>
                <w:rFonts w:cs="Arial"/>
                <w:sz w:val="20"/>
                <w:szCs w:val="20"/>
              </w:rPr>
            </w:pPr>
            <w:r>
              <w:rPr>
                <w:rFonts w:cs="Arial"/>
                <w:sz w:val="20"/>
                <w:szCs w:val="20"/>
              </w:rPr>
              <w:t>Revised with reformulated baseline &amp; measure characteristics and other findings per CPUC comments “</w:t>
            </w:r>
            <w:r w:rsidRPr="003F7D79">
              <w:rPr>
                <w:rFonts w:cs="Arial"/>
                <w:sz w:val="20"/>
                <w:szCs w:val="20"/>
              </w:rPr>
              <w:t>Foodservice comment responses_SCG_11222019.xlsx</w:t>
            </w:r>
            <w:r>
              <w:rPr>
                <w:rFonts w:cs="Arial"/>
                <w:sz w:val="20"/>
                <w:szCs w:val="20"/>
              </w:rPr>
              <w:t>”</w:t>
            </w:r>
            <w:r w:rsidRPr="00A16BC0">
              <w:rPr>
                <w:rFonts w:cs="Arial"/>
                <w:sz w:val="20"/>
                <w:szCs w:val="20"/>
                <w:vertAlign w:val="superscript"/>
              </w:rPr>
              <w:fldChar w:fldCharType="begin"/>
            </w:r>
            <w:r w:rsidRPr="00A16BC0">
              <w:rPr>
                <w:rFonts w:cs="Arial"/>
                <w:sz w:val="20"/>
                <w:szCs w:val="20"/>
                <w:vertAlign w:val="superscript"/>
              </w:rPr>
              <w:instrText xml:space="preserve"> NOTEREF _Ref27305172 \h </w:instrText>
            </w:r>
            <w:r>
              <w:rPr>
                <w:rFonts w:cs="Arial"/>
                <w:sz w:val="20"/>
                <w:szCs w:val="20"/>
                <w:vertAlign w:val="superscript"/>
              </w:rPr>
              <w:instrText xml:space="preserve"> \* MERGEFORMAT </w:instrText>
            </w:r>
            <w:r w:rsidRPr="00A16BC0">
              <w:rPr>
                <w:rFonts w:cs="Arial"/>
                <w:sz w:val="20"/>
                <w:szCs w:val="20"/>
                <w:vertAlign w:val="superscript"/>
              </w:rPr>
            </w:r>
            <w:r w:rsidRPr="00A16BC0">
              <w:rPr>
                <w:rFonts w:cs="Arial"/>
                <w:sz w:val="20"/>
                <w:szCs w:val="20"/>
                <w:vertAlign w:val="superscript"/>
              </w:rPr>
              <w:fldChar w:fldCharType="separate"/>
            </w:r>
            <w:r w:rsidR="00FB3C38">
              <w:rPr>
                <w:rFonts w:cs="Arial"/>
                <w:sz w:val="20"/>
                <w:szCs w:val="20"/>
                <w:vertAlign w:val="superscript"/>
              </w:rPr>
              <w:t>9</w:t>
            </w:r>
            <w:r w:rsidRPr="00A16BC0">
              <w:rPr>
                <w:rFonts w:cs="Arial"/>
                <w:sz w:val="20"/>
                <w:szCs w:val="20"/>
                <w:vertAlign w:val="superscript"/>
              </w:rPr>
              <w:fldChar w:fldCharType="end"/>
            </w:r>
            <w:r>
              <w:rPr>
                <w:rFonts w:cs="Arial"/>
                <w:sz w:val="20"/>
                <w:szCs w:val="20"/>
              </w:rPr>
              <w:t xml:space="preserve"> and “</w:t>
            </w:r>
            <w:r w:rsidRPr="00A16BC0">
              <w:rPr>
                <w:rFonts w:cs="Arial"/>
                <w:sz w:val="20"/>
                <w:szCs w:val="20"/>
              </w:rPr>
              <w:t>Update Plan_Fryer_12142019.xlsx”</w:t>
            </w:r>
            <w:r w:rsidRPr="003F7D79" w:rsidDel="003F7D79">
              <w:rPr>
                <w:rFonts w:cs="Arial"/>
                <w:sz w:val="20"/>
                <w:szCs w:val="20"/>
                <w:vertAlign w:val="superscript"/>
              </w:rPr>
              <w:t xml:space="preserve"> </w:t>
            </w:r>
            <w:r>
              <w:rPr>
                <w:rFonts w:cs="Arial"/>
                <w:sz w:val="20"/>
                <w:szCs w:val="20"/>
                <w:vertAlign w:val="superscript"/>
              </w:rPr>
              <w:fldChar w:fldCharType="begin"/>
            </w:r>
            <w:r>
              <w:rPr>
                <w:rFonts w:cs="Arial"/>
                <w:sz w:val="20"/>
                <w:szCs w:val="20"/>
                <w:vertAlign w:val="superscript"/>
              </w:rPr>
              <w:instrText xml:space="preserve"> NOTEREF _Ref27305159 \h </w:instrText>
            </w:r>
            <w:r>
              <w:rPr>
                <w:rFonts w:cs="Arial"/>
                <w:sz w:val="20"/>
                <w:szCs w:val="20"/>
                <w:vertAlign w:val="superscript"/>
              </w:rPr>
            </w:r>
            <w:r>
              <w:rPr>
                <w:rFonts w:cs="Arial"/>
                <w:sz w:val="20"/>
                <w:szCs w:val="20"/>
                <w:vertAlign w:val="superscript"/>
              </w:rPr>
              <w:fldChar w:fldCharType="separate"/>
            </w:r>
            <w:r w:rsidR="00FB3C38">
              <w:rPr>
                <w:rFonts w:cs="Arial"/>
                <w:sz w:val="20"/>
                <w:szCs w:val="20"/>
                <w:vertAlign w:val="superscript"/>
              </w:rPr>
              <w:t>4</w:t>
            </w:r>
            <w:r>
              <w:rPr>
                <w:rFonts w:cs="Arial"/>
                <w:sz w:val="20"/>
                <w:szCs w:val="20"/>
                <w:vertAlign w:val="superscript"/>
              </w:rPr>
              <w:fldChar w:fldCharType="end"/>
            </w:r>
          </w:p>
        </w:tc>
      </w:tr>
      <w:tr w:rsidR="00AD1651" w:rsidRPr="00CA1CB3" w14:paraId="6CE3F563" w14:textId="77777777" w:rsidTr="00B5189A">
        <w:trPr>
          <w:trHeight w:val="20"/>
        </w:trPr>
        <w:tc>
          <w:tcPr>
            <w:tcW w:w="504" w:type="pct"/>
            <w:vMerge/>
          </w:tcPr>
          <w:p w14:paraId="75A552AA" w14:textId="50C34097" w:rsidR="00AD1651" w:rsidRPr="00CA1CB3" w:rsidRDefault="00AD1651" w:rsidP="00AD1651">
            <w:pPr>
              <w:keepNext/>
              <w:keepLines/>
              <w:spacing w:before="20" w:after="20"/>
              <w:rPr>
                <w:rFonts w:cs="Arial"/>
                <w:sz w:val="20"/>
                <w:szCs w:val="20"/>
              </w:rPr>
            </w:pPr>
          </w:p>
        </w:tc>
        <w:tc>
          <w:tcPr>
            <w:tcW w:w="824" w:type="pct"/>
          </w:tcPr>
          <w:p w14:paraId="626130C7" w14:textId="78A2A515" w:rsidR="00AD1651" w:rsidRDefault="00AD1651" w:rsidP="00AD1651">
            <w:pPr>
              <w:keepNext/>
              <w:keepLines/>
              <w:spacing w:before="20" w:after="20"/>
              <w:rPr>
                <w:rFonts w:cs="Arial"/>
                <w:sz w:val="20"/>
                <w:szCs w:val="20"/>
              </w:rPr>
            </w:pPr>
            <w:r>
              <w:rPr>
                <w:rFonts w:cs="Arial"/>
                <w:sz w:val="20"/>
                <w:szCs w:val="20"/>
              </w:rPr>
              <w:t>01/14/2020</w:t>
            </w:r>
          </w:p>
        </w:tc>
        <w:tc>
          <w:tcPr>
            <w:tcW w:w="891" w:type="pct"/>
          </w:tcPr>
          <w:p w14:paraId="45992739" w14:textId="0A4769F9" w:rsidR="00AD1651" w:rsidRPr="00743373" w:rsidRDefault="00AD1651" w:rsidP="00AD1651">
            <w:pPr>
              <w:keepNext/>
              <w:keepLines/>
              <w:spacing w:before="20" w:after="20"/>
              <w:rPr>
                <w:rFonts w:cs="Arial"/>
                <w:sz w:val="20"/>
                <w:szCs w:val="20"/>
              </w:rPr>
            </w:pPr>
            <w:r w:rsidRPr="00647478">
              <w:rPr>
                <w:rFonts w:cs="Arial"/>
                <w:sz w:val="20"/>
                <w:szCs w:val="20"/>
              </w:rPr>
              <w:t>Chan Paek</w:t>
            </w:r>
          </w:p>
        </w:tc>
        <w:tc>
          <w:tcPr>
            <w:tcW w:w="2781" w:type="pct"/>
          </w:tcPr>
          <w:p w14:paraId="1F8282E3" w14:textId="0ED824EB" w:rsidR="00E9522C" w:rsidRDefault="00AD1651" w:rsidP="00AD1651">
            <w:pPr>
              <w:keepNext/>
              <w:keepLines/>
              <w:spacing w:before="20" w:after="20"/>
              <w:rPr>
                <w:rFonts w:cs="Arial"/>
                <w:sz w:val="20"/>
                <w:szCs w:val="20"/>
              </w:rPr>
            </w:pPr>
            <w:r>
              <w:rPr>
                <w:rFonts w:cs="Arial"/>
                <w:sz w:val="20"/>
                <w:szCs w:val="20"/>
              </w:rPr>
              <w:t xml:space="preserve">A minor </w:t>
            </w:r>
            <w:r w:rsidR="0074723D">
              <w:rPr>
                <w:rFonts w:cs="Arial"/>
                <w:sz w:val="20"/>
                <w:szCs w:val="20"/>
              </w:rPr>
              <w:t>change</w:t>
            </w:r>
            <w:r>
              <w:rPr>
                <w:rFonts w:cs="Arial"/>
                <w:sz w:val="20"/>
                <w:szCs w:val="20"/>
              </w:rPr>
              <w:t xml:space="preserve"> to gas savings calculation in </w:t>
            </w:r>
            <w:proofErr w:type="spellStart"/>
            <w:r>
              <w:rPr>
                <w:rFonts w:cs="Arial"/>
                <w:sz w:val="20"/>
                <w:szCs w:val="20"/>
              </w:rPr>
              <w:t>DataSpec</w:t>
            </w:r>
            <w:proofErr w:type="spellEnd"/>
            <w:r>
              <w:rPr>
                <w:rFonts w:cs="Arial"/>
                <w:sz w:val="20"/>
                <w:szCs w:val="20"/>
              </w:rPr>
              <w:t xml:space="preserve"> r2.2 file.  Daily energy consumption formula </w:t>
            </w:r>
            <w:r w:rsidR="0074723D">
              <w:rPr>
                <w:rFonts w:cs="Arial"/>
                <w:sz w:val="20"/>
                <w:szCs w:val="20"/>
              </w:rPr>
              <w:t>is corrected</w:t>
            </w:r>
            <w:r>
              <w:rPr>
                <w:rFonts w:cs="Arial"/>
                <w:sz w:val="20"/>
                <w:szCs w:val="20"/>
              </w:rPr>
              <w:t xml:space="preserve"> to refer to 7.0 minute preheat time instead of</w:t>
            </w:r>
            <w:r w:rsidR="0074723D">
              <w:rPr>
                <w:rFonts w:cs="Arial"/>
                <w:sz w:val="20"/>
                <w:szCs w:val="20"/>
              </w:rPr>
              <w:t xml:space="preserve"> the </w:t>
            </w:r>
            <w:r>
              <w:rPr>
                <w:rFonts w:cs="Arial"/>
                <w:sz w:val="20"/>
                <w:szCs w:val="20"/>
              </w:rPr>
              <w:t>15 minutes</w:t>
            </w:r>
            <w:r w:rsidR="0074723D">
              <w:rPr>
                <w:rFonts w:cs="Arial"/>
                <w:sz w:val="20"/>
                <w:szCs w:val="20"/>
              </w:rPr>
              <w:t>.</w:t>
            </w:r>
          </w:p>
        </w:tc>
      </w:tr>
      <w:tr w:rsidR="00114375" w:rsidRPr="00CA1CB3" w14:paraId="0C6BDD05" w14:textId="77777777" w:rsidTr="00B5189A">
        <w:trPr>
          <w:trHeight w:val="20"/>
        </w:trPr>
        <w:tc>
          <w:tcPr>
            <w:tcW w:w="504" w:type="pct"/>
            <w:vMerge w:val="restart"/>
          </w:tcPr>
          <w:p w14:paraId="362CEE69" w14:textId="4913844F" w:rsidR="00114375" w:rsidRPr="00CA1CB3" w:rsidRDefault="00114375" w:rsidP="00AD1651">
            <w:pPr>
              <w:keepNext/>
              <w:keepLines/>
              <w:spacing w:before="20" w:after="20"/>
              <w:rPr>
                <w:rFonts w:cs="Arial"/>
                <w:sz w:val="20"/>
                <w:szCs w:val="20"/>
              </w:rPr>
            </w:pPr>
            <w:r>
              <w:rPr>
                <w:rFonts w:cs="Arial"/>
                <w:sz w:val="20"/>
                <w:szCs w:val="20"/>
              </w:rPr>
              <w:t>03</w:t>
            </w:r>
          </w:p>
        </w:tc>
        <w:tc>
          <w:tcPr>
            <w:tcW w:w="824" w:type="pct"/>
          </w:tcPr>
          <w:p w14:paraId="74C30E14" w14:textId="0246B03E" w:rsidR="00114375" w:rsidRDefault="00114375" w:rsidP="00AD1651">
            <w:pPr>
              <w:keepNext/>
              <w:keepLines/>
              <w:spacing w:before="20" w:after="20"/>
              <w:rPr>
                <w:rFonts w:cs="Arial"/>
                <w:sz w:val="20"/>
                <w:szCs w:val="20"/>
              </w:rPr>
            </w:pPr>
            <w:r>
              <w:rPr>
                <w:rFonts w:cs="Arial"/>
                <w:sz w:val="20"/>
                <w:szCs w:val="20"/>
              </w:rPr>
              <w:t>12/04/2020</w:t>
            </w:r>
          </w:p>
        </w:tc>
        <w:tc>
          <w:tcPr>
            <w:tcW w:w="891" w:type="pct"/>
          </w:tcPr>
          <w:p w14:paraId="7A001098" w14:textId="4BCB61C6" w:rsidR="00114375" w:rsidRPr="00647478" w:rsidRDefault="00114375" w:rsidP="00AD1651">
            <w:pPr>
              <w:keepNext/>
              <w:keepLines/>
              <w:spacing w:before="20" w:after="20"/>
              <w:rPr>
                <w:rFonts w:cs="Arial"/>
                <w:sz w:val="20"/>
                <w:szCs w:val="20"/>
              </w:rPr>
            </w:pPr>
            <w:r>
              <w:rPr>
                <w:rFonts w:cs="Arial"/>
                <w:sz w:val="20"/>
                <w:szCs w:val="20"/>
              </w:rPr>
              <w:t>Andres Marquez</w:t>
            </w:r>
          </w:p>
        </w:tc>
        <w:tc>
          <w:tcPr>
            <w:tcW w:w="2781" w:type="pct"/>
          </w:tcPr>
          <w:p w14:paraId="6F8996D2" w14:textId="7E86C6B5" w:rsidR="00114375" w:rsidRDefault="00114375" w:rsidP="00092D65">
            <w:pPr>
              <w:keepNext/>
              <w:keepLines/>
              <w:spacing w:before="20" w:after="20"/>
              <w:rPr>
                <w:rFonts w:cs="Arial"/>
                <w:sz w:val="20"/>
                <w:szCs w:val="20"/>
              </w:rPr>
            </w:pPr>
            <w:r>
              <w:rPr>
                <w:rFonts w:cs="Arial"/>
                <w:sz w:val="20"/>
                <w:szCs w:val="20"/>
              </w:rPr>
              <w:t>Addition of Tier 2 commercial gas fryer measure</w:t>
            </w:r>
          </w:p>
        </w:tc>
      </w:tr>
      <w:tr w:rsidR="00114375" w:rsidRPr="00CA1CB3" w14:paraId="7339AD0B" w14:textId="77777777" w:rsidTr="00B5189A">
        <w:trPr>
          <w:trHeight w:val="20"/>
        </w:trPr>
        <w:tc>
          <w:tcPr>
            <w:tcW w:w="504" w:type="pct"/>
            <w:vMerge/>
          </w:tcPr>
          <w:p w14:paraId="2364C0ED" w14:textId="77777777" w:rsidR="00114375" w:rsidRDefault="00114375" w:rsidP="00AD1651">
            <w:pPr>
              <w:keepNext/>
              <w:keepLines/>
              <w:spacing w:before="20" w:after="20"/>
              <w:rPr>
                <w:rFonts w:cs="Arial"/>
                <w:sz w:val="20"/>
                <w:szCs w:val="20"/>
              </w:rPr>
            </w:pPr>
          </w:p>
        </w:tc>
        <w:tc>
          <w:tcPr>
            <w:tcW w:w="824" w:type="pct"/>
          </w:tcPr>
          <w:p w14:paraId="6B4A0AAE" w14:textId="7970DB1A" w:rsidR="00114375" w:rsidRDefault="00114375" w:rsidP="00AD1651">
            <w:pPr>
              <w:keepNext/>
              <w:keepLines/>
              <w:spacing w:before="20" w:after="20"/>
              <w:rPr>
                <w:rFonts w:cs="Arial"/>
                <w:sz w:val="20"/>
                <w:szCs w:val="20"/>
              </w:rPr>
            </w:pPr>
            <w:r>
              <w:rPr>
                <w:rFonts w:cs="Arial"/>
                <w:sz w:val="20"/>
                <w:szCs w:val="20"/>
              </w:rPr>
              <w:t>02/01/2021</w:t>
            </w:r>
          </w:p>
        </w:tc>
        <w:tc>
          <w:tcPr>
            <w:tcW w:w="891" w:type="pct"/>
          </w:tcPr>
          <w:p w14:paraId="12889319" w14:textId="5D976B17" w:rsidR="00114375" w:rsidRDefault="00114375" w:rsidP="00AD1651">
            <w:pPr>
              <w:keepNext/>
              <w:keepLines/>
              <w:spacing w:before="20" w:after="20"/>
              <w:rPr>
                <w:rFonts w:cs="Arial"/>
                <w:sz w:val="20"/>
                <w:szCs w:val="20"/>
              </w:rPr>
            </w:pPr>
            <w:r>
              <w:rPr>
                <w:rFonts w:cs="Arial"/>
                <w:sz w:val="20"/>
                <w:szCs w:val="20"/>
              </w:rPr>
              <w:t>Andres Marquez</w:t>
            </w:r>
          </w:p>
        </w:tc>
        <w:tc>
          <w:tcPr>
            <w:tcW w:w="2781" w:type="pct"/>
          </w:tcPr>
          <w:p w14:paraId="1C7FF07D" w14:textId="752A54E1" w:rsidR="00114375" w:rsidRDefault="00114375" w:rsidP="00092D65">
            <w:pPr>
              <w:keepNext/>
              <w:keepLines/>
              <w:spacing w:before="20" w:after="20"/>
              <w:rPr>
                <w:rFonts w:cs="Arial"/>
                <w:sz w:val="20"/>
                <w:szCs w:val="20"/>
              </w:rPr>
            </w:pPr>
            <w:r>
              <w:rPr>
                <w:rFonts w:cs="Arial"/>
                <w:sz w:val="20"/>
                <w:szCs w:val="20"/>
              </w:rPr>
              <w:t>Update of measure cost for gas fryers with 2020 retail data from Frontier’s “</w:t>
            </w:r>
            <w:r w:rsidRPr="002553F2">
              <w:rPr>
                <w:rFonts w:cs="Arial"/>
                <w:sz w:val="20"/>
                <w:szCs w:val="18"/>
              </w:rPr>
              <w:t>GasFryerTierAnalysis</w:t>
            </w:r>
            <w:r w:rsidRPr="002553F2">
              <w:rPr>
                <w:rFonts w:cs="Arial"/>
                <w:sz w:val="18"/>
                <w:szCs w:val="16"/>
              </w:rPr>
              <w:t>-R1”</w:t>
            </w:r>
          </w:p>
        </w:tc>
      </w:tr>
      <w:tr w:rsidR="00114375" w:rsidRPr="00CA1CB3" w14:paraId="50F57A92" w14:textId="77777777" w:rsidTr="00B5189A">
        <w:trPr>
          <w:trHeight w:val="20"/>
        </w:trPr>
        <w:tc>
          <w:tcPr>
            <w:tcW w:w="504" w:type="pct"/>
            <w:vMerge/>
          </w:tcPr>
          <w:p w14:paraId="4FB8C721" w14:textId="77777777" w:rsidR="00114375" w:rsidRDefault="00114375" w:rsidP="00AD1651">
            <w:pPr>
              <w:keepNext/>
              <w:keepLines/>
              <w:spacing w:before="20" w:after="20"/>
              <w:rPr>
                <w:rFonts w:cs="Arial"/>
                <w:sz w:val="20"/>
                <w:szCs w:val="20"/>
              </w:rPr>
            </w:pPr>
          </w:p>
        </w:tc>
        <w:tc>
          <w:tcPr>
            <w:tcW w:w="824" w:type="pct"/>
          </w:tcPr>
          <w:p w14:paraId="7EBC15B3" w14:textId="7384C217" w:rsidR="00114375" w:rsidRDefault="00114375" w:rsidP="00AD1651">
            <w:pPr>
              <w:keepNext/>
              <w:keepLines/>
              <w:spacing w:before="20" w:after="20"/>
              <w:rPr>
                <w:rFonts w:cs="Arial"/>
                <w:sz w:val="20"/>
                <w:szCs w:val="20"/>
              </w:rPr>
            </w:pPr>
            <w:r>
              <w:rPr>
                <w:rFonts w:cs="Arial"/>
                <w:sz w:val="20"/>
                <w:szCs w:val="20"/>
              </w:rPr>
              <w:t>5/20/2021</w:t>
            </w:r>
          </w:p>
        </w:tc>
        <w:tc>
          <w:tcPr>
            <w:tcW w:w="891" w:type="pct"/>
          </w:tcPr>
          <w:p w14:paraId="0304A5F1" w14:textId="77777777" w:rsidR="00114375" w:rsidRDefault="00114375" w:rsidP="00AD1651">
            <w:pPr>
              <w:keepNext/>
              <w:keepLines/>
              <w:spacing w:before="20" w:after="20"/>
              <w:rPr>
                <w:rFonts w:cs="Arial"/>
                <w:sz w:val="20"/>
                <w:szCs w:val="20"/>
              </w:rPr>
            </w:pPr>
            <w:r>
              <w:rPr>
                <w:rFonts w:cs="Arial"/>
                <w:sz w:val="20"/>
                <w:szCs w:val="20"/>
              </w:rPr>
              <w:t>Harpreet Singh</w:t>
            </w:r>
          </w:p>
          <w:p w14:paraId="109976A1" w14:textId="697303C4" w:rsidR="00114375" w:rsidRDefault="00114375" w:rsidP="00AD1651">
            <w:pPr>
              <w:keepNext/>
              <w:keepLines/>
              <w:spacing w:before="20" w:after="20"/>
              <w:rPr>
                <w:rFonts w:cs="Arial"/>
                <w:sz w:val="20"/>
                <w:szCs w:val="20"/>
              </w:rPr>
            </w:pPr>
            <w:r>
              <w:rPr>
                <w:rFonts w:cs="Arial"/>
                <w:sz w:val="20"/>
                <w:szCs w:val="20"/>
              </w:rPr>
              <w:t>PG&amp;E</w:t>
            </w:r>
          </w:p>
        </w:tc>
        <w:tc>
          <w:tcPr>
            <w:tcW w:w="2781" w:type="pct"/>
          </w:tcPr>
          <w:p w14:paraId="6A68C90A" w14:textId="3F5EC5AF" w:rsidR="00114375" w:rsidRDefault="00114375" w:rsidP="00092D65">
            <w:pPr>
              <w:keepNext/>
              <w:keepLines/>
              <w:spacing w:before="20" w:after="20"/>
              <w:rPr>
                <w:rFonts w:cs="Arial"/>
                <w:sz w:val="20"/>
                <w:szCs w:val="20"/>
              </w:rPr>
            </w:pPr>
            <w:r>
              <w:rPr>
                <w:rFonts w:cs="Arial"/>
                <w:sz w:val="20"/>
                <w:szCs w:val="20"/>
              </w:rPr>
              <w:t xml:space="preserve">Adopt other measures for PG&amp;E. </w:t>
            </w:r>
          </w:p>
        </w:tc>
      </w:tr>
      <w:tr w:rsidR="00114375" w:rsidRPr="00CA1CB3" w14:paraId="134BEA05" w14:textId="77777777" w:rsidTr="00B5189A">
        <w:trPr>
          <w:trHeight w:val="20"/>
        </w:trPr>
        <w:tc>
          <w:tcPr>
            <w:tcW w:w="504" w:type="pct"/>
            <w:vMerge/>
          </w:tcPr>
          <w:p w14:paraId="6E582B53" w14:textId="77777777" w:rsidR="00114375" w:rsidRDefault="00114375" w:rsidP="00AD1651">
            <w:pPr>
              <w:keepNext/>
              <w:keepLines/>
              <w:spacing w:before="20" w:after="20"/>
              <w:rPr>
                <w:rFonts w:cs="Arial"/>
                <w:sz w:val="20"/>
                <w:szCs w:val="20"/>
              </w:rPr>
            </w:pPr>
          </w:p>
        </w:tc>
        <w:tc>
          <w:tcPr>
            <w:tcW w:w="824" w:type="pct"/>
          </w:tcPr>
          <w:p w14:paraId="4782F55B" w14:textId="72AB4F53" w:rsidR="00114375" w:rsidRDefault="00114375" w:rsidP="00AD1651">
            <w:pPr>
              <w:keepNext/>
              <w:keepLines/>
              <w:spacing w:before="20" w:after="20"/>
              <w:rPr>
                <w:rFonts w:cs="Arial"/>
                <w:sz w:val="20"/>
                <w:szCs w:val="20"/>
              </w:rPr>
            </w:pPr>
            <w:r>
              <w:rPr>
                <w:rFonts w:cs="Arial"/>
                <w:sz w:val="20"/>
                <w:szCs w:val="20"/>
              </w:rPr>
              <w:t>06/09/2021</w:t>
            </w:r>
          </w:p>
        </w:tc>
        <w:tc>
          <w:tcPr>
            <w:tcW w:w="891" w:type="pct"/>
          </w:tcPr>
          <w:p w14:paraId="4E7CE98F" w14:textId="77777777" w:rsidR="00114375" w:rsidRDefault="00114375" w:rsidP="00AD1651">
            <w:pPr>
              <w:keepNext/>
              <w:keepLines/>
              <w:spacing w:before="20" w:after="20"/>
              <w:rPr>
                <w:rFonts w:cs="Arial"/>
                <w:sz w:val="20"/>
                <w:szCs w:val="20"/>
              </w:rPr>
            </w:pPr>
            <w:r>
              <w:rPr>
                <w:rFonts w:cs="Arial"/>
                <w:sz w:val="20"/>
                <w:szCs w:val="20"/>
              </w:rPr>
              <w:t>Kenny Liljestrom,</w:t>
            </w:r>
          </w:p>
          <w:p w14:paraId="060B749C" w14:textId="1160637F" w:rsidR="00114375" w:rsidRDefault="00114375" w:rsidP="00AD1651">
            <w:pPr>
              <w:keepNext/>
              <w:keepLines/>
              <w:spacing w:before="20" w:after="20"/>
              <w:rPr>
                <w:rFonts w:cs="Arial"/>
                <w:sz w:val="20"/>
                <w:szCs w:val="20"/>
              </w:rPr>
            </w:pPr>
            <w:r>
              <w:rPr>
                <w:rFonts w:cs="Arial"/>
                <w:sz w:val="20"/>
                <w:szCs w:val="20"/>
              </w:rPr>
              <w:t>SDG&amp;E</w:t>
            </w:r>
          </w:p>
        </w:tc>
        <w:tc>
          <w:tcPr>
            <w:tcW w:w="2781" w:type="pct"/>
          </w:tcPr>
          <w:p w14:paraId="00854244" w14:textId="42B3534B" w:rsidR="00114375" w:rsidRDefault="00114375" w:rsidP="00092D65">
            <w:pPr>
              <w:keepNext/>
              <w:keepLines/>
              <w:spacing w:before="20" w:after="20"/>
              <w:rPr>
                <w:rFonts w:cs="Arial"/>
                <w:sz w:val="20"/>
                <w:szCs w:val="20"/>
              </w:rPr>
            </w:pPr>
            <w:r>
              <w:rPr>
                <w:rFonts w:cs="Arial"/>
                <w:sz w:val="20"/>
                <w:szCs w:val="20"/>
              </w:rPr>
              <w:t>Adopted SDG&amp;E implementations for measure offering SWFS011C. No other changes to the workpaper or data.</w:t>
            </w:r>
          </w:p>
        </w:tc>
      </w:tr>
      <w:bookmarkEnd w:id="149"/>
      <w:bookmarkEnd w:id="155"/>
      <w:bookmarkEnd w:id="156"/>
      <w:bookmarkEnd w:id="157"/>
    </w:tbl>
    <w:p w14:paraId="395E8FBB" w14:textId="61125F66" w:rsidR="00C55A0D" w:rsidRDefault="00C55A0D" w:rsidP="00C55A0D">
      <w:pPr>
        <w:rPr>
          <w:sz w:val="18"/>
        </w:rPr>
      </w:pPr>
    </w:p>
    <w:p w14:paraId="18E2A91E" w14:textId="5E1F8A4B" w:rsidR="00FE4F85" w:rsidRPr="00FE4F85" w:rsidRDefault="000F6E98" w:rsidP="000F6E98">
      <w:pPr>
        <w:tabs>
          <w:tab w:val="left" w:pos="6080"/>
        </w:tabs>
      </w:pPr>
      <w:r>
        <w:tab/>
      </w:r>
    </w:p>
    <w:sectPr w:rsidR="00FE4F85" w:rsidRPr="00FE4F85" w:rsidSect="00D551D7">
      <w:headerReference w:type="default" r:id="rId11"/>
      <w:footerReference w:type="default" r:id="rId12"/>
      <w:headerReference w:type="first" r:id="rId13"/>
      <w:footerReference w:type="first" r:id="rId14"/>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2BCFC" w14:textId="77777777" w:rsidR="00DF1C5C" w:rsidRDefault="00DF1C5C" w:rsidP="00A2690C">
      <w:r>
        <w:separator/>
      </w:r>
    </w:p>
    <w:p w14:paraId="3DF8E38B" w14:textId="77777777" w:rsidR="00DF1C5C" w:rsidRDefault="00DF1C5C"/>
  </w:endnote>
  <w:endnote w:type="continuationSeparator" w:id="0">
    <w:p w14:paraId="38FA9F22" w14:textId="77777777" w:rsidR="00DF1C5C" w:rsidRDefault="00DF1C5C" w:rsidP="00A2690C">
      <w:r>
        <w:continuationSeparator/>
      </w:r>
    </w:p>
    <w:p w14:paraId="01B7B2B9" w14:textId="77777777" w:rsidR="00DF1C5C" w:rsidRDefault="00DF1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15CD" w14:textId="77777777" w:rsidR="00FB3C38" w:rsidRDefault="00FB3C38"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1854AAB0" wp14:editId="0324E467">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00DE79CC" w14:textId="395AFB51" w:rsidR="00FB3C38" w:rsidRPr="00D551D7" w:rsidRDefault="00FB3C38"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3</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D609" w14:textId="77777777" w:rsidR="00FB3C38" w:rsidRDefault="00FB3C38" w:rsidP="00D551D7">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54761DD5" wp14:editId="526355C9">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C96CD19" w14:textId="47DEDEF4" w:rsidR="00FB3C38" w:rsidRPr="00D551D7" w:rsidRDefault="00FB3C38" w:rsidP="00D551D7">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0ECB2" w14:textId="77777777" w:rsidR="00DF1C5C" w:rsidRDefault="00DF1C5C" w:rsidP="00A2690C">
      <w:r>
        <w:separator/>
      </w:r>
    </w:p>
    <w:p w14:paraId="4BA53457" w14:textId="77777777" w:rsidR="00DF1C5C" w:rsidRDefault="00DF1C5C"/>
  </w:footnote>
  <w:footnote w:type="continuationSeparator" w:id="0">
    <w:p w14:paraId="75F1D3D2" w14:textId="77777777" w:rsidR="00DF1C5C" w:rsidRDefault="00DF1C5C" w:rsidP="00A2690C">
      <w:r>
        <w:continuationSeparator/>
      </w:r>
    </w:p>
    <w:p w14:paraId="595819CC" w14:textId="77777777" w:rsidR="00DF1C5C" w:rsidRDefault="00DF1C5C"/>
  </w:footnote>
  <w:footnote w:id="1">
    <w:p w14:paraId="410035AC" w14:textId="51E9FCFE" w:rsidR="00FB3C38" w:rsidRDefault="00FB3C38">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2">
    <w:p w14:paraId="334AE962" w14:textId="7F094643" w:rsidR="00FB3C38" w:rsidRDefault="00FB3C38">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ASTM 2144</w:t>
      </w:r>
      <w:r>
        <w:rPr>
          <w:rStyle w:val="FootnoteTextChar"/>
          <w:i/>
        </w:rPr>
        <w:t>-09</w:t>
      </w:r>
      <w:r w:rsidRPr="002D35B4">
        <w:rPr>
          <w:rStyle w:val="FootnoteTextChar"/>
          <w:i/>
        </w:rPr>
        <w:t xml:space="preserve">, Standard Test Method for the Performance of Large Vat Fryers. </w:t>
      </w:r>
      <w:r w:rsidRPr="002D35B4">
        <w:rPr>
          <w:rStyle w:val="FootnoteTextChar"/>
        </w:rPr>
        <w:t>West Conshohocken (PA): ASTM International.</w:t>
      </w:r>
    </w:p>
  </w:footnote>
  <w:footnote w:id="3">
    <w:p w14:paraId="16DF6C7A" w14:textId="03DDAB7A" w:rsidR="00FB3C38" w:rsidRPr="00F946D7" w:rsidRDefault="00FB3C38" w:rsidP="00F52803">
      <w:pPr>
        <w:pStyle w:val="eTRMFootnoteText"/>
        <w:rPr>
          <w:rStyle w:val="eTRMFootnoteTextChar"/>
          <w:szCs w:val="18"/>
        </w:rPr>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w:t>
      </w:r>
      <w:r>
        <w:rPr>
          <w:rStyle w:val="eTRMFootnoteTextChar"/>
          <w:szCs w:val="18"/>
        </w:rPr>
        <w:t>20</w:t>
      </w:r>
      <w:r w:rsidRPr="00C82660">
        <w:rPr>
          <w:rStyle w:val="eTRMFootnoteTextChar"/>
          <w:szCs w:val="18"/>
        </w:rPr>
        <w:t>. “</w:t>
      </w:r>
      <w:r w:rsidRPr="00CB6832">
        <w:rPr>
          <w:rStyle w:val="eTRMFootnoteTextChar"/>
          <w:szCs w:val="18"/>
        </w:rPr>
        <w:t>SWFS011</w:t>
      </w:r>
      <w:r>
        <w:rPr>
          <w:rStyle w:val="eTRMFootnoteTextChar"/>
          <w:szCs w:val="18"/>
        </w:rPr>
        <w:t>-03 Commercial Fryer WPP- 11032020.zip”</w:t>
      </w:r>
    </w:p>
    <w:p w14:paraId="1BF78DA9" w14:textId="675A864F" w:rsidR="00FB3C38" w:rsidRDefault="00FB3C38" w:rsidP="00F52803">
      <w:pPr>
        <w:pStyle w:val="eTRMFootnoteText"/>
      </w:pPr>
    </w:p>
  </w:footnote>
  <w:footnote w:id="4">
    <w:p w14:paraId="51F39536" w14:textId="3D10B8D2" w:rsidR="00FB3C38" w:rsidRDefault="00FB3C38">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w:t>
      </w:r>
      <w:r>
        <w:rPr>
          <w:rStyle w:val="eTRMFootnoteTextChar"/>
          <w:szCs w:val="18"/>
        </w:rPr>
        <w:t>20</w:t>
      </w:r>
      <w:r w:rsidRPr="00C82660">
        <w:rPr>
          <w:rStyle w:val="eTRMFootnoteTextChar"/>
          <w:szCs w:val="18"/>
        </w:rPr>
        <w:t>. “</w:t>
      </w:r>
      <w:r w:rsidRPr="00B52BD9">
        <w:t>Update Plan_Fryer_</w:t>
      </w:r>
      <w:r>
        <w:t>1109</w:t>
      </w:r>
      <w:r w:rsidRPr="00B52BD9">
        <w:t>20</w:t>
      </w:r>
      <w:r>
        <w:t>20</w:t>
      </w:r>
      <w:r w:rsidRPr="00B52BD9">
        <w:t>.xlsx</w:t>
      </w:r>
      <w:r>
        <w:t>.”</w:t>
      </w:r>
    </w:p>
  </w:footnote>
  <w:footnote w:id="5">
    <w:p w14:paraId="2C15122D" w14:textId="2144A2FF" w:rsidR="00FB3C38" w:rsidRDefault="00FB3C38" w:rsidP="00A51CF3">
      <w:pPr>
        <w:pStyle w:val="FootnoteText"/>
      </w:pPr>
      <w:r>
        <w:rPr>
          <w:rStyle w:val="FootnoteReference"/>
        </w:rPr>
        <w:footnoteRef/>
      </w:r>
      <w:r>
        <w:t xml:space="preserve"> </w:t>
      </w:r>
      <w:r w:rsidRPr="00153F57">
        <w:rPr>
          <w:rStyle w:val="FootnoteTextChar"/>
        </w:rPr>
        <w:t xml:space="preserve">American Society for Testing and Materials (ASTM). 2013. </w:t>
      </w:r>
      <w:r w:rsidRPr="00153F57">
        <w:rPr>
          <w:rStyle w:val="FootnoteTextChar"/>
          <w:i/>
        </w:rPr>
        <w:t xml:space="preserve">ASTM F1361, Standard Test Method for the Performance of Open Deep Fat Fryers. </w:t>
      </w:r>
      <w:r w:rsidRPr="00153F57">
        <w:rPr>
          <w:rStyle w:val="FootnoteTextChar"/>
        </w:rPr>
        <w:t>West Conshohocken (PA): ASTM International.</w:t>
      </w:r>
    </w:p>
  </w:footnote>
  <w:footnote w:id="6">
    <w:p w14:paraId="3F6709AF" w14:textId="3962D390" w:rsidR="00FB3C38" w:rsidRDefault="00FB3C38" w:rsidP="00A51CF3">
      <w:pPr>
        <w:pStyle w:val="FootnoteText"/>
      </w:pPr>
      <w:r>
        <w:rPr>
          <w:rStyle w:val="FootnoteReference"/>
        </w:rPr>
        <w:footnoteRef/>
      </w:r>
      <w:r>
        <w:t xml:space="preserve"> </w:t>
      </w:r>
      <w:r w:rsidRPr="002D35B4">
        <w:rPr>
          <w:rStyle w:val="FootnoteTextChar"/>
        </w:rPr>
        <w:t xml:space="preserve">American Society for Testing and Materials (ASTM). 2016. </w:t>
      </w:r>
      <w:r w:rsidRPr="002D35B4">
        <w:rPr>
          <w:rStyle w:val="FootnoteTextChar"/>
          <w:i/>
        </w:rPr>
        <w:t xml:space="preserve">ASTM 2144, Standard Test Method for the Performance of Large Vat Fryers. </w:t>
      </w:r>
      <w:r w:rsidRPr="002D35B4">
        <w:rPr>
          <w:rStyle w:val="FootnoteTextChar"/>
        </w:rPr>
        <w:t>West Conshohocken (PA): ASTM International.</w:t>
      </w:r>
    </w:p>
  </w:footnote>
  <w:footnote w:id="7">
    <w:p w14:paraId="6A54D2C3" w14:textId="38FF1153" w:rsidR="00FB3C38" w:rsidRDefault="00FB3C38">
      <w:pPr>
        <w:pStyle w:val="FootnoteText"/>
      </w:pPr>
      <w:r>
        <w:rPr>
          <w:rStyle w:val="FootnoteReference"/>
        </w:rPr>
        <w:footnoteRef/>
      </w:r>
      <w:r w:rsidRPr="0085330C">
        <w:t xml:space="preserve"> ENERGY STAR. 2015. "ENERGY STAR® Program Requirements for Commercial Fryers: Version 3.0.</w:t>
      </w:r>
      <w:r>
        <w:t>”</w:t>
      </w:r>
      <w:r w:rsidRPr="0085330C">
        <w:t xml:space="preserve"> Effective October 1, 2016</w:t>
      </w:r>
    </w:p>
  </w:footnote>
  <w:footnote w:id="8">
    <w:p w14:paraId="44B17827" w14:textId="4B213CB1" w:rsidR="00FB3C38" w:rsidRDefault="00FB3C38">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9">
    <w:p w14:paraId="1865D962" w14:textId="4F18ED8E" w:rsidR="00FB3C38" w:rsidRDefault="00FB3C38">
      <w:pPr>
        <w:pStyle w:val="FootnoteText"/>
      </w:pPr>
      <w:r>
        <w:rPr>
          <w:rStyle w:val="FootnoteReference"/>
        </w:rPr>
        <w:footnoteRef/>
      </w:r>
      <w:r>
        <w:t xml:space="preserve"> </w:t>
      </w:r>
      <w:r w:rsidRPr="00C82660">
        <w:rPr>
          <w:szCs w:val="18"/>
        </w:rPr>
        <w:t xml:space="preserve">The </w:t>
      </w:r>
      <w:r w:rsidRPr="00C82660">
        <w:rPr>
          <w:rStyle w:val="eTRMFootnoteTextChar"/>
          <w:szCs w:val="18"/>
        </w:rPr>
        <w:t>Southern California Gas Company (SCG). 20</w:t>
      </w:r>
      <w:r>
        <w:rPr>
          <w:rStyle w:val="eTRMFootnoteTextChar"/>
          <w:szCs w:val="18"/>
        </w:rPr>
        <w:t>20,</w:t>
      </w:r>
      <w:r>
        <w:t xml:space="preserve"> “</w:t>
      </w:r>
      <w:r w:rsidRPr="003F7D79">
        <w:t>Foodservice comment responses_SCG_11</w:t>
      </w:r>
      <w:r>
        <w:t>09</w:t>
      </w:r>
      <w:r w:rsidRPr="003F7D79">
        <w:t>20</w:t>
      </w:r>
      <w:r>
        <w:t>20</w:t>
      </w:r>
      <w:r w:rsidRPr="003F7D79">
        <w:t>.xlsx</w:t>
      </w:r>
      <w:r>
        <w:t>”, Response to CPUC’s review comments.</w:t>
      </w:r>
    </w:p>
  </w:footnote>
  <w:footnote w:id="10">
    <w:p w14:paraId="78257EB5" w14:textId="77777777" w:rsidR="00FB3C38" w:rsidRDefault="00FB3C38" w:rsidP="00817CD6">
      <w:pPr>
        <w:pStyle w:val="FootnoteText"/>
      </w:pPr>
      <w:r>
        <w:rPr>
          <w:rStyle w:val="FootnoteReference"/>
        </w:rPr>
        <w:footnoteRef/>
      </w:r>
      <w:r>
        <w:t xml:space="preserve"> </w:t>
      </w:r>
      <w:r w:rsidRPr="00461A0D">
        <w:rPr>
          <w:rStyle w:val="eTRMFootnoteTextChar"/>
        </w:rPr>
        <w:t xml:space="preserve">California Public Utilities Commission (CPUC). 2018. </w:t>
      </w:r>
      <w:r w:rsidRPr="004B7794">
        <w:rPr>
          <w:rStyle w:val="eTRMFootnoteTextChar"/>
          <w:i/>
        </w:rPr>
        <w:t>Resolution E-4952.</w:t>
      </w:r>
      <w:r w:rsidRPr="00461A0D">
        <w:rPr>
          <w:rStyle w:val="eTRMFootnoteTextChar"/>
        </w:rPr>
        <w:t xml:space="preserve"> October 11. </w:t>
      </w:r>
      <w:r>
        <w:rPr>
          <w:rStyle w:val="eTRMFootnoteTextChar"/>
        </w:rPr>
        <w:t>Op</w:t>
      </w:r>
      <w:r w:rsidRPr="00461A0D">
        <w:rPr>
          <w:rStyle w:val="eTRMFootnoteTextChar"/>
        </w:rPr>
        <w:t xml:space="preserve"> 1.</w:t>
      </w:r>
    </w:p>
  </w:footnote>
  <w:footnote w:id="11">
    <w:p w14:paraId="48537E05" w14:textId="77777777" w:rsidR="00FB3C38" w:rsidRDefault="00FB3C38" w:rsidP="00F455B5"/>
  </w:footnote>
  <w:footnote w:id="12">
    <w:p w14:paraId="5AE5C1C5" w14:textId="77777777" w:rsidR="00FB3C38" w:rsidRDefault="00FB3C38"/>
  </w:footnote>
  <w:footnote w:id="13">
    <w:p w14:paraId="5A806B5B" w14:textId="77777777" w:rsidR="00FB3C38" w:rsidRDefault="00FB3C38" w:rsidP="00CE37EC">
      <w:pPr>
        <w:pStyle w:val="FootnoteText"/>
      </w:pPr>
      <w:r>
        <w:rPr>
          <w:rStyle w:val="FootnoteReference"/>
        </w:rPr>
        <w:footnoteRef/>
      </w:r>
      <w:r>
        <w:t xml:space="preserve"> Biermayer, P. (CPUC, Energy Division). 2019. “Non-standard Disposition for commercial electric and gas fryer workpaper SWFS011-01.” Memorandum to Chan Paek (SoCalGas). January 4. </w:t>
      </w:r>
    </w:p>
  </w:footnote>
  <w:footnote w:id="14">
    <w:p w14:paraId="22AD448C" w14:textId="456290B4" w:rsidR="00FB3C38" w:rsidRDefault="00FB3C38" w:rsidP="00883172">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15">
    <w:p w14:paraId="3806325F" w14:textId="77777777" w:rsidR="00FB3C38" w:rsidRDefault="00FB3C38" w:rsidP="00D94A9A">
      <w:pPr>
        <w:pStyle w:val="FootnoteText"/>
      </w:pPr>
      <w:r>
        <w:rPr>
          <w:rStyle w:val="FootnoteReference"/>
        </w:rPr>
        <w:footnoteRef/>
      </w:r>
      <w:r>
        <w:t xml:space="preserve"> </w:t>
      </w:r>
      <w:r w:rsidRPr="002C1AA6">
        <w:rPr>
          <w:rStyle w:val="eTRMFootnoteTextChar"/>
        </w:rPr>
        <w:t>Energy Solutions. 2017. "2016 IMC Analysis - For Cal TF (Energy Solutions).xls."</w:t>
      </w:r>
    </w:p>
  </w:footnote>
  <w:footnote w:id="16">
    <w:p w14:paraId="0E498FD7" w14:textId="3962543B" w:rsidR="00FB3C38" w:rsidRDefault="00FB3C38" w:rsidP="008057DC">
      <w:pPr>
        <w:pStyle w:val="FootnoteText"/>
      </w:pPr>
      <w:r>
        <w:rPr>
          <w:rStyle w:val="FootnoteReference"/>
        </w:rPr>
        <w:footnoteRef/>
      </w:r>
      <w:r>
        <w:t xml:space="preserve"> </w:t>
      </w:r>
      <w:r>
        <w:rPr>
          <w:rFonts w:cs="Arial"/>
          <w:szCs w:val="20"/>
        </w:rPr>
        <w:t>Frontier Energy Memo. 2020. “</w:t>
      </w:r>
      <w:r w:rsidRPr="00BD7013">
        <w:rPr>
          <w:rFonts w:cs="Arial"/>
          <w:szCs w:val="20"/>
        </w:rPr>
        <w:t>GasFryerTierAnalysis-R1</w:t>
      </w:r>
      <w:r>
        <w:rPr>
          <w:rFonts w:cs="Arial"/>
          <w:szCs w:val="20"/>
        </w:rPr>
        <w:t>”</w:t>
      </w:r>
    </w:p>
  </w:footnote>
  <w:footnote w:id="17">
    <w:p w14:paraId="3D4F956F" w14:textId="3E87BD86" w:rsidR="00FB3C38" w:rsidRDefault="00FB3C38" w:rsidP="00E23768">
      <w:pPr>
        <w:pStyle w:val="FootnoteText"/>
      </w:pPr>
      <w:r>
        <w:rPr>
          <w:rStyle w:val="FootnoteReference"/>
        </w:rPr>
        <w:footnoteRef/>
      </w:r>
      <w:r>
        <w:t xml:space="preserve"> </w:t>
      </w:r>
      <w:r w:rsidRPr="0058284F">
        <w:rPr>
          <w:rStyle w:val="eTRMFootnoteTextChar"/>
        </w:rPr>
        <w:t xml:space="preserve">Food Service Technology Center (FSTC). </w:t>
      </w:r>
      <w:r>
        <w:rPr>
          <w:rStyle w:val="eTRMFootnoteTextChar"/>
        </w:rPr>
        <w:t xml:space="preserve">2016. </w:t>
      </w:r>
      <w:r w:rsidRPr="0058284F">
        <w:rPr>
          <w:rStyle w:val="eTRMFootnoteTextChar"/>
        </w:rPr>
        <w:t>“</w:t>
      </w:r>
      <w:r w:rsidRPr="00883172">
        <w:rPr>
          <w:rStyle w:val="eTRMFootnoteTextChar"/>
        </w:rPr>
        <w:t>Fryer 2016 Price Updates.xlsx</w:t>
      </w:r>
      <w:r w:rsidRPr="0058284F">
        <w:rPr>
          <w:rStyle w:val="eTRMFootnoteTextChar"/>
        </w:rPr>
        <w:t>.”</w:t>
      </w:r>
    </w:p>
  </w:footnote>
  <w:footnote w:id="18">
    <w:p w14:paraId="385DE05F" w14:textId="77777777" w:rsidR="00FB3C38" w:rsidRDefault="00FB3C38" w:rsidP="00D94A9A">
      <w:pPr>
        <w:pStyle w:val="FootnoteText"/>
      </w:pPr>
      <w:r>
        <w:rPr>
          <w:rStyle w:val="FootnoteReference"/>
        </w:rPr>
        <w:footnoteRef/>
      </w:r>
      <w:r>
        <w:t xml:space="preserve"> </w:t>
      </w:r>
      <w:r w:rsidRPr="002C1AA6">
        <w:rPr>
          <w:rStyle w:val="eTRMFootnoteTextChar"/>
        </w:rPr>
        <w:t>Energy Solutions. 2017. "2016 IMC Analysis - For Cal TF (Energy Solutions).xls."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8773" w14:textId="6BBDE818" w:rsidR="00FB3C38" w:rsidRDefault="00FB3C38"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Fryer, Commercial</w:t>
    </w:r>
  </w:p>
  <w:p w14:paraId="5ECC0F3B" w14:textId="77777777" w:rsidR="00FB3C38" w:rsidRDefault="00FB3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2859" w14:textId="77777777" w:rsidR="00FB3C38" w:rsidRDefault="00FB3C38" w:rsidP="00D3360C">
    <w:pPr>
      <w:jc w:val="center"/>
    </w:pPr>
  </w:p>
  <w:p w14:paraId="46BCA7B0" w14:textId="4A228AD8" w:rsidR="00FB3C38" w:rsidRDefault="00FB3C38" w:rsidP="00D3360C">
    <w:pPr>
      <w:jc w:val="center"/>
    </w:pPr>
    <w:r>
      <w:rPr>
        <w:noProof/>
      </w:rPr>
      <w:drawing>
        <wp:inline distT="0" distB="0" distL="0" distR="0" wp14:anchorId="74D9D609" wp14:editId="63F50736">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6"/>
  </w:num>
  <w:num w:numId="2">
    <w:abstractNumId w:val="10"/>
  </w:num>
  <w:num w:numId="3">
    <w:abstractNumId w:val="12"/>
  </w:num>
  <w:num w:numId="4">
    <w:abstractNumId w:val="12"/>
  </w:num>
  <w:num w:numId="5">
    <w:abstractNumId w:val="8"/>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2"/>
  </w:num>
  <w:num w:numId="8">
    <w:abstractNumId w:val="9"/>
  </w:num>
  <w:num w:numId="9">
    <w:abstractNumId w:val="0"/>
  </w:num>
  <w:num w:numId="10">
    <w:abstractNumId w:val="11"/>
  </w:num>
  <w:num w:numId="11">
    <w:abstractNumId w:val="3"/>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5B06"/>
    <w:rsid w:val="000063B0"/>
    <w:rsid w:val="00007310"/>
    <w:rsid w:val="00010369"/>
    <w:rsid w:val="000110D9"/>
    <w:rsid w:val="000111AF"/>
    <w:rsid w:val="00014642"/>
    <w:rsid w:val="00015CCC"/>
    <w:rsid w:val="00016928"/>
    <w:rsid w:val="00020466"/>
    <w:rsid w:val="00021E0C"/>
    <w:rsid w:val="000220A0"/>
    <w:rsid w:val="00023323"/>
    <w:rsid w:val="0002389A"/>
    <w:rsid w:val="00026D58"/>
    <w:rsid w:val="000302DF"/>
    <w:rsid w:val="00031184"/>
    <w:rsid w:val="00036232"/>
    <w:rsid w:val="00037A06"/>
    <w:rsid w:val="000408D6"/>
    <w:rsid w:val="000419C3"/>
    <w:rsid w:val="0004592D"/>
    <w:rsid w:val="00046BB0"/>
    <w:rsid w:val="00046DD3"/>
    <w:rsid w:val="00051BE9"/>
    <w:rsid w:val="00051DBB"/>
    <w:rsid w:val="00052AF4"/>
    <w:rsid w:val="00052C95"/>
    <w:rsid w:val="00056986"/>
    <w:rsid w:val="00060B6A"/>
    <w:rsid w:val="00061D34"/>
    <w:rsid w:val="000653B2"/>
    <w:rsid w:val="00066F2A"/>
    <w:rsid w:val="000672E5"/>
    <w:rsid w:val="00072E9E"/>
    <w:rsid w:val="00074E3E"/>
    <w:rsid w:val="0007597C"/>
    <w:rsid w:val="000767E9"/>
    <w:rsid w:val="000772CA"/>
    <w:rsid w:val="0008108C"/>
    <w:rsid w:val="000841AA"/>
    <w:rsid w:val="00087E5E"/>
    <w:rsid w:val="00090BBF"/>
    <w:rsid w:val="000910B7"/>
    <w:rsid w:val="00091581"/>
    <w:rsid w:val="00092D65"/>
    <w:rsid w:val="00094517"/>
    <w:rsid w:val="00095870"/>
    <w:rsid w:val="00096485"/>
    <w:rsid w:val="0009672C"/>
    <w:rsid w:val="000978C8"/>
    <w:rsid w:val="000A4D3A"/>
    <w:rsid w:val="000A62EF"/>
    <w:rsid w:val="000A66B7"/>
    <w:rsid w:val="000A7058"/>
    <w:rsid w:val="000A7F52"/>
    <w:rsid w:val="000B1FC9"/>
    <w:rsid w:val="000B6004"/>
    <w:rsid w:val="000C0A0A"/>
    <w:rsid w:val="000C34E0"/>
    <w:rsid w:val="000C36B4"/>
    <w:rsid w:val="000C3CD4"/>
    <w:rsid w:val="000C53C5"/>
    <w:rsid w:val="000C72C1"/>
    <w:rsid w:val="000D09FB"/>
    <w:rsid w:val="000D695F"/>
    <w:rsid w:val="000E0562"/>
    <w:rsid w:val="000E2986"/>
    <w:rsid w:val="000E517A"/>
    <w:rsid w:val="000F1833"/>
    <w:rsid w:val="000F4714"/>
    <w:rsid w:val="000F6E98"/>
    <w:rsid w:val="0010117E"/>
    <w:rsid w:val="0010188D"/>
    <w:rsid w:val="00102F23"/>
    <w:rsid w:val="00103399"/>
    <w:rsid w:val="001048DC"/>
    <w:rsid w:val="00104933"/>
    <w:rsid w:val="00105C7D"/>
    <w:rsid w:val="001101D1"/>
    <w:rsid w:val="00111A53"/>
    <w:rsid w:val="00113CEF"/>
    <w:rsid w:val="00114375"/>
    <w:rsid w:val="001148A6"/>
    <w:rsid w:val="001148EB"/>
    <w:rsid w:val="0011498C"/>
    <w:rsid w:val="00120592"/>
    <w:rsid w:val="00121167"/>
    <w:rsid w:val="001217DF"/>
    <w:rsid w:val="0012187D"/>
    <w:rsid w:val="001248DB"/>
    <w:rsid w:val="00124BFE"/>
    <w:rsid w:val="00126809"/>
    <w:rsid w:val="00126DD5"/>
    <w:rsid w:val="00127B06"/>
    <w:rsid w:val="001304DE"/>
    <w:rsid w:val="00130A6A"/>
    <w:rsid w:val="00131C5A"/>
    <w:rsid w:val="001326C6"/>
    <w:rsid w:val="0014089A"/>
    <w:rsid w:val="0014206C"/>
    <w:rsid w:val="00142D3C"/>
    <w:rsid w:val="00143457"/>
    <w:rsid w:val="00150E50"/>
    <w:rsid w:val="00151B9F"/>
    <w:rsid w:val="00153F57"/>
    <w:rsid w:val="00154391"/>
    <w:rsid w:val="001564FC"/>
    <w:rsid w:val="00156D1A"/>
    <w:rsid w:val="00157EF7"/>
    <w:rsid w:val="001605F0"/>
    <w:rsid w:val="00161A55"/>
    <w:rsid w:val="00161DF1"/>
    <w:rsid w:val="001648F6"/>
    <w:rsid w:val="00165A6B"/>
    <w:rsid w:val="00166114"/>
    <w:rsid w:val="00166517"/>
    <w:rsid w:val="001717C5"/>
    <w:rsid w:val="00171BB8"/>
    <w:rsid w:val="00174707"/>
    <w:rsid w:val="00177153"/>
    <w:rsid w:val="00180BF4"/>
    <w:rsid w:val="00180DAD"/>
    <w:rsid w:val="00181672"/>
    <w:rsid w:val="00181E01"/>
    <w:rsid w:val="00183627"/>
    <w:rsid w:val="00191260"/>
    <w:rsid w:val="00194158"/>
    <w:rsid w:val="001944A0"/>
    <w:rsid w:val="00195B03"/>
    <w:rsid w:val="001965E1"/>
    <w:rsid w:val="00196605"/>
    <w:rsid w:val="00196649"/>
    <w:rsid w:val="001974AA"/>
    <w:rsid w:val="001A4BE1"/>
    <w:rsid w:val="001A6316"/>
    <w:rsid w:val="001A7A21"/>
    <w:rsid w:val="001B1D23"/>
    <w:rsid w:val="001B595E"/>
    <w:rsid w:val="001B63E4"/>
    <w:rsid w:val="001C0EFB"/>
    <w:rsid w:val="001C2ACE"/>
    <w:rsid w:val="001C3C52"/>
    <w:rsid w:val="001C48F6"/>
    <w:rsid w:val="001C6C9B"/>
    <w:rsid w:val="001C7134"/>
    <w:rsid w:val="001D65A6"/>
    <w:rsid w:val="001D7A57"/>
    <w:rsid w:val="001E0E18"/>
    <w:rsid w:val="001E1729"/>
    <w:rsid w:val="001E19A3"/>
    <w:rsid w:val="001E3692"/>
    <w:rsid w:val="001E4C3F"/>
    <w:rsid w:val="001E6E5D"/>
    <w:rsid w:val="001F5F37"/>
    <w:rsid w:val="001F735E"/>
    <w:rsid w:val="002005A8"/>
    <w:rsid w:val="002006B6"/>
    <w:rsid w:val="002036EF"/>
    <w:rsid w:val="00205BAF"/>
    <w:rsid w:val="00207F85"/>
    <w:rsid w:val="0021226A"/>
    <w:rsid w:val="00214F5D"/>
    <w:rsid w:val="00216B1E"/>
    <w:rsid w:val="002204E8"/>
    <w:rsid w:val="002209AC"/>
    <w:rsid w:val="00225142"/>
    <w:rsid w:val="00227BDD"/>
    <w:rsid w:val="002318A4"/>
    <w:rsid w:val="002335FF"/>
    <w:rsid w:val="00233D87"/>
    <w:rsid w:val="002347F4"/>
    <w:rsid w:val="0023666C"/>
    <w:rsid w:val="00236E0A"/>
    <w:rsid w:val="00236E94"/>
    <w:rsid w:val="00237964"/>
    <w:rsid w:val="002434DE"/>
    <w:rsid w:val="00245AFF"/>
    <w:rsid w:val="0024628D"/>
    <w:rsid w:val="0024690E"/>
    <w:rsid w:val="00251ABC"/>
    <w:rsid w:val="002524CF"/>
    <w:rsid w:val="002553F2"/>
    <w:rsid w:val="002563EC"/>
    <w:rsid w:val="00256400"/>
    <w:rsid w:val="00256BA9"/>
    <w:rsid w:val="00270953"/>
    <w:rsid w:val="0027217D"/>
    <w:rsid w:val="00272282"/>
    <w:rsid w:val="00273B98"/>
    <w:rsid w:val="00275CA0"/>
    <w:rsid w:val="00276F9B"/>
    <w:rsid w:val="00282E5C"/>
    <w:rsid w:val="00291412"/>
    <w:rsid w:val="0029555D"/>
    <w:rsid w:val="00296196"/>
    <w:rsid w:val="0029781E"/>
    <w:rsid w:val="002A193B"/>
    <w:rsid w:val="002A2471"/>
    <w:rsid w:val="002A2A94"/>
    <w:rsid w:val="002A7AE3"/>
    <w:rsid w:val="002B0AD3"/>
    <w:rsid w:val="002B107C"/>
    <w:rsid w:val="002B1228"/>
    <w:rsid w:val="002B2C97"/>
    <w:rsid w:val="002B34C1"/>
    <w:rsid w:val="002B3BF4"/>
    <w:rsid w:val="002B6DED"/>
    <w:rsid w:val="002B6F2A"/>
    <w:rsid w:val="002C06FC"/>
    <w:rsid w:val="002C1057"/>
    <w:rsid w:val="002C1117"/>
    <w:rsid w:val="002C30A8"/>
    <w:rsid w:val="002C53CB"/>
    <w:rsid w:val="002C546D"/>
    <w:rsid w:val="002C67DF"/>
    <w:rsid w:val="002D0036"/>
    <w:rsid w:val="002D20E2"/>
    <w:rsid w:val="002D29F8"/>
    <w:rsid w:val="002D35B4"/>
    <w:rsid w:val="002D40EE"/>
    <w:rsid w:val="002D47F5"/>
    <w:rsid w:val="002D4993"/>
    <w:rsid w:val="002D50E9"/>
    <w:rsid w:val="002D58E1"/>
    <w:rsid w:val="002D5CFA"/>
    <w:rsid w:val="002D673F"/>
    <w:rsid w:val="002E3CE4"/>
    <w:rsid w:val="002E5863"/>
    <w:rsid w:val="002E6017"/>
    <w:rsid w:val="002F1B5E"/>
    <w:rsid w:val="002F4E09"/>
    <w:rsid w:val="002F60FD"/>
    <w:rsid w:val="00300004"/>
    <w:rsid w:val="00302A82"/>
    <w:rsid w:val="00302C64"/>
    <w:rsid w:val="003103FB"/>
    <w:rsid w:val="00312B12"/>
    <w:rsid w:val="00313E1D"/>
    <w:rsid w:val="0031433D"/>
    <w:rsid w:val="00317F23"/>
    <w:rsid w:val="00321F7E"/>
    <w:rsid w:val="003247FA"/>
    <w:rsid w:val="003275DE"/>
    <w:rsid w:val="003309DA"/>
    <w:rsid w:val="003330B1"/>
    <w:rsid w:val="0033333B"/>
    <w:rsid w:val="00333809"/>
    <w:rsid w:val="003354E1"/>
    <w:rsid w:val="00336313"/>
    <w:rsid w:val="00337D1D"/>
    <w:rsid w:val="0034259F"/>
    <w:rsid w:val="003440F7"/>
    <w:rsid w:val="003449B8"/>
    <w:rsid w:val="00345B16"/>
    <w:rsid w:val="0035060F"/>
    <w:rsid w:val="00352864"/>
    <w:rsid w:val="00352A81"/>
    <w:rsid w:val="00353077"/>
    <w:rsid w:val="003606A2"/>
    <w:rsid w:val="00362F9E"/>
    <w:rsid w:val="00363BE8"/>
    <w:rsid w:val="00372F61"/>
    <w:rsid w:val="00385069"/>
    <w:rsid w:val="00390B98"/>
    <w:rsid w:val="00392097"/>
    <w:rsid w:val="00392684"/>
    <w:rsid w:val="00396B51"/>
    <w:rsid w:val="00397398"/>
    <w:rsid w:val="003A1253"/>
    <w:rsid w:val="003A2292"/>
    <w:rsid w:val="003B29F1"/>
    <w:rsid w:val="003B341B"/>
    <w:rsid w:val="003B4130"/>
    <w:rsid w:val="003B7610"/>
    <w:rsid w:val="003B77C5"/>
    <w:rsid w:val="003C2CC3"/>
    <w:rsid w:val="003C2D3E"/>
    <w:rsid w:val="003C3134"/>
    <w:rsid w:val="003C56A0"/>
    <w:rsid w:val="003C5C86"/>
    <w:rsid w:val="003C7721"/>
    <w:rsid w:val="003D1FB8"/>
    <w:rsid w:val="003D236A"/>
    <w:rsid w:val="003D4A4B"/>
    <w:rsid w:val="003D5B2A"/>
    <w:rsid w:val="003D7104"/>
    <w:rsid w:val="003D7B69"/>
    <w:rsid w:val="003E0B61"/>
    <w:rsid w:val="003E1A9A"/>
    <w:rsid w:val="003E3988"/>
    <w:rsid w:val="003E48E5"/>
    <w:rsid w:val="003E5605"/>
    <w:rsid w:val="003E6901"/>
    <w:rsid w:val="003E7555"/>
    <w:rsid w:val="003F269E"/>
    <w:rsid w:val="003F4964"/>
    <w:rsid w:val="003F65F3"/>
    <w:rsid w:val="003F7D79"/>
    <w:rsid w:val="00400215"/>
    <w:rsid w:val="00401C43"/>
    <w:rsid w:val="004046FF"/>
    <w:rsid w:val="00406144"/>
    <w:rsid w:val="0040691B"/>
    <w:rsid w:val="00410790"/>
    <w:rsid w:val="00411EF4"/>
    <w:rsid w:val="004133BB"/>
    <w:rsid w:val="004142EF"/>
    <w:rsid w:val="00415126"/>
    <w:rsid w:val="004165E5"/>
    <w:rsid w:val="00417D9D"/>
    <w:rsid w:val="00420958"/>
    <w:rsid w:val="00420EF1"/>
    <w:rsid w:val="004212A2"/>
    <w:rsid w:val="00421920"/>
    <w:rsid w:val="004236D2"/>
    <w:rsid w:val="004249A0"/>
    <w:rsid w:val="004271B3"/>
    <w:rsid w:val="00432D49"/>
    <w:rsid w:val="004332E5"/>
    <w:rsid w:val="004339EA"/>
    <w:rsid w:val="00433E8F"/>
    <w:rsid w:val="00441622"/>
    <w:rsid w:val="00444277"/>
    <w:rsid w:val="0044577B"/>
    <w:rsid w:val="004473AA"/>
    <w:rsid w:val="004517F1"/>
    <w:rsid w:val="0045778D"/>
    <w:rsid w:val="004604EA"/>
    <w:rsid w:val="00461AE3"/>
    <w:rsid w:val="004627E9"/>
    <w:rsid w:val="00464A63"/>
    <w:rsid w:val="00466DD6"/>
    <w:rsid w:val="00470670"/>
    <w:rsid w:val="004715CF"/>
    <w:rsid w:val="00472286"/>
    <w:rsid w:val="00475A47"/>
    <w:rsid w:val="00484536"/>
    <w:rsid w:val="00484BB6"/>
    <w:rsid w:val="00486585"/>
    <w:rsid w:val="004913F3"/>
    <w:rsid w:val="0049281A"/>
    <w:rsid w:val="00497289"/>
    <w:rsid w:val="004A06AE"/>
    <w:rsid w:val="004A0AC1"/>
    <w:rsid w:val="004A2546"/>
    <w:rsid w:val="004A319A"/>
    <w:rsid w:val="004A48A4"/>
    <w:rsid w:val="004A510D"/>
    <w:rsid w:val="004A7D72"/>
    <w:rsid w:val="004B06E3"/>
    <w:rsid w:val="004B0786"/>
    <w:rsid w:val="004B148A"/>
    <w:rsid w:val="004B28EE"/>
    <w:rsid w:val="004B35DC"/>
    <w:rsid w:val="004B5888"/>
    <w:rsid w:val="004B6CF9"/>
    <w:rsid w:val="004C2A36"/>
    <w:rsid w:val="004C3663"/>
    <w:rsid w:val="004C57EC"/>
    <w:rsid w:val="004C69F2"/>
    <w:rsid w:val="004D1461"/>
    <w:rsid w:val="004D3A71"/>
    <w:rsid w:val="004D3CE4"/>
    <w:rsid w:val="004D4275"/>
    <w:rsid w:val="004D7E42"/>
    <w:rsid w:val="004D7E51"/>
    <w:rsid w:val="004E04EE"/>
    <w:rsid w:val="004E0B20"/>
    <w:rsid w:val="004E1B37"/>
    <w:rsid w:val="004E2704"/>
    <w:rsid w:val="004E4C1B"/>
    <w:rsid w:val="004E4D01"/>
    <w:rsid w:val="004F6F27"/>
    <w:rsid w:val="00500964"/>
    <w:rsid w:val="00500C66"/>
    <w:rsid w:val="00500FB2"/>
    <w:rsid w:val="00503BE7"/>
    <w:rsid w:val="00504B43"/>
    <w:rsid w:val="00505B94"/>
    <w:rsid w:val="0050728E"/>
    <w:rsid w:val="005130EC"/>
    <w:rsid w:val="0051468A"/>
    <w:rsid w:val="005146E6"/>
    <w:rsid w:val="00524A12"/>
    <w:rsid w:val="0052583D"/>
    <w:rsid w:val="00525B43"/>
    <w:rsid w:val="00526A5A"/>
    <w:rsid w:val="0053133A"/>
    <w:rsid w:val="00535577"/>
    <w:rsid w:val="00535A42"/>
    <w:rsid w:val="0053693D"/>
    <w:rsid w:val="0053748E"/>
    <w:rsid w:val="005410D3"/>
    <w:rsid w:val="005415C9"/>
    <w:rsid w:val="00542EA2"/>
    <w:rsid w:val="005449C6"/>
    <w:rsid w:val="00547950"/>
    <w:rsid w:val="00552D36"/>
    <w:rsid w:val="00554084"/>
    <w:rsid w:val="005566E7"/>
    <w:rsid w:val="00563A19"/>
    <w:rsid w:val="00563E9C"/>
    <w:rsid w:val="00564A6A"/>
    <w:rsid w:val="005666DF"/>
    <w:rsid w:val="00566B42"/>
    <w:rsid w:val="0057165C"/>
    <w:rsid w:val="005722C6"/>
    <w:rsid w:val="00575A7B"/>
    <w:rsid w:val="00575D51"/>
    <w:rsid w:val="00577824"/>
    <w:rsid w:val="00577E30"/>
    <w:rsid w:val="00580FF8"/>
    <w:rsid w:val="005828BC"/>
    <w:rsid w:val="00585C8D"/>
    <w:rsid w:val="005862CC"/>
    <w:rsid w:val="00586A2E"/>
    <w:rsid w:val="005911FE"/>
    <w:rsid w:val="0059189D"/>
    <w:rsid w:val="0059312F"/>
    <w:rsid w:val="00594314"/>
    <w:rsid w:val="00595758"/>
    <w:rsid w:val="00596081"/>
    <w:rsid w:val="005A3943"/>
    <w:rsid w:val="005A51E6"/>
    <w:rsid w:val="005B1AE0"/>
    <w:rsid w:val="005B7418"/>
    <w:rsid w:val="005C03A9"/>
    <w:rsid w:val="005C225D"/>
    <w:rsid w:val="005C2BFC"/>
    <w:rsid w:val="005C324B"/>
    <w:rsid w:val="005C36AD"/>
    <w:rsid w:val="005C43E2"/>
    <w:rsid w:val="005C454A"/>
    <w:rsid w:val="005C5EDD"/>
    <w:rsid w:val="005C74C9"/>
    <w:rsid w:val="005D1B14"/>
    <w:rsid w:val="005D257B"/>
    <w:rsid w:val="005D45D6"/>
    <w:rsid w:val="005D59FD"/>
    <w:rsid w:val="005D6948"/>
    <w:rsid w:val="005D741B"/>
    <w:rsid w:val="005D7440"/>
    <w:rsid w:val="005E1D5C"/>
    <w:rsid w:val="005E25DC"/>
    <w:rsid w:val="005E4DF9"/>
    <w:rsid w:val="005E52AE"/>
    <w:rsid w:val="005E5607"/>
    <w:rsid w:val="005E567C"/>
    <w:rsid w:val="005F505E"/>
    <w:rsid w:val="005F7DB9"/>
    <w:rsid w:val="0060081D"/>
    <w:rsid w:val="00602976"/>
    <w:rsid w:val="0060388D"/>
    <w:rsid w:val="00603C2B"/>
    <w:rsid w:val="00604231"/>
    <w:rsid w:val="0060685A"/>
    <w:rsid w:val="006106F3"/>
    <w:rsid w:val="00610C2F"/>
    <w:rsid w:val="00611486"/>
    <w:rsid w:val="006168A4"/>
    <w:rsid w:val="00625805"/>
    <w:rsid w:val="00626CDF"/>
    <w:rsid w:val="00627AC4"/>
    <w:rsid w:val="00631EEA"/>
    <w:rsid w:val="0063253B"/>
    <w:rsid w:val="00633A37"/>
    <w:rsid w:val="006363C8"/>
    <w:rsid w:val="00637AB8"/>
    <w:rsid w:val="0064370D"/>
    <w:rsid w:val="00643771"/>
    <w:rsid w:val="00644946"/>
    <w:rsid w:val="006458EB"/>
    <w:rsid w:val="00646AB8"/>
    <w:rsid w:val="00647478"/>
    <w:rsid w:val="00647BD9"/>
    <w:rsid w:val="00654960"/>
    <w:rsid w:val="00654A3E"/>
    <w:rsid w:val="00660A69"/>
    <w:rsid w:val="006624A7"/>
    <w:rsid w:val="0066507F"/>
    <w:rsid w:val="0066515F"/>
    <w:rsid w:val="006667ED"/>
    <w:rsid w:val="006668AF"/>
    <w:rsid w:val="0068640D"/>
    <w:rsid w:val="00686439"/>
    <w:rsid w:val="006870F9"/>
    <w:rsid w:val="0069365B"/>
    <w:rsid w:val="00694ADE"/>
    <w:rsid w:val="006A41D3"/>
    <w:rsid w:val="006A6051"/>
    <w:rsid w:val="006A67AB"/>
    <w:rsid w:val="006A6F75"/>
    <w:rsid w:val="006B31D9"/>
    <w:rsid w:val="006B3BFB"/>
    <w:rsid w:val="006C0102"/>
    <w:rsid w:val="006C07D4"/>
    <w:rsid w:val="006C41AD"/>
    <w:rsid w:val="006C486E"/>
    <w:rsid w:val="006C66ED"/>
    <w:rsid w:val="006D04BD"/>
    <w:rsid w:val="006D322E"/>
    <w:rsid w:val="006D43FF"/>
    <w:rsid w:val="006D7180"/>
    <w:rsid w:val="006D739A"/>
    <w:rsid w:val="006E293C"/>
    <w:rsid w:val="006E433B"/>
    <w:rsid w:val="006E5F89"/>
    <w:rsid w:val="006E7899"/>
    <w:rsid w:val="006E7C78"/>
    <w:rsid w:val="006F0B9E"/>
    <w:rsid w:val="006F27F4"/>
    <w:rsid w:val="006F2E23"/>
    <w:rsid w:val="006F62FE"/>
    <w:rsid w:val="006F7024"/>
    <w:rsid w:val="0070203C"/>
    <w:rsid w:val="0070207F"/>
    <w:rsid w:val="00703A7C"/>
    <w:rsid w:val="007076DA"/>
    <w:rsid w:val="00707860"/>
    <w:rsid w:val="00710C92"/>
    <w:rsid w:val="00713C63"/>
    <w:rsid w:val="007207BF"/>
    <w:rsid w:val="00720EEA"/>
    <w:rsid w:val="0072226A"/>
    <w:rsid w:val="007253CA"/>
    <w:rsid w:val="00725CB0"/>
    <w:rsid w:val="007301F7"/>
    <w:rsid w:val="007310FB"/>
    <w:rsid w:val="0073685C"/>
    <w:rsid w:val="00737EA5"/>
    <w:rsid w:val="007400AE"/>
    <w:rsid w:val="00741F3E"/>
    <w:rsid w:val="00741F76"/>
    <w:rsid w:val="00743373"/>
    <w:rsid w:val="00743AA8"/>
    <w:rsid w:val="00745CE9"/>
    <w:rsid w:val="0074723D"/>
    <w:rsid w:val="00750840"/>
    <w:rsid w:val="00751AA7"/>
    <w:rsid w:val="00754437"/>
    <w:rsid w:val="00757617"/>
    <w:rsid w:val="007609EF"/>
    <w:rsid w:val="00760C68"/>
    <w:rsid w:val="00763A97"/>
    <w:rsid w:val="00763AD8"/>
    <w:rsid w:val="00765016"/>
    <w:rsid w:val="00766214"/>
    <w:rsid w:val="0077013F"/>
    <w:rsid w:val="0077100C"/>
    <w:rsid w:val="007760FE"/>
    <w:rsid w:val="00776A85"/>
    <w:rsid w:val="00776C39"/>
    <w:rsid w:val="00781D00"/>
    <w:rsid w:val="00784AA3"/>
    <w:rsid w:val="00784BF4"/>
    <w:rsid w:val="007900F3"/>
    <w:rsid w:val="00791B69"/>
    <w:rsid w:val="0079498E"/>
    <w:rsid w:val="00796F10"/>
    <w:rsid w:val="007A6AB5"/>
    <w:rsid w:val="007A6C15"/>
    <w:rsid w:val="007B1423"/>
    <w:rsid w:val="007B2B46"/>
    <w:rsid w:val="007B2BCC"/>
    <w:rsid w:val="007B30F2"/>
    <w:rsid w:val="007B377F"/>
    <w:rsid w:val="007B4274"/>
    <w:rsid w:val="007B5117"/>
    <w:rsid w:val="007B599D"/>
    <w:rsid w:val="007B6A74"/>
    <w:rsid w:val="007B7761"/>
    <w:rsid w:val="007C0E2B"/>
    <w:rsid w:val="007C2A91"/>
    <w:rsid w:val="007C2BB7"/>
    <w:rsid w:val="007C2DC8"/>
    <w:rsid w:val="007C7BFD"/>
    <w:rsid w:val="007D097E"/>
    <w:rsid w:val="007D230B"/>
    <w:rsid w:val="007D2D80"/>
    <w:rsid w:val="007D3509"/>
    <w:rsid w:val="007D3681"/>
    <w:rsid w:val="007D3824"/>
    <w:rsid w:val="007D49A1"/>
    <w:rsid w:val="007D59DD"/>
    <w:rsid w:val="007D76CE"/>
    <w:rsid w:val="007E1F66"/>
    <w:rsid w:val="007E22AE"/>
    <w:rsid w:val="007E4C10"/>
    <w:rsid w:val="007E6501"/>
    <w:rsid w:val="007E6A20"/>
    <w:rsid w:val="007E6C25"/>
    <w:rsid w:val="007F1C38"/>
    <w:rsid w:val="007F32D7"/>
    <w:rsid w:val="007F5CD8"/>
    <w:rsid w:val="00800276"/>
    <w:rsid w:val="00801601"/>
    <w:rsid w:val="00801632"/>
    <w:rsid w:val="0080520B"/>
    <w:rsid w:val="008057DC"/>
    <w:rsid w:val="0080589C"/>
    <w:rsid w:val="00807B3E"/>
    <w:rsid w:val="00810D4A"/>
    <w:rsid w:val="00812F82"/>
    <w:rsid w:val="008146FD"/>
    <w:rsid w:val="0081675C"/>
    <w:rsid w:val="00816AAB"/>
    <w:rsid w:val="00817CD6"/>
    <w:rsid w:val="00820402"/>
    <w:rsid w:val="008240F9"/>
    <w:rsid w:val="008243B2"/>
    <w:rsid w:val="00824F08"/>
    <w:rsid w:val="00826584"/>
    <w:rsid w:val="008310DF"/>
    <w:rsid w:val="00831105"/>
    <w:rsid w:val="00833AE5"/>
    <w:rsid w:val="00835487"/>
    <w:rsid w:val="0083675F"/>
    <w:rsid w:val="00840167"/>
    <w:rsid w:val="00843D92"/>
    <w:rsid w:val="008449CC"/>
    <w:rsid w:val="00844A4B"/>
    <w:rsid w:val="0085330C"/>
    <w:rsid w:val="00854676"/>
    <w:rsid w:val="00863189"/>
    <w:rsid w:val="00865296"/>
    <w:rsid w:val="00867086"/>
    <w:rsid w:val="00870E4F"/>
    <w:rsid w:val="00872AEE"/>
    <w:rsid w:val="00872D0C"/>
    <w:rsid w:val="00874663"/>
    <w:rsid w:val="00881B95"/>
    <w:rsid w:val="00883172"/>
    <w:rsid w:val="008831CA"/>
    <w:rsid w:val="00885FA8"/>
    <w:rsid w:val="00890408"/>
    <w:rsid w:val="00891092"/>
    <w:rsid w:val="0089272A"/>
    <w:rsid w:val="00894890"/>
    <w:rsid w:val="008950C3"/>
    <w:rsid w:val="008965E5"/>
    <w:rsid w:val="00897247"/>
    <w:rsid w:val="00897B62"/>
    <w:rsid w:val="008A135A"/>
    <w:rsid w:val="008A3F0A"/>
    <w:rsid w:val="008A44B1"/>
    <w:rsid w:val="008B05CE"/>
    <w:rsid w:val="008B08F0"/>
    <w:rsid w:val="008B262C"/>
    <w:rsid w:val="008B372A"/>
    <w:rsid w:val="008B3731"/>
    <w:rsid w:val="008B6FC8"/>
    <w:rsid w:val="008C14A8"/>
    <w:rsid w:val="008C19E9"/>
    <w:rsid w:val="008C26E9"/>
    <w:rsid w:val="008C5FBF"/>
    <w:rsid w:val="008C774E"/>
    <w:rsid w:val="008C7D8E"/>
    <w:rsid w:val="008D32AF"/>
    <w:rsid w:val="008D4E72"/>
    <w:rsid w:val="008D5F3F"/>
    <w:rsid w:val="008D6D9D"/>
    <w:rsid w:val="008E7D57"/>
    <w:rsid w:val="008F166B"/>
    <w:rsid w:val="008F1691"/>
    <w:rsid w:val="008F22E2"/>
    <w:rsid w:val="008F234F"/>
    <w:rsid w:val="008F5698"/>
    <w:rsid w:val="008F639E"/>
    <w:rsid w:val="008F7E81"/>
    <w:rsid w:val="00900086"/>
    <w:rsid w:val="00901EF2"/>
    <w:rsid w:val="00903EB6"/>
    <w:rsid w:val="009040BC"/>
    <w:rsid w:val="009079D0"/>
    <w:rsid w:val="00910FFF"/>
    <w:rsid w:val="00913D0A"/>
    <w:rsid w:val="00914350"/>
    <w:rsid w:val="009153C4"/>
    <w:rsid w:val="00924972"/>
    <w:rsid w:val="00927C32"/>
    <w:rsid w:val="00932E1E"/>
    <w:rsid w:val="00934068"/>
    <w:rsid w:val="009347A8"/>
    <w:rsid w:val="00937854"/>
    <w:rsid w:val="009423A3"/>
    <w:rsid w:val="009469E0"/>
    <w:rsid w:val="00951C4D"/>
    <w:rsid w:val="00952E03"/>
    <w:rsid w:val="009547E2"/>
    <w:rsid w:val="00955AD3"/>
    <w:rsid w:val="00955AF0"/>
    <w:rsid w:val="00956488"/>
    <w:rsid w:val="00956F5F"/>
    <w:rsid w:val="009610DC"/>
    <w:rsid w:val="0097154F"/>
    <w:rsid w:val="009850AF"/>
    <w:rsid w:val="00985996"/>
    <w:rsid w:val="00986978"/>
    <w:rsid w:val="00987851"/>
    <w:rsid w:val="00994F74"/>
    <w:rsid w:val="0099563A"/>
    <w:rsid w:val="009974C7"/>
    <w:rsid w:val="009A1013"/>
    <w:rsid w:val="009A13F4"/>
    <w:rsid w:val="009A2CF3"/>
    <w:rsid w:val="009A44BE"/>
    <w:rsid w:val="009B029F"/>
    <w:rsid w:val="009B27F8"/>
    <w:rsid w:val="009B4774"/>
    <w:rsid w:val="009B4A8B"/>
    <w:rsid w:val="009B54EE"/>
    <w:rsid w:val="009B55E3"/>
    <w:rsid w:val="009B74FB"/>
    <w:rsid w:val="009C0660"/>
    <w:rsid w:val="009C2793"/>
    <w:rsid w:val="009C2E74"/>
    <w:rsid w:val="009C4845"/>
    <w:rsid w:val="009C7314"/>
    <w:rsid w:val="009D10FF"/>
    <w:rsid w:val="009D1EC1"/>
    <w:rsid w:val="009D34B5"/>
    <w:rsid w:val="009D3F20"/>
    <w:rsid w:val="009D5D9F"/>
    <w:rsid w:val="009D7BD1"/>
    <w:rsid w:val="009E0FA2"/>
    <w:rsid w:val="009E2244"/>
    <w:rsid w:val="009E60C6"/>
    <w:rsid w:val="009F0902"/>
    <w:rsid w:val="009F36AF"/>
    <w:rsid w:val="009F57FD"/>
    <w:rsid w:val="009F673B"/>
    <w:rsid w:val="009F7F9F"/>
    <w:rsid w:val="00A01A02"/>
    <w:rsid w:val="00A01E02"/>
    <w:rsid w:val="00A02E26"/>
    <w:rsid w:val="00A05BA0"/>
    <w:rsid w:val="00A10E2C"/>
    <w:rsid w:val="00A11C11"/>
    <w:rsid w:val="00A159C9"/>
    <w:rsid w:val="00A167FB"/>
    <w:rsid w:val="00A16BC0"/>
    <w:rsid w:val="00A21A3D"/>
    <w:rsid w:val="00A21B70"/>
    <w:rsid w:val="00A21D02"/>
    <w:rsid w:val="00A21DDB"/>
    <w:rsid w:val="00A2275B"/>
    <w:rsid w:val="00A23CF6"/>
    <w:rsid w:val="00A23F2D"/>
    <w:rsid w:val="00A2690C"/>
    <w:rsid w:val="00A2792F"/>
    <w:rsid w:val="00A30970"/>
    <w:rsid w:val="00A315E4"/>
    <w:rsid w:val="00A31D96"/>
    <w:rsid w:val="00A31FEE"/>
    <w:rsid w:val="00A33522"/>
    <w:rsid w:val="00A33C55"/>
    <w:rsid w:val="00A35CFF"/>
    <w:rsid w:val="00A403F0"/>
    <w:rsid w:val="00A42875"/>
    <w:rsid w:val="00A44DC1"/>
    <w:rsid w:val="00A46D07"/>
    <w:rsid w:val="00A47A98"/>
    <w:rsid w:val="00A47EE7"/>
    <w:rsid w:val="00A50B43"/>
    <w:rsid w:val="00A51841"/>
    <w:rsid w:val="00A51C87"/>
    <w:rsid w:val="00A51CF3"/>
    <w:rsid w:val="00A532C9"/>
    <w:rsid w:val="00A53BA8"/>
    <w:rsid w:val="00A54197"/>
    <w:rsid w:val="00A55072"/>
    <w:rsid w:val="00A61821"/>
    <w:rsid w:val="00A62F27"/>
    <w:rsid w:val="00A65CA3"/>
    <w:rsid w:val="00A67CA5"/>
    <w:rsid w:val="00A75CCD"/>
    <w:rsid w:val="00A80506"/>
    <w:rsid w:val="00A806AE"/>
    <w:rsid w:val="00A8118F"/>
    <w:rsid w:val="00A83458"/>
    <w:rsid w:val="00A84AF8"/>
    <w:rsid w:val="00A86C41"/>
    <w:rsid w:val="00A90148"/>
    <w:rsid w:val="00A92E36"/>
    <w:rsid w:val="00AA0D8C"/>
    <w:rsid w:val="00AA25BC"/>
    <w:rsid w:val="00AA3077"/>
    <w:rsid w:val="00AA430A"/>
    <w:rsid w:val="00AA46AF"/>
    <w:rsid w:val="00AA70C5"/>
    <w:rsid w:val="00AB04D4"/>
    <w:rsid w:val="00AB4E9E"/>
    <w:rsid w:val="00AB6C99"/>
    <w:rsid w:val="00AB73FF"/>
    <w:rsid w:val="00AC11D5"/>
    <w:rsid w:val="00AC15E5"/>
    <w:rsid w:val="00AC22BB"/>
    <w:rsid w:val="00AC4080"/>
    <w:rsid w:val="00AC5795"/>
    <w:rsid w:val="00AC5A6D"/>
    <w:rsid w:val="00AC5D73"/>
    <w:rsid w:val="00AC60A0"/>
    <w:rsid w:val="00AC73AD"/>
    <w:rsid w:val="00AD1651"/>
    <w:rsid w:val="00AD59D1"/>
    <w:rsid w:val="00AD69DC"/>
    <w:rsid w:val="00AD705A"/>
    <w:rsid w:val="00AD78F9"/>
    <w:rsid w:val="00AE008D"/>
    <w:rsid w:val="00AE2D40"/>
    <w:rsid w:val="00AE30E0"/>
    <w:rsid w:val="00AE32E0"/>
    <w:rsid w:val="00AE346F"/>
    <w:rsid w:val="00AF2329"/>
    <w:rsid w:val="00AF314E"/>
    <w:rsid w:val="00AF3660"/>
    <w:rsid w:val="00AF3E38"/>
    <w:rsid w:val="00AF6C96"/>
    <w:rsid w:val="00AF7A20"/>
    <w:rsid w:val="00B01312"/>
    <w:rsid w:val="00B02D98"/>
    <w:rsid w:val="00B11013"/>
    <w:rsid w:val="00B116C5"/>
    <w:rsid w:val="00B12EC2"/>
    <w:rsid w:val="00B13F02"/>
    <w:rsid w:val="00B15D2F"/>
    <w:rsid w:val="00B16399"/>
    <w:rsid w:val="00B1760F"/>
    <w:rsid w:val="00B202F5"/>
    <w:rsid w:val="00B2586D"/>
    <w:rsid w:val="00B25AE4"/>
    <w:rsid w:val="00B26909"/>
    <w:rsid w:val="00B27664"/>
    <w:rsid w:val="00B31169"/>
    <w:rsid w:val="00B316F2"/>
    <w:rsid w:val="00B31828"/>
    <w:rsid w:val="00B40E95"/>
    <w:rsid w:val="00B417C4"/>
    <w:rsid w:val="00B42BEE"/>
    <w:rsid w:val="00B42F16"/>
    <w:rsid w:val="00B452B7"/>
    <w:rsid w:val="00B458E3"/>
    <w:rsid w:val="00B46C69"/>
    <w:rsid w:val="00B5189A"/>
    <w:rsid w:val="00B518FF"/>
    <w:rsid w:val="00B52BD9"/>
    <w:rsid w:val="00B54F17"/>
    <w:rsid w:val="00B57D47"/>
    <w:rsid w:val="00B60BD9"/>
    <w:rsid w:val="00B61B0C"/>
    <w:rsid w:val="00B6210E"/>
    <w:rsid w:val="00B632E3"/>
    <w:rsid w:val="00B64DC8"/>
    <w:rsid w:val="00B70688"/>
    <w:rsid w:val="00B7389F"/>
    <w:rsid w:val="00B77091"/>
    <w:rsid w:val="00B804FB"/>
    <w:rsid w:val="00B80900"/>
    <w:rsid w:val="00B82201"/>
    <w:rsid w:val="00B837C1"/>
    <w:rsid w:val="00B841E0"/>
    <w:rsid w:val="00B860BA"/>
    <w:rsid w:val="00B865F5"/>
    <w:rsid w:val="00B87807"/>
    <w:rsid w:val="00B91DFE"/>
    <w:rsid w:val="00B94F54"/>
    <w:rsid w:val="00B966E9"/>
    <w:rsid w:val="00B96F10"/>
    <w:rsid w:val="00B97229"/>
    <w:rsid w:val="00BA08A3"/>
    <w:rsid w:val="00BA206B"/>
    <w:rsid w:val="00BA5AB3"/>
    <w:rsid w:val="00BB227E"/>
    <w:rsid w:val="00BB3B0A"/>
    <w:rsid w:val="00BB4958"/>
    <w:rsid w:val="00BB62F7"/>
    <w:rsid w:val="00BB7402"/>
    <w:rsid w:val="00BB7E3D"/>
    <w:rsid w:val="00BC3306"/>
    <w:rsid w:val="00BC3CD1"/>
    <w:rsid w:val="00BC4BA8"/>
    <w:rsid w:val="00BC5EC6"/>
    <w:rsid w:val="00BC5F0E"/>
    <w:rsid w:val="00BC681E"/>
    <w:rsid w:val="00BC7010"/>
    <w:rsid w:val="00BD0326"/>
    <w:rsid w:val="00BD106B"/>
    <w:rsid w:val="00BD2211"/>
    <w:rsid w:val="00BD221D"/>
    <w:rsid w:val="00BD39C4"/>
    <w:rsid w:val="00BD3E65"/>
    <w:rsid w:val="00BD5934"/>
    <w:rsid w:val="00BD652E"/>
    <w:rsid w:val="00BD7013"/>
    <w:rsid w:val="00BD7785"/>
    <w:rsid w:val="00BE1D35"/>
    <w:rsid w:val="00BE3B2E"/>
    <w:rsid w:val="00BF1CBD"/>
    <w:rsid w:val="00BF4830"/>
    <w:rsid w:val="00BF52C4"/>
    <w:rsid w:val="00BF5EFD"/>
    <w:rsid w:val="00BF6542"/>
    <w:rsid w:val="00C00653"/>
    <w:rsid w:val="00C006BE"/>
    <w:rsid w:val="00C0134B"/>
    <w:rsid w:val="00C01622"/>
    <w:rsid w:val="00C02CF8"/>
    <w:rsid w:val="00C03B52"/>
    <w:rsid w:val="00C05B8E"/>
    <w:rsid w:val="00C1063D"/>
    <w:rsid w:val="00C110F4"/>
    <w:rsid w:val="00C14C37"/>
    <w:rsid w:val="00C15E0E"/>
    <w:rsid w:val="00C23FB5"/>
    <w:rsid w:val="00C24A1A"/>
    <w:rsid w:val="00C331BB"/>
    <w:rsid w:val="00C333E3"/>
    <w:rsid w:val="00C410AE"/>
    <w:rsid w:val="00C41A08"/>
    <w:rsid w:val="00C422B9"/>
    <w:rsid w:val="00C4241E"/>
    <w:rsid w:val="00C4425E"/>
    <w:rsid w:val="00C50EFE"/>
    <w:rsid w:val="00C51593"/>
    <w:rsid w:val="00C515C3"/>
    <w:rsid w:val="00C54D8A"/>
    <w:rsid w:val="00C556E9"/>
    <w:rsid w:val="00C55A0D"/>
    <w:rsid w:val="00C5627A"/>
    <w:rsid w:val="00C615A3"/>
    <w:rsid w:val="00C635DA"/>
    <w:rsid w:val="00C639E7"/>
    <w:rsid w:val="00C639EE"/>
    <w:rsid w:val="00C6568D"/>
    <w:rsid w:val="00C659BE"/>
    <w:rsid w:val="00C67D4A"/>
    <w:rsid w:val="00C71429"/>
    <w:rsid w:val="00C74886"/>
    <w:rsid w:val="00C76CF9"/>
    <w:rsid w:val="00C77A87"/>
    <w:rsid w:val="00C80300"/>
    <w:rsid w:val="00C82307"/>
    <w:rsid w:val="00C82C8A"/>
    <w:rsid w:val="00C8613B"/>
    <w:rsid w:val="00C911F7"/>
    <w:rsid w:val="00C92622"/>
    <w:rsid w:val="00C93B4C"/>
    <w:rsid w:val="00C958BD"/>
    <w:rsid w:val="00C97228"/>
    <w:rsid w:val="00C9780D"/>
    <w:rsid w:val="00CA02DA"/>
    <w:rsid w:val="00CA0D1F"/>
    <w:rsid w:val="00CA145C"/>
    <w:rsid w:val="00CA1A54"/>
    <w:rsid w:val="00CA47ED"/>
    <w:rsid w:val="00CA660C"/>
    <w:rsid w:val="00CB0031"/>
    <w:rsid w:val="00CB0D91"/>
    <w:rsid w:val="00CB1D67"/>
    <w:rsid w:val="00CB1EE4"/>
    <w:rsid w:val="00CB64D4"/>
    <w:rsid w:val="00CB6832"/>
    <w:rsid w:val="00CC46B2"/>
    <w:rsid w:val="00CC5718"/>
    <w:rsid w:val="00CD1352"/>
    <w:rsid w:val="00CD1CBE"/>
    <w:rsid w:val="00CD1E3E"/>
    <w:rsid w:val="00CD2326"/>
    <w:rsid w:val="00CD32E2"/>
    <w:rsid w:val="00CD4B0B"/>
    <w:rsid w:val="00CD6698"/>
    <w:rsid w:val="00CE1E5B"/>
    <w:rsid w:val="00CE37EC"/>
    <w:rsid w:val="00CE5032"/>
    <w:rsid w:val="00CE77E1"/>
    <w:rsid w:val="00CF1D92"/>
    <w:rsid w:val="00CF4D25"/>
    <w:rsid w:val="00CF5D91"/>
    <w:rsid w:val="00CF6A4B"/>
    <w:rsid w:val="00CF7AF0"/>
    <w:rsid w:val="00D0025C"/>
    <w:rsid w:val="00D0242A"/>
    <w:rsid w:val="00D02E2B"/>
    <w:rsid w:val="00D03045"/>
    <w:rsid w:val="00D12172"/>
    <w:rsid w:val="00D12B8C"/>
    <w:rsid w:val="00D1544A"/>
    <w:rsid w:val="00D156BF"/>
    <w:rsid w:val="00D200F6"/>
    <w:rsid w:val="00D215C8"/>
    <w:rsid w:val="00D21646"/>
    <w:rsid w:val="00D229D0"/>
    <w:rsid w:val="00D3360C"/>
    <w:rsid w:val="00D454F2"/>
    <w:rsid w:val="00D46430"/>
    <w:rsid w:val="00D47CE9"/>
    <w:rsid w:val="00D5212A"/>
    <w:rsid w:val="00D52995"/>
    <w:rsid w:val="00D53D3F"/>
    <w:rsid w:val="00D543A0"/>
    <w:rsid w:val="00D54639"/>
    <w:rsid w:val="00D54EE2"/>
    <w:rsid w:val="00D551D7"/>
    <w:rsid w:val="00D60481"/>
    <w:rsid w:val="00D60BF1"/>
    <w:rsid w:val="00D63267"/>
    <w:rsid w:val="00D65C74"/>
    <w:rsid w:val="00D66620"/>
    <w:rsid w:val="00D71581"/>
    <w:rsid w:val="00D71637"/>
    <w:rsid w:val="00D72918"/>
    <w:rsid w:val="00D72ADE"/>
    <w:rsid w:val="00D75233"/>
    <w:rsid w:val="00D7728F"/>
    <w:rsid w:val="00D77696"/>
    <w:rsid w:val="00D80618"/>
    <w:rsid w:val="00D81CC4"/>
    <w:rsid w:val="00D94A9A"/>
    <w:rsid w:val="00D9694D"/>
    <w:rsid w:val="00D9765E"/>
    <w:rsid w:val="00DA4591"/>
    <w:rsid w:val="00DA4F78"/>
    <w:rsid w:val="00DA6430"/>
    <w:rsid w:val="00DA7107"/>
    <w:rsid w:val="00DB1398"/>
    <w:rsid w:val="00DB45B3"/>
    <w:rsid w:val="00DB63DB"/>
    <w:rsid w:val="00DB7824"/>
    <w:rsid w:val="00DC1022"/>
    <w:rsid w:val="00DC1941"/>
    <w:rsid w:val="00DC2696"/>
    <w:rsid w:val="00DC308E"/>
    <w:rsid w:val="00DC31F9"/>
    <w:rsid w:val="00DC6AA4"/>
    <w:rsid w:val="00DC7F73"/>
    <w:rsid w:val="00DD520D"/>
    <w:rsid w:val="00DD5D95"/>
    <w:rsid w:val="00DD6A91"/>
    <w:rsid w:val="00DE0D62"/>
    <w:rsid w:val="00DE191A"/>
    <w:rsid w:val="00DE1F3A"/>
    <w:rsid w:val="00DE3123"/>
    <w:rsid w:val="00DE339F"/>
    <w:rsid w:val="00DE4604"/>
    <w:rsid w:val="00DE5427"/>
    <w:rsid w:val="00DE66C5"/>
    <w:rsid w:val="00DF0387"/>
    <w:rsid w:val="00DF12BF"/>
    <w:rsid w:val="00DF1535"/>
    <w:rsid w:val="00DF1C5C"/>
    <w:rsid w:val="00DF1DC3"/>
    <w:rsid w:val="00DF53F5"/>
    <w:rsid w:val="00DF546D"/>
    <w:rsid w:val="00DF6165"/>
    <w:rsid w:val="00DF61FD"/>
    <w:rsid w:val="00DF6D25"/>
    <w:rsid w:val="00DF77E3"/>
    <w:rsid w:val="00E01E9B"/>
    <w:rsid w:val="00E03C6D"/>
    <w:rsid w:val="00E04652"/>
    <w:rsid w:val="00E07077"/>
    <w:rsid w:val="00E11EE3"/>
    <w:rsid w:val="00E135F9"/>
    <w:rsid w:val="00E14349"/>
    <w:rsid w:val="00E20C28"/>
    <w:rsid w:val="00E20E3F"/>
    <w:rsid w:val="00E22A77"/>
    <w:rsid w:val="00E23768"/>
    <w:rsid w:val="00E24B18"/>
    <w:rsid w:val="00E266A8"/>
    <w:rsid w:val="00E3016C"/>
    <w:rsid w:val="00E3104A"/>
    <w:rsid w:val="00E348BC"/>
    <w:rsid w:val="00E3491F"/>
    <w:rsid w:val="00E3791F"/>
    <w:rsid w:val="00E4318F"/>
    <w:rsid w:val="00E4392E"/>
    <w:rsid w:val="00E46A17"/>
    <w:rsid w:val="00E540DC"/>
    <w:rsid w:val="00E54395"/>
    <w:rsid w:val="00E54741"/>
    <w:rsid w:val="00E560ED"/>
    <w:rsid w:val="00E568E5"/>
    <w:rsid w:val="00E6453F"/>
    <w:rsid w:val="00E65410"/>
    <w:rsid w:val="00E659EF"/>
    <w:rsid w:val="00E662D8"/>
    <w:rsid w:val="00E70CBD"/>
    <w:rsid w:val="00E717E8"/>
    <w:rsid w:val="00E73D81"/>
    <w:rsid w:val="00E754F4"/>
    <w:rsid w:val="00E77FEA"/>
    <w:rsid w:val="00E845BE"/>
    <w:rsid w:val="00E93F3A"/>
    <w:rsid w:val="00E940AA"/>
    <w:rsid w:val="00E9522C"/>
    <w:rsid w:val="00E95942"/>
    <w:rsid w:val="00EA19C4"/>
    <w:rsid w:val="00EA25BC"/>
    <w:rsid w:val="00EA2D3D"/>
    <w:rsid w:val="00EA336C"/>
    <w:rsid w:val="00EA5B84"/>
    <w:rsid w:val="00EB20F9"/>
    <w:rsid w:val="00EB24EB"/>
    <w:rsid w:val="00EC23F5"/>
    <w:rsid w:val="00EC5BAC"/>
    <w:rsid w:val="00ED06CC"/>
    <w:rsid w:val="00ED2C20"/>
    <w:rsid w:val="00ED2C8E"/>
    <w:rsid w:val="00ED3693"/>
    <w:rsid w:val="00ED379E"/>
    <w:rsid w:val="00ED4D0D"/>
    <w:rsid w:val="00ED7680"/>
    <w:rsid w:val="00EE0424"/>
    <w:rsid w:val="00EE0D47"/>
    <w:rsid w:val="00EE3744"/>
    <w:rsid w:val="00EE5358"/>
    <w:rsid w:val="00EF22C0"/>
    <w:rsid w:val="00EF71E9"/>
    <w:rsid w:val="00EF738F"/>
    <w:rsid w:val="00F004B5"/>
    <w:rsid w:val="00F006D2"/>
    <w:rsid w:val="00F00BD1"/>
    <w:rsid w:val="00F01FD9"/>
    <w:rsid w:val="00F02C3C"/>
    <w:rsid w:val="00F04B07"/>
    <w:rsid w:val="00F05BA8"/>
    <w:rsid w:val="00F07829"/>
    <w:rsid w:val="00F1080D"/>
    <w:rsid w:val="00F10C15"/>
    <w:rsid w:val="00F12BA4"/>
    <w:rsid w:val="00F14C50"/>
    <w:rsid w:val="00F15CED"/>
    <w:rsid w:val="00F16F13"/>
    <w:rsid w:val="00F2367B"/>
    <w:rsid w:val="00F23E9A"/>
    <w:rsid w:val="00F242D9"/>
    <w:rsid w:val="00F26A10"/>
    <w:rsid w:val="00F26EBE"/>
    <w:rsid w:val="00F31107"/>
    <w:rsid w:val="00F3715D"/>
    <w:rsid w:val="00F4349B"/>
    <w:rsid w:val="00F44B62"/>
    <w:rsid w:val="00F455B5"/>
    <w:rsid w:val="00F45BBC"/>
    <w:rsid w:val="00F46B01"/>
    <w:rsid w:val="00F475B9"/>
    <w:rsid w:val="00F5072C"/>
    <w:rsid w:val="00F511F7"/>
    <w:rsid w:val="00F51BD9"/>
    <w:rsid w:val="00F51CBF"/>
    <w:rsid w:val="00F52803"/>
    <w:rsid w:val="00F5411D"/>
    <w:rsid w:val="00F56D2B"/>
    <w:rsid w:val="00F57D2D"/>
    <w:rsid w:val="00F62A49"/>
    <w:rsid w:val="00F64F0D"/>
    <w:rsid w:val="00F667B3"/>
    <w:rsid w:val="00F7026A"/>
    <w:rsid w:val="00F71826"/>
    <w:rsid w:val="00F72B45"/>
    <w:rsid w:val="00F73B00"/>
    <w:rsid w:val="00F7443C"/>
    <w:rsid w:val="00F76827"/>
    <w:rsid w:val="00F76DC9"/>
    <w:rsid w:val="00F8277D"/>
    <w:rsid w:val="00F84737"/>
    <w:rsid w:val="00F87B69"/>
    <w:rsid w:val="00F90C95"/>
    <w:rsid w:val="00F9100E"/>
    <w:rsid w:val="00F9103E"/>
    <w:rsid w:val="00F91E8B"/>
    <w:rsid w:val="00F93EA7"/>
    <w:rsid w:val="00F95923"/>
    <w:rsid w:val="00F96A39"/>
    <w:rsid w:val="00F97463"/>
    <w:rsid w:val="00FA42B6"/>
    <w:rsid w:val="00FA4DC6"/>
    <w:rsid w:val="00FA5D99"/>
    <w:rsid w:val="00FA5F03"/>
    <w:rsid w:val="00FA5F28"/>
    <w:rsid w:val="00FB030E"/>
    <w:rsid w:val="00FB10BA"/>
    <w:rsid w:val="00FB1813"/>
    <w:rsid w:val="00FB3B33"/>
    <w:rsid w:val="00FB3C38"/>
    <w:rsid w:val="00FB3F8A"/>
    <w:rsid w:val="00FB4C64"/>
    <w:rsid w:val="00FB571F"/>
    <w:rsid w:val="00FB6E18"/>
    <w:rsid w:val="00FC0C17"/>
    <w:rsid w:val="00FC363D"/>
    <w:rsid w:val="00FC3C0B"/>
    <w:rsid w:val="00FC42BA"/>
    <w:rsid w:val="00FC4B18"/>
    <w:rsid w:val="00FC6166"/>
    <w:rsid w:val="00FD02A1"/>
    <w:rsid w:val="00FD08C1"/>
    <w:rsid w:val="00FD5D72"/>
    <w:rsid w:val="00FD7A7A"/>
    <w:rsid w:val="00FE10C1"/>
    <w:rsid w:val="00FE11FF"/>
    <w:rsid w:val="00FE190E"/>
    <w:rsid w:val="00FE20A9"/>
    <w:rsid w:val="00FE2BCE"/>
    <w:rsid w:val="00FE3AF9"/>
    <w:rsid w:val="00FE48A9"/>
    <w:rsid w:val="00FE4F85"/>
    <w:rsid w:val="00FF07AB"/>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F468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D34B5"/>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AC5795"/>
    <w:pPr>
      <w:keepNext/>
      <w:keepLines/>
      <w:spacing w:before="280" w:after="80"/>
    </w:pPr>
    <w:rPr>
      <w:b/>
      <w:color w:val="000000"/>
      <w:sz w:val="20"/>
      <w:szCs w:val="22"/>
    </w:rPr>
  </w:style>
  <w:style w:type="character" w:customStyle="1" w:styleId="CaptionChar">
    <w:name w:val="Caption Char"/>
    <w:aliases w:val="eTRM Caption Char"/>
    <w:link w:val="Caption"/>
    <w:locked/>
    <w:rsid w:val="00AC5795"/>
    <w:rPr>
      <w:rFonts w:ascii="Calibri Light" w:hAnsi="Calibri Light"/>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val="0"/>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nhideWhenUsed/>
    <w:qFormat/>
    <w:rsid w:val="00120592"/>
  </w:style>
  <w:style w:type="character" w:customStyle="1" w:styleId="BodyTextChar">
    <w:name w:val="Body Text Char"/>
    <w:basedOn w:val="DefaultParagraphFont"/>
    <w:link w:val="BodyText"/>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116C5"/>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2"/>
    </w:rPr>
  </w:style>
  <w:style w:type="character" w:customStyle="1" w:styleId="eTRMHeading1Char">
    <w:name w:val="eTRM Heading 1 Char"/>
    <w:basedOn w:val="DefaultParagraphFont"/>
    <w:link w:val="eTRMHeading1"/>
    <w:rsid w:val="00B116C5"/>
    <w:rPr>
      <w:rFonts w:ascii="Calibri" w:eastAsiaTheme="majorEastAsia" w:hAnsi="Calibri" w:cstheme="majorBidi"/>
      <w:b/>
      <w:caps/>
      <w:color w:val="FFFFFF" w:themeColor="background1"/>
      <w:spacing w:val="60"/>
      <w:sz w:val="28"/>
      <w:szCs w:val="32"/>
    </w:rPr>
  </w:style>
  <w:style w:type="paragraph" w:customStyle="1" w:styleId="eTRMHeading2">
    <w:name w:val="eTRM Heading 2"/>
    <w:basedOn w:val="Normal"/>
    <w:link w:val="eTRMHeading2Char"/>
    <w:autoRedefine/>
    <w:qFormat/>
    <w:rsid w:val="00B116C5"/>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B116C5"/>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9281A"/>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9281A"/>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710C92"/>
    <w:pPr>
      <w:spacing w:before="20" w:after="20"/>
    </w:pPr>
  </w:style>
  <w:style w:type="character" w:customStyle="1" w:styleId="eTRMFootnoteTextChar">
    <w:name w:val="eTRM Footnote Text Char"/>
    <w:basedOn w:val="FootnoteTextChar"/>
    <w:link w:val="eTRMFootnoteText"/>
    <w:rsid w:val="00710C92"/>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character" w:styleId="CommentReference">
    <w:name w:val="annotation reference"/>
    <w:basedOn w:val="DefaultParagraphFont"/>
    <w:uiPriority w:val="99"/>
    <w:semiHidden/>
    <w:unhideWhenUsed/>
    <w:rsid w:val="00CE5032"/>
    <w:rPr>
      <w:sz w:val="18"/>
      <w:szCs w:val="18"/>
    </w:rPr>
  </w:style>
  <w:style w:type="paragraph" w:styleId="CommentText">
    <w:name w:val="annotation text"/>
    <w:basedOn w:val="Normal"/>
    <w:link w:val="CommentTextChar"/>
    <w:uiPriority w:val="99"/>
    <w:unhideWhenUsed/>
    <w:rsid w:val="00CE5032"/>
    <w:pPr>
      <w:spacing w:line="240" w:lineRule="auto"/>
    </w:pPr>
    <w:rPr>
      <w:sz w:val="24"/>
    </w:rPr>
  </w:style>
  <w:style w:type="character" w:customStyle="1" w:styleId="CommentTextChar">
    <w:name w:val="Comment Text Char"/>
    <w:basedOn w:val="DefaultParagraphFont"/>
    <w:link w:val="CommentText"/>
    <w:uiPriority w:val="99"/>
    <w:rsid w:val="00CE5032"/>
    <w:rPr>
      <w:rFonts w:ascii="Calibri Light" w:hAnsi="Calibri Light"/>
    </w:rPr>
  </w:style>
  <w:style w:type="paragraph" w:styleId="CommentSubject">
    <w:name w:val="annotation subject"/>
    <w:basedOn w:val="CommentText"/>
    <w:next w:val="CommentText"/>
    <w:link w:val="CommentSubjectChar"/>
    <w:uiPriority w:val="99"/>
    <w:semiHidden/>
    <w:unhideWhenUsed/>
    <w:rsid w:val="00CE5032"/>
    <w:rPr>
      <w:b/>
      <w:bCs/>
      <w:sz w:val="20"/>
      <w:szCs w:val="20"/>
    </w:rPr>
  </w:style>
  <w:style w:type="character" w:customStyle="1" w:styleId="CommentSubjectChar">
    <w:name w:val="Comment Subject Char"/>
    <w:basedOn w:val="CommentTextChar"/>
    <w:link w:val="CommentSubject"/>
    <w:uiPriority w:val="99"/>
    <w:semiHidden/>
    <w:rsid w:val="00CE5032"/>
    <w:rPr>
      <w:rFonts w:ascii="Calibri Light" w:hAnsi="Calibri Light"/>
      <w:b/>
      <w:bCs/>
      <w:sz w:val="20"/>
      <w:szCs w:val="20"/>
    </w:rPr>
  </w:style>
  <w:style w:type="paragraph" w:styleId="BalloonText">
    <w:name w:val="Balloon Text"/>
    <w:basedOn w:val="Normal"/>
    <w:link w:val="BalloonTextChar"/>
    <w:uiPriority w:val="99"/>
    <w:semiHidden/>
    <w:unhideWhenUsed/>
    <w:rsid w:val="00CE5032"/>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5032"/>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2E6017"/>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2E6017"/>
    <w:rPr>
      <w:rFonts w:ascii="Times New Roman" w:hAnsi="Times New Roman" w:cs="Times New Roman"/>
    </w:rPr>
  </w:style>
  <w:style w:type="paragraph" w:styleId="NoSpacing">
    <w:name w:val="No Spacing"/>
    <w:uiPriority w:val="1"/>
    <w:rsid w:val="00DE5427"/>
    <w:rPr>
      <w:rFonts w:eastAsiaTheme="minorHAnsi"/>
      <w:sz w:val="22"/>
      <w:szCs w:val="22"/>
    </w:rPr>
  </w:style>
  <w:style w:type="character" w:styleId="PlaceholderText">
    <w:name w:val="Placeholder Text"/>
    <w:basedOn w:val="DefaultParagraphFont"/>
    <w:uiPriority w:val="99"/>
    <w:semiHidden/>
    <w:rsid w:val="00FD02A1"/>
    <w:rPr>
      <w:color w:val="808080"/>
    </w:rPr>
  </w:style>
  <w:style w:type="character" w:styleId="Emphasis">
    <w:name w:val="Emphasis"/>
    <w:basedOn w:val="DefaultParagraphFont"/>
    <w:uiPriority w:val="20"/>
    <w:rsid w:val="00833AE5"/>
    <w:rPr>
      <w:i/>
      <w:iCs/>
    </w:rPr>
  </w:style>
  <w:style w:type="character" w:styleId="Strong">
    <w:name w:val="Strong"/>
    <w:basedOn w:val="DefaultParagraphFont"/>
    <w:uiPriority w:val="22"/>
    <w:rsid w:val="005D7440"/>
    <w:rPr>
      <w:b/>
      <w:bCs/>
    </w:rPr>
  </w:style>
  <w:style w:type="paragraph" w:customStyle="1" w:styleId="Default">
    <w:name w:val="Default"/>
    <w:rsid w:val="003C3134"/>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89268">
      <w:bodyDiv w:val="1"/>
      <w:marLeft w:val="0"/>
      <w:marRight w:val="0"/>
      <w:marTop w:val="0"/>
      <w:marBottom w:val="0"/>
      <w:divBdr>
        <w:top w:val="none" w:sz="0" w:space="0" w:color="auto"/>
        <w:left w:val="none" w:sz="0" w:space="0" w:color="auto"/>
        <w:bottom w:val="none" w:sz="0" w:space="0" w:color="auto"/>
        <w:right w:val="none" w:sz="0" w:space="0" w:color="auto"/>
      </w:divBdr>
      <w:divsChild>
        <w:div w:id="430783105">
          <w:marLeft w:val="0"/>
          <w:marRight w:val="0"/>
          <w:marTop w:val="0"/>
          <w:marBottom w:val="0"/>
          <w:divBdr>
            <w:top w:val="none" w:sz="0" w:space="0" w:color="auto"/>
            <w:left w:val="none" w:sz="0" w:space="0" w:color="auto"/>
            <w:bottom w:val="none" w:sz="0" w:space="0" w:color="auto"/>
            <w:right w:val="none" w:sz="0" w:space="0" w:color="auto"/>
          </w:divBdr>
        </w:div>
        <w:div w:id="157500108">
          <w:marLeft w:val="0"/>
          <w:marRight w:val="0"/>
          <w:marTop w:val="0"/>
          <w:marBottom w:val="0"/>
          <w:divBdr>
            <w:top w:val="none" w:sz="0" w:space="0" w:color="auto"/>
            <w:left w:val="none" w:sz="0" w:space="0" w:color="auto"/>
            <w:bottom w:val="none" w:sz="0" w:space="0" w:color="auto"/>
            <w:right w:val="none" w:sz="0" w:space="0" w:color="auto"/>
          </w:divBdr>
        </w:div>
        <w:div w:id="469594630">
          <w:marLeft w:val="0"/>
          <w:marRight w:val="0"/>
          <w:marTop w:val="0"/>
          <w:marBottom w:val="0"/>
          <w:divBdr>
            <w:top w:val="none" w:sz="0" w:space="0" w:color="auto"/>
            <w:left w:val="none" w:sz="0" w:space="0" w:color="auto"/>
            <w:bottom w:val="none" w:sz="0" w:space="0" w:color="auto"/>
            <w:right w:val="none" w:sz="0" w:space="0" w:color="auto"/>
          </w:divBdr>
        </w:div>
        <w:div w:id="202986207">
          <w:marLeft w:val="0"/>
          <w:marRight w:val="0"/>
          <w:marTop w:val="0"/>
          <w:marBottom w:val="0"/>
          <w:divBdr>
            <w:top w:val="none" w:sz="0" w:space="0" w:color="auto"/>
            <w:left w:val="none" w:sz="0" w:space="0" w:color="auto"/>
            <w:bottom w:val="none" w:sz="0" w:space="0" w:color="auto"/>
            <w:right w:val="none" w:sz="0" w:space="0" w:color="auto"/>
          </w:divBdr>
        </w:div>
        <w:div w:id="1211652597">
          <w:marLeft w:val="0"/>
          <w:marRight w:val="0"/>
          <w:marTop w:val="0"/>
          <w:marBottom w:val="0"/>
          <w:divBdr>
            <w:top w:val="none" w:sz="0" w:space="0" w:color="auto"/>
            <w:left w:val="none" w:sz="0" w:space="0" w:color="auto"/>
            <w:bottom w:val="none" w:sz="0" w:space="0" w:color="auto"/>
            <w:right w:val="none" w:sz="0" w:space="0" w:color="auto"/>
          </w:divBdr>
        </w:div>
        <w:div w:id="823549777">
          <w:marLeft w:val="0"/>
          <w:marRight w:val="0"/>
          <w:marTop w:val="0"/>
          <w:marBottom w:val="0"/>
          <w:divBdr>
            <w:top w:val="none" w:sz="0" w:space="0" w:color="auto"/>
            <w:left w:val="none" w:sz="0" w:space="0" w:color="auto"/>
            <w:bottom w:val="none" w:sz="0" w:space="0" w:color="auto"/>
            <w:right w:val="none" w:sz="0" w:space="0" w:color="auto"/>
          </w:divBdr>
        </w:div>
        <w:div w:id="1217544094">
          <w:marLeft w:val="0"/>
          <w:marRight w:val="0"/>
          <w:marTop w:val="0"/>
          <w:marBottom w:val="0"/>
          <w:divBdr>
            <w:top w:val="none" w:sz="0" w:space="0" w:color="auto"/>
            <w:left w:val="none" w:sz="0" w:space="0" w:color="auto"/>
            <w:bottom w:val="none" w:sz="0" w:space="0" w:color="auto"/>
            <w:right w:val="none" w:sz="0" w:space="0" w:color="auto"/>
          </w:divBdr>
        </w:div>
        <w:div w:id="466320210">
          <w:marLeft w:val="0"/>
          <w:marRight w:val="0"/>
          <w:marTop w:val="0"/>
          <w:marBottom w:val="0"/>
          <w:divBdr>
            <w:top w:val="none" w:sz="0" w:space="0" w:color="auto"/>
            <w:left w:val="none" w:sz="0" w:space="0" w:color="auto"/>
            <w:bottom w:val="none" w:sz="0" w:space="0" w:color="auto"/>
            <w:right w:val="none" w:sz="0" w:space="0" w:color="auto"/>
          </w:divBdr>
        </w:div>
        <w:div w:id="390008617">
          <w:marLeft w:val="0"/>
          <w:marRight w:val="0"/>
          <w:marTop w:val="0"/>
          <w:marBottom w:val="0"/>
          <w:divBdr>
            <w:top w:val="none" w:sz="0" w:space="0" w:color="auto"/>
            <w:left w:val="none" w:sz="0" w:space="0" w:color="auto"/>
            <w:bottom w:val="none" w:sz="0" w:space="0" w:color="auto"/>
            <w:right w:val="none" w:sz="0" w:space="0" w:color="auto"/>
          </w:divBdr>
        </w:div>
        <w:div w:id="765157230">
          <w:marLeft w:val="0"/>
          <w:marRight w:val="0"/>
          <w:marTop w:val="0"/>
          <w:marBottom w:val="0"/>
          <w:divBdr>
            <w:top w:val="none" w:sz="0" w:space="0" w:color="auto"/>
            <w:left w:val="none" w:sz="0" w:space="0" w:color="auto"/>
            <w:bottom w:val="none" w:sz="0" w:space="0" w:color="auto"/>
            <w:right w:val="none" w:sz="0" w:space="0" w:color="auto"/>
          </w:divBdr>
        </w:div>
        <w:div w:id="736125612">
          <w:marLeft w:val="0"/>
          <w:marRight w:val="0"/>
          <w:marTop w:val="0"/>
          <w:marBottom w:val="0"/>
          <w:divBdr>
            <w:top w:val="none" w:sz="0" w:space="0" w:color="auto"/>
            <w:left w:val="none" w:sz="0" w:space="0" w:color="auto"/>
            <w:bottom w:val="none" w:sz="0" w:space="0" w:color="auto"/>
            <w:right w:val="none" w:sz="0" w:space="0" w:color="auto"/>
          </w:divBdr>
        </w:div>
        <w:div w:id="2050259971">
          <w:marLeft w:val="0"/>
          <w:marRight w:val="0"/>
          <w:marTop w:val="0"/>
          <w:marBottom w:val="0"/>
          <w:divBdr>
            <w:top w:val="none" w:sz="0" w:space="0" w:color="auto"/>
            <w:left w:val="none" w:sz="0" w:space="0" w:color="auto"/>
            <w:bottom w:val="none" w:sz="0" w:space="0" w:color="auto"/>
            <w:right w:val="none" w:sz="0" w:space="0" w:color="auto"/>
          </w:divBdr>
        </w:div>
      </w:divsChild>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4550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14" ma:contentTypeDescription="Create a new document." ma:contentTypeScope="" ma:versionID="b2412afd1e879f66b105f824439c8928">
  <xsd:schema xmlns:xsd="http://www.w3.org/2001/XMLSchema" xmlns:xs="http://www.w3.org/2001/XMLSchema" xmlns:p="http://schemas.microsoft.com/office/2006/metadata/properties" xmlns:ns2="08bcfa67-6ebe-41f8-a71c-397e8dbf592e" xmlns:ns3="2b97bb63-8e23-400c-bad5-0a0b9f2dceba" targetNamespace="http://schemas.microsoft.com/office/2006/metadata/properties" ma:root="true" ma:fieldsID="efccb9d014a3b903f57d6f26e4c1c486" ns2:_="" ns3:_="">
    <xsd:import namespace="08bcfa67-6ebe-41f8-a71c-397e8dbf592e"/>
    <xsd:import namespace="2b97bb63-8e23-400c-bad5-0a0b9f2dceba"/>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Date_x0020_and_x0020_Time"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Date_x0020_and_x0020_Time" ma:index="15" nillable="true" ma:displayName="Date and Time" ma:format="DateTime" ma:internalName="Date_x0020_and_x0020_Time">
      <xsd:simpleType>
        <xsd:restriction base="dms:DateTim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97bb63-8e23-400c-bad5-0a0b9f2d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8bcfa67-6ebe-41f8-a71c-397e8dbf592e" xsi:nil="true"/>
    <MigrationSourceURL xmlns="08bcfa67-6ebe-41f8-a71c-397e8dbf592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7A1EA6-4B8D-446D-8CF4-C83AE21CE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2b97bb63-8e23-400c-bad5-0a0b9f2d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479EC-A55E-48C9-A8D4-A9C5C95EFF9A}">
  <ds:schemaRefs>
    <ds:schemaRef ds:uri="http://schemas.microsoft.com/office/2006/metadata/properties"/>
    <ds:schemaRef ds:uri="http://schemas.microsoft.com/office/infopath/2007/PartnerControls"/>
    <ds:schemaRef ds:uri="08bcfa67-6ebe-41f8-a71c-397e8dbf592e"/>
  </ds:schemaRefs>
</ds:datastoreItem>
</file>

<file path=customXml/itemProps3.xml><?xml version="1.0" encoding="utf-8"?>
<ds:datastoreItem xmlns:ds="http://schemas.openxmlformats.org/officeDocument/2006/customXml" ds:itemID="{B9A3516E-B0CC-4707-8A4F-B1E00CBB659A}">
  <ds:schemaRefs>
    <ds:schemaRef ds:uri="http://schemas.openxmlformats.org/officeDocument/2006/bibliography"/>
  </ds:schemaRefs>
</ds:datastoreItem>
</file>

<file path=customXml/itemProps4.xml><?xml version="1.0" encoding="utf-8"?>
<ds:datastoreItem xmlns:ds="http://schemas.openxmlformats.org/officeDocument/2006/customXml" ds:itemID="{E3C0B500-F550-4712-A783-95DE106A6E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153</TotalTime>
  <Pages>1</Pages>
  <Words>4505</Words>
  <Characters>25679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Commercial Fryer SWFS011-01</vt:lpstr>
    </vt:vector>
  </TitlesOfParts>
  <Company>Hewlett-Packard</Company>
  <LinksUpToDate>false</LinksUpToDate>
  <CharactersWithSpaces>30124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Fryer SWFS011-01</dc:title>
  <dc:creator>Jennifer Holmes</dc:creator>
  <cp:lastModifiedBy>Liljestrom, Kenneth W</cp:lastModifiedBy>
  <cp:revision>43</cp:revision>
  <cp:lastPrinted>2021-06-09T16:51:00Z</cp:lastPrinted>
  <dcterms:created xsi:type="dcterms:W3CDTF">2020-01-14T20:35:00Z</dcterms:created>
  <dcterms:modified xsi:type="dcterms:W3CDTF">2021-06-09T17:29:00Z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0x0101005A7BE4A0BFE46347AA05FC5D687C5F4E</vt:lpwstr>
  </property>
</Properties>
</file>