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9000"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DC63F"/>
        <w:tblLayout w:type="fixed"/>
        <w:tblCellMar>
          <w:left w:w="115" w:type="dxa"/>
          <w:right w:w="115" w:type="dxa"/>
        </w:tblCellMar>
        <w:tblLook w:val="04A0" w:firstRow="1" w:lastRow="0" w:firstColumn="1" w:lastColumn="0" w:noHBand="0" w:noVBand="1"/>
      </w:tblPr>
      <w:tblGrid>
        <w:gridCol w:w="9000"/>
      </w:tblGrid>
      <w:tr w:rsidR="000110D9" w:rsidRPr="000110D9" w14:paraId="252C4688" w14:textId="77777777" w:rsidTr="00BD221D">
        <w:trPr>
          <w:cantSplit/>
          <w:trHeight w:hRule="exact" w:val="1440"/>
          <w:jc w:val="right"/>
        </w:trPr>
        <w:tc>
          <w:tcPr>
            <w:tcW w:w="9000" w:type="dxa"/>
            <w:shd w:val="clear" w:color="auto" w:fill="8DC63F"/>
            <w:vAlign w:val="center"/>
          </w:tcPr>
          <w:p w14:paraId="1955BB67" w14:textId="77777777" w:rsidR="00BD221D" w:rsidRPr="000110D9" w:rsidRDefault="00AD0426" w:rsidP="00DC272E">
            <w:pPr>
              <w:pStyle w:val="eTRMHeading1"/>
            </w:pPr>
            <w:r w:rsidRPr="00DC272E">
              <w:t>Food Service</w:t>
            </w:r>
          </w:p>
          <w:p w14:paraId="090327ED" w14:textId="77777777" w:rsidR="00BD221D" w:rsidRDefault="00AD0426" w:rsidP="00DC272E">
            <w:pPr>
              <w:pStyle w:val="eTRMHeading2"/>
            </w:pPr>
            <w:r w:rsidRPr="00DC272E">
              <w:t>Insulated Hot Food Holding Cabinet</w:t>
            </w:r>
          </w:p>
          <w:p w14:paraId="591F69D7" w14:textId="03409FE7" w:rsidR="00DC272E" w:rsidRPr="00DC272E" w:rsidRDefault="00DC272E" w:rsidP="00DC272E">
            <w:pPr>
              <w:pStyle w:val="eTRMHeading2"/>
              <w:rPr>
                <w:spacing w:val="0"/>
              </w:rPr>
            </w:pPr>
            <w:r w:rsidRPr="00DC272E">
              <w:rPr>
                <w:spacing w:val="0"/>
                <w:sz w:val="28"/>
              </w:rPr>
              <w:t>SWFS007-</w:t>
            </w:r>
            <w:r w:rsidR="00204666" w:rsidRPr="00DC272E">
              <w:rPr>
                <w:spacing w:val="0"/>
                <w:sz w:val="28"/>
              </w:rPr>
              <w:t>0</w:t>
            </w:r>
            <w:r w:rsidR="00204666">
              <w:rPr>
                <w:spacing w:val="0"/>
                <w:sz w:val="28"/>
              </w:rPr>
              <w:t>3</w:t>
            </w:r>
          </w:p>
        </w:tc>
      </w:tr>
    </w:tbl>
    <w:p w14:paraId="2E9A98B0" w14:textId="77777777" w:rsidR="00BD221D" w:rsidRDefault="00BD221D" w:rsidP="00BD221D"/>
    <w:p w14:paraId="7BE06423" w14:textId="77777777" w:rsidR="00D12B8C" w:rsidRPr="00E14349" w:rsidRDefault="007E1F66" w:rsidP="0053748E">
      <w:pPr>
        <w:jc w:val="center"/>
        <w:rPr>
          <w:spacing w:val="80"/>
          <w:sz w:val="28"/>
        </w:rPr>
      </w:pPr>
      <w:r w:rsidRPr="00E14349">
        <w:rPr>
          <w:spacing w:val="80"/>
          <w:sz w:val="28"/>
        </w:rPr>
        <w:t>CONTENTS</w:t>
      </w:r>
    </w:p>
    <w:p w14:paraId="18844F26" w14:textId="5C8A65A8" w:rsidR="00575510" w:rsidRDefault="001C6C9B">
      <w:pPr>
        <w:pStyle w:val="TOC3"/>
        <w:rPr>
          <w:rFonts w:asciiTheme="minorHAnsi" w:hAnsiTheme="minorHAnsi"/>
          <w:noProof/>
          <w:szCs w:val="22"/>
          <w:lang w:eastAsia="ja-JP"/>
        </w:rPr>
      </w:pPr>
      <w:r>
        <w:fldChar w:fldCharType="begin"/>
      </w:r>
      <w:r>
        <w:instrText xml:space="preserve"> TOC \t "eTRM Heading 3,3" </w:instrText>
      </w:r>
      <w:r>
        <w:fldChar w:fldCharType="separate"/>
      </w:r>
      <w:r w:rsidR="00575510">
        <w:rPr>
          <w:noProof/>
        </w:rPr>
        <w:t>Measure Name</w:t>
      </w:r>
      <w:r w:rsidR="00575510">
        <w:rPr>
          <w:noProof/>
        </w:rPr>
        <w:tab/>
      </w:r>
      <w:r w:rsidR="00575510">
        <w:rPr>
          <w:noProof/>
        </w:rPr>
        <w:fldChar w:fldCharType="begin"/>
      </w:r>
      <w:r w:rsidR="00575510">
        <w:rPr>
          <w:noProof/>
        </w:rPr>
        <w:instrText xml:space="preserve"> PAGEREF _Toc24559514 \h </w:instrText>
      </w:r>
      <w:r w:rsidR="00575510">
        <w:rPr>
          <w:noProof/>
        </w:rPr>
      </w:r>
      <w:r w:rsidR="00575510">
        <w:rPr>
          <w:noProof/>
        </w:rPr>
        <w:fldChar w:fldCharType="separate"/>
      </w:r>
      <w:r w:rsidR="002D2FA8">
        <w:rPr>
          <w:noProof/>
        </w:rPr>
        <w:t>2</w:t>
      </w:r>
      <w:r w:rsidR="00575510">
        <w:rPr>
          <w:noProof/>
        </w:rPr>
        <w:fldChar w:fldCharType="end"/>
      </w:r>
    </w:p>
    <w:p w14:paraId="26DD2279" w14:textId="4E3F0A9F" w:rsidR="00575510" w:rsidRDefault="00575510">
      <w:pPr>
        <w:pStyle w:val="TOC3"/>
        <w:rPr>
          <w:rFonts w:asciiTheme="minorHAnsi" w:hAnsiTheme="minorHAnsi"/>
          <w:noProof/>
          <w:szCs w:val="22"/>
          <w:lang w:eastAsia="ja-JP"/>
        </w:rPr>
      </w:pPr>
      <w:r>
        <w:rPr>
          <w:noProof/>
        </w:rPr>
        <w:t>Statewide Measure ID</w:t>
      </w:r>
      <w:r>
        <w:rPr>
          <w:noProof/>
        </w:rPr>
        <w:tab/>
      </w:r>
      <w:r>
        <w:rPr>
          <w:noProof/>
        </w:rPr>
        <w:fldChar w:fldCharType="begin"/>
      </w:r>
      <w:r>
        <w:rPr>
          <w:noProof/>
        </w:rPr>
        <w:instrText xml:space="preserve"> PAGEREF _Toc24559515 \h </w:instrText>
      </w:r>
      <w:r>
        <w:rPr>
          <w:noProof/>
        </w:rPr>
      </w:r>
      <w:r>
        <w:rPr>
          <w:noProof/>
        </w:rPr>
        <w:fldChar w:fldCharType="separate"/>
      </w:r>
      <w:r w:rsidR="002D2FA8">
        <w:rPr>
          <w:noProof/>
        </w:rPr>
        <w:t>2</w:t>
      </w:r>
      <w:r>
        <w:rPr>
          <w:noProof/>
        </w:rPr>
        <w:fldChar w:fldCharType="end"/>
      </w:r>
    </w:p>
    <w:p w14:paraId="0C80423E" w14:textId="59D1AF6F" w:rsidR="00575510" w:rsidRDefault="00575510">
      <w:pPr>
        <w:pStyle w:val="TOC3"/>
        <w:rPr>
          <w:rFonts w:asciiTheme="minorHAnsi" w:hAnsiTheme="minorHAnsi"/>
          <w:noProof/>
          <w:szCs w:val="22"/>
          <w:lang w:eastAsia="ja-JP"/>
        </w:rPr>
      </w:pPr>
      <w:r>
        <w:rPr>
          <w:noProof/>
        </w:rPr>
        <w:t>Technology Summary</w:t>
      </w:r>
      <w:r>
        <w:rPr>
          <w:noProof/>
        </w:rPr>
        <w:tab/>
      </w:r>
      <w:r>
        <w:rPr>
          <w:noProof/>
        </w:rPr>
        <w:fldChar w:fldCharType="begin"/>
      </w:r>
      <w:r>
        <w:rPr>
          <w:noProof/>
        </w:rPr>
        <w:instrText xml:space="preserve"> PAGEREF _Toc24559516 \h </w:instrText>
      </w:r>
      <w:r>
        <w:rPr>
          <w:noProof/>
        </w:rPr>
      </w:r>
      <w:r>
        <w:rPr>
          <w:noProof/>
        </w:rPr>
        <w:fldChar w:fldCharType="separate"/>
      </w:r>
      <w:r w:rsidR="002D2FA8">
        <w:rPr>
          <w:noProof/>
        </w:rPr>
        <w:t>2</w:t>
      </w:r>
      <w:r>
        <w:rPr>
          <w:noProof/>
        </w:rPr>
        <w:fldChar w:fldCharType="end"/>
      </w:r>
    </w:p>
    <w:p w14:paraId="2F7A0689" w14:textId="3C1A5801" w:rsidR="00575510" w:rsidRDefault="00575510">
      <w:pPr>
        <w:pStyle w:val="TOC3"/>
        <w:rPr>
          <w:rFonts w:asciiTheme="minorHAnsi" w:hAnsiTheme="minorHAnsi"/>
          <w:noProof/>
          <w:szCs w:val="22"/>
          <w:lang w:eastAsia="ja-JP"/>
        </w:rPr>
      </w:pPr>
      <w:r>
        <w:rPr>
          <w:noProof/>
        </w:rPr>
        <w:t>Measure Case Description</w:t>
      </w:r>
      <w:r>
        <w:rPr>
          <w:noProof/>
        </w:rPr>
        <w:tab/>
      </w:r>
      <w:r>
        <w:rPr>
          <w:noProof/>
        </w:rPr>
        <w:fldChar w:fldCharType="begin"/>
      </w:r>
      <w:r>
        <w:rPr>
          <w:noProof/>
        </w:rPr>
        <w:instrText xml:space="preserve"> PAGEREF _Toc24559517 \h </w:instrText>
      </w:r>
      <w:r>
        <w:rPr>
          <w:noProof/>
        </w:rPr>
      </w:r>
      <w:r>
        <w:rPr>
          <w:noProof/>
        </w:rPr>
        <w:fldChar w:fldCharType="separate"/>
      </w:r>
      <w:r w:rsidR="002D2FA8">
        <w:rPr>
          <w:noProof/>
        </w:rPr>
        <w:t>2</w:t>
      </w:r>
      <w:r>
        <w:rPr>
          <w:noProof/>
        </w:rPr>
        <w:fldChar w:fldCharType="end"/>
      </w:r>
    </w:p>
    <w:p w14:paraId="77599094" w14:textId="291E4CEF" w:rsidR="00575510" w:rsidRDefault="00575510">
      <w:pPr>
        <w:pStyle w:val="TOC3"/>
        <w:rPr>
          <w:rFonts w:asciiTheme="minorHAnsi" w:hAnsiTheme="minorHAnsi"/>
          <w:noProof/>
          <w:szCs w:val="22"/>
          <w:lang w:eastAsia="ja-JP"/>
        </w:rPr>
      </w:pPr>
      <w:r>
        <w:rPr>
          <w:noProof/>
        </w:rPr>
        <w:t>Base Case Description</w:t>
      </w:r>
      <w:r>
        <w:rPr>
          <w:noProof/>
        </w:rPr>
        <w:tab/>
      </w:r>
      <w:r>
        <w:rPr>
          <w:noProof/>
        </w:rPr>
        <w:fldChar w:fldCharType="begin"/>
      </w:r>
      <w:r>
        <w:rPr>
          <w:noProof/>
        </w:rPr>
        <w:instrText xml:space="preserve"> PAGEREF _Toc24559518 \h </w:instrText>
      </w:r>
      <w:r>
        <w:rPr>
          <w:noProof/>
        </w:rPr>
      </w:r>
      <w:r>
        <w:rPr>
          <w:noProof/>
        </w:rPr>
        <w:fldChar w:fldCharType="separate"/>
      </w:r>
      <w:r w:rsidR="002D2FA8">
        <w:rPr>
          <w:noProof/>
        </w:rPr>
        <w:t>3</w:t>
      </w:r>
      <w:r>
        <w:rPr>
          <w:noProof/>
        </w:rPr>
        <w:fldChar w:fldCharType="end"/>
      </w:r>
    </w:p>
    <w:p w14:paraId="420C83AA" w14:textId="0DF33095" w:rsidR="00575510" w:rsidRDefault="00575510">
      <w:pPr>
        <w:pStyle w:val="TOC3"/>
        <w:rPr>
          <w:rFonts w:asciiTheme="minorHAnsi" w:hAnsiTheme="minorHAnsi"/>
          <w:noProof/>
          <w:szCs w:val="22"/>
          <w:lang w:eastAsia="ja-JP"/>
        </w:rPr>
      </w:pPr>
      <w:r>
        <w:rPr>
          <w:noProof/>
        </w:rPr>
        <w:t>Code Requirements</w:t>
      </w:r>
      <w:r>
        <w:rPr>
          <w:noProof/>
        </w:rPr>
        <w:tab/>
      </w:r>
      <w:r>
        <w:rPr>
          <w:noProof/>
        </w:rPr>
        <w:fldChar w:fldCharType="begin"/>
      </w:r>
      <w:r>
        <w:rPr>
          <w:noProof/>
        </w:rPr>
        <w:instrText xml:space="preserve"> PAGEREF _Toc24559519 \h </w:instrText>
      </w:r>
      <w:r>
        <w:rPr>
          <w:noProof/>
        </w:rPr>
      </w:r>
      <w:r>
        <w:rPr>
          <w:noProof/>
        </w:rPr>
        <w:fldChar w:fldCharType="separate"/>
      </w:r>
      <w:r w:rsidR="002D2FA8">
        <w:rPr>
          <w:noProof/>
        </w:rPr>
        <w:t>3</w:t>
      </w:r>
      <w:r>
        <w:rPr>
          <w:noProof/>
        </w:rPr>
        <w:fldChar w:fldCharType="end"/>
      </w:r>
    </w:p>
    <w:p w14:paraId="7523DB02" w14:textId="7987589F" w:rsidR="00575510" w:rsidRDefault="00575510">
      <w:pPr>
        <w:pStyle w:val="TOC3"/>
        <w:rPr>
          <w:rFonts w:asciiTheme="minorHAnsi" w:hAnsiTheme="minorHAnsi"/>
          <w:noProof/>
          <w:szCs w:val="22"/>
          <w:lang w:eastAsia="ja-JP"/>
        </w:rPr>
      </w:pPr>
      <w:r>
        <w:rPr>
          <w:noProof/>
        </w:rPr>
        <w:t>Normalizing Unit</w:t>
      </w:r>
      <w:r>
        <w:rPr>
          <w:noProof/>
        </w:rPr>
        <w:tab/>
      </w:r>
      <w:r>
        <w:rPr>
          <w:noProof/>
        </w:rPr>
        <w:fldChar w:fldCharType="begin"/>
      </w:r>
      <w:r>
        <w:rPr>
          <w:noProof/>
        </w:rPr>
        <w:instrText xml:space="preserve"> PAGEREF _Toc24559520 \h </w:instrText>
      </w:r>
      <w:r>
        <w:rPr>
          <w:noProof/>
        </w:rPr>
      </w:r>
      <w:r>
        <w:rPr>
          <w:noProof/>
        </w:rPr>
        <w:fldChar w:fldCharType="separate"/>
      </w:r>
      <w:r w:rsidR="002D2FA8">
        <w:rPr>
          <w:noProof/>
        </w:rPr>
        <w:t>4</w:t>
      </w:r>
      <w:r>
        <w:rPr>
          <w:noProof/>
        </w:rPr>
        <w:fldChar w:fldCharType="end"/>
      </w:r>
    </w:p>
    <w:p w14:paraId="7B95DC26" w14:textId="6E7F7022" w:rsidR="00575510" w:rsidRDefault="00575510">
      <w:pPr>
        <w:pStyle w:val="TOC3"/>
        <w:rPr>
          <w:rFonts w:asciiTheme="minorHAnsi" w:hAnsiTheme="minorHAnsi"/>
          <w:noProof/>
          <w:szCs w:val="22"/>
          <w:lang w:eastAsia="ja-JP"/>
        </w:rPr>
      </w:pPr>
      <w:r>
        <w:rPr>
          <w:noProof/>
        </w:rPr>
        <w:t>Program Requirements</w:t>
      </w:r>
      <w:r>
        <w:rPr>
          <w:noProof/>
        </w:rPr>
        <w:tab/>
      </w:r>
      <w:r>
        <w:rPr>
          <w:noProof/>
        </w:rPr>
        <w:fldChar w:fldCharType="begin"/>
      </w:r>
      <w:r>
        <w:rPr>
          <w:noProof/>
        </w:rPr>
        <w:instrText xml:space="preserve"> PAGEREF _Toc24559521 \h </w:instrText>
      </w:r>
      <w:r>
        <w:rPr>
          <w:noProof/>
        </w:rPr>
      </w:r>
      <w:r>
        <w:rPr>
          <w:noProof/>
        </w:rPr>
        <w:fldChar w:fldCharType="separate"/>
      </w:r>
      <w:r w:rsidR="002D2FA8">
        <w:rPr>
          <w:noProof/>
        </w:rPr>
        <w:t>4</w:t>
      </w:r>
      <w:r>
        <w:rPr>
          <w:noProof/>
        </w:rPr>
        <w:fldChar w:fldCharType="end"/>
      </w:r>
    </w:p>
    <w:p w14:paraId="3F2BAAE5" w14:textId="04D08645" w:rsidR="00575510" w:rsidRDefault="00575510">
      <w:pPr>
        <w:pStyle w:val="TOC3"/>
        <w:rPr>
          <w:rFonts w:asciiTheme="minorHAnsi" w:hAnsiTheme="minorHAnsi"/>
          <w:noProof/>
          <w:szCs w:val="22"/>
          <w:lang w:eastAsia="ja-JP"/>
        </w:rPr>
      </w:pPr>
      <w:r>
        <w:rPr>
          <w:noProof/>
        </w:rPr>
        <w:t>Program Exclusions</w:t>
      </w:r>
      <w:r>
        <w:rPr>
          <w:noProof/>
        </w:rPr>
        <w:tab/>
      </w:r>
      <w:r>
        <w:rPr>
          <w:noProof/>
        </w:rPr>
        <w:fldChar w:fldCharType="begin"/>
      </w:r>
      <w:r>
        <w:rPr>
          <w:noProof/>
        </w:rPr>
        <w:instrText xml:space="preserve"> PAGEREF _Toc24559522 \h </w:instrText>
      </w:r>
      <w:r>
        <w:rPr>
          <w:noProof/>
        </w:rPr>
      </w:r>
      <w:r>
        <w:rPr>
          <w:noProof/>
        </w:rPr>
        <w:fldChar w:fldCharType="separate"/>
      </w:r>
      <w:r w:rsidR="002D2FA8">
        <w:rPr>
          <w:noProof/>
        </w:rPr>
        <w:t>5</w:t>
      </w:r>
      <w:r>
        <w:rPr>
          <w:noProof/>
        </w:rPr>
        <w:fldChar w:fldCharType="end"/>
      </w:r>
    </w:p>
    <w:p w14:paraId="0947EE3C" w14:textId="1272A05F" w:rsidR="00575510" w:rsidRDefault="00575510">
      <w:pPr>
        <w:pStyle w:val="TOC3"/>
        <w:rPr>
          <w:rFonts w:asciiTheme="minorHAnsi" w:hAnsiTheme="minorHAnsi"/>
          <w:noProof/>
          <w:szCs w:val="22"/>
          <w:lang w:eastAsia="ja-JP"/>
        </w:rPr>
      </w:pPr>
      <w:r>
        <w:rPr>
          <w:noProof/>
        </w:rPr>
        <w:t>Data Collection Requirements</w:t>
      </w:r>
      <w:r>
        <w:rPr>
          <w:noProof/>
        </w:rPr>
        <w:tab/>
      </w:r>
      <w:r>
        <w:rPr>
          <w:noProof/>
        </w:rPr>
        <w:fldChar w:fldCharType="begin"/>
      </w:r>
      <w:r>
        <w:rPr>
          <w:noProof/>
        </w:rPr>
        <w:instrText xml:space="preserve"> PAGEREF _Toc24559523 \h </w:instrText>
      </w:r>
      <w:r>
        <w:rPr>
          <w:noProof/>
        </w:rPr>
      </w:r>
      <w:r>
        <w:rPr>
          <w:noProof/>
        </w:rPr>
        <w:fldChar w:fldCharType="separate"/>
      </w:r>
      <w:r w:rsidR="002D2FA8">
        <w:rPr>
          <w:noProof/>
        </w:rPr>
        <w:t>5</w:t>
      </w:r>
      <w:r>
        <w:rPr>
          <w:noProof/>
        </w:rPr>
        <w:fldChar w:fldCharType="end"/>
      </w:r>
    </w:p>
    <w:p w14:paraId="278B1B83" w14:textId="6E841ADE" w:rsidR="00575510" w:rsidRDefault="00575510">
      <w:pPr>
        <w:pStyle w:val="TOC3"/>
        <w:rPr>
          <w:rFonts w:asciiTheme="minorHAnsi" w:hAnsiTheme="minorHAnsi"/>
          <w:noProof/>
          <w:szCs w:val="22"/>
          <w:lang w:eastAsia="ja-JP"/>
        </w:rPr>
      </w:pPr>
      <w:r>
        <w:rPr>
          <w:noProof/>
        </w:rPr>
        <w:t>Use Category</w:t>
      </w:r>
      <w:r>
        <w:rPr>
          <w:noProof/>
        </w:rPr>
        <w:tab/>
      </w:r>
      <w:r>
        <w:rPr>
          <w:noProof/>
        </w:rPr>
        <w:fldChar w:fldCharType="begin"/>
      </w:r>
      <w:r>
        <w:rPr>
          <w:noProof/>
        </w:rPr>
        <w:instrText xml:space="preserve"> PAGEREF _Toc24559524 \h </w:instrText>
      </w:r>
      <w:r>
        <w:rPr>
          <w:noProof/>
        </w:rPr>
      </w:r>
      <w:r>
        <w:rPr>
          <w:noProof/>
        </w:rPr>
        <w:fldChar w:fldCharType="separate"/>
      </w:r>
      <w:r w:rsidR="002D2FA8">
        <w:rPr>
          <w:noProof/>
        </w:rPr>
        <w:t>6</w:t>
      </w:r>
      <w:r>
        <w:rPr>
          <w:noProof/>
        </w:rPr>
        <w:fldChar w:fldCharType="end"/>
      </w:r>
    </w:p>
    <w:p w14:paraId="1EAB2E68" w14:textId="075B706F" w:rsidR="00575510" w:rsidRDefault="00575510">
      <w:pPr>
        <w:pStyle w:val="TOC3"/>
        <w:rPr>
          <w:rFonts w:asciiTheme="minorHAnsi" w:hAnsiTheme="minorHAnsi"/>
          <w:noProof/>
          <w:szCs w:val="22"/>
          <w:lang w:eastAsia="ja-JP"/>
        </w:rPr>
      </w:pPr>
      <w:r>
        <w:rPr>
          <w:noProof/>
        </w:rPr>
        <w:t>Electric Savings (</w:t>
      </w:r>
      <w:r w:rsidRPr="00457CA2">
        <w:rPr>
          <w:noProof/>
        </w:rPr>
        <w:t>k</w:t>
      </w:r>
      <w:r>
        <w:rPr>
          <w:noProof/>
        </w:rPr>
        <w:t>W</w:t>
      </w:r>
      <w:r w:rsidRPr="00457CA2">
        <w:rPr>
          <w:noProof/>
        </w:rPr>
        <w:t>h</w:t>
      </w:r>
      <w:r>
        <w:rPr>
          <w:noProof/>
        </w:rPr>
        <w:t>)</w:t>
      </w:r>
      <w:r>
        <w:rPr>
          <w:noProof/>
        </w:rPr>
        <w:tab/>
      </w:r>
      <w:r>
        <w:rPr>
          <w:noProof/>
        </w:rPr>
        <w:fldChar w:fldCharType="begin"/>
      </w:r>
      <w:r>
        <w:rPr>
          <w:noProof/>
        </w:rPr>
        <w:instrText xml:space="preserve"> PAGEREF _Toc24559525 \h </w:instrText>
      </w:r>
      <w:r>
        <w:rPr>
          <w:noProof/>
        </w:rPr>
      </w:r>
      <w:r>
        <w:rPr>
          <w:noProof/>
        </w:rPr>
        <w:fldChar w:fldCharType="separate"/>
      </w:r>
      <w:r w:rsidR="002D2FA8">
        <w:rPr>
          <w:noProof/>
        </w:rPr>
        <w:t>6</w:t>
      </w:r>
      <w:r>
        <w:rPr>
          <w:noProof/>
        </w:rPr>
        <w:fldChar w:fldCharType="end"/>
      </w:r>
    </w:p>
    <w:p w14:paraId="28202001" w14:textId="264B8DE6" w:rsidR="00575510" w:rsidRDefault="00575510">
      <w:pPr>
        <w:pStyle w:val="TOC3"/>
        <w:rPr>
          <w:rFonts w:asciiTheme="minorHAnsi" w:hAnsiTheme="minorHAnsi"/>
          <w:noProof/>
          <w:szCs w:val="22"/>
          <w:lang w:eastAsia="ja-JP"/>
        </w:rPr>
      </w:pPr>
      <w:r>
        <w:rPr>
          <w:noProof/>
        </w:rPr>
        <w:t>Peak Electric Demand Reduction (kW)</w:t>
      </w:r>
      <w:r>
        <w:rPr>
          <w:noProof/>
        </w:rPr>
        <w:tab/>
      </w:r>
      <w:r>
        <w:rPr>
          <w:noProof/>
        </w:rPr>
        <w:fldChar w:fldCharType="begin"/>
      </w:r>
      <w:r>
        <w:rPr>
          <w:noProof/>
        </w:rPr>
        <w:instrText xml:space="preserve"> PAGEREF _Toc24559526 \h </w:instrText>
      </w:r>
      <w:r>
        <w:rPr>
          <w:noProof/>
        </w:rPr>
      </w:r>
      <w:r>
        <w:rPr>
          <w:noProof/>
        </w:rPr>
        <w:fldChar w:fldCharType="separate"/>
      </w:r>
      <w:r w:rsidR="002D2FA8">
        <w:rPr>
          <w:noProof/>
        </w:rPr>
        <w:t>8</w:t>
      </w:r>
      <w:r>
        <w:rPr>
          <w:noProof/>
        </w:rPr>
        <w:fldChar w:fldCharType="end"/>
      </w:r>
    </w:p>
    <w:p w14:paraId="73788021" w14:textId="0A3C1335" w:rsidR="00575510" w:rsidRDefault="00575510">
      <w:pPr>
        <w:pStyle w:val="TOC3"/>
        <w:rPr>
          <w:rFonts w:asciiTheme="minorHAnsi" w:hAnsiTheme="minorHAnsi"/>
          <w:noProof/>
          <w:szCs w:val="22"/>
          <w:lang w:eastAsia="ja-JP"/>
        </w:rPr>
      </w:pPr>
      <w:r>
        <w:rPr>
          <w:noProof/>
        </w:rPr>
        <w:t>Gas Savings (Therms)</w:t>
      </w:r>
      <w:r>
        <w:rPr>
          <w:noProof/>
        </w:rPr>
        <w:tab/>
      </w:r>
      <w:r>
        <w:rPr>
          <w:noProof/>
        </w:rPr>
        <w:fldChar w:fldCharType="begin"/>
      </w:r>
      <w:r>
        <w:rPr>
          <w:noProof/>
        </w:rPr>
        <w:instrText xml:space="preserve"> PAGEREF _Toc24559527 \h </w:instrText>
      </w:r>
      <w:r>
        <w:rPr>
          <w:noProof/>
        </w:rPr>
      </w:r>
      <w:r>
        <w:rPr>
          <w:noProof/>
        </w:rPr>
        <w:fldChar w:fldCharType="separate"/>
      </w:r>
      <w:r w:rsidR="002D2FA8">
        <w:rPr>
          <w:noProof/>
        </w:rPr>
        <w:t>8</w:t>
      </w:r>
      <w:r>
        <w:rPr>
          <w:noProof/>
        </w:rPr>
        <w:fldChar w:fldCharType="end"/>
      </w:r>
    </w:p>
    <w:p w14:paraId="70D873E9" w14:textId="11DEFA5C" w:rsidR="00575510" w:rsidRDefault="00575510">
      <w:pPr>
        <w:pStyle w:val="TOC3"/>
        <w:rPr>
          <w:rFonts w:asciiTheme="minorHAnsi" w:hAnsiTheme="minorHAnsi"/>
          <w:noProof/>
          <w:szCs w:val="22"/>
          <w:lang w:eastAsia="ja-JP"/>
        </w:rPr>
      </w:pPr>
      <w:r>
        <w:rPr>
          <w:noProof/>
        </w:rPr>
        <w:t>Life Cycle</w:t>
      </w:r>
      <w:r>
        <w:rPr>
          <w:noProof/>
        </w:rPr>
        <w:tab/>
      </w:r>
      <w:r>
        <w:rPr>
          <w:noProof/>
        </w:rPr>
        <w:fldChar w:fldCharType="begin"/>
      </w:r>
      <w:r>
        <w:rPr>
          <w:noProof/>
        </w:rPr>
        <w:instrText xml:space="preserve"> PAGEREF _Toc24559528 \h </w:instrText>
      </w:r>
      <w:r>
        <w:rPr>
          <w:noProof/>
        </w:rPr>
      </w:r>
      <w:r>
        <w:rPr>
          <w:noProof/>
        </w:rPr>
        <w:fldChar w:fldCharType="separate"/>
      </w:r>
      <w:r w:rsidR="002D2FA8">
        <w:rPr>
          <w:noProof/>
        </w:rPr>
        <w:t>8</w:t>
      </w:r>
      <w:r>
        <w:rPr>
          <w:noProof/>
        </w:rPr>
        <w:fldChar w:fldCharType="end"/>
      </w:r>
    </w:p>
    <w:p w14:paraId="3AE3B0A6" w14:textId="0F72F860" w:rsidR="00575510" w:rsidRDefault="00575510">
      <w:pPr>
        <w:pStyle w:val="TOC3"/>
        <w:rPr>
          <w:rFonts w:asciiTheme="minorHAnsi" w:hAnsiTheme="minorHAnsi"/>
          <w:noProof/>
          <w:szCs w:val="22"/>
          <w:lang w:eastAsia="ja-JP"/>
        </w:rPr>
      </w:pPr>
      <w:r>
        <w:rPr>
          <w:noProof/>
        </w:rPr>
        <w:t>Base Case Material Cost ($/unit)</w:t>
      </w:r>
      <w:r>
        <w:rPr>
          <w:noProof/>
        </w:rPr>
        <w:tab/>
      </w:r>
      <w:r>
        <w:rPr>
          <w:noProof/>
        </w:rPr>
        <w:fldChar w:fldCharType="begin"/>
      </w:r>
      <w:r>
        <w:rPr>
          <w:noProof/>
        </w:rPr>
        <w:instrText xml:space="preserve"> PAGEREF _Toc24559529 \h </w:instrText>
      </w:r>
      <w:r>
        <w:rPr>
          <w:noProof/>
        </w:rPr>
      </w:r>
      <w:r>
        <w:rPr>
          <w:noProof/>
        </w:rPr>
        <w:fldChar w:fldCharType="separate"/>
      </w:r>
      <w:r w:rsidR="002D2FA8">
        <w:rPr>
          <w:noProof/>
        </w:rPr>
        <w:t>9</w:t>
      </w:r>
      <w:r>
        <w:rPr>
          <w:noProof/>
        </w:rPr>
        <w:fldChar w:fldCharType="end"/>
      </w:r>
    </w:p>
    <w:p w14:paraId="4BFCA5A6" w14:textId="054410D8" w:rsidR="00575510" w:rsidRDefault="00575510">
      <w:pPr>
        <w:pStyle w:val="TOC3"/>
        <w:rPr>
          <w:rFonts w:asciiTheme="minorHAnsi" w:hAnsiTheme="minorHAnsi"/>
          <w:noProof/>
          <w:szCs w:val="22"/>
          <w:lang w:eastAsia="ja-JP"/>
        </w:rPr>
      </w:pPr>
      <w:r>
        <w:rPr>
          <w:noProof/>
        </w:rPr>
        <w:t>Measure Case Material Cost ($/unit)</w:t>
      </w:r>
      <w:r>
        <w:rPr>
          <w:noProof/>
        </w:rPr>
        <w:tab/>
      </w:r>
      <w:r>
        <w:rPr>
          <w:noProof/>
        </w:rPr>
        <w:fldChar w:fldCharType="begin"/>
      </w:r>
      <w:r>
        <w:rPr>
          <w:noProof/>
        </w:rPr>
        <w:instrText xml:space="preserve"> PAGEREF _Toc24559530 \h </w:instrText>
      </w:r>
      <w:r>
        <w:rPr>
          <w:noProof/>
        </w:rPr>
      </w:r>
      <w:r>
        <w:rPr>
          <w:noProof/>
        </w:rPr>
        <w:fldChar w:fldCharType="separate"/>
      </w:r>
      <w:r w:rsidR="002D2FA8">
        <w:rPr>
          <w:noProof/>
        </w:rPr>
        <w:t>9</w:t>
      </w:r>
      <w:r>
        <w:rPr>
          <w:noProof/>
        </w:rPr>
        <w:fldChar w:fldCharType="end"/>
      </w:r>
    </w:p>
    <w:p w14:paraId="366BA6E0" w14:textId="7C00C1F9" w:rsidR="00575510" w:rsidRDefault="00575510">
      <w:pPr>
        <w:pStyle w:val="TOC3"/>
        <w:rPr>
          <w:rFonts w:asciiTheme="minorHAnsi" w:hAnsiTheme="minorHAnsi"/>
          <w:noProof/>
          <w:szCs w:val="22"/>
          <w:lang w:eastAsia="ja-JP"/>
        </w:rPr>
      </w:pPr>
      <w:r>
        <w:rPr>
          <w:noProof/>
        </w:rPr>
        <w:t>Base Case Labor Cost ($/unit)</w:t>
      </w:r>
      <w:r>
        <w:rPr>
          <w:noProof/>
        </w:rPr>
        <w:tab/>
      </w:r>
      <w:r>
        <w:rPr>
          <w:noProof/>
        </w:rPr>
        <w:fldChar w:fldCharType="begin"/>
      </w:r>
      <w:r>
        <w:rPr>
          <w:noProof/>
        </w:rPr>
        <w:instrText xml:space="preserve"> PAGEREF _Toc24559531 \h </w:instrText>
      </w:r>
      <w:r>
        <w:rPr>
          <w:noProof/>
        </w:rPr>
      </w:r>
      <w:r>
        <w:rPr>
          <w:noProof/>
        </w:rPr>
        <w:fldChar w:fldCharType="separate"/>
      </w:r>
      <w:r w:rsidR="002D2FA8">
        <w:rPr>
          <w:noProof/>
        </w:rPr>
        <w:t>10</w:t>
      </w:r>
      <w:r>
        <w:rPr>
          <w:noProof/>
        </w:rPr>
        <w:fldChar w:fldCharType="end"/>
      </w:r>
    </w:p>
    <w:p w14:paraId="5AEDA37C" w14:textId="5D116D59" w:rsidR="00575510" w:rsidRDefault="00575510">
      <w:pPr>
        <w:pStyle w:val="TOC3"/>
        <w:rPr>
          <w:rFonts w:asciiTheme="minorHAnsi" w:hAnsiTheme="minorHAnsi"/>
          <w:noProof/>
          <w:szCs w:val="22"/>
          <w:lang w:eastAsia="ja-JP"/>
        </w:rPr>
      </w:pPr>
      <w:r>
        <w:rPr>
          <w:noProof/>
        </w:rPr>
        <w:t>Measure Case Labor Cost ($/unit)</w:t>
      </w:r>
      <w:r>
        <w:rPr>
          <w:noProof/>
        </w:rPr>
        <w:tab/>
      </w:r>
      <w:r>
        <w:rPr>
          <w:noProof/>
        </w:rPr>
        <w:fldChar w:fldCharType="begin"/>
      </w:r>
      <w:r>
        <w:rPr>
          <w:noProof/>
        </w:rPr>
        <w:instrText xml:space="preserve"> PAGEREF _Toc24559532 \h </w:instrText>
      </w:r>
      <w:r>
        <w:rPr>
          <w:noProof/>
        </w:rPr>
      </w:r>
      <w:r>
        <w:rPr>
          <w:noProof/>
        </w:rPr>
        <w:fldChar w:fldCharType="separate"/>
      </w:r>
      <w:r w:rsidR="002D2FA8">
        <w:rPr>
          <w:noProof/>
        </w:rPr>
        <w:t>10</w:t>
      </w:r>
      <w:r>
        <w:rPr>
          <w:noProof/>
        </w:rPr>
        <w:fldChar w:fldCharType="end"/>
      </w:r>
    </w:p>
    <w:p w14:paraId="69A5AA28" w14:textId="196893F6" w:rsidR="00575510" w:rsidRDefault="00575510">
      <w:pPr>
        <w:pStyle w:val="TOC3"/>
        <w:rPr>
          <w:rFonts w:asciiTheme="minorHAnsi" w:hAnsiTheme="minorHAnsi"/>
          <w:noProof/>
          <w:szCs w:val="22"/>
          <w:lang w:eastAsia="ja-JP"/>
        </w:rPr>
      </w:pPr>
      <w:r>
        <w:rPr>
          <w:noProof/>
        </w:rPr>
        <w:t>Net-to-Gross (NTG)</w:t>
      </w:r>
      <w:r>
        <w:rPr>
          <w:noProof/>
        </w:rPr>
        <w:tab/>
      </w:r>
      <w:r>
        <w:rPr>
          <w:noProof/>
        </w:rPr>
        <w:fldChar w:fldCharType="begin"/>
      </w:r>
      <w:r>
        <w:rPr>
          <w:noProof/>
        </w:rPr>
        <w:instrText xml:space="preserve"> PAGEREF _Toc24559533 \h </w:instrText>
      </w:r>
      <w:r>
        <w:rPr>
          <w:noProof/>
        </w:rPr>
      </w:r>
      <w:r>
        <w:rPr>
          <w:noProof/>
        </w:rPr>
        <w:fldChar w:fldCharType="separate"/>
      </w:r>
      <w:r w:rsidR="002D2FA8">
        <w:rPr>
          <w:noProof/>
        </w:rPr>
        <w:t>10</w:t>
      </w:r>
      <w:r>
        <w:rPr>
          <w:noProof/>
        </w:rPr>
        <w:fldChar w:fldCharType="end"/>
      </w:r>
    </w:p>
    <w:p w14:paraId="137D9FC5" w14:textId="2E72BCA6" w:rsidR="00575510" w:rsidRDefault="00575510">
      <w:pPr>
        <w:pStyle w:val="TOC3"/>
        <w:rPr>
          <w:rFonts w:asciiTheme="minorHAnsi" w:hAnsiTheme="minorHAnsi"/>
          <w:noProof/>
          <w:szCs w:val="22"/>
          <w:lang w:eastAsia="ja-JP"/>
        </w:rPr>
      </w:pPr>
      <w:r>
        <w:rPr>
          <w:noProof/>
        </w:rPr>
        <w:t>Gross Savings Installation Adjustment (GSIA)</w:t>
      </w:r>
      <w:r>
        <w:rPr>
          <w:noProof/>
        </w:rPr>
        <w:tab/>
      </w:r>
      <w:r>
        <w:rPr>
          <w:noProof/>
        </w:rPr>
        <w:fldChar w:fldCharType="begin"/>
      </w:r>
      <w:r>
        <w:rPr>
          <w:noProof/>
        </w:rPr>
        <w:instrText xml:space="preserve"> PAGEREF _Toc24559534 \h </w:instrText>
      </w:r>
      <w:r>
        <w:rPr>
          <w:noProof/>
        </w:rPr>
      </w:r>
      <w:r>
        <w:rPr>
          <w:noProof/>
        </w:rPr>
        <w:fldChar w:fldCharType="separate"/>
      </w:r>
      <w:r w:rsidR="002D2FA8">
        <w:rPr>
          <w:noProof/>
        </w:rPr>
        <w:t>11</w:t>
      </w:r>
      <w:r>
        <w:rPr>
          <w:noProof/>
        </w:rPr>
        <w:fldChar w:fldCharType="end"/>
      </w:r>
    </w:p>
    <w:p w14:paraId="5566F6DF" w14:textId="00FFB9BB" w:rsidR="00575510" w:rsidRDefault="00575510">
      <w:pPr>
        <w:pStyle w:val="TOC3"/>
        <w:rPr>
          <w:rFonts w:asciiTheme="minorHAnsi" w:hAnsiTheme="minorHAnsi"/>
          <w:noProof/>
          <w:szCs w:val="22"/>
          <w:lang w:eastAsia="ja-JP"/>
        </w:rPr>
      </w:pPr>
      <w:r>
        <w:rPr>
          <w:noProof/>
        </w:rPr>
        <w:t>Non-Energy Impacts</w:t>
      </w:r>
      <w:r>
        <w:rPr>
          <w:noProof/>
        </w:rPr>
        <w:tab/>
      </w:r>
      <w:r>
        <w:rPr>
          <w:noProof/>
        </w:rPr>
        <w:fldChar w:fldCharType="begin"/>
      </w:r>
      <w:r>
        <w:rPr>
          <w:noProof/>
        </w:rPr>
        <w:instrText xml:space="preserve"> PAGEREF _Toc24559535 \h </w:instrText>
      </w:r>
      <w:r>
        <w:rPr>
          <w:noProof/>
        </w:rPr>
      </w:r>
      <w:r>
        <w:rPr>
          <w:noProof/>
        </w:rPr>
        <w:fldChar w:fldCharType="separate"/>
      </w:r>
      <w:r w:rsidR="002D2FA8">
        <w:rPr>
          <w:noProof/>
        </w:rPr>
        <w:t>11</w:t>
      </w:r>
      <w:r>
        <w:rPr>
          <w:noProof/>
        </w:rPr>
        <w:fldChar w:fldCharType="end"/>
      </w:r>
    </w:p>
    <w:p w14:paraId="6A19AC97" w14:textId="2075F269" w:rsidR="00575510" w:rsidRDefault="00575510">
      <w:pPr>
        <w:pStyle w:val="TOC3"/>
        <w:rPr>
          <w:rFonts w:asciiTheme="minorHAnsi" w:hAnsiTheme="minorHAnsi"/>
          <w:noProof/>
          <w:szCs w:val="22"/>
          <w:lang w:eastAsia="ja-JP"/>
        </w:rPr>
      </w:pPr>
      <w:r>
        <w:rPr>
          <w:noProof/>
        </w:rPr>
        <w:t>DEER Differences Analysis</w:t>
      </w:r>
      <w:r>
        <w:rPr>
          <w:noProof/>
        </w:rPr>
        <w:tab/>
      </w:r>
      <w:r>
        <w:rPr>
          <w:noProof/>
        </w:rPr>
        <w:fldChar w:fldCharType="begin"/>
      </w:r>
      <w:r>
        <w:rPr>
          <w:noProof/>
        </w:rPr>
        <w:instrText xml:space="preserve"> PAGEREF _Toc24559536 \h </w:instrText>
      </w:r>
      <w:r>
        <w:rPr>
          <w:noProof/>
        </w:rPr>
      </w:r>
      <w:r>
        <w:rPr>
          <w:noProof/>
        </w:rPr>
        <w:fldChar w:fldCharType="separate"/>
      </w:r>
      <w:r w:rsidR="002D2FA8">
        <w:rPr>
          <w:noProof/>
        </w:rPr>
        <w:t>11</w:t>
      </w:r>
      <w:r>
        <w:rPr>
          <w:noProof/>
        </w:rPr>
        <w:fldChar w:fldCharType="end"/>
      </w:r>
    </w:p>
    <w:p w14:paraId="75FF060D" w14:textId="4CCA6854" w:rsidR="00575510" w:rsidRDefault="00575510">
      <w:pPr>
        <w:pStyle w:val="TOC3"/>
        <w:rPr>
          <w:rFonts w:asciiTheme="minorHAnsi" w:hAnsiTheme="minorHAnsi"/>
          <w:noProof/>
          <w:szCs w:val="22"/>
          <w:lang w:eastAsia="ja-JP"/>
        </w:rPr>
      </w:pPr>
      <w:r>
        <w:rPr>
          <w:noProof/>
        </w:rPr>
        <w:t>Revision History</w:t>
      </w:r>
      <w:r>
        <w:rPr>
          <w:noProof/>
        </w:rPr>
        <w:tab/>
      </w:r>
      <w:r>
        <w:rPr>
          <w:noProof/>
        </w:rPr>
        <w:fldChar w:fldCharType="begin"/>
      </w:r>
      <w:r>
        <w:rPr>
          <w:noProof/>
        </w:rPr>
        <w:instrText xml:space="preserve"> PAGEREF _Toc24559537 \h </w:instrText>
      </w:r>
      <w:r>
        <w:rPr>
          <w:noProof/>
        </w:rPr>
      </w:r>
      <w:r>
        <w:rPr>
          <w:noProof/>
        </w:rPr>
        <w:fldChar w:fldCharType="separate"/>
      </w:r>
      <w:r w:rsidR="002D2FA8">
        <w:rPr>
          <w:noProof/>
        </w:rPr>
        <w:t>12</w:t>
      </w:r>
      <w:r>
        <w:rPr>
          <w:noProof/>
        </w:rPr>
        <w:fldChar w:fldCharType="end"/>
      </w:r>
    </w:p>
    <w:p w14:paraId="664E2E98" w14:textId="77777777" w:rsidR="001C6C9B" w:rsidRPr="00D12B8C" w:rsidRDefault="001C6C9B" w:rsidP="00D12B8C">
      <w:r>
        <w:fldChar w:fldCharType="end"/>
      </w:r>
    </w:p>
    <w:p w14:paraId="605E77BA" w14:textId="77777777" w:rsidR="007E1F66" w:rsidRDefault="007E1F66" w:rsidP="00277238">
      <w:pPr>
        <w:pStyle w:val="eTRMHeading3"/>
        <w:sectPr w:rsidR="007E1F66" w:rsidSect="00181E01">
          <w:headerReference w:type="even" r:id="rId11"/>
          <w:headerReference w:type="default" r:id="rId12"/>
          <w:footerReference w:type="even" r:id="rId13"/>
          <w:footerReference w:type="default" r:id="rId14"/>
          <w:headerReference w:type="first" r:id="rId15"/>
          <w:footerReference w:type="first" r:id="rId16"/>
          <w:endnotePr>
            <w:numFmt w:val="decimal"/>
          </w:endnotePr>
          <w:pgSz w:w="12240" w:h="15840"/>
          <w:pgMar w:top="1440" w:right="1440" w:bottom="1440" w:left="1440" w:header="720" w:footer="720" w:gutter="0"/>
          <w:cols w:space="720"/>
          <w:titlePg/>
          <w:docGrid w:linePitch="360"/>
        </w:sectPr>
      </w:pPr>
    </w:p>
    <w:p w14:paraId="2323F3BD" w14:textId="77777777" w:rsidR="00084550" w:rsidRPr="007E1F66" w:rsidRDefault="00084550" w:rsidP="00527922">
      <w:pPr>
        <w:pStyle w:val="eTRMHeading3"/>
        <w:spacing w:before="20" w:after="20"/>
      </w:pPr>
      <w:bookmarkStart w:id="0" w:name="_Toc486490839"/>
      <w:bookmarkStart w:id="1" w:name="_Toc486580912"/>
      <w:bookmarkStart w:id="2" w:name="_Toc24559514"/>
      <w:r w:rsidRPr="007E1F66">
        <w:lastRenderedPageBreak/>
        <w:t>Measure Name</w:t>
      </w:r>
      <w:bookmarkEnd w:id="0"/>
      <w:bookmarkEnd w:id="1"/>
      <w:bookmarkEnd w:id="2"/>
    </w:p>
    <w:p w14:paraId="354A52FB" w14:textId="77777777" w:rsidR="00084550" w:rsidRDefault="00084550" w:rsidP="00527922">
      <w:pPr>
        <w:spacing w:before="20" w:after="20" w:line="280" w:lineRule="exact"/>
      </w:pPr>
      <w:r>
        <w:t>Insulated Hot Food Holding Cabinet</w:t>
      </w:r>
    </w:p>
    <w:p w14:paraId="7F5E3F4C" w14:textId="77777777" w:rsidR="00084550" w:rsidRPr="00401C43" w:rsidRDefault="00084550" w:rsidP="00527922">
      <w:pPr>
        <w:spacing w:before="20" w:after="20" w:line="280" w:lineRule="exact"/>
      </w:pPr>
    </w:p>
    <w:p w14:paraId="5DAF37D3" w14:textId="77777777" w:rsidR="00084550" w:rsidRPr="00074E3E" w:rsidRDefault="00084550" w:rsidP="00527922">
      <w:pPr>
        <w:pStyle w:val="eTRMHeading3"/>
        <w:spacing w:before="20" w:after="20"/>
      </w:pPr>
      <w:bookmarkStart w:id="3" w:name="_Toc486490840"/>
      <w:bookmarkStart w:id="4" w:name="_Toc486580913"/>
      <w:bookmarkStart w:id="5" w:name="_Toc24559515"/>
      <w:r>
        <w:t>Statewide Measure ID</w:t>
      </w:r>
      <w:bookmarkEnd w:id="3"/>
      <w:bookmarkEnd w:id="4"/>
      <w:bookmarkEnd w:id="5"/>
    </w:p>
    <w:p w14:paraId="25FD852D" w14:textId="6604D1C5" w:rsidR="00084550" w:rsidRDefault="00084550" w:rsidP="00527922">
      <w:pPr>
        <w:spacing w:before="20" w:after="20" w:line="280" w:lineRule="exact"/>
      </w:pPr>
      <w:r w:rsidRPr="00050029">
        <w:t>SWFS007</w:t>
      </w:r>
      <w:r w:rsidR="008762A5">
        <w:t>-</w:t>
      </w:r>
      <w:r w:rsidR="00204666">
        <w:t>03</w:t>
      </w:r>
    </w:p>
    <w:p w14:paraId="09EADBEE" w14:textId="77777777" w:rsidR="00084550" w:rsidRPr="00401C43" w:rsidRDefault="00084550" w:rsidP="00527922">
      <w:pPr>
        <w:spacing w:before="20" w:after="20" w:line="280" w:lineRule="exact"/>
      </w:pPr>
    </w:p>
    <w:p w14:paraId="1203DF01" w14:textId="77777777" w:rsidR="00E70CBD" w:rsidRPr="00154391" w:rsidRDefault="00E70CBD" w:rsidP="00277238">
      <w:pPr>
        <w:pStyle w:val="eTRMHeading3"/>
      </w:pPr>
      <w:bookmarkStart w:id="6" w:name="_Toc486490847"/>
      <w:bookmarkStart w:id="7" w:name="_Toc486580918"/>
      <w:bookmarkStart w:id="8" w:name="_Toc24559516"/>
      <w:r w:rsidRPr="00154391">
        <w:t>Technology Summary</w:t>
      </w:r>
      <w:bookmarkEnd w:id="6"/>
      <w:bookmarkEnd w:id="7"/>
      <w:bookmarkEnd w:id="8"/>
      <w:r w:rsidRPr="00154391">
        <w:t xml:space="preserve"> </w:t>
      </w:r>
    </w:p>
    <w:p w14:paraId="398EDCEA" w14:textId="77777777" w:rsidR="00FC2D4E" w:rsidRPr="006C2134" w:rsidRDefault="00066749" w:rsidP="00FC2D4E">
      <w:r>
        <w:t>A c</w:t>
      </w:r>
      <w:r w:rsidR="00FC2D4E" w:rsidRPr="006C2134">
        <w:t>ommercial insulated hot food holding cabinet that meet</w:t>
      </w:r>
      <w:r>
        <w:t>s</w:t>
      </w:r>
      <w:r w:rsidR="00FC2D4E" w:rsidRPr="006C2134">
        <w:t xml:space="preserve"> program requirements incorporate</w:t>
      </w:r>
      <w:r>
        <w:t>s</w:t>
      </w:r>
      <w:r w:rsidR="00FC2D4E" w:rsidRPr="006C2134">
        <w:t xml:space="preserve"> better insulation for reduced heat loss</w:t>
      </w:r>
      <w:r>
        <w:t xml:space="preserve"> and provide</w:t>
      </w:r>
      <w:r w:rsidR="00062EAE">
        <w:t>s</w:t>
      </w:r>
      <w:r>
        <w:t xml:space="preserve"> better temperature uniformity, as well as</w:t>
      </w:r>
      <w:r w:rsidR="00FC2D4E" w:rsidRPr="006C2134">
        <w:t xml:space="preserve"> additional energy saving </w:t>
      </w:r>
      <w:r>
        <w:t>features</w:t>
      </w:r>
      <w:r w:rsidR="00FC2D4E" w:rsidRPr="006C2134">
        <w:t xml:space="preserve"> such as magnetic door gaskets, auto-door closers, or Dutch doors. </w:t>
      </w:r>
      <w:r w:rsidR="00FC2D4E">
        <w:t>Qualified</w:t>
      </w:r>
      <w:r w:rsidR="00FC2D4E" w:rsidRPr="006C2134">
        <w:t xml:space="preserve"> hot food holding cabinets are more effective at maintaining food temperature while using less energy.</w:t>
      </w:r>
    </w:p>
    <w:p w14:paraId="38BDD5A6" w14:textId="77777777" w:rsidR="00FC2D4E" w:rsidRPr="00432692" w:rsidRDefault="00FC2D4E" w:rsidP="00FC2D4E">
      <w:r w:rsidRPr="006C2134">
        <w:t xml:space="preserve">Holding cabinet performance is determined by applying the </w:t>
      </w:r>
      <w:r w:rsidR="008F52E8" w:rsidRPr="00E8741C">
        <w:t xml:space="preserve">American Society for Testing and Materials </w:t>
      </w:r>
      <w:r w:rsidR="008F52E8">
        <w:t>(</w:t>
      </w:r>
      <w:r w:rsidRPr="006C2134">
        <w:t>ASTM</w:t>
      </w:r>
      <w:r w:rsidR="008F52E8">
        <w:t>)</w:t>
      </w:r>
      <w:r w:rsidRPr="006C2134">
        <w:t xml:space="preserve"> Standard Test Method for the Performance of Hot Food Holding Cabinets (F2140).</w:t>
      </w:r>
      <w:r w:rsidR="00E8741C">
        <w:rPr>
          <w:rStyle w:val="FootnoteReference"/>
        </w:rPr>
        <w:footnoteReference w:id="1"/>
      </w:r>
      <w:r w:rsidR="00E8741C">
        <w:t xml:space="preserve"> </w:t>
      </w:r>
      <w:r w:rsidRPr="006C2134">
        <w:t>The ASTM standard test method is the industry standard for quantifying the efficiency and performance of hot food holding cabinets.</w:t>
      </w:r>
      <w:r w:rsidRPr="00432692">
        <w:t xml:space="preserve"> </w:t>
      </w:r>
    </w:p>
    <w:p w14:paraId="65BA1692" w14:textId="77777777" w:rsidR="00C97228" w:rsidRPr="00AB6C99" w:rsidRDefault="00C97228" w:rsidP="00AB6C99"/>
    <w:p w14:paraId="2F00D401" w14:textId="77777777" w:rsidR="007D230B" w:rsidRPr="004B06E3" w:rsidRDefault="007D230B" w:rsidP="00277238">
      <w:pPr>
        <w:pStyle w:val="eTRMHeading3"/>
      </w:pPr>
      <w:bookmarkStart w:id="9" w:name="_Toc486490848"/>
      <w:bookmarkStart w:id="10" w:name="_Toc486580919"/>
      <w:bookmarkStart w:id="11" w:name="_Toc24559517"/>
      <w:r w:rsidRPr="004B06E3">
        <w:t>Measure Case Description</w:t>
      </w:r>
      <w:bookmarkEnd w:id="9"/>
      <w:bookmarkEnd w:id="10"/>
      <w:bookmarkEnd w:id="11"/>
    </w:p>
    <w:p w14:paraId="4DD1F298" w14:textId="4A73F40A" w:rsidR="00FC2D4E" w:rsidRPr="007325DF" w:rsidRDefault="00497F4D" w:rsidP="00FC2D4E">
      <w:pPr>
        <w:rPr>
          <w:rFonts w:cs="Arial"/>
          <w:szCs w:val="22"/>
        </w:rPr>
      </w:pPr>
      <w:r>
        <w:rPr>
          <w:szCs w:val="22"/>
        </w:rPr>
        <w:t xml:space="preserve">Each </w:t>
      </w:r>
      <w:r w:rsidRPr="00751D86">
        <w:rPr>
          <w:szCs w:val="22"/>
        </w:rPr>
        <w:t xml:space="preserve">HFHC is classified based on its cabinet volume as either Half-Size </w:t>
      </w:r>
      <w:r w:rsidRPr="00751D86">
        <w:rPr>
          <w:rFonts w:cstheme="minorHAnsi"/>
          <w:color w:val="000000"/>
          <w:szCs w:val="22"/>
        </w:rPr>
        <w:t>(&lt; 15 ft</w:t>
      </w:r>
      <w:r w:rsidRPr="00751D86">
        <w:rPr>
          <w:rFonts w:cstheme="minorHAnsi"/>
          <w:color w:val="000000"/>
          <w:szCs w:val="22"/>
          <w:vertAlign w:val="superscript"/>
        </w:rPr>
        <w:t>3</w:t>
      </w:r>
      <w:r w:rsidRPr="00751D86">
        <w:rPr>
          <w:rFonts w:cstheme="minorHAnsi"/>
          <w:color w:val="000000"/>
          <w:szCs w:val="22"/>
        </w:rPr>
        <w:t xml:space="preserve">) </w:t>
      </w:r>
      <w:r w:rsidRPr="00751D86">
        <w:rPr>
          <w:szCs w:val="22"/>
        </w:rPr>
        <w:t xml:space="preserve">or Full-Size </w:t>
      </w:r>
      <w:r w:rsidRPr="00751D86">
        <w:rPr>
          <w:rFonts w:cstheme="minorHAnsi"/>
          <w:color w:val="000000"/>
          <w:szCs w:val="22"/>
        </w:rPr>
        <w:t>(≥ 15 ft</w:t>
      </w:r>
      <w:r w:rsidRPr="00751D86">
        <w:rPr>
          <w:rFonts w:cstheme="minorHAnsi"/>
          <w:color w:val="000000"/>
          <w:szCs w:val="22"/>
          <w:vertAlign w:val="superscript"/>
        </w:rPr>
        <w:t>3</w:t>
      </w:r>
      <w:r w:rsidRPr="00751D86">
        <w:rPr>
          <w:rFonts w:cstheme="minorHAnsi"/>
          <w:color w:val="000000"/>
          <w:szCs w:val="22"/>
        </w:rPr>
        <w:t xml:space="preserve">).  </w:t>
      </w:r>
      <w:r>
        <w:rPr>
          <w:rFonts w:cstheme="minorHAnsi"/>
          <w:color w:val="000000"/>
          <w:szCs w:val="22"/>
        </w:rPr>
        <w:t>For each size category, a Normalized Idle Energy Rate in W/</w:t>
      </w:r>
      <w:r w:rsidRPr="00751D86">
        <w:rPr>
          <w:rFonts w:cstheme="minorHAnsi"/>
          <w:color w:val="000000"/>
          <w:szCs w:val="22"/>
        </w:rPr>
        <w:t>ft</w:t>
      </w:r>
      <w:r w:rsidRPr="00751D86">
        <w:rPr>
          <w:rFonts w:cstheme="minorHAnsi"/>
          <w:color w:val="000000"/>
          <w:szCs w:val="22"/>
          <w:vertAlign w:val="superscript"/>
        </w:rPr>
        <w:t>3</w:t>
      </w:r>
      <w:r>
        <w:rPr>
          <w:rFonts w:cstheme="minorHAnsi"/>
          <w:color w:val="000000"/>
          <w:szCs w:val="22"/>
        </w:rPr>
        <w:t xml:space="preserve"> is determined by dividing the average measured Idle Energy Rate by the average measured cabinet volume.</w:t>
      </w:r>
      <w:r w:rsidR="00B8541A">
        <w:rPr>
          <w:rFonts w:cstheme="minorHAnsi"/>
          <w:color w:val="000000"/>
          <w:szCs w:val="22"/>
        </w:rPr>
        <w:t xml:space="preserve"> </w:t>
      </w:r>
      <w:r w:rsidR="00050029">
        <w:rPr>
          <w:rFonts w:cs="Arial"/>
          <w:szCs w:val="22"/>
        </w:rPr>
        <w:t>The</w:t>
      </w:r>
      <w:r w:rsidR="00817401" w:rsidRPr="007325DF">
        <w:rPr>
          <w:rFonts w:cs="Arial"/>
          <w:szCs w:val="22"/>
        </w:rPr>
        <w:t xml:space="preserve"> average measure</w:t>
      </w:r>
      <w:r w:rsidR="00817401">
        <w:rPr>
          <w:rFonts w:cs="Arial"/>
          <w:szCs w:val="22"/>
        </w:rPr>
        <w:t xml:space="preserve"> case</w:t>
      </w:r>
      <w:r w:rsidR="00817401" w:rsidRPr="007325DF">
        <w:rPr>
          <w:rFonts w:cs="Arial"/>
          <w:szCs w:val="22"/>
        </w:rPr>
        <w:t xml:space="preserve"> holding cabinet specifications</w:t>
      </w:r>
      <w:r w:rsidR="00817401">
        <w:rPr>
          <w:rFonts w:cs="Arial"/>
          <w:szCs w:val="22"/>
        </w:rPr>
        <w:t xml:space="preserve"> for full</w:t>
      </w:r>
      <w:r w:rsidR="008F52E8">
        <w:rPr>
          <w:rFonts w:cs="Arial"/>
          <w:szCs w:val="22"/>
        </w:rPr>
        <w:t>-size</w:t>
      </w:r>
      <w:r w:rsidR="00817401">
        <w:rPr>
          <w:rFonts w:cs="Arial"/>
          <w:szCs w:val="22"/>
        </w:rPr>
        <w:t xml:space="preserve"> (≥ 15 ft</w:t>
      </w:r>
      <w:r w:rsidR="00817401" w:rsidRPr="00817401">
        <w:rPr>
          <w:rFonts w:cs="Arial"/>
          <w:szCs w:val="22"/>
          <w:vertAlign w:val="superscript"/>
        </w:rPr>
        <w:t>3</w:t>
      </w:r>
      <w:r w:rsidR="00817401">
        <w:rPr>
          <w:rFonts w:cs="Arial"/>
          <w:szCs w:val="22"/>
        </w:rPr>
        <w:t>) and half-size (&lt; 15ft</w:t>
      </w:r>
      <w:r w:rsidR="00817401" w:rsidRPr="00817401">
        <w:rPr>
          <w:rFonts w:cs="Arial"/>
          <w:szCs w:val="22"/>
          <w:vertAlign w:val="superscript"/>
        </w:rPr>
        <w:t>3</w:t>
      </w:r>
      <w:r w:rsidR="00817401">
        <w:rPr>
          <w:rFonts w:cs="Arial"/>
          <w:szCs w:val="22"/>
        </w:rPr>
        <w:t xml:space="preserve">) </w:t>
      </w:r>
      <w:r w:rsidR="008F52E8">
        <w:rPr>
          <w:rFonts w:cs="Arial"/>
          <w:szCs w:val="22"/>
        </w:rPr>
        <w:t xml:space="preserve">insulation hot food holding </w:t>
      </w:r>
      <w:r w:rsidR="00817401">
        <w:rPr>
          <w:rFonts w:cs="Arial"/>
          <w:szCs w:val="22"/>
        </w:rPr>
        <w:t>cabinets</w:t>
      </w:r>
      <w:r w:rsidR="00050029">
        <w:rPr>
          <w:rFonts w:cs="Arial"/>
          <w:szCs w:val="22"/>
        </w:rPr>
        <w:t xml:space="preserve"> are provided below</w:t>
      </w:r>
      <w:r w:rsidR="00817401" w:rsidRPr="007325DF">
        <w:rPr>
          <w:rFonts w:cs="Arial"/>
          <w:szCs w:val="22"/>
        </w:rPr>
        <w:t xml:space="preserve">. </w:t>
      </w:r>
      <w:r w:rsidR="00821E0D">
        <w:rPr>
          <w:rFonts w:eastAsia="Times New Roman"/>
        </w:rPr>
        <w:t>The idle energy rate for efficient cabinets was updated based on the average between the CEC and ENERGY STAR databases normalized per cabinet volume.</w:t>
      </w:r>
    </w:p>
    <w:p w14:paraId="0A548EF5" w14:textId="77777777" w:rsidR="00FC2D4E" w:rsidRPr="001D4714" w:rsidRDefault="00FC2D4E" w:rsidP="0043690D">
      <w:pPr>
        <w:pStyle w:val="Caption"/>
        <w:rPr>
          <w:highlight w:val="green"/>
        </w:rPr>
      </w:pPr>
      <w:bookmarkStart w:id="12" w:name="_Hlk522372582"/>
      <w:r>
        <w:t xml:space="preserve">Measure Case </w:t>
      </w:r>
      <w:r w:rsidR="00050029">
        <w:t>Specification</w:t>
      </w:r>
    </w:p>
    <w:tbl>
      <w:tblPr>
        <w:tblW w:w="944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1E0" w:firstRow="1" w:lastRow="1" w:firstColumn="1" w:lastColumn="1" w:noHBand="0" w:noVBand="0"/>
      </w:tblPr>
      <w:tblGrid>
        <w:gridCol w:w="1705"/>
        <w:gridCol w:w="1260"/>
        <w:gridCol w:w="1530"/>
        <w:gridCol w:w="1350"/>
        <w:gridCol w:w="3600"/>
      </w:tblGrid>
      <w:tr w:rsidR="009C7B4E" w:rsidRPr="001D4714" w14:paraId="1212D4BF" w14:textId="77777777" w:rsidTr="00050029">
        <w:trPr>
          <w:trHeight w:val="20"/>
        </w:trPr>
        <w:tc>
          <w:tcPr>
            <w:tcW w:w="1705" w:type="dxa"/>
            <w:shd w:val="clear" w:color="auto" w:fill="F2F2F2" w:themeFill="background1" w:themeFillShade="F2"/>
            <w:vAlign w:val="bottom"/>
          </w:tcPr>
          <w:p w14:paraId="68FD0965" w14:textId="77777777" w:rsidR="009472DD" w:rsidRPr="001D4714" w:rsidRDefault="009472DD" w:rsidP="00050029">
            <w:pPr>
              <w:keepNext/>
              <w:keepLines/>
              <w:spacing w:before="0" w:after="0"/>
              <w:rPr>
                <w:b/>
                <w:sz w:val="20"/>
              </w:rPr>
            </w:pPr>
            <w:r w:rsidRPr="001D4714">
              <w:rPr>
                <w:b/>
                <w:sz w:val="20"/>
              </w:rPr>
              <w:t>Cabinet Size</w:t>
            </w:r>
          </w:p>
        </w:tc>
        <w:tc>
          <w:tcPr>
            <w:tcW w:w="1260" w:type="dxa"/>
            <w:shd w:val="clear" w:color="auto" w:fill="F2F2F2" w:themeFill="background1" w:themeFillShade="F2"/>
            <w:vAlign w:val="bottom"/>
          </w:tcPr>
          <w:p w14:paraId="4E5E50F7" w14:textId="77777777" w:rsidR="009472DD" w:rsidRPr="001D4714" w:rsidRDefault="009472DD" w:rsidP="00050029">
            <w:pPr>
              <w:keepNext/>
              <w:keepLines/>
              <w:spacing w:before="0" w:after="0"/>
              <w:jc w:val="center"/>
              <w:rPr>
                <w:b/>
                <w:sz w:val="20"/>
              </w:rPr>
            </w:pPr>
            <w:r w:rsidRPr="001D4714">
              <w:rPr>
                <w:b/>
                <w:sz w:val="20"/>
              </w:rPr>
              <w:t>Cabinet Vol</w:t>
            </w:r>
            <w:r>
              <w:rPr>
                <w:b/>
                <w:sz w:val="20"/>
              </w:rPr>
              <w:t>.</w:t>
            </w:r>
            <w:r w:rsidRPr="001D4714">
              <w:rPr>
                <w:b/>
                <w:sz w:val="20"/>
              </w:rPr>
              <w:t xml:space="preserve"> (ft³)</w:t>
            </w:r>
          </w:p>
        </w:tc>
        <w:tc>
          <w:tcPr>
            <w:tcW w:w="1530" w:type="dxa"/>
            <w:shd w:val="clear" w:color="auto" w:fill="F2F2F2" w:themeFill="background1" w:themeFillShade="F2"/>
            <w:vAlign w:val="bottom"/>
          </w:tcPr>
          <w:p w14:paraId="1354F571" w14:textId="77777777" w:rsidR="009472DD" w:rsidRPr="001D4714" w:rsidRDefault="009472DD" w:rsidP="00050029">
            <w:pPr>
              <w:keepNext/>
              <w:keepLines/>
              <w:spacing w:before="0" w:after="0"/>
              <w:jc w:val="center"/>
              <w:rPr>
                <w:b/>
                <w:sz w:val="20"/>
              </w:rPr>
            </w:pPr>
            <w:r w:rsidRPr="001D4714">
              <w:rPr>
                <w:b/>
                <w:sz w:val="20"/>
              </w:rPr>
              <w:t>Normalized Idle</w:t>
            </w:r>
            <w:r w:rsidR="009C7B4E">
              <w:rPr>
                <w:b/>
                <w:sz w:val="20"/>
              </w:rPr>
              <w:t xml:space="preserve"> </w:t>
            </w:r>
            <w:r w:rsidRPr="001D4714">
              <w:rPr>
                <w:b/>
                <w:sz w:val="20"/>
              </w:rPr>
              <w:t>Energy Rate (W/ft³)</w:t>
            </w:r>
          </w:p>
        </w:tc>
        <w:tc>
          <w:tcPr>
            <w:tcW w:w="1350" w:type="dxa"/>
            <w:shd w:val="clear" w:color="auto" w:fill="F2F2F2" w:themeFill="background1" w:themeFillShade="F2"/>
            <w:vAlign w:val="bottom"/>
          </w:tcPr>
          <w:p w14:paraId="3D589E22" w14:textId="77777777" w:rsidR="009472DD" w:rsidRPr="001D4714" w:rsidRDefault="009472DD" w:rsidP="00050029">
            <w:pPr>
              <w:keepNext/>
              <w:keepLines/>
              <w:spacing w:before="0" w:after="0"/>
              <w:jc w:val="center"/>
              <w:rPr>
                <w:b/>
                <w:sz w:val="20"/>
              </w:rPr>
            </w:pPr>
            <w:r w:rsidRPr="001D4714">
              <w:rPr>
                <w:b/>
                <w:sz w:val="20"/>
              </w:rPr>
              <w:t>Total Cabinet Idle Energy Rate (kW)</w:t>
            </w:r>
          </w:p>
        </w:tc>
        <w:tc>
          <w:tcPr>
            <w:tcW w:w="3600" w:type="dxa"/>
            <w:shd w:val="clear" w:color="auto" w:fill="F2F2F2" w:themeFill="background1" w:themeFillShade="F2"/>
            <w:vAlign w:val="bottom"/>
          </w:tcPr>
          <w:p w14:paraId="0BB74D08" w14:textId="77777777" w:rsidR="009472DD" w:rsidRPr="001D4714" w:rsidRDefault="009472DD" w:rsidP="00050029">
            <w:pPr>
              <w:keepNext/>
              <w:keepLines/>
              <w:spacing w:before="0" w:after="0"/>
              <w:jc w:val="center"/>
              <w:rPr>
                <w:b/>
                <w:sz w:val="20"/>
              </w:rPr>
            </w:pPr>
            <w:r>
              <w:rPr>
                <w:b/>
                <w:sz w:val="20"/>
              </w:rPr>
              <w:t>Source</w:t>
            </w:r>
          </w:p>
        </w:tc>
      </w:tr>
      <w:tr w:rsidR="00821E0D" w:rsidRPr="001D4714" w14:paraId="28DE3316" w14:textId="77777777" w:rsidTr="00DD38CB">
        <w:trPr>
          <w:trHeight w:val="314"/>
        </w:trPr>
        <w:tc>
          <w:tcPr>
            <w:tcW w:w="1705" w:type="dxa"/>
            <w:vAlign w:val="center"/>
          </w:tcPr>
          <w:p w14:paraId="777856A2" w14:textId="77777777" w:rsidR="00821E0D" w:rsidRPr="002B327C" w:rsidRDefault="00821E0D" w:rsidP="00821E0D">
            <w:pPr>
              <w:keepNext/>
              <w:keepLines/>
              <w:spacing w:before="0" w:after="0" w:line="240" w:lineRule="auto"/>
              <w:rPr>
                <w:sz w:val="20"/>
              </w:rPr>
            </w:pPr>
            <w:r w:rsidRPr="001D4714">
              <w:rPr>
                <w:sz w:val="20"/>
              </w:rPr>
              <w:t>Full-Size</w:t>
            </w:r>
            <w:r>
              <w:rPr>
                <w:sz w:val="20"/>
              </w:rPr>
              <w:t xml:space="preserve"> </w:t>
            </w:r>
            <w:r w:rsidRPr="002B327C">
              <w:rPr>
                <w:rFonts w:cstheme="minorHAnsi"/>
                <w:color w:val="000000"/>
                <w:sz w:val="20"/>
                <w:szCs w:val="20"/>
              </w:rPr>
              <w:t>(≥ 15 ft</w:t>
            </w:r>
            <w:r w:rsidRPr="002B327C">
              <w:rPr>
                <w:rFonts w:cstheme="minorHAnsi"/>
                <w:color w:val="000000"/>
                <w:sz w:val="20"/>
                <w:szCs w:val="20"/>
                <w:vertAlign w:val="superscript"/>
              </w:rPr>
              <w:t>3</w:t>
            </w:r>
            <w:r w:rsidRPr="002B327C">
              <w:rPr>
                <w:rFonts w:cstheme="minorHAnsi"/>
                <w:color w:val="000000"/>
                <w:sz w:val="20"/>
                <w:szCs w:val="20"/>
              </w:rPr>
              <w:t>)</w:t>
            </w:r>
          </w:p>
        </w:tc>
        <w:tc>
          <w:tcPr>
            <w:tcW w:w="1260" w:type="dxa"/>
            <w:vAlign w:val="center"/>
          </w:tcPr>
          <w:p w14:paraId="5EA08E58" w14:textId="77777777" w:rsidR="00821E0D" w:rsidRPr="008F52E8" w:rsidRDefault="00821E0D" w:rsidP="00821E0D">
            <w:pPr>
              <w:keepNext/>
              <w:keepLines/>
              <w:spacing w:before="0" w:after="0" w:line="240" w:lineRule="auto"/>
              <w:ind w:right="211"/>
              <w:jc w:val="right"/>
              <w:rPr>
                <w:sz w:val="20"/>
              </w:rPr>
            </w:pPr>
            <w:r w:rsidRPr="008F52E8">
              <w:rPr>
                <w:sz w:val="20"/>
              </w:rPr>
              <w:t>25</w:t>
            </w:r>
          </w:p>
        </w:tc>
        <w:tc>
          <w:tcPr>
            <w:tcW w:w="1530" w:type="dxa"/>
            <w:vAlign w:val="center"/>
          </w:tcPr>
          <w:p w14:paraId="5081ABCC" w14:textId="035421D8" w:rsidR="00821E0D" w:rsidRPr="008F52E8" w:rsidRDefault="00821E0D" w:rsidP="00821E0D">
            <w:pPr>
              <w:keepNext/>
              <w:keepLines/>
              <w:spacing w:before="0" w:after="0" w:line="240" w:lineRule="auto"/>
              <w:ind w:right="211"/>
              <w:jc w:val="right"/>
              <w:rPr>
                <w:sz w:val="20"/>
              </w:rPr>
            </w:pPr>
            <w:r>
              <w:rPr>
                <w:sz w:val="20"/>
              </w:rPr>
              <w:t>12</w:t>
            </w:r>
          </w:p>
        </w:tc>
        <w:tc>
          <w:tcPr>
            <w:tcW w:w="1350" w:type="dxa"/>
            <w:vAlign w:val="center"/>
          </w:tcPr>
          <w:p w14:paraId="19A8852E" w14:textId="4DA30C3F" w:rsidR="00821E0D" w:rsidRPr="008F52E8" w:rsidRDefault="00821E0D" w:rsidP="00821E0D">
            <w:pPr>
              <w:keepNext/>
              <w:keepLines/>
              <w:spacing w:before="0" w:after="0" w:line="240" w:lineRule="auto"/>
              <w:ind w:right="211"/>
              <w:jc w:val="right"/>
              <w:rPr>
                <w:sz w:val="20"/>
              </w:rPr>
            </w:pPr>
            <w:r>
              <w:rPr>
                <w:sz w:val="20"/>
              </w:rPr>
              <w:t>0.30</w:t>
            </w:r>
          </w:p>
        </w:tc>
        <w:tc>
          <w:tcPr>
            <w:tcW w:w="3600" w:type="dxa"/>
            <w:vMerge w:val="restart"/>
            <w:vAlign w:val="center"/>
          </w:tcPr>
          <w:p w14:paraId="710A07E8" w14:textId="69C8A77E" w:rsidR="00821E0D" w:rsidRPr="00DD38CB" w:rsidRDefault="00821E0D" w:rsidP="00821E0D">
            <w:pPr>
              <w:keepNext/>
              <w:keepLines/>
              <w:spacing w:before="0" w:after="0" w:line="240" w:lineRule="auto"/>
              <w:ind w:right="607"/>
              <w:rPr>
                <w:sz w:val="18"/>
                <w:szCs w:val="16"/>
              </w:rPr>
            </w:pPr>
            <w:r w:rsidRPr="00FC404D">
              <w:rPr>
                <w:rFonts w:cs="Arial"/>
                <w:sz w:val="18"/>
                <w:szCs w:val="18"/>
              </w:rPr>
              <w:t>Average of efficient cabinets between CEC and ENERGY STAR databases. Per recommendation of Frontier Energy study.</w:t>
            </w:r>
          </w:p>
        </w:tc>
      </w:tr>
      <w:tr w:rsidR="00821E0D" w:rsidRPr="00992934" w14:paraId="3469B14C" w14:textId="77777777" w:rsidTr="00050029">
        <w:trPr>
          <w:trHeight w:val="20"/>
        </w:trPr>
        <w:tc>
          <w:tcPr>
            <w:tcW w:w="1705" w:type="dxa"/>
            <w:vAlign w:val="center"/>
          </w:tcPr>
          <w:p w14:paraId="6F5AAABB" w14:textId="77777777" w:rsidR="00821E0D" w:rsidRPr="001D4714" w:rsidRDefault="00821E0D" w:rsidP="00821E0D">
            <w:pPr>
              <w:spacing w:before="0" w:after="0" w:line="240" w:lineRule="auto"/>
              <w:rPr>
                <w:sz w:val="20"/>
              </w:rPr>
            </w:pPr>
            <w:r w:rsidRPr="001D4714">
              <w:rPr>
                <w:sz w:val="20"/>
              </w:rPr>
              <w:t>Half-Size</w:t>
            </w:r>
            <w:r>
              <w:rPr>
                <w:sz w:val="20"/>
              </w:rPr>
              <w:t xml:space="preserve"> </w:t>
            </w:r>
            <w:r w:rsidRPr="002B327C">
              <w:rPr>
                <w:rFonts w:cstheme="minorHAnsi"/>
                <w:color w:val="000000"/>
                <w:sz w:val="20"/>
                <w:szCs w:val="20"/>
              </w:rPr>
              <w:t>(</w:t>
            </w:r>
            <w:r>
              <w:rPr>
                <w:rFonts w:cstheme="minorHAnsi"/>
                <w:color w:val="000000"/>
                <w:sz w:val="20"/>
                <w:szCs w:val="20"/>
              </w:rPr>
              <w:t>&lt;</w:t>
            </w:r>
            <w:r w:rsidRPr="002B327C">
              <w:rPr>
                <w:rFonts w:cstheme="minorHAnsi"/>
                <w:color w:val="000000"/>
                <w:sz w:val="20"/>
                <w:szCs w:val="20"/>
              </w:rPr>
              <w:t xml:space="preserve"> 15 ft</w:t>
            </w:r>
            <w:r w:rsidRPr="002B327C">
              <w:rPr>
                <w:rFonts w:cstheme="minorHAnsi"/>
                <w:color w:val="000000"/>
                <w:sz w:val="20"/>
                <w:szCs w:val="20"/>
                <w:vertAlign w:val="superscript"/>
              </w:rPr>
              <w:t>3</w:t>
            </w:r>
            <w:r w:rsidRPr="002B327C">
              <w:rPr>
                <w:rFonts w:cstheme="minorHAnsi"/>
                <w:color w:val="000000"/>
                <w:sz w:val="20"/>
                <w:szCs w:val="20"/>
              </w:rPr>
              <w:t>)</w:t>
            </w:r>
          </w:p>
        </w:tc>
        <w:tc>
          <w:tcPr>
            <w:tcW w:w="1260" w:type="dxa"/>
            <w:vAlign w:val="center"/>
          </w:tcPr>
          <w:p w14:paraId="0454BCAD" w14:textId="77777777" w:rsidR="00821E0D" w:rsidRPr="008F52E8" w:rsidRDefault="00821E0D" w:rsidP="00821E0D">
            <w:pPr>
              <w:spacing w:before="0" w:after="0" w:line="240" w:lineRule="auto"/>
              <w:ind w:right="211"/>
              <w:jc w:val="right"/>
              <w:rPr>
                <w:sz w:val="20"/>
              </w:rPr>
            </w:pPr>
            <w:r w:rsidRPr="008F52E8">
              <w:rPr>
                <w:sz w:val="20"/>
              </w:rPr>
              <w:t>10</w:t>
            </w:r>
          </w:p>
        </w:tc>
        <w:tc>
          <w:tcPr>
            <w:tcW w:w="1530" w:type="dxa"/>
            <w:vAlign w:val="center"/>
          </w:tcPr>
          <w:p w14:paraId="41D6EC53" w14:textId="0319B03F" w:rsidR="00821E0D" w:rsidRPr="008F52E8" w:rsidRDefault="00821E0D" w:rsidP="00821E0D">
            <w:pPr>
              <w:spacing w:before="0" w:after="0" w:line="240" w:lineRule="auto"/>
              <w:ind w:right="211"/>
              <w:jc w:val="right"/>
              <w:rPr>
                <w:sz w:val="20"/>
              </w:rPr>
            </w:pPr>
            <w:r>
              <w:rPr>
                <w:sz w:val="20"/>
              </w:rPr>
              <w:t>18</w:t>
            </w:r>
          </w:p>
        </w:tc>
        <w:tc>
          <w:tcPr>
            <w:tcW w:w="1350" w:type="dxa"/>
            <w:vAlign w:val="center"/>
          </w:tcPr>
          <w:p w14:paraId="6D34FDD2" w14:textId="0B8B25D3" w:rsidR="00821E0D" w:rsidRPr="008F52E8" w:rsidRDefault="00821E0D" w:rsidP="00821E0D">
            <w:pPr>
              <w:spacing w:before="0" w:after="0" w:line="240" w:lineRule="auto"/>
              <w:ind w:right="211"/>
              <w:jc w:val="right"/>
              <w:rPr>
                <w:sz w:val="20"/>
              </w:rPr>
            </w:pPr>
            <w:r>
              <w:rPr>
                <w:sz w:val="20"/>
              </w:rPr>
              <w:t>0.18</w:t>
            </w:r>
          </w:p>
        </w:tc>
        <w:tc>
          <w:tcPr>
            <w:tcW w:w="3600" w:type="dxa"/>
            <w:vMerge/>
            <w:vAlign w:val="center"/>
          </w:tcPr>
          <w:p w14:paraId="24FA610B" w14:textId="77777777" w:rsidR="00821E0D" w:rsidRPr="00B00FBB" w:rsidRDefault="00821E0D" w:rsidP="00821E0D">
            <w:pPr>
              <w:spacing w:before="0" w:after="0" w:line="240" w:lineRule="auto"/>
              <w:ind w:right="607"/>
              <w:rPr>
                <w:color w:val="FF0000"/>
                <w:sz w:val="20"/>
              </w:rPr>
            </w:pPr>
          </w:p>
        </w:tc>
      </w:tr>
      <w:bookmarkEnd w:id="12"/>
    </w:tbl>
    <w:p w14:paraId="55C38354" w14:textId="77777777" w:rsidR="00994F74" w:rsidRDefault="00994F74" w:rsidP="00DE339F"/>
    <w:p w14:paraId="48921BBC" w14:textId="77777777" w:rsidR="00E70CBD" w:rsidRPr="00171BB8" w:rsidRDefault="00E70CBD" w:rsidP="00277238">
      <w:pPr>
        <w:pStyle w:val="eTRMHeading3"/>
      </w:pPr>
      <w:bookmarkStart w:id="13" w:name="_Toc486490849"/>
      <w:bookmarkStart w:id="14" w:name="_Toc486580920"/>
      <w:bookmarkStart w:id="15" w:name="_Toc24559518"/>
      <w:r w:rsidRPr="004B06E3">
        <w:lastRenderedPageBreak/>
        <w:t>Base Case Description</w:t>
      </w:r>
      <w:bookmarkEnd w:id="13"/>
      <w:bookmarkEnd w:id="14"/>
      <w:bookmarkEnd w:id="15"/>
      <w:r w:rsidRPr="00171BB8">
        <w:t xml:space="preserve"> </w:t>
      </w:r>
    </w:p>
    <w:p w14:paraId="42AB3549" w14:textId="77777777" w:rsidR="00D80465" w:rsidRDefault="00FC2D4E" w:rsidP="00FC2D4E">
      <w:pPr>
        <w:rPr>
          <w:rFonts w:eastAsia="Times New Roman"/>
        </w:rPr>
      </w:pPr>
      <w:r w:rsidRPr="007325DF">
        <w:t xml:space="preserve">The base case </w:t>
      </w:r>
      <w:r w:rsidR="00D37270">
        <w:t xml:space="preserve">specification </w:t>
      </w:r>
      <w:r w:rsidRPr="007325DF">
        <w:t xml:space="preserve">for </w:t>
      </w:r>
      <w:r w:rsidR="008F52E8">
        <w:rPr>
          <w:rFonts w:cs="Arial"/>
          <w:szCs w:val="22"/>
        </w:rPr>
        <w:t>full (≥ 15 ft</w:t>
      </w:r>
      <w:r w:rsidR="008F52E8" w:rsidRPr="00817401">
        <w:rPr>
          <w:rFonts w:cs="Arial"/>
          <w:szCs w:val="22"/>
          <w:vertAlign w:val="superscript"/>
        </w:rPr>
        <w:t>3</w:t>
      </w:r>
      <w:r w:rsidR="008F52E8">
        <w:rPr>
          <w:rFonts w:cs="Arial"/>
          <w:szCs w:val="22"/>
        </w:rPr>
        <w:t>) and half-size (&lt; 15ft</w:t>
      </w:r>
      <w:r w:rsidR="008F52E8" w:rsidRPr="00817401">
        <w:rPr>
          <w:rFonts w:cs="Arial"/>
          <w:szCs w:val="22"/>
          <w:vertAlign w:val="superscript"/>
        </w:rPr>
        <w:t>3</w:t>
      </w:r>
      <w:r w:rsidR="008F52E8">
        <w:rPr>
          <w:rFonts w:cs="Arial"/>
          <w:szCs w:val="22"/>
        </w:rPr>
        <w:t xml:space="preserve">) </w:t>
      </w:r>
      <w:r w:rsidR="00D37270">
        <w:t>insulated</w:t>
      </w:r>
      <w:r w:rsidRPr="007325DF">
        <w:t xml:space="preserve"> hot food holding cabinets </w:t>
      </w:r>
      <w:r>
        <w:t>is</w:t>
      </w:r>
      <w:r w:rsidR="00526526">
        <w:t xml:space="preserve"> based</w:t>
      </w:r>
      <w:r w:rsidRPr="007325DF">
        <w:t xml:space="preserve"> on </w:t>
      </w:r>
      <w:r w:rsidR="003B6017">
        <w:t xml:space="preserve">HFHC Test Data collected per </w:t>
      </w:r>
      <w:r w:rsidR="008F52E8" w:rsidRPr="006C2134">
        <w:t xml:space="preserve">the </w:t>
      </w:r>
      <w:r w:rsidR="008F52E8" w:rsidRPr="00E8741C">
        <w:t xml:space="preserve">American Society for Testing and Materials </w:t>
      </w:r>
      <w:r w:rsidR="008F52E8">
        <w:t>(</w:t>
      </w:r>
      <w:r w:rsidR="008F52E8" w:rsidRPr="006C2134">
        <w:t>ASTM</w:t>
      </w:r>
      <w:r w:rsidR="008F52E8">
        <w:t>)</w:t>
      </w:r>
      <w:r w:rsidR="008F52E8" w:rsidRPr="006C2134">
        <w:t xml:space="preserve"> Standard Test Method for the Performance of Hot Food Holding Cabinets </w:t>
      </w:r>
      <w:r w:rsidR="008F52E8">
        <w:t>(</w:t>
      </w:r>
      <w:r w:rsidRPr="007325DF">
        <w:t>F2140</w:t>
      </w:r>
      <w:r w:rsidR="008F52E8">
        <w:t>)</w:t>
      </w:r>
      <w:r w:rsidRPr="007325DF">
        <w:t>.</w:t>
      </w:r>
      <w:r w:rsidR="008F52E8">
        <w:rPr>
          <w:rStyle w:val="FootnoteReference"/>
        </w:rPr>
        <w:footnoteReference w:id="2"/>
      </w:r>
      <w:r w:rsidRPr="007325DF">
        <w:t xml:space="preserve"> </w:t>
      </w:r>
      <w:r w:rsidR="00BD50B8">
        <w:t>See Code Requirements.</w:t>
      </w:r>
      <w:r w:rsidR="005C4ACB" w:rsidRPr="005C4ACB">
        <w:rPr>
          <w:rFonts w:eastAsia="Times New Roman"/>
        </w:rPr>
        <w:t xml:space="preserve"> </w:t>
      </w:r>
    </w:p>
    <w:p w14:paraId="283EDC8E" w14:textId="266ABB8A" w:rsidR="00FC2D4E" w:rsidRDefault="00D80465" w:rsidP="00FC2D4E">
      <w:pPr>
        <w:rPr>
          <w:rFonts w:eastAsia="Times New Roman"/>
        </w:rPr>
      </w:pPr>
      <w:r>
        <w:rPr>
          <w:rFonts w:eastAsia="Times New Roman"/>
        </w:rPr>
        <w:t>Representative cabinet volume was left to be 10 ft</w:t>
      </w:r>
      <w:r w:rsidRPr="000B7C48">
        <w:rPr>
          <w:rFonts w:eastAsia="Times New Roman"/>
          <w:vertAlign w:val="superscript"/>
        </w:rPr>
        <w:t>3</w:t>
      </w:r>
      <w:r>
        <w:rPr>
          <w:rFonts w:eastAsia="Times New Roman"/>
          <w:vertAlign w:val="superscript"/>
        </w:rPr>
        <w:t xml:space="preserve"> </w:t>
      </w:r>
      <w:r>
        <w:rPr>
          <w:rFonts w:eastAsia="Times New Roman"/>
        </w:rPr>
        <w:t>and 25 ft</w:t>
      </w:r>
      <w:r w:rsidRPr="000B7C48">
        <w:rPr>
          <w:rFonts w:eastAsia="Times New Roman"/>
          <w:vertAlign w:val="superscript"/>
        </w:rPr>
        <w:t>3</w:t>
      </w:r>
      <w:r>
        <w:rPr>
          <w:rFonts w:eastAsia="Times New Roman"/>
        </w:rPr>
        <w:t xml:space="preserve"> for half- and full-size cabinets, respectively, with the </w:t>
      </w:r>
      <w:r>
        <w:rPr>
          <w:szCs w:val="22"/>
        </w:rPr>
        <w:t>Food Service Technology Center (</w:t>
      </w:r>
      <w:r w:rsidRPr="00AA5B3F">
        <w:rPr>
          <w:szCs w:val="22"/>
        </w:rPr>
        <w:t>FSTC</w:t>
      </w:r>
      <w:r>
        <w:rPr>
          <w:szCs w:val="22"/>
        </w:rPr>
        <w:t>)</w:t>
      </w:r>
      <w:r w:rsidRPr="00AA5B3F">
        <w:rPr>
          <w:szCs w:val="22"/>
        </w:rPr>
        <w:t xml:space="preserve"> </w:t>
      </w:r>
      <w:r>
        <w:rPr>
          <w:rFonts w:eastAsia="Times New Roman"/>
        </w:rPr>
        <w:t>and California Energy Commission (CEC) lists showing similar average volumes. The idle energy rate for baseline cabinets was updated based on the average between the FSTC and CEC databases normalized per cabinet volume.</w:t>
      </w:r>
      <w:r w:rsidR="004F02F1">
        <w:rPr>
          <w:rFonts w:eastAsia="Times New Roman"/>
        </w:rPr>
        <w:t xml:space="preserve"> </w:t>
      </w:r>
    </w:p>
    <w:p w14:paraId="50C92625" w14:textId="77777777" w:rsidR="00325711" w:rsidRDefault="005E4C48" w:rsidP="00FC2D4E">
      <w:pPr>
        <w:rPr>
          <w:rFonts w:eastAsia="Times New Roman"/>
        </w:rPr>
      </w:pPr>
      <w:r>
        <w:rPr>
          <w:rFonts w:eastAsia="Times New Roman"/>
        </w:rPr>
        <w:t xml:space="preserve">The following </w:t>
      </w:r>
      <w:r w:rsidR="00325711">
        <w:rPr>
          <w:rFonts w:eastAsia="Times New Roman"/>
        </w:rPr>
        <w:t>factors were</w:t>
      </w:r>
      <w:r>
        <w:rPr>
          <w:rFonts w:eastAsia="Times New Roman"/>
        </w:rPr>
        <w:t xml:space="preserve"> used to </w:t>
      </w:r>
      <w:r w:rsidR="00325711">
        <w:rPr>
          <w:rFonts w:eastAsia="Times New Roman"/>
        </w:rPr>
        <w:t>conclude that</w:t>
      </w:r>
      <w:r>
        <w:rPr>
          <w:rFonts w:eastAsia="Times New Roman"/>
        </w:rPr>
        <w:t xml:space="preserve"> bas</w:t>
      </w:r>
      <w:r w:rsidR="00325711">
        <w:rPr>
          <w:rFonts w:eastAsia="Times New Roman"/>
        </w:rPr>
        <w:t xml:space="preserve">eline systems from the FSTC database included systems that are currently being sold in the marketplace: </w:t>
      </w:r>
    </w:p>
    <w:p w14:paraId="423AAB9F" w14:textId="1A417EE0" w:rsidR="00325711" w:rsidRPr="00325711" w:rsidRDefault="00325711" w:rsidP="00325711">
      <w:pPr>
        <w:pStyle w:val="ListParagraph"/>
        <w:numPr>
          <w:ilvl w:val="0"/>
          <w:numId w:val="22"/>
        </w:numPr>
        <w:rPr>
          <w:rFonts w:eastAsia="Times New Roman"/>
        </w:rPr>
      </w:pPr>
      <w:r>
        <w:rPr>
          <w:rFonts w:eastAsia="Times New Roman"/>
        </w:rPr>
        <w:t>The b</w:t>
      </w:r>
      <w:r w:rsidR="005E4C48" w:rsidRPr="00325711">
        <w:rPr>
          <w:rFonts w:eastAsia="Times New Roman"/>
        </w:rPr>
        <w:t>aseline data from the FSTC database include</w:t>
      </w:r>
      <w:r>
        <w:rPr>
          <w:rFonts w:eastAsia="Times New Roman"/>
        </w:rPr>
        <w:t>s</w:t>
      </w:r>
      <w:r w:rsidR="005E4C48" w:rsidRPr="00325711">
        <w:rPr>
          <w:rFonts w:eastAsia="Times New Roman"/>
        </w:rPr>
        <w:t xml:space="preserve"> test date</w:t>
      </w:r>
      <w:r>
        <w:rPr>
          <w:rFonts w:eastAsia="Times New Roman"/>
        </w:rPr>
        <w:t>s of cabinets</w:t>
      </w:r>
      <w:r w:rsidR="005E4C48" w:rsidRPr="00325711">
        <w:rPr>
          <w:rFonts w:eastAsia="Times New Roman"/>
        </w:rPr>
        <w:t xml:space="preserve"> ranging from 2000 to 2015. </w:t>
      </w:r>
      <w:r>
        <w:rPr>
          <w:rFonts w:eastAsia="Times New Roman"/>
        </w:rPr>
        <w:t xml:space="preserve">Furthermore, 18 of 22 of the tests were performed within the past 11 years. </w:t>
      </w:r>
    </w:p>
    <w:p w14:paraId="3C7E5049" w14:textId="3936C052" w:rsidR="00325711" w:rsidRPr="00325711" w:rsidRDefault="005E4C48" w:rsidP="00325711">
      <w:pPr>
        <w:pStyle w:val="ListParagraph"/>
        <w:numPr>
          <w:ilvl w:val="0"/>
          <w:numId w:val="22"/>
        </w:numPr>
        <w:rPr>
          <w:rFonts w:eastAsia="Times New Roman"/>
        </w:rPr>
      </w:pPr>
      <w:r w:rsidRPr="00325711">
        <w:rPr>
          <w:rFonts w:eastAsia="Times New Roman"/>
        </w:rPr>
        <w:t>While specific holding cabinet models were not available</w:t>
      </w:r>
      <w:r w:rsidR="00325711">
        <w:rPr>
          <w:rFonts w:eastAsia="Times New Roman"/>
        </w:rPr>
        <w:t xml:space="preserve"> in the FSTC data</w:t>
      </w:r>
      <w:r w:rsidRPr="00325711">
        <w:rPr>
          <w:rFonts w:eastAsia="Times New Roman"/>
        </w:rPr>
        <w:t xml:space="preserve">, average normalized </w:t>
      </w:r>
      <w:r w:rsidR="004F02F1" w:rsidRPr="00325711">
        <w:rPr>
          <w:rFonts w:eastAsia="Times New Roman"/>
        </w:rPr>
        <w:t xml:space="preserve">base case energy rates of FSTC data was found to be lower than the </w:t>
      </w:r>
      <w:r w:rsidRPr="00325711">
        <w:rPr>
          <w:rFonts w:eastAsia="Times New Roman"/>
        </w:rPr>
        <w:t xml:space="preserve">average normalized </w:t>
      </w:r>
      <w:r w:rsidR="004F02F1" w:rsidRPr="00325711">
        <w:rPr>
          <w:rFonts w:eastAsia="Times New Roman"/>
        </w:rPr>
        <w:t>energy rates found in CEC databases</w:t>
      </w:r>
      <w:r w:rsidR="00325711" w:rsidRPr="00325711">
        <w:rPr>
          <w:rFonts w:eastAsia="Times New Roman"/>
        </w:rPr>
        <w:t xml:space="preserve">, which does include systems that are actively sold in the marketplace. </w:t>
      </w:r>
    </w:p>
    <w:p w14:paraId="6867C7F9" w14:textId="0C84D35D" w:rsidR="004F02F1" w:rsidRPr="00325711" w:rsidRDefault="00325711" w:rsidP="00325711">
      <w:pPr>
        <w:pStyle w:val="ListParagraph"/>
        <w:numPr>
          <w:ilvl w:val="0"/>
          <w:numId w:val="22"/>
        </w:numPr>
        <w:rPr>
          <w:rFonts w:eastAsia="Times New Roman"/>
        </w:rPr>
      </w:pPr>
      <w:r w:rsidRPr="00325711">
        <w:rPr>
          <w:rFonts w:eastAsia="Times New Roman"/>
        </w:rPr>
        <w:t xml:space="preserve">All systems measured </w:t>
      </w:r>
      <w:r>
        <w:rPr>
          <w:rFonts w:eastAsia="Times New Roman"/>
        </w:rPr>
        <w:t>are below</w:t>
      </w:r>
      <w:r w:rsidRPr="00325711">
        <w:rPr>
          <w:rFonts w:eastAsia="Times New Roman"/>
        </w:rPr>
        <w:t xml:space="preserve"> the maximum normalized idle energy rate require</w:t>
      </w:r>
      <w:r>
        <w:rPr>
          <w:rFonts w:eastAsia="Times New Roman"/>
        </w:rPr>
        <w:t>ment</w:t>
      </w:r>
      <w:r w:rsidRPr="00325711">
        <w:rPr>
          <w:rFonts w:eastAsia="Times New Roman"/>
        </w:rPr>
        <w:t xml:space="preserve"> by </w:t>
      </w:r>
      <w:r>
        <w:rPr>
          <w:rFonts w:eastAsia="Times New Roman"/>
        </w:rPr>
        <w:t>Title 20 (2014).</w:t>
      </w:r>
    </w:p>
    <w:p w14:paraId="1333E934" w14:textId="77777777" w:rsidR="00325711" w:rsidRPr="007325DF" w:rsidRDefault="00325711" w:rsidP="00FC2D4E"/>
    <w:p w14:paraId="0EA00496" w14:textId="77777777" w:rsidR="00FC2D4E" w:rsidRPr="00CC0D00" w:rsidRDefault="00FC2D4E" w:rsidP="00FC2D4E">
      <w:pPr>
        <w:pStyle w:val="Caption"/>
      </w:pPr>
      <w:bookmarkStart w:id="16" w:name="_Toc458439260"/>
      <w:r>
        <w:t xml:space="preserve">Base </w:t>
      </w:r>
      <w:r w:rsidRPr="00750840">
        <w:t>Case</w:t>
      </w:r>
      <w:r w:rsidRPr="00CC0D00">
        <w:t xml:space="preserve"> </w:t>
      </w:r>
      <w:r w:rsidR="00D37270">
        <w:t xml:space="preserve">Specification </w:t>
      </w:r>
      <w:bookmarkEnd w:id="16"/>
    </w:p>
    <w:tbl>
      <w:tblPr>
        <w:tblW w:w="962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1E0" w:firstRow="1" w:lastRow="1" w:firstColumn="1" w:lastColumn="1" w:noHBand="0" w:noVBand="0"/>
      </w:tblPr>
      <w:tblGrid>
        <w:gridCol w:w="1800"/>
        <w:gridCol w:w="1165"/>
        <w:gridCol w:w="1530"/>
        <w:gridCol w:w="1350"/>
        <w:gridCol w:w="3780"/>
      </w:tblGrid>
      <w:tr w:rsidR="008000F0" w:rsidRPr="001D4714" w14:paraId="3E6D55AA" w14:textId="77777777" w:rsidTr="008000F0">
        <w:trPr>
          <w:trHeight w:val="432"/>
        </w:trPr>
        <w:tc>
          <w:tcPr>
            <w:tcW w:w="1800" w:type="dxa"/>
            <w:shd w:val="clear" w:color="auto" w:fill="F2F2F2" w:themeFill="background1" w:themeFillShade="F2"/>
            <w:vAlign w:val="bottom"/>
          </w:tcPr>
          <w:p w14:paraId="2BDCAF88" w14:textId="77777777" w:rsidR="009472DD" w:rsidRPr="001D4714" w:rsidRDefault="009472DD" w:rsidP="00DD38CB">
            <w:pPr>
              <w:spacing w:before="0" w:after="0"/>
              <w:rPr>
                <w:b/>
                <w:sz w:val="20"/>
              </w:rPr>
            </w:pPr>
            <w:r w:rsidRPr="001D4714">
              <w:rPr>
                <w:b/>
                <w:sz w:val="20"/>
              </w:rPr>
              <w:t>Cabinet Size</w:t>
            </w:r>
          </w:p>
        </w:tc>
        <w:tc>
          <w:tcPr>
            <w:tcW w:w="1165" w:type="dxa"/>
            <w:shd w:val="clear" w:color="auto" w:fill="F2F2F2" w:themeFill="background1" w:themeFillShade="F2"/>
            <w:vAlign w:val="bottom"/>
          </w:tcPr>
          <w:p w14:paraId="4C46C15B" w14:textId="77777777" w:rsidR="009472DD" w:rsidRPr="001D4714" w:rsidRDefault="009472DD" w:rsidP="00DD38CB">
            <w:pPr>
              <w:spacing w:before="0" w:after="0"/>
              <w:jc w:val="center"/>
              <w:rPr>
                <w:b/>
                <w:sz w:val="20"/>
              </w:rPr>
            </w:pPr>
            <w:r w:rsidRPr="001D4714">
              <w:rPr>
                <w:b/>
                <w:sz w:val="20"/>
              </w:rPr>
              <w:t>Cabinet Vol</w:t>
            </w:r>
            <w:r>
              <w:rPr>
                <w:b/>
                <w:sz w:val="20"/>
              </w:rPr>
              <w:t>.</w:t>
            </w:r>
            <w:r w:rsidRPr="001D4714">
              <w:rPr>
                <w:b/>
                <w:sz w:val="20"/>
              </w:rPr>
              <w:t xml:space="preserve"> (ft³)</w:t>
            </w:r>
          </w:p>
        </w:tc>
        <w:tc>
          <w:tcPr>
            <w:tcW w:w="1530" w:type="dxa"/>
            <w:shd w:val="clear" w:color="auto" w:fill="F2F2F2" w:themeFill="background1" w:themeFillShade="F2"/>
            <w:vAlign w:val="bottom"/>
          </w:tcPr>
          <w:p w14:paraId="5174AECD" w14:textId="77777777" w:rsidR="009472DD" w:rsidRPr="001D4714" w:rsidRDefault="009472DD" w:rsidP="00DD38CB">
            <w:pPr>
              <w:spacing w:before="0" w:after="0"/>
              <w:jc w:val="center"/>
              <w:rPr>
                <w:b/>
                <w:sz w:val="20"/>
              </w:rPr>
            </w:pPr>
            <w:r w:rsidRPr="001D4714">
              <w:rPr>
                <w:b/>
                <w:sz w:val="20"/>
              </w:rPr>
              <w:t>Normalized Idle</w:t>
            </w:r>
            <w:r>
              <w:rPr>
                <w:b/>
                <w:sz w:val="20"/>
              </w:rPr>
              <w:br/>
            </w:r>
            <w:r w:rsidRPr="001D4714">
              <w:rPr>
                <w:b/>
                <w:sz w:val="20"/>
              </w:rPr>
              <w:t>Energy Rate (W/ft³)</w:t>
            </w:r>
          </w:p>
        </w:tc>
        <w:tc>
          <w:tcPr>
            <w:tcW w:w="1350" w:type="dxa"/>
            <w:shd w:val="clear" w:color="auto" w:fill="F2F2F2" w:themeFill="background1" w:themeFillShade="F2"/>
            <w:vAlign w:val="bottom"/>
          </w:tcPr>
          <w:p w14:paraId="0462DA26" w14:textId="77777777" w:rsidR="009472DD" w:rsidRPr="001D4714" w:rsidRDefault="009472DD" w:rsidP="00DD38CB">
            <w:pPr>
              <w:spacing w:before="0" w:after="0"/>
              <w:jc w:val="center"/>
              <w:rPr>
                <w:b/>
                <w:sz w:val="20"/>
              </w:rPr>
            </w:pPr>
            <w:r w:rsidRPr="001D4714">
              <w:rPr>
                <w:b/>
                <w:sz w:val="20"/>
              </w:rPr>
              <w:t>Total Cabinet Idle Energy Rate (kW)</w:t>
            </w:r>
          </w:p>
        </w:tc>
        <w:tc>
          <w:tcPr>
            <w:tcW w:w="3780" w:type="dxa"/>
            <w:shd w:val="clear" w:color="auto" w:fill="F2F2F2" w:themeFill="background1" w:themeFillShade="F2"/>
            <w:vAlign w:val="bottom"/>
          </w:tcPr>
          <w:p w14:paraId="5F5797F4" w14:textId="77777777" w:rsidR="009472DD" w:rsidRPr="001D4714" w:rsidRDefault="009472DD" w:rsidP="00DD38CB">
            <w:pPr>
              <w:spacing w:before="0" w:after="0"/>
              <w:jc w:val="center"/>
              <w:rPr>
                <w:b/>
                <w:sz w:val="20"/>
              </w:rPr>
            </w:pPr>
            <w:r>
              <w:rPr>
                <w:b/>
                <w:sz w:val="20"/>
              </w:rPr>
              <w:t>Source</w:t>
            </w:r>
          </w:p>
        </w:tc>
      </w:tr>
      <w:tr w:rsidR="008000F0" w:rsidRPr="001D4714" w14:paraId="035BE2A0" w14:textId="77777777" w:rsidTr="0067779D">
        <w:trPr>
          <w:trHeight w:hRule="exact" w:val="667"/>
        </w:trPr>
        <w:tc>
          <w:tcPr>
            <w:tcW w:w="1800" w:type="dxa"/>
            <w:vAlign w:val="center"/>
          </w:tcPr>
          <w:p w14:paraId="037C356D" w14:textId="77777777" w:rsidR="008000F0" w:rsidRPr="001D4714" w:rsidRDefault="008000F0" w:rsidP="00DD38CB">
            <w:pPr>
              <w:spacing w:before="0" w:after="0"/>
              <w:rPr>
                <w:sz w:val="20"/>
              </w:rPr>
            </w:pPr>
            <w:r w:rsidRPr="001D4714">
              <w:rPr>
                <w:sz w:val="20"/>
              </w:rPr>
              <w:t>Full-Size</w:t>
            </w:r>
            <w:r>
              <w:rPr>
                <w:sz w:val="20"/>
              </w:rPr>
              <w:t xml:space="preserve"> </w:t>
            </w:r>
            <w:r w:rsidRPr="002B327C">
              <w:rPr>
                <w:rFonts w:cstheme="minorHAnsi"/>
                <w:color w:val="000000"/>
                <w:sz w:val="20"/>
                <w:szCs w:val="20"/>
              </w:rPr>
              <w:t>(≥ 15 ft</w:t>
            </w:r>
            <w:r w:rsidRPr="002B327C">
              <w:rPr>
                <w:rFonts w:cstheme="minorHAnsi"/>
                <w:color w:val="000000"/>
                <w:sz w:val="20"/>
                <w:szCs w:val="20"/>
                <w:vertAlign w:val="superscript"/>
              </w:rPr>
              <w:t>3</w:t>
            </w:r>
            <w:r w:rsidRPr="002B327C">
              <w:rPr>
                <w:rFonts w:cstheme="minorHAnsi"/>
                <w:color w:val="000000"/>
                <w:sz w:val="20"/>
                <w:szCs w:val="20"/>
              </w:rPr>
              <w:t>)</w:t>
            </w:r>
          </w:p>
        </w:tc>
        <w:tc>
          <w:tcPr>
            <w:tcW w:w="1165" w:type="dxa"/>
            <w:vAlign w:val="center"/>
          </w:tcPr>
          <w:p w14:paraId="4F1A41D5" w14:textId="77777777" w:rsidR="008000F0" w:rsidRPr="008F52E8" w:rsidRDefault="008000F0" w:rsidP="00DD38CB">
            <w:pPr>
              <w:spacing w:before="0" w:after="0"/>
              <w:ind w:right="113"/>
              <w:jc w:val="right"/>
              <w:rPr>
                <w:sz w:val="20"/>
              </w:rPr>
            </w:pPr>
            <w:r w:rsidRPr="008F52E8">
              <w:rPr>
                <w:sz w:val="20"/>
              </w:rPr>
              <w:t xml:space="preserve">25 </w:t>
            </w:r>
          </w:p>
        </w:tc>
        <w:tc>
          <w:tcPr>
            <w:tcW w:w="1530" w:type="dxa"/>
            <w:vAlign w:val="center"/>
          </w:tcPr>
          <w:p w14:paraId="3D5C5ACD" w14:textId="1EDE3FDE" w:rsidR="008000F0" w:rsidRPr="008F52E8" w:rsidRDefault="00497F4D" w:rsidP="00DD38CB">
            <w:pPr>
              <w:spacing w:before="0" w:after="0"/>
              <w:ind w:right="113"/>
              <w:jc w:val="right"/>
              <w:rPr>
                <w:sz w:val="20"/>
              </w:rPr>
            </w:pPr>
            <w:r>
              <w:rPr>
                <w:sz w:val="20"/>
              </w:rPr>
              <w:t>25</w:t>
            </w:r>
          </w:p>
        </w:tc>
        <w:tc>
          <w:tcPr>
            <w:tcW w:w="1350" w:type="dxa"/>
            <w:vAlign w:val="center"/>
          </w:tcPr>
          <w:p w14:paraId="1B143CD2" w14:textId="4F44E96F" w:rsidR="008000F0" w:rsidRPr="008F52E8" w:rsidRDefault="00720F44" w:rsidP="00DD38CB">
            <w:pPr>
              <w:spacing w:before="0" w:after="0"/>
              <w:ind w:right="113"/>
              <w:jc w:val="right"/>
              <w:rPr>
                <w:sz w:val="20"/>
              </w:rPr>
            </w:pPr>
            <w:r>
              <w:rPr>
                <w:sz w:val="20"/>
              </w:rPr>
              <w:t>0.</w:t>
            </w:r>
            <w:r w:rsidR="00497F4D">
              <w:rPr>
                <w:sz w:val="20"/>
              </w:rPr>
              <w:t>62</w:t>
            </w:r>
          </w:p>
        </w:tc>
        <w:tc>
          <w:tcPr>
            <w:tcW w:w="3780" w:type="dxa"/>
            <w:vMerge w:val="restart"/>
            <w:vAlign w:val="center"/>
          </w:tcPr>
          <w:p w14:paraId="726E0FAA" w14:textId="751489DD" w:rsidR="008000F0" w:rsidRPr="00DD38CB" w:rsidRDefault="00D80465" w:rsidP="00DD38CB">
            <w:pPr>
              <w:spacing w:before="0" w:after="0"/>
              <w:ind w:right="607"/>
              <w:rPr>
                <w:sz w:val="18"/>
              </w:rPr>
            </w:pPr>
            <w:r>
              <w:rPr>
                <w:sz w:val="18"/>
                <w:szCs w:val="16"/>
              </w:rPr>
              <w:t>Average of FSTC/</w:t>
            </w:r>
            <w:r w:rsidR="008A76D1">
              <w:rPr>
                <w:sz w:val="18"/>
                <w:szCs w:val="16"/>
              </w:rPr>
              <w:t xml:space="preserve">Frontier </w:t>
            </w:r>
            <w:r w:rsidR="003B6017">
              <w:rPr>
                <w:sz w:val="18"/>
                <w:szCs w:val="16"/>
              </w:rPr>
              <w:t>E</w:t>
            </w:r>
            <w:r w:rsidR="008A76D1">
              <w:rPr>
                <w:sz w:val="18"/>
                <w:szCs w:val="16"/>
              </w:rPr>
              <w:t>nergy HFHC Test Data per ASTM F2140</w:t>
            </w:r>
            <w:r>
              <w:rPr>
                <w:sz w:val="18"/>
                <w:szCs w:val="16"/>
              </w:rPr>
              <w:t xml:space="preserve"> and CEC database</w:t>
            </w:r>
            <w:r w:rsidRPr="00FC404D">
              <w:rPr>
                <w:sz w:val="18"/>
                <w:szCs w:val="16"/>
              </w:rPr>
              <w:t xml:space="preserve">. </w:t>
            </w:r>
            <w:r w:rsidRPr="00FC404D">
              <w:rPr>
                <w:rFonts w:cs="Arial"/>
                <w:sz w:val="18"/>
                <w:szCs w:val="18"/>
              </w:rPr>
              <w:t>Per recommendation of Frontier Energy study.</w:t>
            </w:r>
          </w:p>
        </w:tc>
      </w:tr>
      <w:tr w:rsidR="008000F0" w:rsidRPr="00992934" w14:paraId="31A023E7" w14:textId="77777777" w:rsidTr="0067779D">
        <w:trPr>
          <w:trHeight w:hRule="exact" w:val="766"/>
        </w:trPr>
        <w:tc>
          <w:tcPr>
            <w:tcW w:w="1800" w:type="dxa"/>
            <w:vAlign w:val="center"/>
          </w:tcPr>
          <w:p w14:paraId="7711BCF5" w14:textId="77777777" w:rsidR="008000F0" w:rsidRPr="001D4714" w:rsidRDefault="008000F0" w:rsidP="00DD38CB">
            <w:pPr>
              <w:spacing w:before="0" w:after="0"/>
              <w:rPr>
                <w:sz w:val="20"/>
              </w:rPr>
            </w:pPr>
            <w:r w:rsidRPr="001D4714">
              <w:rPr>
                <w:sz w:val="20"/>
              </w:rPr>
              <w:t>Half-Size</w:t>
            </w:r>
            <w:r>
              <w:rPr>
                <w:sz w:val="20"/>
              </w:rPr>
              <w:t xml:space="preserve"> </w:t>
            </w:r>
            <w:r w:rsidRPr="002B327C">
              <w:rPr>
                <w:rFonts w:cstheme="minorHAnsi"/>
                <w:color w:val="000000"/>
                <w:sz w:val="20"/>
                <w:szCs w:val="20"/>
              </w:rPr>
              <w:t>(</w:t>
            </w:r>
            <w:r>
              <w:rPr>
                <w:rFonts w:cstheme="minorHAnsi"/>
                <w:color w:val="000000"/>
                <w:sz w:val="20"/>
                <w:szCs w:val="20"/>
              </w:rPr>
              <w:t>&lt;</w:t>
            </w:r>
            <w:r w:rsidRPr="002B327C">
              <w:rPr>
                <w:rFonts w:cstheme="minorHAnsi"/>
                <w:color w:val="000000"/>
                <w:sz w:val="20"/>
                <w:szCs w:val="20"/>
              </w:rPr>
              <w:t xml:space="preserve"> 15 ft</w:t>
            </w:r>
            <w:r w:rsidRPr="002B327C">
              <w:rPr>
                <w:rFonts w:cstheme="minorHAnsi"/>
                <w:color w:val="000000"/>
                <w:sz w:val="20"/>
                <w:szCs w:val="20"/>
                <w:vertAlign w:val="superscript"/>
              </w:rPr>
              <w:t>3</w:t>
            </w:r>
            <w:r w:rsidRPr="002B327C">
              <w:rPr>
                <w:rFonts w:cstheme="minorHAnsi"/>
                <w:color w:val="000000"/>
                <w:sz w:val="20"/>
                <w:szCs w:val="20"/>
              </w:rPr>
              <w:t>)</w:t>
            </w:r>
          </w:p>
        </w:tc>
        <w:tc>
          <w:tcPr>
            <w:tcW w:w="1165" w:type="dxa"/>
            <w:vAlign w:val="center"/>
          </w:tcPr>
          <w:p w14:paraId="7E8B02FA" w14:textId="77777777" w:rsidR="008000F0" w:rsidRPr="008F52E8" w:rsidRDefault="008000F0" w:rsidP="00DD38CB">
            <w:pPr>
              <w:spacing w:before="0" w:after="0"/>
              <w:ind w:right="113"/>
              <w:jc w:val="right"/>
              <w:rPr>
                <w:sz w:val="20"/>
              </w:rPr>
            </w:pPr>
            <w:r w:rsidRPr="008F52E8">
              <w:rPr>
                <w:sz w:val="20"/>
              </w:rPr>
              <w:t xml:space="preserve">10 </w:t>
            </w:r>
          </w:p>
        </w:tc>
        <w:tc>
          <w:tcPr>
            <w:tcW w:w="1530" w:type="dxa"/>
            <w:vAlign w:val="center"/>
          </w:tcPr>
          <w:p w14:paraId="35FE3A51" w14:textId="21BC3399" w:rsidR="008000F0" w:rsidRPr="008F52E8" w:rsidRDefault="00497F4D" w:rsidP="00DD38CB">
            <w:pPr>
              <w:spacing w:before="0" w:after="0"/>
              <w:ind w:right="113"/>
              <w:jc w:val="right"/>
              <w:rPr>
                <w:sz w:val="20"/>
              </w:rPr>
            </w:pPr>
            <w:r>
              <w:rPr>
                <w:sz w:val="20"/>
              </w:rPr>
              <w:t>35</w:t>
            </w:r>
          </w:p>
        </w:tc>
        <w:tc>
          <w:tcPr>
            <w:tcW w:w="1350" w:type="dxa"/>
            <w:vAlign w:val="center"/>
          </w:tcPr>
          <w:p w14:paraId="750FF4E3" w14:textId="4C143A1D" w:rsidR="008000F0" w:rsidRPr="008F52E8" w:rsidRDefault="00720F44" w:rsidP="00DD38CB">
            <w:pPr>
              <w:spacing w:before="0" w:after="0"/>
              <w:ind w:right="113"/>
              <w:jc w:val="right"/>
              <w:rPr>
                <w:sz w:val="20"/>
              </w:rPr>
            </w:pPr>
            <w:r>
              <w:rPr>
                <w:sz w:val="20"/>
              </w:rPr>
              <w:t>0.</w:t>
            </w:r>
            <w:r w:rsidR="00497F4D">
              <w:rPr>
                <w:sz w:val="20"/>
              </w:rPr>
              <w:t>35</w:t>
            </w:r>
          </w:p>
        </w:tc>
        <w:tc>
          <w:tcPr>
            <w:tcW w:w="3780" w:type="dxa"/>
            <w:vMerge/>
            <w:vAlign w:val="center"/>
          </w:tcPr>
          <w:p w14:paraId="0032A2E7" w14:textId="77777777" w:rsidR="008000F0" w:rsidRPr="00B00FBB" w:rsidRDefault="008000F0" w:rsidP="00DD38CB">
            <w:pPr>
              <w:spacing w:before="0" w:after="0"/>
              <w:ind w:right="607"/>
              <w:jc w:val="right"/>
              <w:rPr>
                <w:color w:val="FF0000"/>
                <w:sz w:val="20"/>
              </w:rPr>
            </w:pPr>
          </w:p>
        </w:tc>
      </w:tr>
    </w:tbl>
    <w:p w14:paraId="678E204C" w14:textId="77777777" w:rsidR="00C97228" w:rsidRPr="00C97228" w:rsidRDefault="00C97228" w:rsidP="00C97228"/>
    <w:p w14:paraId="5279E17E" w14:textId="77777777" w:rsidR="007D230B" w:rsidRPr="00171BB8" w:rsidRDefault="007D230B" w:rsidP="00277238">
      <w:pPr>
        <w:pStyle w:val="eTRMHeading3"/>
      </w:pPr>
      <w:bookmarkStart w:id="17" w:name="_Toc486490850"/>
      <w:bookmarkStart w:id="18" w:name="_Toc486580921"/>
      <w:bookmarkStart w:id="19" w:name="_Toc24559519"/>
      <w:r w:rsidRPr="004B06E3">
        <w:t>Code Requirements</w:t>
      </w:r>
      <w:bookmarkEnd w:id="17"/>
      <w:bookmarkEnd w:id="18"/>
      <w:bookmarkEnd w:id="19"/>
    </w:p>
    <w:p w14:paraId="28CC8F78" w14:textId="77777777" w:rsidR="00D37270" w:rsidRPr="00D37270" w:rsidRDefault="00D37270" w:rsidP="00D37270">
      <w:pPr>
        <w:rPr>
          <w:szCs w:val="22"/>
        </w:rPr>
      </w:pPr>
      <w:r w:rsidRPr="00D37270">
        <w:rPr>
          <w:szCs w:val="22"/>
        </w:rPr>
        <w:t xml:space="preserve">This measure is governed by the </w:t>
      </w:r>
      <w:r w:rsidRPr="007325DF">
        <w:t xml:space="preserve">California </w:t>
      </w:r>
      <w:r>
        <w:t xml:space="preserve">Appliance Efficiency </w:t>
      </w:r>
      <w:r w:rsidR="00311F99">
        <w:t>R</w:t>
      </w:r>
      <w:r w:rsidRPr="007325DF">
        <w:t>egulations</w:t>
      </w:r>
      <w:r w:rsidR="00311F99">
        <w:t xml:space="preserve"> (Title 20)</w:t>
      </w:r>
      <w:r>
        <w:t>,</w:t>
      </w:r>
      <w:r w:rsidR="008000F0">
        <w:rPr>
          <w:rStyle w:val="FootnoteReference"/>
        </w:rPr>
        <w:footnoteReference w:id="3"/>
      </w:r>
      <w:r w:rsidR="008000F0">
        <w:t xml:space="preserve"> </w:t>
      </w:r>
      <w:r>
        <w:t>which requires</w:t>
      </w:r>
      <w:r w:rsidRPr="007325DF">
        <w:t xml:space="preserve"> all new commercial hot food holding cabinets to have a maximum normalized idle energy rate of 40 W/ft³ </w:t>
      </w:r>
      <w:r w:rsidR="00DA11F7">
        <w:t xml:space="preserve">of interior volume </w:t>
      </w:r>
      <w:r w:rsidRPr="007325DF">
        <w:t xml:space="preserve">based on </w:t>
      </w:r>
      <w:r w:rsidR="008F52E8" w:rsidRPr="00E8741C">
        <w:t xml:space="preserve">American Society for Testing and Materials </w:t>
      </w:r>
      <w:r w:rsidR="008F52E8">
        <w:t>(</w:t>
      </w:r>
      <w:r w:rsidR="008F52E8" w:rsidRPr="006C2134">
        <w:t>ASTM</w:t>
      </w:r>
      <w:r w:rsidR="008F52E8">
        <w:t>)</w:t>
      </w:r>
      <w:r w:rsidR="008F52E8" w:rsidRPr="006C2134">
        <w:t xml:space="preserve"> Standard Test Method for </w:t>
      </w:r>
      <w:r w:rsidR="008F52E8" w:rsidRPr="006C2134">
        <w:lastRenderedPageBreak/>
        <w:t xml:space="preserve">the Performance of Hot Food Holding Cabinets </w:t>
      </w:r>
      <w:r w:rsidR="008F52E8">
        <w:t>(</w:t>
      </w:r>
      <w:r w:rsidR="008F52E8" w:rsidRPr="007325DF">
        <w:t>F2140</w:t>
      </w:r>
      <w:r w:rsidR="008F52E8">
        <w:t>)</w:t>
      </w:r>
      <w:r w:rsidR="008F52E8" w:rsidRPr="007325DF">
        <w:t>.</w:t>
      </w:r>
      <w:r w:rsidR="008F52E8">
        <w:rPr>
          <w:rStyle w:val="FootnoteReference"/>
        </w:rPr>
        <w:footnoteReference w:id="4"/>
      </w:r>
      <w:r w:rsidR="008F52E8">
        <w:t xml:space="preserve"> </w:t>
      </w:r>
      <w:r w:rsidR="008F52E8" w:rsidRPr="006C2134">
        <w:t>The ASTM standard test method is the industry standard for quantifying the efficiency and performance of hot food holding cabinets.</w:t>
      </w:r>
    </w:p>
    <w:p w14:paraId="4AA8A943" w14:textId="77777777" w:rsidR="00FC2D4E" w:rsidRPr="002C39E3" w:rsidRDefault="00FC2D4E" w:rsidP="00FC2D4E">
      <w:pPr>
        <w:pStyle w:val="Caption"/>
      </w:pPr>
      <w:r>
        <w:t xml:space="preserve">Applicable State and Federal </w:t>
      </w:r>
      <w:r w:rsidRPr="00CD6698">
        <w:t>Code</w:t>
      </w:r>
      <w:r>
        <w:t>s and Standards</w:t>
      </w:r>
      <w:r w:rsidRPr="002C39E3">
        <w:t xml:space="preserve"> </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765"/>
        <w:gridCol w:w="3147"/>
        <w:gridCol w:w="1438"/>
      </w:tblGrid>
      <w:tr w:rsidR="009472DD" w:rsidRPr="00114F73" w14:paraId="64C6A0D1" w14:textId="77777777" w:rsidTr="008F52E8">
        <w:trPr>
          <w:trHeight w:val="20"/>
        </w:trPr>
        <w:tc>
          <w:tcPr>
            <w:tcW w:w="4765" w:type="dxa"/>
            <w:shd w:val="clear" w:color="auto" w:fill="F2F2F2" w:themeFill="background1" w:themeFillShade="F2"/>
            <w:vAlign w:val="bottom"/>
          </w:tcPr>
          <w:p w14:paraId="437251CC" w14:textId="77777777" w:rsidR="00FC2D4E" w:rsidRPr="00114F73" w:rsidRDefault="00FC2D4E" w:rsidP="008F52E8">
            <w:pPr>
              <w:spacing w:before="0" w:after="0"/>
              <w:rPr>
                <w:b/>
                <w:sz w:val="20"/>
                <w:szCs w:val="20"/>
              </w:rPr>
            </w:pPr>
            <w:r w:rsidRPr="00114F73">
              <w:rPr>
                <w:b/>
                <w:sz w:val="20"/>
                <w:szCs w:val="20"/>
              </w:rPr>
              <w:t>Code</w:t>
            </w:r>
          </w:p>
        </w:tc>
        <w:tc>
          <w:tcPr>
            <w:tcW w:w="3147" w:type="dxa"/>
            <w:shd w:val="clear" w:color="auto" w:fill="F2F2F2" w:themeFill="background1" w:themeFillShade="F2"/>
            <w:vAlign w:val="bottom"/>
          </w:tcPr>
          <w:p w14:paraId="13B8CC83" w14:textId="77777777" w:rsidR="00FC2D4E" w:rsidRPr="00114F73" w:rsidRDefault="00FC2D4E" w:rsidP="008F52E8">
            <w:pPr>
              <w:spacing w:before="0" w:after="0"/>
              <w:jc w:val="center"/>
              <w:rPr>
                <w:b/>
                <w:sz w:val="20"/>
                <w:szCs w:val="20"/>
              </w:rPr>
            </w:pPr>
            <w:r w:rsidRPr="00114F73">
              <w:rPr>
                <w:b/>
                <w:sz w:val="20"/>
                <w:szCs w:val="20"/>
              </w:rPr>
              <w:t>Applicable Code Reference</w:t>
            </w:r>
          </w:p>
        </w:tc>
        <w:tc>
          <w:tcPr>
            <w:tcW w:w="1438" w:type="dxa"/>
            <w:shd w:val="clear" w:color="auto" w:fill="F2F2F2" w:themeFill="background1" w:themeFillShade="F2"/>
            <w:vAlign w:val="bottom"/>
          </w:tcPr>
          <w:p w14:paraId="338A896B" w14:textId="77777777" w:rsidR="00FC2D4E" w:rsidRPr="00114F73" w:rsidRDefault="00FC2D4E" w:rsidP="008F52E8">
            <w:pPr>
              <w:spacing w:before="0" w:after="0"/>
              <w:jc w:val="center"/>
              <w:rPr>
                <w:b/>
                <w:sz w:val="20"/>
                <w:szCs w:val="20"/>
              </w:rPr>
            </w:pPr>
            <w:r w:rsidRPr="00114F73">
              <w:rPr>
                <w:b/>
                <w:sz w:val="20"/>
                <w:szCs w:val="20"/>
              </w:rPr>
              <w:t>Effective Dates</w:t>
            </w:r>
          </w:p>
        </w:tc>
      </w:tr>
      <w:tr w:rsidR="009472DD" w:rsidRPr="00114F73" w14:paraId="53F00E56" w14:textId="77777777" w:rsidTr="008F52E8">
        <w:trPr>
          <w:trHeight w:val="20"/>
        </w:trPr>
        <w:tc>
          <w:tcPr>
            <w:tcW w:w="4765" w:type="dxa"/>
            <w:vAlign w:val="center"/>
          </w:tcPr>
          <w:p w14:paraId="33144EB0" w14:textId="77777777" w:rsidR="00FC2D4E" w:rsidRPr="00114F73" w:rsidRDefault="00FC2D4E" w:rsidP="008F52E8">
            <w:pPr>
              <w:spacing w:before="0" w:after="0"/>
              <w:rPr>
                <w:sz w:val="20"/>
                <w:szCs w:val="20"/>
              </w:rPr>
            </w:pPr>
            <w:r w:rsidRPr="00114F73">
              <w:rPr>
                <w:sz w:val="20"/>
                <w:szCs w:val="20"/>
              </w:rPr>
              <w:t>CA Appliance Efficiency Regulations – Title 20 (</w:t>
            </w:r>
            <w:r>
              <w:rPr>
                <w:sz w:val="20"/>
                <w:szCs w:val="20"/>
              </w:rPr>
              <w:t>2014</w:t>
            </w:r>
            <w:r w:rsidRPr="00114F73">
              <w:rPr>
                <w:sz w:val="20"/>
                <w:szCs w:val="20"/>
              </w:rPr>
              <w:t>)</w:t>
            </w:r>
          </w:p>
        </w:tc>
        <w:tc>
          <w:tcPr>
            <w:tcW w:w="3147" w:type="dxa"/>
            <w:vAlign w:val="center"/>
          </w:tcPr>
          <w:p w14:paraId="2D1B8AD5" w14:textId="77777777" w:rsidR="00FC2D4E" w:rsidRPr="00D37270" w:rsidRDefault="00FC2D4E" w:rsidP="008F52E8">
            <w:pPr>
              <w:spacing w:before="0" w:after="0"/>
              <w:rPr>
                <w:sz w:val="20"/>
                <w:szCs w:val="20"/>
              </w:rPr>
            </w:pPr>
            <w:r w:rsidRPr="00D37270">
              <w:rPr>
                <w:rFonts w:cstheme="minorHAnsi"/>
                <w:sz w:val="20"/>
                <w:szCs w:val="20"/>
              </w:rPr>
              <w:t>Section 1605.3(r)(2)</w:t>
            </w:r>
          </w:p>
        </w:tc>
        <w:tc>
          <w:tcPr>
            <w:tcW w:w="1438" w:type="dxa"/>
            <w:vAlign w:val="center"/>
          </w:tcPr>
          <w:p w14:paraId="14A9DF81" w14:textId="77777777" w:rsidR="00FC2D4E" w:rsidRPr="00114F73" w:rsidRDefault="00FC2D4E" w:rsidP="008F52E8">
            <w:pPr>
              <w:spacing w:before="0" w:after="0"/>
              <w:jc w:val="center"/>
              <w:rPr>
                <w:sz w:val="20"/>
                <w:szCs w:val="20"/>
              </w:rPr>
            </w:pPr>
            <w:r>
              <w:rPr>
                <w:sz w:val="20"/>
                <w:szCs w:val="20"/>
              </w:rPr>
              <w:t>July 1, 2014</w:t>
            </w:r>
          </w:p>
        </w:tc>
      </w:tr>
      <w:tr w:rsidR="009472DD" w:rsidRPr="00114F73" w14:paraId="035F387D" w14:textId="77777777" w:rsidTr="008F52E8">
        <w:trPr>
          <w:trHeight w:val="20"/>
        </w:trPr>
        <w:tc>
          <w:tcPr>
            <w:tcW w:w="4765" w:type="dxa"/>
            <w:vAlign w:val="center"/>
          </w:tcPr>
          <w:p w14:paraId="3B62D51B" w14:textId="77777777" w:rsidR="00FC2D4E" w:rsidRPr="00114F73" w:rsidRDefault="00FC2D4E" w:rsidP="008F52E8">
            <w:pPr>
              <w:spacing w:before="0" w:after="0"/>
              <w:rPr>
                <w:sz w:val="20"/>
                <w:szCs w:val="20"/>
              </w:rPr>
            </w:pPr>
            <w:r w:rsidRPr="00114F73">
              <w:rPr>
                <w:sz w:val="20"/>
                <w:szCs w:val="20"/>
              </w:rPr>
              <w:t xml:space="preserve">CA Building Energy Efficiency Standards – Title 24 </w:t>
            </w:r>
          </w:p>
        </w:tc>
        <w:tc>
          <w:tcPr>
            <w:tcW w:w="3147" w:type="dxa"/>
            <w:vAlign w:val="center"/>
          </w:tcPr>
          <w:p w14:paraId="59963ACF" w14:textId="77777777" w:rsidR="00FC2D4E" w:rsidRPr="00114F73" w:rsidRDefault="00FC2D4E" w:rsidP="008F52E8">
            <w:pPr>
              <w:spacing w:before="0" w:after="0"/>
              <w:rPr>
                <w:sz w:val="20"/>
                <w:szCs w:val="20"/>
              </w:rPr>
            </w:pPr>
            <w:r w:rsidRPr="00114F73">
              <w:rPr>
                <w:sz w:val="20"/>
                <w:szCs w:val="20"/>
              </w:rPr>
              <w:t>None.</w:t>
            </w:r>
          </w:p>
        </w:tc>
        <w:tc>
          <w:tcPr>
            <w:tcW w:w="1438" w:type="dxa"/>
            <w:vAlign w:val="center"/>
          </w:tcPr>
          <w:p w14:paraId="735AF468" w14:textId="77777777" w:rsidR="00FC2D4E" w:rsidRPr="00114F73" w:rsidRDefault="00FC2D4E" w:rsidP="008F52E8">
            <w:pPr>
              <w:spacing w:before="0" w:after="0"/>
              <w:jc w:val="center"/>
              <w:rPr>
                <w:sz w:val="20"/>
                <w:szCs w:val="20"/>
              </w:rPr>
            </w:pPr>
            <w:r w:rsidRPr="00114F73">
              <w:rPr>
                <w:sz w:val="20"/>
                <w:szCs w:val="20"/>
              </w:rPr>
              <w:t>n/a</w:t>
            </w:r>
          </w:p>
        </w:tc>
      </w:tr>
      <w:tr w:rsidR="009472DD" w:rsidRPr="00114F73" w14:paraId="0DA84600" w14:textId="77777777" w:rsidTr="008F52E8">
        <w:trPr>
          <w:trHeight w:val="20"/>
        </w:trPr>
        <w:tc>
          <w:tcPr>
            <w:tcW w:w="4765" w:type="dxa"/>
            <w:vAlign w:val="center"/>
          </w:tcPr>
          <w:p w14:paraId="7706CCE1" w14:textId="77777777" w:rsidR="00FC2D4E" w:rsidRPr="00114F73" w:rsidRDefault="00FC2D4E" w:rsidP="008F52E8">
            <w:pPr>
              <w:spacing w:before="0" w:after="0"/>
              <w:rPr>
                <w:sz w:val="20"/>
                <w:szCs w:val="20"/>
              </w:rPr>
            </w:pPr>
            <w:r w:rsidRPr="00114F73">
              <w:rPr>
                <w:sz w:val="20"/>
                <w:szCs w:val="20"/>
              </w:rPr>
              <w:t>Federal Standards</w:t>
            </w:r>
          </w:p>
        </w:tc>
        <w:tc>
          <w:tcPr>
            <w:tcW w:w="3147" w:type="dxa"/>
            <w:vAlign w:val="center"/>
          </w:tcPr>
          <w:p w14:paraId="5AEEB9CA" w14:textId="77777777" w:rsidR="00FC2D4E" w:rsidRPr="00114F73" w:rsidRDefault="00FC2D4E" w:rsidP="008F52E8">
            <w:pPr>
              <w:spacing w:before="0" w:after="0"/>
              <w:rPr>
                <w:sz w:val="20"/>
                <w:szCs w:val="20"/>
              </w:rPr>
            </w:pPr>
            <w:r w:rsidRPr="00114F73">
              <w:rPr>
                <w:sz w:val="20"/>
                <w:szCs w:val="20"/>
              </w:rPr>
              <w:t>None.</w:t>
            </w:r>
          </w:p>
        </w:tc>
        <w:tc>
          <w:tcPr>
            <w:tcW w:w="1438" w:type="dxa"/>
            <w:vAlign w:val="center"/>
          </w:tcPr>
          <w:p w14:paraId="135A6383" w14:textId="77777777" w:rsidR="00FC2D4E" w:rsidRPr="00114F73" w:rsidRDefault="00FC2D4E" w:rsidP="008F52E8">
            <w:pPr>
              <w:spacing w:before="0" w:after="0"/>
              <w:jc w:val="center"/>
              <w:rPr>
                <w:sz w:val="20"/>
                <w:szCs w:val="20"/>
              </w:rPr>
            </w:pPr>
            <w:r w:rsidRPr="00114F73">
              <w:rPr>
                <w:sz w:val="20"/>
                <w:szCs w:val="20"/>
              </w:rPr>
              <w:t>n/a</w:t>
            </w:r>
          </w:p>
        </w:tc>
      </w:tr>
    </w:tbl>
    <w:p w14:paraId="0B922454" w14:textId="77777777" w:rsidR="007D230B" w:rsidRDefault="007D230B" w:rsidP="0011498C"/>
    <w:p w14:paraId="00885215" w14:textId="77777777" w:rsidR="007D230B" w:rsidRPr="00171BB8" w:rsidRDefault="007D230B" w:rsidP="00277238">
      <w:pPr>
        <w:pStyle w:val="eTRMHeading3"/>
      </w:pPr>
      <w:bookmarkStart w:id="20" w:name="_Toc486490851"/>
      <w:bookmarkStart w:id="21" w:name="_Toc486580922"/>
      <w:bookmarkStart w:id="22" w:name="_Toc24559520"/>
      <w:r w:rsidRPr="00A83458">
        <w:t>Normalizing</w:t>
      </w:r>
      <w:r w:rsidRPr="00171BB8">
        <w:t xml:space="preserve"> Unit</w:t>
      </w:r>
      <w:bookmarkEnd w:id="20"/>
      <w:bookmarkEnd w:id="21"/>
      <w:bookmarkEnd w:id="22"/>
    </w:p>
    <w:p w14:paraId="08C19F83" w14:textId="0E62F662" w:rsidR="007D230B" w:rsidRPr="00751D86" w:rsidRDefault="00526526" w:rsidP="00486585">
      <w:pPr>
        <w:rPr>
          <w:szCs w:val="22"/>
        </w:rPr>
      </w:pPr>
      <w:r w:rsidRPr="00751D86">
        <w:rPr>
          <w:szCs w:val="22"/>
        </w:rPr>
        <w:t>Each</w:t>
      </w:r>
      <w:r w:rsidR="00751D86" w:rsidRPr="00751D86">
        <w:rPr>
          <w:szCs w:val="22"/>
        </w:rPr>
        <w:t xml:space="preserve"> </w:t>
      </w:r>
    </w:p>
    <w:p w14:paraId="07111AB1" w14:textId="77777777" w:rsidR="00526526" w:rsidRPr="007D230B" w:rsidRDefault="00526526" w:rsidP="00486585"/>
    <w:p w14:paraId="3639BCD3" w14:textId="77777777" w:rsidR="001C50D5" w:rsidRPr="004B06E3" w:rsidRDefault="001C50D5" w:rsidP="001C50D5">
      <w:pPr>
        <w:pStyle w:val="eTRMHeading3"/>
      </w:pPr>
      <w:bookmarkStart w:id="23" w:name="_Toc486490852"/>
      <w:bookmarkStart w:id="24" w:name="_Toc486580923"/>
      <w:bookmarkStart w:id="25" w:name="_Toc24559521"/>
      <w:bookmarkStart w:id="26" w:name="_Toc486490854"/>
      <w:bookmarkStart w:id="27" w:name="_Toc486580925"/>
      <w:r w:rsidRPr="004B06E3">
        <w:t>Program Requirements</w:t>
      </w:r>
      <w:bookmarkEnd w:id="23"/>
      <w:bookmarkEnd w:id="24"/>
      <w:bookmarkEnd w:id="25"/>
      <w:r w:rsidRPr="004B06E3">
        <w:t xml:space="preserve"> </w:t>
      </w:r>
    </w:p>
    <w:p w14:paraId="600DB58B" w14:textId="77777777" w:rsidR="00A115A2" w:rsidRDefault="00A115A2" w:rsidP="00A115A2">
      <w:pPr>
        <w:pStyle w:val="eTRMHeading5"/>
        <w:keepNext/>
        <w:keepLines/>
      </w:pPr>
      <w:r>
        <w:t>Measure Implementation Eligibility</w:t>
      </w:r>
    </w:p>
    <w:p w14:paraId="08FA7136" w14:textId="77777777" w:rsidR="00A115A2" w:rsidRDefault="00A115A2" w:rsidP="00A115A2">
      <w:bookmarkStart w:id="28" w:name="_Hlk527543844"/>
      <w:bookmarkStart w:id="29" w:name="_Hlk526859582"/>
      <w:r>
        <w:t>All</w:t>
      </w:r>
      <w:r w:rsidRPr="00E35B8D">
        <w:t xml:space="preserve"> </w:t>
      </w:r>
      <w:r>
        <w:t xml:space="preserve">combinations of </w:t>
      </w:r>
      <w:r w:rsidRPr="00E35B8D">
        <w:t xml:space="preserve">measure application type, delivery type, and sector </w:t>
      </w:r>
      <w:r>
        <w:t xml:space="preserve">that are </w:t>
      </w:r>
      <w:r w:rsidRPr="00E35B8D">
        <w:t>established for this measure</w:t>
      </w:r>
      <w:r>
        <w:t xml:space="preserve"> are specified below</w:t>
      </w:r>
      <w:r w:rsidRPr="00E35B8D">
        <w:t>. Measure application type is a categorization based on the circumstances and timing of the measure installation; each measure application type is distinguished by its baseline determination, cost basis, eligibility, and documentation requirements.  Delivery type is the broad categorization of the delivery channel through which the market intervention strategy (financial incentives or other services) is targeted. This table also designates the broad market sector(s) that are applicable for this measure.</w:t>
      </w:r>
      <w:bookmarkEnd w:id="28"/>
    </w:p>
    <w:bookmarkEnd w:id="29"/>
    <w:p w14:paraId="0AD5E4AF" w14:textId="77777777" w:rsidR="00A115A2" w:rsidRPr="00CC4643" w:rsidRDefault="00A115A2" w:rsidP="00A115A2">
      <w:pPr>
        <w:rPr>
          <w:i/>
        </w:rPr>
      </w:pPr>
      <w:r w:rsidRPr="00CC4643">
        <w:rPr>
          <w:i/>
        </w:rPr>
        <w:t xml:space="preserve">Note that </w:t>
      </w:r>
      <w:r>
        <w:rPr>
          <w:i/>
        </w:rPr>
        <w:t>some</w:t>
      </w:r>
      <w:r w:rsidRPr="00CC4643">
        <w:rPr>
          <w:i/>
        </w:rPr>
        <w:t xml:space="preserve"> </w:t>
      </w:r>
      <w:r>
        <w:rPr>
          <w:i/>
        </w:rPr>
        <w:t xml:space="preserve">of the </w:t>
      </w:r>
      <w:r w:rsidRPr="00CC4643">
        <w:rPr>
          <w:i/>
        </w:rPr>
        <w:t xml:space="preserve">implementation combinations below </w:t>
      </w:r>
      <w:r>
        <w:rPr>
          <w:i/>
        </w:rPr>
        <w:t>may not</w:t>
      </w:r>
      <w:r w:rsidRPr="00CC4643">
        <w:rPr>
          <w:i/>
        </w:rPr>
        <w:t xml:space="preserve"> be </w:t>
      </w:r>
      <w:r>
        <w:rPr>
          <w:i/>
        </w:rPr>
        <w:t>allowed for some measure offerings by</w:t>
      </w:r>
      <w:r w:rsidRPr="00CC4643">
        <w:rPr>
          <w:i/>
        </w:rPr>
        <w:t xml:space="preserve"> all program administrators.</w:t>
      </w:r>
    </w:p>
    <w:p w14:paraId="4AB2CCAA" w14:textId="3F0659F4" w:rsidR="00A115A2" w:rsidRDefault="00A115A2" w:rsidP="00A115A2">
      <w:pPr>
        <w:pStyle w:val="Caption"/>
        <w:keepNext w:val="0"/>
        <w:keepLines w:val="0"/>
      </w:pPr>
      <w:r>
        <w:t xml:space="preserve">Implementation Eligibility </w:t>
      </w:r>
    </w:p>
    <w:tbl>
      <w:tblPr>
        <w:tblW w:w="9077" w:type="dxa"/>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0" w:type="dxa"/>
          <w:right w:w="0" w:type="dxa"/>
        </w:tblCellMar>
        <w:tblLook w:val="04A0" w:firstRow="1" w:lastRow="0" w:firstColumn="1" w:lastColumn="0" w:noHBand="0" w:noVBand="1"/>
      </w:tblPr>
      <w:tblGrid>
        <w:gridCol w:w="3263"/>
        <w:gridCol w:w="2790"/>
        <w:gridCol w:w="3024"/>
      </w:tblGrid>
      <w:tr w:rsidR="00A115A2" w14:paraId="6B728B81" w14:textId="77777777" w:rsidTr="00094285">
        <w:trPr>
          <w:cantSplit/>
          <w:trHeight w:val="20"/>
          <w:tblHeader/>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noWrap/>
            <w:tcMar>
              <w:top w:w="0" w:type="dxa"/>
              <w:left w:w="108" w:type="dxa"/>
              <w:bottom w:w="0" w:type="dxa"/>
              <w:right w:w="108" w:type="dxa"/>
            </w:tcMar>
            <w:vAlign w:val="bottom"/>
            <w:hideMark/>
          </w:tcPr>
          <w:p w14:paraId="48626D59" w14:textId="77777777" w:rsidR="00A115A2" w:rsidRPr="00830614" w:rsidRDefault="00A115A2" w:rsidP="00094285">
            <w:pPr>
              <w:spacing w:before="0" w:after="0" w:line="240" w:lineRule="exact"/>
              <w:rPr>
                <w:b/>
                <w:bCs/>
                <w:sz w:val="20"/>
                <w:szCs w:val="20"/>
              </w:rPr>
            </w:pPr>
            <w:r w:rsidRPr="00830614">
              <w:rPr>
                <w:b/>
                <w:bCs/>
                <w:sz w:val="20"/>
                <w:szCs w:val="20"/>
              </w:rPr>
              <w:t>Measure Application Type</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noWrap/>
            <w:tcMar>
              <w:top w:w="0" w:type="dxa"/>
              <w:left w:w="108" w:type="dxa"/>
              <w:bottom w:w="0" w:type="dxa"/>
              <w:right w:w="108" w:type="dxa"/>
            </w:tcMar>
            <w:vAlign w:val="bottom"/>
            <w:hideMark/>
          </w:tcPr>
          <w:p w14:paraId="0309D623" w14:textId="77777777" w:rsidR="00A115A2" w:rsidRPr="00830614" w:rsidRDefault="00A115A2" w:rsidP="00094285">
            <w:pPr>
              <w:spacing w:before="0" w:after="0" w:line="240" w:lineRule="exact"/>
              <w:rPr>
                <w:b/>
                <w:bCs/>
                <w:sz w:val="20"/>
                <w:szCs w:val="20"/>
              </w:rPr>
            </w:pPr>
            <w:r w:rsidRPr="00830614">
              <w:rPr>
                <w:b/>
                <w:bCs/>
                <w:sz w:val="20"/>
                <w:szCs w:val="20"/>
              </w:rPr>
              <w:t>Delivery Type</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noWrap/>
            <w:tcMar>
              <w:top w:w="0" w:type="dxa"/>
              <w:left w:w="108" w:type="dxa"/>
              <w:bottom w:w="0" w:type="dxa"/>
              <w:right w:w="108" w:type="dxa"/>
            </w:tcMar>
            <w:vAlign w:val="bottom"/>
            <w:hideMark/>
          </w:tcPr>
          <w:p w14:paraId="2B68B849" w14:textId="77777777" w:rsidR="00A115A2" w:rsidRPr="00830614" w:rsidRDefault="00A115A2" w:rsidP="00094285">
            <w:pPr>
              <w:spacing w:before="0" w:after="0" w:line="240" w:lineRule="exact"/>
              <w:rPr>
                <w:b/>
                <w:bCs/>
                <w:sz w:val="20"/>
                <w:szCs w:val="20"/>
              </w:rPr>
            </w:pPr>
            <w:r w:rsidRPr="00830614">
              <w:rPr>
                <w:b/>
                <w:bCs/>
                <w:sz w:val="20"/>
                <w:szCs w:val="20"/>
              </w:rPr>
              <w:t>Sector</w:t>
            </w:r>
          </w:p>
        </w:tc>
      </w:tr>
      <w:tr w:rsidR="00B8541A" w14:paraId="20A17684" w14:textId="77777777" w:rsidTr="00B8541A">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245ED38B" w14:textId="77777777" w:rsidR="00B8541A" w:rsidRPr="00830614" w:rsidRDefault="00B8541A" w:rsidP="00B8541A">
            <w:pPr>
              <w:spacing w:before="0" w:after="0" w:line="240" w:lineRule="exact"/>
              <w:rPr>
                <w:color w:val="000000"/>
                <w:sz w:val="20"/>
                <w:szCs w:val="20"/>
              </w:rPr>
            </w:pPr>
            <w:r w:rsidRPr="00830614">
              <w:rPr>
                <w:rFonts w:cs="Calibri Light"/>
                <w:color w:val="000000"/>
                <w:sz w:val="20"/>
                <w:szCs w:val="20"/>
              </w:rPr>
              <w:t>Normal replacement</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tcPr>
          <w:p w14:paraId="64E642C0" w14:textId="5881E8C7" w:rsidR="00B8541A" w:rsidRPr="00830614" w:rsidRDefault="00B8541A" w:rsidP="00B8541A">
            <w:pPr>
              <w:spacing w:before="0" w:after="0" w:line="240" w:lineRule="exact"/>
              <w:rPr>
                <w:color w:val="000000"/>
                <w:sz w:val="20"/>
                <w:szCs w:val="20"/>
              </w:rPr>
            </w:pPr>
            <w:proofErr w:type="spellStart"/>
            <w:r w:rsidRPr="00F021E4">
              <w:t>DnDeemed</w:t>
            </w:r>
            <w:proofErr w:type="spellEnd"/>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709BB5FC" w14:textId="77777777" w:rsidR="00B8541A" w:rsidRPr="00830614" w:rsidRDefault="00B8541A" w:rsidP="00B8541A">
            <w:pPr>
              <w:spacing w:before="0" w:after="0" w:line="240" w:lineRule="exact"/>
              <w:rPr>
                <w:color w:val="000000"/>
                <w:sz w:val="20"/>
                <w:szCs w:val="20"/>
              </w:rPr>
            </w:pPr>
            <w:r w:rsidRPr="00830614">
              <w:rPr>
                <w:rFonts w:cs="Calibri Light"/>
                <w:color w:val="000000"/>
                <w:sz w:val="20"/>
                <w:szCs w:val="20"/>
              </w:rPr>
              <w:t>Ag</w:t>
            </w:r>
          </w:p>
        </w:tc>
      </w:tr>
      <w:tr w:rsidR="00B8541A" w14:paraId="5087678A" w14:textId="77777777" w:rsidTr="00B8541A">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6D4C6411" w14:textId="77777777" w:rsidR="00B8541A" w:rsidRPr="00830614" w:rsidRDefault="00B8541A" w:rsidP="00B8541A">
            <w:pPr>
              <w:spacing w:before="0" w:after="0" w:line="240" w:lineRule="exact"/>
              <w:rPr>
                <w:color w:val="000000"/>
                <w:sz w:val="20"/>
                <w:szCs w:val="20"/>
              </w:rPr>
            </w:pPr>
            <w:r w:rsidRPr="00830614">
              <w:rPr>
                <w:rFonts w:cs="Calibri Light"/>
                <w:color w:val="000000"/>
                <w:sz w:val="20"/>
                <w:szCs w:val="20"/>
              </w:rPr>
              <w:t>Normal replacement</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tcPr>
          <w:p w14:paraId="26A7D045" w14:textId="0ACBFB2E" w:rsidR="00B8541A" w:rsidRPr="00830614" w:rsidRDefault="00B8541A" w:rsidP="00B8541A">
            <w:pPr>
              <w:spacing w:before="0" w:after="0" w:line="240" w:lineRule="exact"/>
              <w:rPr>
                <w:color w:val="000000"/>
                <w:sz w:val="20"/>
                <w:szCs w:val="20"/>
              </w:rPr>
            </w:pPr>
            <w:proofErr w:type="spellStart"/>
            <w:r w:rsidRPr="00F021E4">
              <w:t>DnDeemed</w:t>
            </w:r>
            <w:proofErr w:type="spellEnd"/>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0EEDB6B8" w14:textId="77777777" w:rsidR="00B8541A" w:rsidRPr="00830614" w:rsidRDefault="00B8541A" w:rsidP="00B8541A">
            <w:pPr>
              <w:spacing w:before="0" w:after="0" w:line="240" w:lineRule="exact"/>
              <w:rPr>
                <w:color w:val="000000"/>
                <w:sz w:val="20"/>
                <w:szCs w:val="20"/>
              </w:rPr>
            </w:pPr>
            <w:r w:rsidRPr="00830614">
              <w:rPr>
                <w:rFonts w:cs="Calibri Light"/>
                <w:color w:val="000000"/>
                <w:sz w:val="20"/>
                <w:szCs w:val="20"/>
              </w:rPr>
              <w:t>Ind</w:t>
            </w:r>
          </w:p>
        </w:tc>
      </w:tr>
      <w:tr w:rsidR="00B8541A" w14:paraId="587E6095" w14:textId="77777777" w:rsidTr="00B8541A">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759C09E6" w14:textId="77777777" w:rsidR="00B8541A" w:rsidRPr="00830614" w:rsidRDefault="00B8541A" w:rsidP="00B8541A">
            <w:pPr>
              <w:spacing w:before="0" w:after="0" w:line="240" w:lineRule="exact"/>
              <w:rPr>
                <w:color w:val="000000"/>
                <w:sz w:val="20"/>
                <w:szCs w:val="20"/>
              </w:rPr>
            </w:pPr>
            <w:r w:rsidRPr="00830614">
              <w:rPr>
                <w:rFonts w:cs="Calibri Light"/>
                <w:color w:val="000000"/>
                <w:sz w:val="20"/>
                <w:szCs w:val="20"/>
              </w:rPr>
              <w:t>Normal replacement</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tcPr>
          <w:p w14:paraId="7E34A48D" w14:textId="4E6FC1DE" w:rsidR="00B8541A" w:rsidRPr="00830614" w:rsidRDefault="00B8541A" w:rsidP="00B8541A">
            <w:pPr>
              <w:spacing w:before="0" w:after="0" w:line="240" w:lineRule="exact"/>
              <w:rPr>
                <w:color w:val="000000"/>
                <w:sz w:val="20"/>
                <w:szCs w:val="20"/>
              </w:rPr>
            </w:pPr>
            <w:proofErr w:type="spellStart"/>
            <w:r w:rsidRPr="00F021E4">
              <w:t>DnDeemed</w:t>
            </w:r>
            <w:proofErr w:type="spellEnd"/>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4499B9EC" w14:textId="77777777" w:rsidR="00B8541A" w:rsidRPr="00830614" w:rsidRDefault="00B8541A" w:rsidP="00B8541A">
            <w:pPr>
              <w:spacing w:before="0" w:after="0" w:line="240" w:lineRule="exact"/>
              <w:rPr>
                <w:color w:val="000000"/>
                <w:sz w:val="20"/>
                <w:szCs w:val="20"/>
              </w:rPr>
            </w:pPr>
            <w:r w:rsidRPr="00830614">
              <w:rPr>
                <w:rFonts w:cs="Calibri Light"/>
                <w:color w:val="000000"/>
                <w:sz w:val="20"/>
                <w:szCs w:val="20"/>
              </w:rPr>
              <w:t>Com</w:t>
            </w:r>
          </w:p>
        </w:tc>
      </w:tr>
      <w:tr w:rsidR="00B8541A" w14:paraId="4688FA66" w14:textId="77777777" w:rsidTr="00B8541A">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4333472F" w14:textId="77777777" w:rsidR="00B8541A" w:rsidRPr="00830614" w:rsidRDefault="00B8541A" w:rsidP="00B8541A">
            <w:pPr>
              <w:spacing w:before="0" w:after="0" w:line="240" w:lineRule="exact"/>
              <w:rPr>
                <w:rFonts w:cs="Calibri Light"/>
                <w:color w:val="000000"/>
                <w:sz w:val="20"/>
                <w:szCs w:val="20"/>
              </w:rPr>
            </w:pPr>
            <w:r w:rsidRPr="00830614">
              <w:rPr>
                <w:rFonts w:cs="Calibri Light"/>
                <w:color w:val="000000"/>
                <w:sz w:val="20"/>
                <w:szCs w:val="20"/>
              </w:rPr>
              <w:t>Normal replacement</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tcPr>
          <w:p w14:paraId="213EB0BD" w14:textId="4A1E81B0" w:rsidR="00B8541A" w:rsidRPr="00830614" w:rsidRDefault="00B8541A" w:rsidP="00B8541A">
            <w:pPr>
              <w:spacing w:before="0" w:after="0" w:line="240" w:lineRule="exact"/>
              <w:rPr>
                <w:rFonts w:cs="Calibri Light"/>
                <w:color w:val="000000"/>
                <w:sz w:val="20"/>
                <w:szCs w:val="20"/>
              </w:rPr>
            </w:pPr>
            <w:proofErr w:type="spellStart"/>
            <w:r w:rsidRPr="007C269F">
              <w:t>UpDeemed</w:t>
            </w:r>
            <w:proofErr w:type="spellEnd"/>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7D0F1441" w14:textId="77777777" w:rsidR="00B8541A" w:rsidRPr="00830614" w:rsidRDefault="00B8541A" w:rsidP="00B8541A">
            <w:pPr>
              <w:spacing w:before="0" w:after="0" w:line="240" w:lineRule="exact"/>
              <w:rPr>
                <w:rFonts w:cs="Calibri Light"/>
                <w:color w:val="000000"/>
                <w:sz w:val="20"/>
                <w:szCs w:val="20"/>
              </w:rPr>
            </w:pPr>
            <w:r w:rsidRPr="00830614">
              <w:rPr>
                <w:rFonts w:cs="Calibri Light"/>
                <w:color w:val="000000"/>
                <w:sz w:val="20"/>
                <w:szCs w:val="20"/>
              </w:rPr>
              <w:t>Ag</w:t>
            </w:r>
          </w:p>
        </w:tc>
      </w:tr>
      <w:tr w:rsidR="00B8541A" w14:paraId="005697CD" w14:textId="77777777" w:rsidTr="00B8541A">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0FFAED67" w14:textId="77777777" w:rsidR="00B8541A" w:rsidRPr="00830614" w:rsidRDefault="00B8541A" w:rsidP="00B8541A">
            <w:pPr>
              <w:spacing w:before="0" w:after="0" w:line="240" w:lineRule="exact"/>
              <w:rPr>
                <w:rFonts w:cs="Calibri Light"/>
                <w:color w:val="000000"/>
                <w:sz w:val="20"/>
                <w:szCs w:val="20"/>
              </w:rPr>
            </w:pPr>
            <w:r w:rsidRPr="00830614">
              <w:rPr>
                <w:rFonts w:cs="Calibri Light"/>
                <w:color w:val="000000"/>
                <w:sz w:val="20"/>
                <w:szCs w:val="20"/>
              </w:rPr>
              <w:t>Normal replacement</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tcPr>
          <w:p w14:paraId="287253CC" w14:textId="0F620E17" w:rsidR="00B8541A" w:rsidRPr="00830614" w:rsidRDefault="00B8541A" w:rsidP="00B8541A">
            <w:pPr>
              <w:spacing w:before="0" w:after="0" w:line="240" w:lineRule="exact"/>
              <w:rPr>
                <w:rFonts w:cs="Calibri Light"/>
                <w:color w:val="000000"/>
                <w:sz w:val="20"/>
                <w:szCs w:val="20"/>
              </w:rPr>
            </w:pPr>
            <w:proofErr w:type="spellStart"/>
            <w:r w:rsidRPr="007C269F">
              <w:t>UpDeemed</w:t>
            </w:r>
            <w:proofErr w:type="spellEnd"/>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4505889C" w14:textId="77777777" w:rsidR="00B8541A" w:rsidRPr="00830614" w:rsidRDefault="00B8541A" w:rsidP="00B8541A">
            <w:pPr>
              <w:spacing w:before="0" w:after="0" w:line="240" w:lineRule="exact"/>
              <w:rPr>
                <w:rFonts w:cs="Calibri Light"/>
                <w:color w:val="000000"/>
                <w:sz w:val="20"/>
                <w:szCs w:val="20"/>
              </w:rPr>
            </w:pPr>
            <w:r w:rsidRPr="00830614">
              <w:rPr>
                <w:rFonts w:cs="Calibri Light"/>
                <w:color w:val="000000"/>
                <w:sz w:val="20"/>
                <w:szCs w:val="20"/>
              </w:rPr>
              <w:t>Ind</w:t>
            </w:r>
          </w:p>
        </w:tc>
      </w:tr>
      <w:tr w:rsidR="00B8541A" w14:paraId="6AA09219" w14:textId="77777777" w:rsidTr="00B8541A">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150A3FC2" w14:textId="77777777" w:rsidR="00B8541A" w:rsidRPr="00830614" w:rsidRDefault="00B8541A" w:rsidP="00B8541A">
            <w:pPr>
              <w:spacing w:before="0" w:after="0" w:line="240" w:lineRule="exact"/>
              <w:rPr>
                <w:rFonts w:cs="Calibri Light"/>
                <w:color w:val="000000"/>
                <w:sz w:val="20"/>
                <w:szCs w:val="20"/>
              </w:rPr>
            </w:pPr>
            <w:r w:rsidRPr="00830614">
              <w:rPr>
                <w:rFonts w:cs="Calibri Light"/>
                <w:color w:val="000000"/>
                <w:sz w:val="20"/>
                <w:szCs w:val="20"/>
              </w:rPr>
              <w:t>Normal replacement</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tcPr>
          <w:p w14:paraId="453CB65E" w14:textId="3FC330F8" w:rsidR="00B8541A" w:rsidRPr="00830614" w:rsidRDefault="00B8541A" w:rsidP="00B8541A">
            <w:pPr>
              <w:spacing w:before="0" w:after="0" w:line="240" w:lineRule="exact"/>
              <w:rPr>
                <w:rFonts w:cs="Calibri Light"/>
                <w:color w:val="000000"/>
                <w:sz w:val="20"/>
                <w:szCs w:val="20"/>
              </w:rPr>
            </w:pPr>
            <w:proofErr w:type="spellStart"/>
            <w:r w:rsidRPr="007C269F">
              <w:t>UpDeemed</w:t>
            </w:r>
            <w:proofErr w:type="spellEnd"/>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452D0188" w14:textId="77777777" w:rsidR="00B8541A" w:rsidRPr="00830614" w:rsidRDefault="00B8541A" w:rsidP="00B8541A">
            <w:pPr>
              <w:spacing w:before="0" w:after="0" w:line="240" w:lineRule="exact"/>
              <w:rPr>
                <w:rFonts w:cs="Calibri Light"/>
                <w:color w:val="000000"/>
                <w:sz w:val="20"/>
                <w:szCs w:val="20"/>
              </w:rPr>
            </w:pPr>
            <w:r w:rsidRPr="00830614">
              <w:rPr>
                <w:rFonts w:cs="Calibri Light"/>
                <w:color w:val="000000"/>
                <w:sz w:val="20"/>
                <w:szCs w:val="20"/>
              </w:rPr>
              <w:t>Com</w:t>
            </w:r>
          </w:p>
        </w:tc>
      </w:tr>
      <w:tr w:rsidR="00B8541A" w14:paraId="3A8CF6E0" w14:textId="77777777" w:rsidTr="00B8541A">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2D11C52A" w14:textId="77777777" w:rsidR="00B8541A" w:rsidRPr="00830614" w:rsidRDefault="00B8541A" w:rsidP="00B8541A">
            <w:pPr>
              <w:spacing w:before="0" w:after="0" w:line="240" w:lineRule="exact"/>
              <w:rPr>
                <w:rFonts w:cs="Calibri Light"/>
                <w:color w:val="000000"/>
                <w:sz w:val="20"/>
                <w:szCs w:val="20"/>
              </w:rPr>
            </w:pPr>
            <w:r w:rsidRPr="00830614">
              <w:rPr>
                <w:sz w:val="20"/>
                <w:szCs w:val="20"/>
              </w:rPr>
              <w:t xml:space="preserve">New construction </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tcPr>
          <w:p w14:paraId="1DC5AE4F" w14:textId="3E3A5ECE" w:rsidR="00B8541A" w:rsidRPr="00830614" w:rsidRDefault="00B8541A" w:rsidP="00B8541A">
            <w:pPr>
              <w:spacing w:before="0" w:after="0" w:line="240" w:lineRule="exact"/>
              <w:rPr>
                <w:rFonts w:cs="Calibri Light"/>
                <w:color w:val="000000"/>
                <w:sz w:val="20"/>
                <w:szCs w:val="20"/>
              </w:rPr>
            </w:pPr>
            <w:proofErr w:type="spellStart"/>
            <w:r w:rsidRPr="00787351">
              <w:t>DnDeemed</w:t>
            </w:r>
            <w:proofErr w:type="spellEnd"/>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43BCBC34" w14:textId="77777777" w:rsidR="00B8541A" w:rsidRPr="00830614" w:rsidRDefault="00B8541A" w:rsidP="00B8541A">
            <w:pPr>
              <w:spacing w:before="0" w:after="0" w:line="240" w:lineRule="exact"/>
              <w:rPr>
                <w:rFonts w:cs="Calibri Light"/>
                <w:color w:val="000000"/>
                <w:sz w:val="20"/>
                <w:szCs w:val="20"/>
              </w:rPr>
            </w:pPr>
            <w:r w:rsidRPr="00830614">
              <w:rPr>
                <w:rFonts w:cs="Calibri Light"/>
                <w:color w:val="000000"/>
                <w:sz w:val="20"/>
                <w:szCs w:val="20"/>
              </w:rPr>
              <w:t>Ag</w:t>
            </w:r>
          </w:p>
        </w:tc>
      </w:tr>
      <w:tr w:rsidR="00B8541A" w14:paraId="3EA510C6" w14:textId="77777777" w:rsidTr="00B8541A">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4CE7BD00" w14:textId="77777777" w:rsidR="00B8541A" w:rsidRPr="00830614" w:rsidRDefault="00B8541A" w:rsidP="00B8541A">
            <w:pPr>
              <w:spacing w:before="0" w:after="0" w:line="240" w:lineRule="exact"/>
              <w:rPr>
                <w:rFonts w:cs="Calibri Light"/>
                <w:color w:val="000000"/>
                <w:sz w:val="20"/>
                <w:szCs w:val="20"/>
              </w:rPr>
            </w:pPr>
            <w:r w:rsidRPr="00830614">
              <w:rPr>
                <w:sz w:val="20"/>
                <w:szCs w:val="20"/>
              </w:rPr>
              <w:t xml:space="preserve">New construction </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tcPr>
          <w:p w14:paraId="714A89BB" w14:textId="6053CDF7" w:rsidR="00B8541A" w:rsidRPr="00830614" w:rsidRDefault="00B8541A" w:rsidP="00B8541A">
            <w:pPr>
              <w:spacing w:before="0" w:after="0" w:line="240" w:lineRule="exact"/>
              <w:rPr>
                <w:rFonts w:cs="Calibri Light"/>
                <w:color w:val="000000"/>
                <w:sz w:val="20"/>
                <w:szCs w:val="20"/>
              </w:rPr>
            </w:pPr>
            <w:proofErr w:type="spellStart"/>
            <w:r w:rsidRPr="00787351">
              <w:t>DnDeemed</w:t>
            </w:r>
            <w:proofErr w:type="spellEnd"/>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5392B7E1" w14:textId="77777777" w:rsidR="00B8541A" w:rsidRPr="00830614" w:rsidRDefault="00B8541A" w:rsidP="00B8541A">
            <w:pPr>
              <w:spacing w:before="0" w:after="0" w:line="240" w:lineRule="exact"/>
              <w:rPr>
                <w:rFonts w:cs="Calibri Light"/>
                <w:color w:val="000000"/>
                <w:sz w:val="20"/>
                <w:szCs w:val="20"/>
              </w:rPr>
            </w:pPr>
            <w:r w:rsidRPr="00830614">
              <w:rPr>
                <w:rFonts w:cs="Calibri Light"/>
                <w:color w:val="000000"/>
                <w:sz w:val="20"/>
                <w:szCs w:val="20"/>
              </w:rPr>
              <w:t>Ind</w:t>
            </w:r>
          </w:p>
        </w:tc>
      </w:tr>
      <w:tr w:rsidR="00B8541A" w14:paraId="5CD23C30" w14:textId="77777777" w:rsidTr="00B8541A">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5D815432" w14:textId="77777777" w:rsidR="00B8541A" w:rsidRPr="00830614" w:rsidRDefault="00B8541A" w:rsidP="00B8541A">
            <w:pPr>
              <w:spacing w:before="0" w:after="0" w:line="240" w:lineRule="exact"/>
              <w:rPr>
                <w:rFonts w:cs="Calibri Light"/>
                <w:color w:val="000000"/>
                <w:sz w:val="20"/>
                <w:szCs w:val="20"/>
              </w:rPr>
            </w:pPr>
            <w:r w:rsidRPr="00830614">
              <w:rPr>
                <w:sz w:val="20"/>
                <w:szCs w:val="20"/>
              </w:rPr>
              <w:t xml:space="preserve">New construction </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tcPr>
          <w:p w14:paraId="4587DAF4" w14:textId="0A11615D" w:rsidR="00B8541A" w:rsidRPr="00830614" w:rsidRDefault="00B8541A" w:rsidP="00B8541A">
            <w:pPr>
              <w:spacing w:before="0" w:after="0" w:line="240" w:lineRule="exact"/>
              <w:rPr>
                <w:rFonts w:cs="Calibri Light"/>
                <w:color w:val="000000"/>
                <w:sz w:val="20"/>
                <w:szCs w:val="20"/>
              </w:rPr>
            </w:pPr>
            <w:proofErr w:type="spellStart"/>
            <w:r w:rsidRPr="00787351">
              <w:t>DnDeemed</w:t>
            </w:r>
            <w:proofErr w:type="spellEnd"/>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07E7A5D9" w14:textId="77777777" w:rsidR="00B8541A" w:rsidRPr="00830614" w:rsidRDefault="00B8541A" w:rsidP="00B8541A">
            <w:pPr>
              <w:spacing w:before="0" w:after="0" w:line="240" w:lineRule="exact"/>
              <w:rPr>
                <w:rFonts w:cs="Calibri Light"/>
                <w:color w:val="000000"/>
                <w:sz w:val="20"/>
                <w:szCs w:val="20"/>
              </w:rPr>
            </w:pPr>
            <w:r w:rsidRPr="00830614">
              <w:rPr>
                <w:rFonts w:cs="Calibri Light"/>
                <w:color w:val="000000"/>
                <w:sz w:val="20"/>
                <w:szCs w:val="20"/>
              </w:rPr>
              <w:t>Com</w:t>
            </w:r>
          </w:p>
        </w:tc>
      </w:tr>
      <w:tr w:rsidR="00B8541A" w14:paraId="70E6E9BA" w14:textId="77777777" w:rsidTr="00B8541A">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49489259" w14:textId="77777777" w:rsidR="00B8541A" w:rsidRPr="00830614" w:rsidRDefault="00B8541A" w:rsidP="00B8541A">
            <w:pPr>
              <w:spacing w:before="0" w:after="0" w:line="240" w:lineRule="exact"/>
              <w:rPr>
                <w:sz w:val="20"/>
                <w:szCs w:val="20"/>
              </w:rPr>
            </w:pPr>
            <w:r w:rsidRPr="00830614">
              <w:rPr>
                <w:sz w:val="20"/>
                <w:szCs w:val="20"/>
              </w:rPr>
              <w:t xml:space="preserve">New construction </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tcPr>
          <w:p w14:paraId="00234BC9" w14:textId="5809DF08" w:rsidR="00B8541A" w:rsidRPr="00830614" w:rsidRDefault="00B8541A" w:rsidP="00B8541A">
            <w:pPr>
              <w:spacing w:before="0" w:after="0" w:line="240" w:lineRule="exact"/>
              <w:rPr>
                <w:rFonts w:cs="Calibri Light"/>
                <w:color w:val="000000"/>
                <w:sz w:val="20"/>
                <w:szCs w:val="20"/>
              </w:rPr>
            </w:pPr>
            <w:proofErr w:type="spellStart"/>
            <w:r w:rsidRPr="009339A2">
              <w:t>UpDeemed</w:t>
            </w:r>
            <w:proofErr w:type="spellEnd"/>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651EFD43" w14:textId="77777777" w:rsidR="00B8541A" w:rsidRPr="00830614" w:rsidRDefault="00B8541A" w:rsidP="00B8541A">
            <w:pPr>
              <w:spacing w:before="0" w:after="0" w:line="240" w:lineRule="exact"/>
              <w:rPr>
                <w:rFonts w:cs="Calibri Light"/>
                <w:color w:val="000000"/>
                <w:sz w:val="20"/>
                <w:szCs w:val="20"/>
              </w:rPr>
            </w:pPr>
            <w:r w:rsidRPr="00830614">
              <w:rPr>
                <w:rFonts w:cs="Calibri Light"/>
                <w:color w:val="000000"/>
                <w:sz w:val="20"/>
                <w:szCs w:val="20"/>
              </w:rPr>
              <w:t>Ag</w:t>
            </w:r>
          </w:p>
        </w:tc>
      </w:tr>
      <w:tr w:rsidR="00B8541A" w14:paraId="7AF26BCF" w14:textId="77777777" w:rsidTr="00B8541A">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65A16C7E" w14:textId="77777777" w:rsidR="00B8541A" w:rsidRPr="00830614" w:rsidRDefault="00B8541A" w:rsidP="00B8541A">
            <w:pPr>
              <w:spacing w:before="0" w:after="0" w:line="240" w:lineRule="exact"/>
              <w:rPr>
                <w:sz w:val="20"/>
                <w:szCs w:val="20"/>
              </w:rPr>
            </w:pPr>
            <w:r w:rsidRPr="00830614">
              <w:rPr>
                <w:sz w:val="20"/>
                <w:szCs w:val="20"/>
              </w:rPr>
              <w:t xml:space="preserve">New construction </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tcPr>
          <w:p w14:paraId="7CCC1B93" w14:textId="0DBE0BB4" w:rsidR="00B8541A" w:rsidRPr="00830614" w:rsidRDefault="00B8541A" w:rsidP="00B8541A">
            <w:pPr>
              <w:spacing w:before="0" w:after="0" w:line="240" w:lineRule="exact"/>
              <w:rPr>
                <w:rFonts w:cs="Calibri Light"/>
                <w:color w:val="000000"/>
                <w:sz w:val="20"/>
                <w:szCs w:val="20"/>
              </w:rPr>
            </w:pPr>
            <w:proofErr w:type="spellStart"/>
            <w:r w:rsidRPr="009339A2">
              <w:t>UpDeemed</w:t>
            </w:r>
            <w:proofErr w:type="spellEnd"/>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3D4AD5A2" w14:textId="77777777" w:rsidR="00B8541A" w:rsidRPr="00830614" w:rsidRDefault="00B8541A" w:rsidP="00B8541A">
            <w:pPr>
              <w:spacing w:before="0" w:after="0" w:line="240" w:lineRule="exact"/>
              <w:rPr>
                <w:rFonts w:cs="Calibri Light"/>
                <w:color w:val="000000"/>
                <w:sz w:val="20"/>
                <w:szCs w:val="20"/>
              </w:rPr>
            </w:pPr>
            <w:r w:rsidRPr="00830614">
              <w:rPr>
                <w:rFonts w:cs="Calibri Light"/>
                <w:color w:val="000000"/>
                <w:sz w:val="20"/>
                <w:szCs w:val="20"/>
              </w:rPr>
              <w:t>Ind</w:t>
            </w:r>
          </w:p>
        </w:tc>
      </w:tr>
      <w:tr w:rsidR="00B8541A" w14:paraId="0635933D" w14:textId="77777777" w:rsidTr="00B8541A">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411EDABC" w14:textId="77777777" w:rsidR="00B8541A" w:rsidRPr="00830614" w:rsidRDefault="00B8541A" w:rsidP="00B8541A">
            <w:pPr>
              <w:spacing w:before="0" w:after="0" w:line="240" w:lineRule="exact"/>
              <w:rPr>
                <w:sz w:val="20"/>
                <w:szCs w:val="20"/>
              </w:rPr>
            </w:pPr>
            <w:r w:rsidRPr="00830614">
              <w:rPr>
                <w:sz w:val="20"/>
                <w:szCs w:val="20"/>
              </w:rPr>
              <w:t xml:space="preserve">New construction </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tcPr>
          <w:p w14:paraId="57BA45EC" w14:textId="4ED3AB0B" w:rsidR="00B8541A" w:rsidRPr="00830614" w:rsidRDefault="00B8541A" w:rsidP="00B8541A">
            <w:pPr>
              <w:spacing w:before="0" w:after="0" w:line="240" w:lineRule="exact"/>
              <w:rPr>
                <w:rFonts w:cs="Calibri Light"/>
                <w:color w:val="000000"/>
                <w:sz w:val="20"/>
                <w:szCs w:val="20"/>
              </w:rPr>
            </w:pPr>
            <w:proofErr w:type="spellStart"/>
            <w:r w:rsidRPr="009339A2">
              <w:t>UpDeemed</w:t>
            </w:r>
            <w:proofErr w:type="spellEnd"/>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20195098" w14:textId="77777777" w:rsidR="00B8541A" w:rsidRPr="00830614" w:rsidRDefault="00B8541A" w:rsidP="00B8541A">
            <w:pPr>
              <w:spacing w:before="0" w:after="0" w:line="240" w:lineRule="exact"/>
              <w:rPr>
                <w:rFonts w:cs="Calibri Light"/>
                <w:color w:val="000000"/>
                <w:sz w:val="20"/>
                <w:szCs w:val="20"/>
              </w:rPr>
            </w:pPr>
            <w:r w:rsidRPr="00830614">
              <w:rPr>
                <w:rFonts w:cs="Calibri Light"/>
                <w:color w:val="000000"/>
                <w:sz w:val="20"/>
                <w:szCs w:val="20"/>
              </w:rPr>
              <w:t>Com</w:t>
            </w:r>
          </w:p>
        </w:tc>
      </w:tr>
    </w:tbl>
    <w:p w14:paraId="505E5198" w14:textId="77777777" w:rsidR="00A115A2" w:rsidRDefault="00A115A2" w:rsidP="00A115A2"/>
    <w:p w14:paraId="4D6D042B" w14:textId="77777777" w:rsidR="001C50D5" w:rsidRDefault="001C50D5" w:rsidP="001C50D5">
      <w:pPr>
        <w:pStyle w:val="eTRMHeading5"/>
      </w:pPr>
      <w:r>
        <w:t>Eligible Products</w:t>
      </w:r>
    </w:p>
    <w:p w14:paraId="6A45B831" w14:textId="77777777" w:rsidR="001C50D5" w:rsidRPr="00C86082" w:rsidRDefault="001C50D5" w:rsidP="001C50D5">
      <w:pPr>
        <w:rPr>
          <w:b/>
          <w:i/>
          <w:sz w:val="20"/>
          <w:szCs w:val="20"/>
        </w:rPr>
      </w:pPr>
      <w:r>
        <w:t xml:space="preserve">This measure includes new </w:t>
      </w:r>
      <w:r w:rsidR="008F52E8">
        <w:rPr>
          <w:rFonts w:cs="Arial"/>
          <w:szCs w:val="22"/>
        </w:rPr>
        <w:t>full-size (≥ 15 ft</w:t>
      </w:r>
      <w:r w:rsidR="008F52E8" w:rsidRPr="00817401">
        <w:rPr>
          <w:rFonts w:cs="Arial"/>
          <w:szCs w:val="22"/>
          <w:vertAlign w:val="superscript"/>
        </w:rPr>
        <w:t>3</w:t>
      </w:r>
      <w:r w:rsidR="008F52E8">
        <w:rPr>
          <w:rFonts w:cs="Arial"/>
          <w:szCs w:val="22"/>
        </w:rPr>
        <w:t>) and half-size (&lt; 15ft</w:t>
      </w:r>
      <w:r w:rsidR="008F52E8" w:rsidRPr="00817401">
        <w:rPr>
          <w:rFonts w:cs="Arial"/>
          <w:szCs w:val="22"/>
          <w:vertAlign w:val="superscript"/>
        </w:rPr>
        <w:t>3</w:t>
      </w:r>
      <w:r w:rsidR="008F52E8">
        <w:rPr>
          <w:rFonts w:cs="Arial"/>
          <w:szCs w:val="22"/>
        </w:rPr>
        <w:t xml:space="preserve">) </w:t>
      </w:r>
      <w:r>
        <w:t xml:space="preserve">insulated food </w:t>
      </w:r>
      <w:r w:rsidR="008F52E8">
        <w:t xml:space="preserve">holding </w:t>
      </w:r>
      <w:r>
        <w:t>cabinets. Eligible products must meet the following requirements:</w:t>
      </w:r>
    </w:p>
    <w:p w14:paraId="0FB81016" w14:textId="1720AFE2" w:rsidR="001C50D5" w:rsidRPr="00C86082" w:rsidRDefault="001C50D5" w:rsidP="001C50D5">
      <w:pPr>
        <w:pStyle w:val="eTRMBulletedText"/>
      </w:pPr>
      <w:r w:rsidRPr="00C86082">
        <w:t xml:space="preserve">Qualifying cabinets must not exceed the maximum idle energy rate of </w:t>
      </w:r>
      <w:r w:rsidR="00047564">
        <w:t>25</w:t>
      </w:r>
      <w:r w:rsidR="00047564" w:rsidRPr="00C86082">
        <w:t xml:space="preserve"> </w:t>
      </w:r>
      <w:r>
        <w:t>W/</w:t>
      </w:r>
      <w:r w:rsidRPr="00C86082">
        <w:t>ft</w:t>
      </w:r>
      <w:r w:rsidRPr="00C86082">
        <w:rPr>
          <w:vertAlign w:val="superscript"/>
        </w:rPr>
        <w:t>3</w:t>
      </w:r>
      <w:r w:rsidRPr="00C86082">
        <w:t xml:space="preserve"> </w:t>
      </w:r>
      <w:r w:rsidR="00047564">
        <w:t>for full-size cabinets and 35 W/</w:t>
      </w:r>
      <w:r w:rsidR="00047564" w:rsidRPr="00047564">
        <w:t xml:space="preserve"> </w:t>
      </w:r>
      <w:r w:rsidR="00047564" w:rsidRPr="00C86082">
        <w:t>ft</w:t>
      </w:r>
      <w:r w:rsidR="00047564">
        <w:rPr>
          <w:vertAlign w:val="superscript"/>
        </w:rPr>
        <w:t>3</w:t>
      </w:r>
      <w:r w:rsidR="00047564">
        <w:t xml:space="preserve"> for half-size cabinets, </w:t>
      </w:r>
      <w:r w:rsidRPr="00C86082">
        <w:t xml:space="preserve">in accordance with the </w:t>
      </w:r>
      <w:r w:rsidR="008F52E8" w:rsidRPr="00E8741C">
        <w:t xml:space="preserve">American Society for Testing and Materials </w:t>
      </w:r>
      <w:r w:rsidR="008F52E8">
        <w:t>(</w:t>
      </w:r>
      <w:r w:rsidR="008F52E8" w:rsidRPr="006C2134">
        <w:t>ASTM</w:t>
      </w:r>
      <w:r w:rsidR="008F52E8">
        <w:t>)</w:t>
      </w:r>
      <w:r w:rsidR="008F52E8" w:rsidRPr="006C2134">
        <w:t xml:space="preserve"> Standard Test Method for the Performance of Hot Food Holding Cabinets </w:t>
      </w:r>
      <w:r w:rsidR="008F52E8">
        <w:t>(</w:t>
      </w:r>
      <w:r w:rsidR="008F52E8" w:rsidRPr="007325DF">
        <w:t>F2140</w:t>
      </w:r>
      <w:r w:rsidR="008F52E8">
        <w:t>)</w:t>
      </w:r>
      <w:r w:rsidR="008F52E8" w:rsidRPr="007325DF">
        <w:t>.</w:t>
      </w:r>
      <w:r w:rsidR="008F52E8">
        <w:rPr>
          <w:rStyle w:val="FootnoteReference"/>
        </w:rPr>
        <w:footnoteReference w:id="5"/>
      </w:r>
      <w:r w:rsidR="008F52E8">
        <w:t xml:space="preserve"> </w:t>
      </w:r>
    </w:p>
    <w:p w14:paraId="234DDF21" w14:textId="77777777" w:rsidR="001C50D5" w:rsidRPr="00C86082" w:rsidRDefault="001C50D5" w:rsidP="001C50D5">
      <w:pPr>
        <w:pStyle w:val="eTRMBulletedText"/>
      </w:pPr>
      <w:r w:rsidRPr="00C86082">
        <w:t>All measures must be electric hot food holding cabinets that are fully insulated (i.e., on all sides) and have solid or transparent doors designed to maintain the temperature of hot food that has been cooked using a separate appliance.</w:t>
      </w:r>
    </w:p>
    <w:p w14:paraId="7D75C53C" w14:textId="77777777" w:rsidR="001C50D5" w:rsidRPr="003A54D6" w:rsidRDefault="001C50D5" w:rsidP="003A54D6">
      <w:pPr>
        <w:pStyle w:val="eTRMBulletedText"/>
      </w:pPr>
      <w:r w:rsidRPr="003A54D6">
        <w:t xml:space="preserve">Eligible holding cabinets must </w:t>
      </w:r>
      <w:r w:rsidR="00066749" w:rsidRPr="003A54D6">
        <w:t xml:space="preserve">listed </w:t>
      </w:r>
      <w:r w:rsidRPr="003A54D6">
        <w:t>be on the Food Service Technology Center (FSTC) qualified product list</w:t>
      </w:r>
      <w:r w:rsidR="003A54D6" w:rsidRPr="003A54D6">
        <w:t xml:space="preserve"> (https://fishnick.com/saveenergy/rebates/)</w:t>
      </w:r>
      <w:r w:rsidRPr="003A54D6">
        <w:t>.</w:t>
      </w:r>
    </w:p>
    <w:p w14:paraId="2A1C7D3E" w14:textId="77777777" w:rsidR="001C50D5" w:rsidRPr="00FC2D4E" w:rsidRDefault="001C50D5" w:rsidP="001C50D5"/>
    <w:p w14:paraId="21FD8379" w14:textId="77777777" w:rsidR="001C50D5" w:rsidRDefault="001C50D5" w:rsidP="001C50D5">
      <w:pPr>
        <w:pStyle w:val="eTRMHeading5"/>
        <w:keepNext/>
        <w:keepLines/>
      </w:pPr>
      <w:r w:rsidRPr="00401C43">
        <w:t>Eligible Building Types</w:t>
      </w:r>
      <w:r>
        <w:t xml:space="preserve"> and Vintages</w:t>
      </w:r>
    </w:p>
    <w:p w14:paraId="15A98B88" w14:textId="77777777" w:rsidR="001C50D5" w:rsidRDefault="001C50D5" w:rsidP="001C50D5">
      <w:pPr>
        <w:keepNext/>
        <w:keepLines/>
      </w:pPr>
      <w:r w:rsidRPr="0047380A">
        <w:t xml:space="preserve">This measure is applicable </w:t>
      </w:r>
      <w:r>
        <w:t>for</w:t>
      </w:r>
      <w:r w:rsidRPr="0047380A">
        <w:t xml:space="preserve"> any </w:t>
      </w:r>
      <w:r>
        <w:t>nonresidential building type of any vintage.</w:t>
      </w:r>
    </w:p>
    <w:p w14:paraId="245A9A54" w14:textId="77777777" w:rsidR="001C50D5" w:rsidRPr="00FC2D4E" w:rsidRDefault="001C50D5" w:rsidP="001C50D5"/>
    <w:p w14:paraId="42DF4BA7" w14:textId="77777777" w:rsidR="001C50D5" w:rsidRPr="004B06E3" w:rsidRDefault="001C50D5" w:rsidP="001C50D5">
      <w:pPr>
        <w:pStyle w:val="eTRMHeading5"/>
      </w:pPr>
      <w:r>
        <w:t>Eligible Climate Zones</w:t>
      </w:r>
    </w:p>
    <w:p w14:paraId="0B6615EB" w14:textId="77777777" w:rsidR="001C50D5" w:rsidRDefault="001C50D5" w:rsidP="001C50D5">
      <w:r>
        <w:t>This measure is applicable in any California climate zone.</w:t>
      </w:r>
    </w:p>
    <w:p w14:paraId="6663A073" w14:textId="77777777" w:rsidR="00BD50B8" w:rsidRDefault="00BD50B8" w:rsidP="001C50D5"/>
    <w:p w14:paraId="170F51F1" w14:textId="77777777" w:rsidR="00BD50B8" w:rsidRPr="004B06E3" w:rsidRDefault="00BD50B8" w:rsidP="00BD50B8">
      <w:pPr>
        <w:pStyle w:val="eTRMHeading3"/>
      </w:pPr>
      <w:bookmarkStart w:id="30" w:name="_Toc486490853"/>
      <w:bookmarkStart w:id="31" w:name="_Toc486580924"/>
      <w:bookmarkStart w:id="32" w:name="_Toc24559522"/>
      <w:r w:rsidRPr="004B06E3">
        <w:t>Program Exclusions</w:t>
      </w:r>
      <w:bookmarkEnd w:id="30"/>
      <w:bookmarkEnd w:id="31"/>
      <w:bookmarkEnd w:id="32"/>
      <w:r w:rsidRPr="004B06E3">
        <w:t xml:space="preserve"> </w:t>
      </w:r>
    </w:p>
    <w:p w14:paraId="41C74F2F" w14:textId="2FF9CAFD" w:rsidR="00BD50B8" w:rsidRDefault="00BD50B8" w:rsidP="00BD50B8">
      <w:r w:rsidRPr="00356765">
        <w:rPr>
          <w:rFonts w:cs="Arial"/>
          <w:szCs w:val="22"/>
        </w:rPr>
        <w:t>This measure does not include cook-and-hold or retherm equipment.</w:t>
      </w:r>
      <w:r>
        <w:rPr>
          <w:rFonts w:cs="Arial"/>
          <w:szCs w:val="22"/>
        </w:rPr>
        <w:t xml:space="preserve"> </w:t>
      </w:r>
      <w:r w:rsidRPr="002C01E3">
        <w:t xml:space="preserve">Used or rebuilt equipment </w:t>
      </w:r>
      <w:r>
        <w:t>are not eligible.</w:t>
      </w:r>
      <w:r w:rsidR="004C5636">
        <w:t xml:space="preserve"> Any </w:t>
      </w:r>
      <w:r w:rsidR="004707C6">
        <w:t>cabinets</w:t>
      </w:r>
      <w:r w:rsidR="004C5636">
        <w:t xml:space="preserve"> considered in this measure must have an electric resistance heating element, passive holding cabinets with no heating elements are not eligible.</w:t>
      </w:r>
    </w:p>
    <w:p w14:paraId="1635A69A" w14:textId="77777777" w:rsidR="001C50D5" w:rsidRPr="004B06E3" w:rsidRDefault="001C50D5" w:rsidP="001C50D5"/>
    <w:p w14:paraId="23452455" w14:textId="77777777" w:rsidR="007D230B" w:rsidRPr="004B06E3" w:rsidRDefault="007D230B" w:rsidP="00277238">
      <w:pPr>
        <w:pStyle w:val="eTRMHeading3"/>
      </w:pPr>
      <w:bookmarkStart w:id="33" w:name="_Toc24559523"/>
      <w:r w:rsidRPr="004B06E3">
        <w:t>Data Collection Requirements</w:t>
      </w:r>
      <w:bookmarkEnd w:id="26"/>
      <w:bookmarkEnd w:id="27"/>
      <w:bookmarkEnd w:id="33"/>
      <w:r w:rsidRPr="004B06E3">
        <w:t xml:space="preserve"> </w:t>
      </w:r>
    </w:p>
    <w:p w14:paraId="2E8FA82C" w14:textId="77777777" w:rsidR="0083650E" w:rsidRDefault="0083650E" w:rsidP="0083650E">
      <w:bookmarkStart w:id="34" w:name="_Toc486490855"/>
      <w:bookmarkStart w:id="35" w:name="_Toc486580926"/>
      <w:r>
        <w:t>Data collection requirements are to be determined.</w:t>
      </w:r>
    </w:p>
    <w:p w14:paraId="58336AE9" w14:textId="77777777" w:rsidR="0083650E" w:rsidRDefault="0083650E" w:rsidP="0083650E"/>
    <w:p w14:paraId="47995F0F" w14:textId="77777777" w:rsidR="007D230B" w:rsidRPr="004B06E3" w:rsidRDefault="007D230B" w:rsidP="00277238">
      <w:pPr>
        <w:pStyle w:val="eTRMHeading3"/>
      </w:pPr>
      <w:bookmarkStart w:id="36" w:name="_Toc24559524"/>
      <w:r w:rsidRPr="004B06E3">
        <w:t>Use Category</w:t>
      </w:r>
      <w:bookmarkEnd w:id="34"/>
      <w:bookmarkEnd w:id="35"/>
      <w:bookmarkEnd w:id="36"/>
    </w:p>
    <w:p w14:paraId="61E0AA4C" w14:textId="4294EF3A" w:rsidR="001945B5" w:rsidRDefault="001945B5" w:rsidP="001945B5">
      <w:proofErr w:type="spellStart"/>
      <w:r>
        <w:t>FoodServ</w:t>
      </w:r>
      <w:proofErr w:type="spellEnd"/>
    </w:p>
    <w:p w14:paraId="02F21C60" w14:textId="77777777" w:rsidR="00526526" w:rsidRPr="004142EF" w:rsidRDefault="00526526" w:rsidP="004142EF"/>
    <w:p w14:paraId="1D373E88" w14:textId="77777777" w:rsidR="00100423" w:rsidRDefault="00100423" w:rsidP="00100423">
      <w:pPr>
        <w:pStyle w:val="eTRMHeading3"/>
      </w:pPr>
      <w:bookmarkStart w:id="37" w:name="_Toc506890113"/>
      <w:bookmarkStart w:id="38" w:name="_Toc24559525"/>
      <w:bookmarkStart w:id="39" w:name="_Toc517178421"/>
      <w:r w:rsidRPr="004B06E3">
        <w:lastRenderedPageBreak/>
        <w:t>Electric Savings (</w:t>
      </w:r>
      <w:r w:rsidRPr="007D2355">
        <w:rPr>
          <w:caps w:val="0"/>
        </w:rPr>
        <w:t>k</w:t>
      </w:r>
      <w:r w:rsidRPr="004B06E3">
        <w:t>W</w:t>
      </w:r>
      <w:r w:rsidRPr="00851FDC">
        <w:rPr>
          <w:caps w:val="0"/>
        </w:rPr>
        <w:t>h</w:t>
      </w:r>
      <w:r w:rsidRPr="004B06E3">
        <w:t>)</w:t>
      </w:r>
      <w:bookmarkEnd w:id="37"/>
      <w:bookmarkEnd w:id="38"/>
    </w:p>
    <w:bookmarkEnd w:id="39"/>
    <w:p w14:paraId="6B66AEF6" w14:textId="77777777" w:rsidR="008F52E8" w:rsidRDefault="008F52E8" w:rsidP="00280C3B">
      <w:pPr>
        <w:keepNext/>
        <w:keepLines/>
      </w:pPr>
      <w:r>
        <w:t>The annual unit energy saving (UES) is then calculated as the difference between the baseline and measure case unit energy consumption (UEC).</w:t>
      </w:r>
    </w:p>
    <w:p w14:paraId="5D53161E" w14:textId="77777777" w:rsidR="00280C3B" w:rsidRDefault="008F52E8" w:rsidP="00280C3B">
      <w:pPr>
        <w:keepNext/>
        <w:keepLines/>
      </w:pPr>
      <w:r>
        <w:t>T</w:t>
      </w:r>
      <w:r w:rsidR="00825E31">
        <w:t xml:space="preserve">he </w:t>
      </w:r>
      <w:r w:rsidR="00DF4FF4">
        <w:rPr>
          <w:b/>
        </w:rPr>
        <w:t>daily</w:t>
      </w:r>
      <w:r w:rsidR="004A67A7">
        <w:rPr>
          <w:b/>
        </w:rPr>
        <w:t xml:space="preserve"> UEC</w:t>
      </w:r>
      <w:r w:rsidR="00825E31">
        <w:t xml:space="preserve"> of a </w:t>
      </w:r>
      <w:r w:rsidR="00280C3B">
        <w:t>commercial insulated hot food holding cabinet</w:t>
      </w:r>
      <w:r>
        <w:t xml:space="preserve"> is a function of the cabinet size, idle energy rate, and </w:t>
      </w:r>
      <w:r w:rsidR="003A54D6">
        <w:t xml:space="preserve">operating </w:t>
      </w:r>
      <w:r>
        <w:t>hours</w:t>
      </w:r>
      <w:r w:rsidR="003A54D6">
        <w:t xml:space="preserve"> per day</w:t>
      </w:r>
      <w:r>
        <w:t>.</w:t>
      </w:r>
      <w:r w:rsidR="002259D0">
        <w:rPr>
          <w:rStyle w:val="FootnoteReference"/>
        </w:rPr>
        <w:footnoteReference w:id="6"/>
      </w:r>
      <w:r w:rsidR="00825E31">
        <w:t xml:space="preserve"> </w:t>
      </w:r>
      <w:r w:rsidR="00DF4FF4">
        <w:t>The annual UEC is calculated as the daily UEC multiplied by the number of operating days per year.</w:t>
      </w:r>
    </w:p>
    <w:p w14:paraId="57845563" w14:textId="77777777" w:rsidR="00280C3B" w:rsidRPr="00DF4FF4" w:rsidRDefault="00825E31" w:rsidP="00280C3B">
      <w:pPr>
        <w:ind w:left="720"/>
        <w:rPr>
          <w:rFonts w:cs="Arial"/>
          <w:i/>
          <w:sz w:val="18"/>
          <w:szCs w:val="18"/>
        </w:rPr>
      </w:pPr>
      <m:oMathPara>
        <m:oMathParaPr>
          <m:jc m:val="left"/>
        </m:oMathParaPr>
        <m:oMath>
          <m:r>
            <w:rPr>
              <w:rFonts w:ascii="Cambria Math" w:hAnsi="Cambria Math" w:cs="Arial"/>
              <w:sz w:val="18"/>
              <w:szCs w:val="18"/>
            </w:rPr>
            <m:t>UEC_DAY=CVOL×IDLERATE×EHOU</m:t>
          </m:r>
        </m:oMath>
      </m:oMathPara>
    </w:p>
    <w:p w14:paraId="0ACCA4AA" w14:textId="77777777" w:rsidR="00DF4FF4" w:rsidRPr="00280C3B" w:rsidRDefault="00DF4FF4" w:rsidP="00280C3B">
      <w:pPr>
        <w:ind w:left="720"/>
        <w:rPr>
          <w:rFonts w:cs="Arial"/>
          <w:i/>
          <w:sz w:val="18"/>
          <w:szCs w:val="18"/>
        </w:rPr>
      </w:pPr>
      <m:oMathPara>
        <m:oMathParaPr>
          <m:jc m:val="left"/>
        </m:oMathParaPr>
        <m:oMath>
          <m:r>
            <w:rPr>
              <w:rFonts w:ascii="Cambria Math" w:hAnsi="Cambria Math" w:cs="Arial"/>
              <w:sz w:val="18"/>
              <w:szCs w:val="18"/>
            </w:rPr>
            <m:t>UEC_YEAR=UEC_DAY×EDAYS</m:t>
          </m:r>
        </m:oMath>
      </m:oMathPara>
    </w:p>
    <w:p w14:paraId="67D5BE3C" w14:textId="77777777" w:rsidR="00DF4FF4" w:rsidRDefault="00DF4FF4" w:rsidP="00825E31">
      <w:pPr>
        <w:tabs>
          <w:tab w:val="left" w:pos="2880"/>
        </w:tabs>
        <w:spacing w:before="20" w:after="20"/>
        <w:ind w:left="2880" w:hanging="1440"/>
        <w:rPr>
          <w:rFonts w:ascii="Cambria Math" w:hAnsi="Cambria Math" w:cs="Calibri Light"/>
          <w:i/>
          <w:sz w:val="18"/>
          <w:szCs w:val="20"/>
        </w:rPr>
      </w:pPr>
      <w:r>
        <w:rPr>
          <w:rFonts w:ascii="Cambria Math" w:hAnsi="Cambria Math" w:cs="Calibri Light"/>
          <w:i/>
          <w:sz w:val="18"/>
          <w:szCs w:val="20"/>
        </w:rPr>
        <w:t xml:space="preserve">UEC_DAY = </w:t>
      </w:r>
      <w:r>
        <w:rPr>
          <w:rFonts w:ascii="Cambria Math" w:hAnsi="Cambria Math" w:cs="Calibri Light"/>
          <w:i/>
          <w:sz w:val="18"/>
          <w:szCs w:val="20"/>
        </w:rPr>
        <w:tab/>
        <w:t>Calculated daily energy consumption (kWh/day)</w:t>
      </w:r>
    </w:p>
    <w:p w14:paraId="0DEFF1A5" w14:textId="77777777" w:rsidR="00280C3B" w:rsidRPr="006F6FEA" w:rsidRDefault="00280C3B" w:rsidP="00280C3B">
      <w:pPr>
        <w:tabs>
          <w:tab w:val="left" w:pos="2880"/>
        </w:tabs>
        <w:spacing w:before="20" w:after="20" w:line="200" w:lineRule="atLeast"/>
        <w:ind w:left="1440"/>
        <w:rPr>
          <w:rFonts w:ascii="Cambria Math" w:hAnsi="Cambria Math" w:cs="Arial"/>
          <w:i/>
          <w:sz w:val="18"/>
          <w:szCs w:val="20"/>
        </w:rPr>
      </w:pPr>
      <w:r w:rsidRPr="006F6FEA">
        <w:rPr>
          <w:rFonts w:ascii="Cambria Math" w:hAnsi="Cambria Math" w:cs="Arial"/>
          <w:i/>
          <w:sz w:val="18"/>
          <w:szCs w:val="20"/>
        </w:rPr>
        <w:t>CVOL =</w:t>
      </w:r>
      <w:r w:rsidRPr="006F6FEA">
        <w:rPr>
          <w:rFonts w:ascii="Cambria Math" w:hAnsi="Cambria Math" w:cs="Arial"/>
          <w:i/>
          <w:sz w:val="18"/>
          <w:szCs w:val="20"/>
        </w:rPr>
        <w:tab/>
        <w:t xml:space="preserve">Cabinet </w:t>
      </w:r>
      <w:r w:rsidR="00804F17">
        <w:rPr>
          <w:rFonts w:ascii="Cambria Math" w:hAnsi="Cambria Math" w:cs="Arial"/>
          <w:i/>
          <w:sz w:val="18"/>
          <w:szCs w:val="20"/>
        </w:rPr>
        <w:t>s</w:t>
      </w:r>
      <w:r w:rsidRPr="006F6FEA">
        <w:rPr>
          <w:rFonts w:ascii="Cambria Math" w:hAnsi="Cambria Math" w:cs="Arial"/>
          <w:i/>
          <w:sz w:val="18"/>
          <w:szCs w:val="20"/>
        </w:rPr>
        <w:t>ize (ft³)</w:t>
      </w:r>
    </w:p>
    <w:p w14:paraId="4916055B" w14:textId="77777777" w:rsidR="00280C3B" w:rsidRPr="006F6FEA" w:rsidRDefault="008F52E8" w:rsidP="00280C3B">
      <w:pPr>
        <w:tabs>
          <w:tab w:val="left" w:pos="2880"/>
        </w:tabs>
        <w:spacing w:before="20" w:after="20" w:line="200" w:lineRule="atLeast"/>
        <w:ind w:left="1440"/>
        <w:rPr>
          <w:rFonts w:ascii="Cambria Math" w:hAnsi="Cambria Math" w:cs="Arial"/>
          <w:i/>
          <w:sz w:val="18"/>
          <w:szCs w:val="20"/>
        </w:rPr>
      </w:pPr>
      <w:r>
        <w:rPr>
          <w:rFonts w:ascii="Cambria Math" w:hAnsi="Cambria Math" w:cs="Arial"/>
          <w:i/>
          <w:sz w:val="18"/>
          <w:szCs w:val="20"/>
        </w:rPr>
        <w:t>IDLERATE</w:t>
      </w:r>
      <w:r w:rsidR="00280C3B" w:rsidRPr="006F6FEA">
        <w:rPr>
          <w:rFonts w:ascii="Cambria Math" w:hAnsi="Cambria Math" w:cs="Arial"/>
          <w:i/>
          <w:sz w:val="18"/>
          <w:szCs w:val="20"/>
        </w:rPr>
        <w:t xml:space="preserve"> =</w:t>
      </w:r>
      <w:r w:rsidR="00280C3B" w:rsidRPr="006F6FEA">
        <w:rPr>
          <w:rFonts w:ascii="Cambria Math" w:hAnsi="Cambria Math" w:cs="Arial"/>
          <w:i/>
          <w:sz w:val="18"/>
          <w:szCs w:val="20"/>
        </w:rPr>
        <w:tab/>
        <w:t xml:space="preserve">Idle </w:t>
      </w:r>
      <w:r w:rsidR="00804F17">
        <w:rPr>
          <w:rFonts w:ascii="Cambria Math" w:hAnsi="Cambria Math" w:cs="Arial"/>
          <w:i/>
          <w:sz w:val="18"/>
          <w:szCs w:val="20"/>
        </w:rPr>
        <w:t>energy r</w:t>
      </w:r>
      <w:r w:rsidR="00280C3B" w:rsidRPr="006F6FEA">
        <w:rPr>
          <w:rFonts w:ascii="Cambria Math" w:hAnsi="Cambria Math" w:cs="Arial"/>
          <w:i/>
          <w:sz w:val="18"/>
          <w:szCs w:val="20"/>
        </w:rPr>
        <w:t>ate (kW</w:t>
      </w:r>
      <w:r w:rsidR="00942A91">
        <w:rPr>
          <w:rFonts w:ascii="Cambria Math" w:hAnsi="Cambria Math" w:cs="Arial"/>
          <w:i/>
          <w:sz w:val="18"/>
          <w:szCs w:val="20"/>
        </w:rPr>
        <w:t>/ft</w:t>
      </w:r>
      <w:r w:rsidR="00942A91" w:rsidRPr="00942A91">
        <w:rPr>
          <w:rFonts w:ascii="Cambria Math" w:hAnsi="Cambria Math" w:cs="Arial"/>
          <w:i/>
          <w:sz w:val="18"/>
          <w:szCs w:val="20"/>
          <w:vertAlign w:val="superscript"/>
        </w:rPr>
        <w:t>3</w:t>
      </w:r>
      <w:r w:rsidR="00280C3B" w:rsidRPr="006F6FEA">
        <w:rPr>
          <w:rFonts w:ascii="Cambria Math" w:hAnsi="Cambria Math" w:cs="Arial"/>
          <w:i/>
          <w:sz w:val="18"/>
          <w:szCs w:val="20"/>
        </w:rPr>
        <w:t>)</w:t>
      </w:r>
    </w:p>
    <w:p w14:paraId="6CD859A9" w14:textId="77777777" w:rsidR="00280C3B" w:rsidRDefault="00280C3B" w:rsidP="00280C3B">
      <w:pPr>
        <w:tabs>
          <w:tab w:val="left" w:pos="2880"/>
        </w:tabs>
        <w:spacing w:before="20" w:after="20" w:line="200" w:lineRule="atLeast"/>
        <w:ind w:left="1440"/>
        <w:rPr>
          <w:rFonts w:ascii="Cambria Math" w:hAnsi="Cambria Math" w:cs="Arial"/>
          <w:i/>
          <w:sz w:val="18"/>
          <w:szCs w:val="20"/>
        </w:rPr>
      </w:pPr>
      <w:r w:rsidRPr="006F6FEA">
        <w:rPr>
          <w:rFonts w:ascii="Cambria Math" w:hAnsi="Cambria Math" w:cs="Arial"/>
          <w:i/>
          <w:sz w:val="18"/>
          <w:szCs w:val="20"/>
        </w:rPr>
        <w:t>EHOU =</w:t>
      </w:r>
      <w:r w:rsidRPr="006F6FEA">
        <w:rPr>
          <w:rFonts w:ascii="Cambria Math" w:hAnsi="Cambria Math" w:cs="Arial"/>
          <w:i/>
          <w:sz w:val="18"/>
          <w:szCs w:val="20"/>
        </w:rPr>
        <w:tab/>
        <w:t xml:space="preserve">Estimated </w:t>
      </w:r>
      <w:r w:rsidR="00804F17">
        <w:rPr>
          <w:rFonts w:ascii="Cambria Math" w:hAnsi="Cambria Math" w:cs="Arial"/>
          <w:i/>
          <w:sz w:val="18"/>
          <w:szCs w:val="20"/>
        </w:rPr>
        <w:t>o</w:t>
      </w:r>
      <w:r w:rsidRPr="006F6FEA">
        <w:rPr>
          <w:rFonts w:ascii="Cambria Math" w:hAnsi="Cambria Math" w:cs="Arial"/>
          <w:i/>
          <w:sz w:val="18"/>
          <w:szCs w:val="20"/>
        </w:rPr>
        <w:t xml:space="preserve">perating </w:t>
      </w:r>
      <w:r w:rsidR="00804F17">
        <w:rPr>
          <w:rFonts w:ascii="Cambria Math" w:hAnsi="Cambria Math" w:cs="Arial"/>
          <w:i/>
          <w:sz w:val="18"/>
          <w:szCs w:val="20"/>
        </w:rPr>
        <w:t>hours per day</w:t>
      </w:r>
      <w:r w:rsidR="00DF4FF4">
        <w:rPr>
          <w:rFonts w:ascii="Cambria Math" w:hAnsi="Cambria Math" w:cs="Arial"/>
          <w:i/>
          <w:sz w:val="18"/>
          <w:szCs w:val="20"/>
        </w:rPr>
        <w:t xml:space="preserve"> (</w:t>
      </w:r>
      <w:proofErr w:type="spellStart"/>
      <w:r w:rsidR="00DF4FF4">
        <w:rPr>
          <w:rFonts w:ascii="Cambria Math" w:hAnsi="Cambria Math" w:cs="Arial"/>
          <w:i/>
          <w:sz w:val="18"/>
          <w:szCs w:val="20"/>
        </w:rPr>
        <w:t>hrs</w:t>
      </w:r>
      <w:proofErr w:type="spellEnd"/>
      <w:r w:rsidR="00DF4FF4">
        <w:rPr>
          <w:rFonts w:ascii="Cambria Math" w:hAnsi="Cambria Math" w:cs="Arial"/>
          <w:i/>
          <w:sz w:val="18"/>
          <w:szCs w:val="20"/>
        </w:rPr>
        <w:t>)</w:t>
      </w:r>
    </w:p>
    <w:p w14:paraId="42F48DEC" w14:textId="77777777" w:rsidR="00D7410F" w:rsidRDefault="00D7410F" w:rsidP="00D7410F">
      <w:pPr>
        <w:tabs>
          <w:tab w:val="left" w:pos="2880"/>
        </w:tabs>
        <w:spacing w:before="20" w:after="20"/>
        <w:ind w:left="2880" w:hanging="1440"/>
        <w:rPr>
          <w:rFonts w:ascii="Cambria Math" w:hAnsi="Cambria Math" w:cs="Calibri Light"/>
          <w:i/>
          <w:sz w:val="18"/>
          <w:szCs w:val="20"/>
        </w:rPr>
      </w:pPr>
      <w:r>
        <w:rPr>
          <w:rFonts w:ascii="Cambria Math" w:hAnsi="Cambria Math" w:cs="Calibri Light"/>
          <w:i/>
          <w:sz w:val="18"/>
          <w:szCs w:val="20"/>
        </w:rPr>
        <w:t>UEC_YEAR =</w:t>
      </w:r>
      <w:r>
        <w:rPr>
          <w:rFonts w:ascii="Cambria Math" w:hAnsi="Cambria Math" w:cs="Calibri Light"/>
          <w:i/>
          <w:sz w:val="18"/>
          <w:szCs w:val="20"/>
        </w:rPr>
        <w:tab/>
        <w:t>Calculated annual e</w:t>
      </w:r>
      <w:r w:rsidRPr="00E00DBE">
        <w:rPr>
          <w:rFonts w:ascii="Cambria Math" w:hAnsi="Cambria Math" w:cs="Calibri Light"/>
          <w:i/>
          <w:sz w:val="18"/>
          <w:szCs w:val="20"/>
        </w:rPr>
        <w:t xml:space="preserve">nergy </w:t>
      </w:r>
      <w:r>
        <w:rPr>
          <w:rFonts w:ascii="Cambria Math" w:hAnsi="Cambria Math" w:cs="Calibri Light"/>
          <w:i/>
          <w:sz w:val="18"/>
          <w:szCs w:val="20"/>
        </w:rPr>
        <w:t>c</w:t>
      </w:r>
      <w:r w:rsidRPr="00E00DBE">
        <w:rPr>
          <w:rFonts w:ascii="Cambria Math" w:hAnsi="Cambria Math" w:cs="Calibri Light"/>
          <w:i/>
          <w:sz w:val="18"/>
          <w:szCs w:val="20"/>
        </w:rPr>
        <w:t xml:space="preserve">onsumption </w:t>
      </w:r>
      <w:r>
        <w:rPr>
          <w:rFonts w:ascii="Cambria Math" w:hAnsi="Cambria Math" w:cs="Calibri Light"/>
          <w:i/>
          <w:sz w:val="18"/>
          <w:szCs w:val="20"/>
        </w:rPr>
        <w:t>(kWh/year)</w:t>
      </w:r>
    </w:p>
    <w:p w14:paraId="3AF5755F" w14:textId="77777777" w:rsidR="00D7410F" w:rsidRPr="00E00DBE" w:rsidRDefault="00D7410F" w:rsidP="00D7410F">
      <w:pPr>
        <w:tabs>
          <w:tab w:val="left" w:pos="2880"/>
        </w:tabs>
        <w:spacing w:before="20" w:after="20"/>
        <w:ind w:left="2880" w:hanging="1440"/>
        <w:rPr>
          <w:rFonts w:ascii="Cambria Math" w:hAnsi="Cambria Math" w:cs="Calibri Light"/>
          <w:i/>
          <w:sz w:val="18"/>
          <w:szCs w:val="20"/>
        </w:rPr>
      </w:pPr>
      <w:r>
        <w:rPr>
          <w:rFonts w:ascii="Cambria Math" w:hAnsi="Cambria Math" w:cs="Calibri Light"/>
          <w:i/>
          <w:sz w:val="18"/>
          <w:szCs w:val="20"/>
        </w:rPr>
        <w:t xml:space="preserve">EDAYS = </w:t>
      </w:r>
      <w:r>
        <w:rPr>
          <w:rFonts w:ascii="Cambria Math" w:hAnsi="Cambria Math" w:cs="Calibri Light"/>
          <w:i/>
          <w:sz w:val="18"/>
          <w:szCs w:val="20"/>
        </w:rPr>
        <w:tab/>
        <w:t>Estimated operating days per year (days)</w:t>
      </w:r>
    </w:p>
    <w:p w14:paraId="75A480CB" w14:textId="77777777" w:rsidR="00DF4FF4" w:rsidRDefault="00DF4FF4" w:rsidP="00084E7E"/>
    <w:p w14:paraId="42EDF04B" w14:textId="77777777" w:rsidR="004A67A7" w:rsidRDefault="004A67A7" w:rsidP="004A67A7">
      <w:bookmarkStart w:id="40" w:name="_Hlk526524922"/>
      <w:r>
        <w:t xml:space="preserve">The </w:t>
      </w:r>
      <w:r>
        <w:rPr>
          <w:b/>
        </w:rPr>
        <w:t>annual</w:t>
      </w:r>
      <w:r w:rsidRPr="00ED4D0D">
        <w:rPr>
          <w:b/>
        </w:rPr>
        <w:t xml:space="preserve"> UES</w:t>
      </w:r>
      <w:r>
        <w:t xml:space="preserve"> is calculated as the difference between the baseline and measure case annual UEC.</w:t>
      </w:r>
    </w:p>
    <w:bookmarkEnd w:id="40"/>
    <w:p w14:paraId="3D285386" w14:textId="77777777" w:rsidR="004A67A7" w:rsidRPr="004A67A7" w:rsidRDefault="004A67A7" w:rsidP="004A67A7">
      <w:pPr>
        <w:ind w:left="720"/>
      </w:pPr>
      <m:oMathPara>
        <m:oMathParaPr>
          <m:jc m:val="left"/>
        </m:oMathParaPr>
        <m:oMath>
          <m:r>
            <w:rPr>
              <w:rFonts w:ascii="Cambria Math" w:hAnsi="Cambria Math"/>
              <w:sz w:val="18"/>
              <w:szCs w:val="18"/>
            </w:rPr>
            <m:t>UES_YEAR=</m:t>
          </m:r>
          <m:d>
            <m:dPr>
              <m:begChr m:val="["/>
              <m:endChr m:val="]"/>
              <m:ctrlPr>
                <w:rPr>
                  <w:rFonts w:ascii="Cambria Math" w:hAnsi="Cambria Math"/>
                  <w:i/>
                  <w:sz w:val="18"/>
                  <w:szCs w:val="18"/>
                </w:rPr>
              </m:ctrlPr>
            </m:dPr>
            <m:e>
              <m:sSub>
                <m:sSubPr>
                  <m:ctrlPr>
                    <w:rPr>
                      <w:rFonts w:ascii="Cambria Math" w:hAnsi="Cambria Math"/>
                      <w:i/>
                      <w:sz w:val="18"/>
                      <w:szCs w:val="18"/>
                    </w:rPr>
                  </m:ctrlPr>
                </m:sSubPr>
                <m:e>
                  <m:r>
                    <w:rPr>
                      <w:rFonts w:ascii="Cambria Math" w:hAnsi="Cambria Math"/>
                      <w:sz w:val="18"/>
                      <w:szCs w:val="18"/>
                    </w:rPr>
                    <m:t>UEC_YEAR</m:t>
                  </m:r>
                </m:e>
                <m:sub>
                  <m:r>
                    <w:rPr>
                      <w:rFonts w:ascii="Cambria Math" w:hAnsi="Cambria Math"/>
                      <w:sz w:val="18"/>
                      <w:szCs w:val="18"/>
                    </w:rPr>
                    <m:t>Base</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UEC_YEAR</m:t>
                  </m:r>
                </m:e>
                <m:sub>
                  <m:r>
                    <w:rPr>
                      <w:rFonts w:ascii="Cambria Math" w:hAnsi="Cambria Math"/>
                      <w:sz w:val="18"/>
                      <w:szCs w:val="18"/>
                    </w:rPr>
                    <m:t>Measure</m:t>
                  </m:r>
                </m:sub>
              </m:sSub>
            </m:e>
          </m:d>
        </m:oMath>
      </m:oMathPara>
    </w:p>
    <w:p w14:paraId="4F191332" w14:textId="77777777" w:rsidR="00263265" w:rsidRDefault="00263265" w:rsidP="00B46720"/>
    <w:p w14:paraId="39EB0A26" w14:textId="77777777" w:rsidR="00F85263" w:rsidRDefault="00280C3B" w:rsidP="00B46720">
      <w:r w:rsidRPr="00DD4482">
        <w:t xml:space="preserve">The </w:t>
      </w:r>
      <w:r w:rsidR="00941F75">
        <w:t xml:space="preserve">inputs and </w:t>
      </w:r>
      <w:r w:rsidR="008F52E8">
        <w:t xml:space="preserve">assumptions for the calculation of the annual UEC of </w:t>
      </w:r>
      <w:r w:rsidR="004A67A7">
        <w:t xml:space="preserve">a </w:t>
      </w:r>
      <w:r w:rsidR="00941F75">
        <w:t>full-</w:t>
      </w:r>
      <w:r w:rsidR="008F52E8">
        <w:t>size</w:t>
      </w:r>
      <w:r w:rsidR="00941F75">
        <w:t xml:space="preserve"> and half-size cabinet are </w:t>
      </w:r>
      <w:r w:rsidR="008F52E8">
        <w:t>specified below</w:t>
      </w:r>
      <w:r w:rsidR="00941F75">
        <w:t xml:space="preserve">. </w:t>
      </w:r>
      <w:r w:rsidR="00B46720" w:rsidRPr="00DD4482">
        <w:t>Energy usage calc</w:t>
      </w:r>
      <w:r w:rsidR="006E1BEB">
        <w:t xml:space="preserve">ulations are based on </w:t>
      </w:r>
      <w:r w:rsidR="00B46720" w:rsidRPr="00DD4482">
        <w:t>a typical temperature setting of 150°F. Note that the different sizes for the holding cabinets (half size and full size) have proportional operating energy rates.</w:t>
      </w:r>
      <w:r w:rsidR="00B46720">
        <w:t xml:space="preserve"> </w:t>
      </w:r>
    </w:p>
    <w:p w14:paraId="6247CA65" w14:textId="2213B191" w:rsidR="00F25D4E" w:rsidRDefault="00F85263" w:rsidP="00B46720">
      <w:pPr>
        <w:rPr>
          <w:rFonts w:eastAsia="Times New Roman"/>
        </w:rPr>
      </w:pPr>
      <w:r>
        <w:rPr>
          <w:rFonts w:eastAsia="Times New Roman"/>
        </w:rPr>
        <w:t xml:space="preserve">The idle energy rate for efficient cabinets was updated based on the average between the CEC and ENERGY STAR databases normalized per cabinet volume. </w:t>
      </w:r>
      <w:r w:rsidR="00F25D4E">
        <w:rPr>
          <w:rFonts w:eastAsia="Times New Roman"/>
        </w:rPr>
        <w:t xml:space="preserve">In the California Energy Commission’s (CEC) </w:t>
      </w:r>
      <w:r w:rsidR="00F25D4E">
        <w:rPr>
          <w:rFonts w:eastAsia="Times New Roman"/>
          <w:i/>
        </w:rPr>
        <w:t>Electric Plug Load Savings Potential of Commercial Foodservice Equipment</w:t>
      </w:r>
      <w:r w:rsidR="00F25D4E">
        <w:rPr>
          <w:rStyle w:val="FootnoteReference"/>
          <w:rFonts w:eastAsia="Times New Roman"/>
          <w:i/>
        </w:rPr>
        <w:footnoteReference w:id="7"/>
      </w:r>
      <w:r w:rsidR="00F25D4E">
        <w:rPr>
          <w:rFonts w:eastAsia="Times New Roman"/>
          <w:i/>
        </w:rPr>
        <w:t xml:space="preserve"> </w:t>
      </w:r>
      <w:r w:rsidR="00F25D4E">
        <w:rPr>
          <w:rFonts w:eastAsia="Times New Roman"/>
        </w:rPr>
        <w:t>study set to conclude in 2020, Frontier Energy monitored both baseline and replacement (i.e. energy efficient) holding cabinets across different facility types. The average operating time for holding cabinets was 8.9 hours per day or 3,267 hours per year. Although not all holding cabinets are on seven days a week, the average operating hours include the days that they are not turned on. For example, a holding cabinet that is on 14-hours per day, 5-days per week is shown as a 10 hour a day average.</w:t>
      </w:r>
    </w:p>
    <w:p w14:paraId="3F5077DA" w14:textId="688FBFA5" w:rsidR="00F25D4E" w:rsidRDefault="00973FC8" w:rsidP="00B46720">
      <w:r>
        <w:rPr>
          <w:rFonts w:eastAsia="Times New Roman"/>
        </w:rPr>
        <w:t>Additional s</w:t>
      </w:r>
      <w:r w:rsidR="00F25D4E">
        <w:rPr>
          <w:rFonts w:eastAsia="Times New Roman"/>
        </w:rPr>
        <w:t>urvey data w</w:t>
      </w:r>
      <w:r w:rsidR="00E5190D">
        <w:rPr>
          <w:rFonts w:eastAsia="Times New Roman"/>
        </w:rPr>
        <w:t>ere</w:t>
      </w:r>
      <w:r w:rsidR="00F25D4E">
        <w:rPr>
          <w:rFonts w:eastAsia="Times New Roman"/>
        </w:rPr>
        <w:t xml:space="preserve"> collected among 14 </w:t>
      </w:r>
      <w:r>
        <w:rPr>
          <w:rFonts w:eastAsia="Times New Roman"/>
        </w:rPr>
        <w:t>SoCalGas rebate participants</w:t>
      </w:r>
      <w:r w:rsidR="00F25D4E">
        <w:rPr>
          <w:rFonts w:eastAsia="Times New Roman"/>
        </w:rPr>
        <w:t>, however</w:t>
      </w:r>
      <w:r>
        <w:rPr>
          <w:rFonts w:eastAsia="Times New Roman"/>
        </w:rPr>
        <w:t xml:space="preserve"> it was concluded that</w:t>
      </w:r>
      <w:r w:rsidR="00F25D4E">
        <w:rPr>
          <w:rFonts w:eastAsia="Times New Roman"/>
        </w:rPr>
        <w:t xml:space="preserve"> monitoring data</w:t>
      </w:r>
      <w:r w:rsidR="00447098">
        <w:rPr>
          <w:rFonts w:eastAsia="Times New Roman"/>
        </w:rPr>
        <w:t xml:space="preserve"> used to determine hours in the CEC study</w:t>
      </w:r>
      <w:r w:rsidR="00F25D4E">
        <w:rPr>
          <w:rFonts w:eastAsia="Times New Roman"/>
        </w:rPr>
        <w:t xml:space="preserve"> </w:t>
      </w:r>
      <w:r>
        <w:rPr>
          <w:rFonts w:eastAsia="Times New Roman"/>
        </w:rPr>
        <w:t>was</w:t>
      </w:r>
      <w:r w:rsidR="00F25D4E">
        <w:rPr>
          <w:rFonts w:eastAsia="Times New Roman"/>
        </w:rPr>
        <w:t xml:space="preserve"> more reliable</w:t>
      </w:r>
      <w:r w:rsidR="00181497">
        <w:rPr>
          <w:rFonts w:eastAsia="Times New Roman"/>
        </w:rPr>
        <w:t xml:space="preserve"> than </w:t>
      </w:r>
      <w:r w:rsidR="00447098">
        <w:rPr>
          <w:rFonts w:eastAsia="Times New Roman"/>
        </w:rPr>
        <w:t xml:space="preserve">an </w:t>
      </w:r>
      <w:r w:rsidR="00181497">
        <w:rPr>
          <w:rFonts w:eastAsia="Times New Roman"/>
        </w:rPr>
        <w:t>estimated operating range indicated by the responses provided</w:t>
      </w:r>
      <w:r w:rsidR="00F25D4E">
        <w:rPr>
          <w:rFonts w:eastAsia="Times New Roman"/>
        </w:rPr>
        <w:t xml:space="preserve">. </w:t>
      </w:r>
    </w:p>
    <w:p w14:paraId="421DD0B0" w14:textId="77777777" w:rsidR="00280C3B" w:rsidRPr="00280C3B" w:rsidRDefault="004A67A7" w:rsidP="001C50D5">
      <w:pPr>
        <w:pStyle w:val="Caption"/>
      </w:pPr>
      <w:bookmarkStart w:id="41" w:name="_Toc458778131"/>
      <w:r>
        <w:lastRenderedPageBreak/>
        <w:t>UEC Inputs -</w:t>
      </w:r>
      <w:r w:rsidR="00280C3B" w:rsidRPr="00D87A0D">
        <w:t xml:space="preserve"> Full Size Insulated Hot Food Holding Cabinet </w:t>
      </w:r>
      <w:bookmarkEnd w:id="41"/>
    </w:p>
    <w:tbl>
      <w:tblPr>
        <w:tblW w:w="5147"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0A0" w:firstRow="1" w:lastRow="0" w:firstColumn="1" w:lastColumn="0" w:noHBand="0" w:noVBand="0"/>
      </w:tblPr>
      <w:tblGrid>
        <w:gridCol w:w="3145"/>
        <w:gridCol w:w="1080"/>
        <w:gridCol w:w="1170"/>
        <w:gridCol w:w="4230"/>
      </w:tblGrid>
      <w:tr w:rsidR="002C0299" w:rsidRPr="00E25CD2" w14:paraId="0D3D0BB4" w14:textId="77777777" w:rsidTr="004A67A7">
        <w:trPr>
          <w:cantSplit/>
          <w:trHeight w:val="20"/>
          <w:tblHeader/>
        </w:trPr>
        <w:tc>
          <w:tcPr>
            <w:tcW w:w="3145" w:type="dxa"/>
            <w:shd w:val="clear" w:color="auto" w:fill="F2F2F2" w:themeFill="background1" w:themeFillShade="F2"/>
            <w:vAlign w:val="bottom"/>
          </w:tcPr>
          <w:p w14:paraId="0CDBD8EA" w14:textId="77777777" w:rsidR="00BE01DF" w:rsidRPr="00E25CD2" w:rsidRDefault="002F7776" w:rsidP="001C50D5">
            <w:pPr>
              <w:keepNext/>
              <w:keepLines/>
              <w:spacing w:before="20" w:after="20" w:line="240" w:lineRule="auto"/>
              <w:rPr>
                <w:rFonts w:cs="Arial"/>
                <w:b/>
                <w:bCs/>
                <w:sz w:val="20"/>
                <w:szCs w:val="20"/>
              </w:rPr>
            </w:pPr>
            <w:r>
              <w:rPr>
                <w:rFonts w:cs="Arial"/>
                <w:b/>
                <w:bCs/>
                <w:sz w:val="20"/>
                <w:szCs w:val="20"/>
              </w:rPr>
              <w:t>Parameter</w:t>
            </w:r>
          </w:p>
        </w:tc>
        <w:tc>
          <w:tcPr>
            <w:tcW w:w="1080" w:type="dxa"/>
            <w:shd w:val="clear" w:color="auto" w:fill="F2F2F2" w:themeFill="background1" w:themeFillShade="F2"/>
            <w:vAlign w:val="bottom"/>
          </w:tcPr>
          <w:p w14:paraId="691D4ED7" w14:textId="77777777" w:rsidR="00BE01DF" w:rsidRPr="00E25CD2" w:rsidRDefault="00BE01DF" w:rsidP="001C50D5">
            <w:pPr>
              <w:keepNext/>
              <w:keepLines/>
              <w:spacing w:before="20" w:after="20" w:line="240" w:lineRule="auto"/>
              <w:jc w:val="center"/>
              <w:rPr>
                <w:rFonts w:cs="Arial"/>
                <w:b/>
                <w:bCs/>
                <w:sz w:val="20"/>
                <w:szCs w:val="20"/>
              </w:rPr>
            </w:pPr>
            <w:r>
              <w:rPr>
                <w:rFonts w:cs="Arial"/>
                <w:b/>
                <w:bCs/>
                <w:sz w:val="20"/>
                <w:szCs w:val="20"/>
              </w:rPr>
              <w:t>Base Case Model</w:t>
            </w:r>
          </w:p>
        </w:tc>
        <w:tc>
          <w:tcPr>
            <w:tcW w:w="1170" w:type="dxa"/>
            <w:shd w:val="clear" w:color="auto" w:fill="F2F2F2" w:themeFill="background1" w:themeFillShade="F2"/>
            <w:vAlign w:val="bottom"/>
          </w:tcPr>
          <w:p w14:paraId="24667309" w14:textId="77777777" w:rsidR="00BE01DF" w:rsidRPr="00E25CD2" w:rsidRDefault="00BE01DF" w:rsidP="001C50D5">
            <w:pPr>
              <w:keepNext/>
              <w:keepLines/>
              <w:spacing w:before="20" w:after="20" w:line="240" w:lineRule="auto"/>
              <w:jc w:val="center"/>
              <w:rPr>
                <w:rFonts w:cs="Arial"/>
                <w:b/>
                <w:bCs/>
                <w:sz w:val="20"/>
                <w:szCs w:val="20"/>
              </w:rPr>
            </w:pPr>
            <w:r>
              <w:rPr>
                <w:rFonts w:cs="Arial"/>
                <w:b/>
                <w:bCs/>
                <w:sz w:val="20"/>
                <w:szCs w:val="20"/>
              </w:rPr>
              <w:t>Measure Case</w:t>
            </w:r>
            <w:r w:rsidRPr="00E25CD2">
              <w:rPr>
                <w:rFonts w:cs="Arial"/>
                <w:b/>
                <w:bCs/>
                <w:sz w:val="20"/>
                <w:szCs w:val="20"/>
              </w:rPr>
              <w:t xml:space="preserve"> Model </w:t>
            </w:r>
          </w:p>
        </w:tc>
        <w:tc>
          <w:tcPr>
            <w:tcW w:w="4230" w:type="dxa"/>
            <w:shd w:val="clear" w:color="auto" w:fill="F2F2F2" w:themeFill="background1" w:themeFillShade="F2"/>
            <w:vAlign w:val="bottom"/>
          </w:tcPr>
          <w:p w14:paraId="0957ED73" w14:textId="77777777" w:rsidR="00BE01DF" w:rsidRDefault="00BE01DF" w:rsidP="001C50D5">
            <w:pPr>
              <w:keepNext/>
              <w:keepLines/>
              <w:spacing w:before="20" w:after="20" w:line="240" w:lineRule="auto"/>
              <w:jc w:val="center"/>
              <w:rPr>
                <w:rFonts w:cs="Arial"/>
                <w:b/>
                <w:bCs/>
                <w:sz w:val="20"/>
                <w:szCs w:val="20"/>
              </w:rPr>
            </w:pPr>
            <w:r>
              <w:rPr>
                <w:rFonts w:cs="Arial"/>
                <w:b/>
                <w:bCs/>
                <w:sz w:val="20"/>
                <w:szCs w:val="20"/>
              </w:rPr>
              <w:t>Source</w:t>
            </w:r>
          </w:p>
        </w:tc>
      </w:tr>
      <w:tr w:rsidR="002C0299" w:rsidRPr="00E25CD2" w14:paraId="7EC0C4C4" w14:textId="77777777" w:rsidTr="004A67A7">
        <w:trPr>
          <w:cantSplit/>
          <w:trHeight w:val="1259"/>
        </w:trPr>
        <w:tc>
          <w:tcPr>
            <w:tcW w:w="3145" w:type="dxa"/>
            <w:vAlign w:val="center"/>
          </w:tcPr>
          <w:p w14:paraId="79F6B155" w14:textId="77777777" w:rsidR="00592093" w:rsidRPr="00E25CD2" w:rsidRDefault="00592093" w:rsidP="001C50D5">
            <w:pPr>
              <w:keepNext/>
              <w:keepLines/>
              <w:spacing w:before="20" w:after="20" w:line="240" w:lineRule="auto"/>
              <w:rPr>
                <w:rFonts w:cs="Arial"/>
                <w:sz w:val="20"/>
                <w:szCs w:val="20"/>
              </w:rPr>
            </w:pPr>
            <w:r>
              <w:rPr>
                <w:rFonts w:cs="Arial"/>
                <w:sz w:val="20"/>
                <w:szCs w:val="20"/>
              </w:rPr>
              <w:t>Cabinet Size</w:t>
            </w:r>
            <w:r w:rsidRPr="001A57C0">
              <w:rPr>
                <w:rFonts w:cs="Arial"/>
                <w:sz w:val="20"/>
                <w:szCs w:val="20"/>
              </w:rPr>
              <w:t xml:space="preserve"> </w:t>
            </w:r>
            <w:r>
              <w:rPr>
                <w:rFonts w:cs="Arial"/>
                <w:sz w:val="20"/>
                <w:szCs w:val="20"/>
              </w:rPr>
              <w:t>(</w:t>
            </w:r>
            <w:r w:rsidRPr="001A57C0">
              <w:rPr>
                <w:rFonts w:cs="Arial"/>
                <w:sz w:val="20"/>
                <w:szCs w:val="20"/>
              </w:rPr>
              <w:t>ft³</w:t>
            </w:r>
            <w:r>
              <w:rPr>
                <w:rFonts w:cs="Arial"/>
                <w:sz w:val="20"/>
                <w:szCs w:val="20"/>
              </w:rPr>
              <w:t>)</w:t>
            </w:r>
          </w:p>
        </w:tc>
        <w:tc>
          <w:tcPr>
            <w:tcW w:w="1080" w:type="dxa"/>
            <w:vAlign w:val="center"/>
          </w:tcPr>
          <w:p w14:paraId="07FE0BE2" w14:textId="77777777" w:rsidR="00592093" w:rsidRPr="005F0653" w:rsidRDefault="00592093" w:rsidP="001C50D5">
            <w:pPr>
              <w:keepNext/>
              <w:keepLines/>
              <w:spacing w:before="20" w:after="20" w:line="240" w:lineRule="auto"/>
              <w:jc w:val="center"/>
              <w:rPr>
                <w:rFonts w:cs="Arial"/>
                <w:sz w:val="20"/>
                <w:szCs w:val="20"/>
              </w:rPr>
            </w:pPr>
            <w:r w:rsidRPr="005F0653">
              <w:rPr>
                <w:rFonts w:cs="Arial"/>
                <w:sz w:val="20"/>
                <w:szCs w:val="20"/>
              </w:rPr>
              <w:t>25</w:t>
            </w:r>
            <w:r w:rsidRPr="005F0653">
              <w:t xml:space="preserve"> </w:t>
            </w:r>
          </w:p>
        </w:tc>
        <w:tc>
          <w:tcPr>
            <w:tcW w:w="1170" w:type="dxa"/>
            <w:vAlign w:val="center"/>
          </w:tcPr>
          <w:p w14:paraId="381A9646" w14:textId="77777777" w:rsidR="00592093" w:rsidRPr="005F0653" w:rsidRDefault="00592093" w:rsidP="001C50D5">
            <w:pPr>
              <w:keepNext/>
              <w:keepLines/>
              <w:spacing w:before="20" w:after="20" w:line="240" w:lineRule="auto"/>
              <w:jc w:val="center"/>
              <w:rPr>
                <w:rFonts w:cs="Arial"/>
                <w:sz w:val="20"/>
                <w:szCs w:val="20"/>
              </w:rPr>
            </w:pPr>
            <w:r w:rsidRPr="005F0653">
              <w:rPr>
                <w:rFonts w:cs="Arial"/>
                <w:sz w:val="20"/>
                <w:szCs w:val="20"/>
              </w:rPr>
              <w:t>25</w:t>
            </w:r>
          </w:p>
        </w:tc>
        <w:tc>
          <w:tcPr>
            <w:tcW w:w="4230" w:type="dxa"/>
            <w:vMerge w:val="restart"/>
            <w:vAlign w:val="center"/>
          </w:tcPr>
          <w:p w14:paraId="144C736F" w14:textId="1F5F64F1" w:rsidR="00821E0D" w:rsidRPr="00FC404D" w:rsidRDefault="00821E0D" w:rsidP="001C50D5">
            <w:pPr>
              <w:keepNext/>
              <w:keepLines/>
              <w:spacing w:before="20" w:after="20" w:line="240" w:lineRule="auto"/>
              <w:rPr>
                <w:rFonts w:cs="Arial"/>
                <w:sz w:val="18"/>
                <w:szCs w:val="18"/>
              </w:rPr>
            </w:pPr>
            <w:r w:rsidRPr="00FC404D">
              <w:rPr>
                <w:rFonts w:cs="Arial"/>
                <w:sz w:val="18"/>
                <w:szCs w:val="18"/>
              </w:rPr>
              <w:t xml:space="preserve">Baseline Case: </w:t>
            </w:r>
            <w:r w:rsidRPr="00FC404D">
              <w:rPr>
                <w:sz w:val="18"/>
                <w:szCs w:val="16"/>
              </w:rPr>
              <w:t xml:space="preserve">Average of FSTC/Frontier Energy HFHC Test Data per ASTM F2140 and CEC database. </w:t>
            </w:r>
          </w:p>
          <w:p w14:paraId="001656DA" w14:textId="77777777" w:rsidR="00821E0D" w:rsidRPr="00FC404D" w:rsidRDefault="00821E0D" w:rsidP="001C50D5">
            <w:pPr>
              <w:keepNext/>
              <w:keepLines/>
              <w:spacing w:before="20" w:after="20" w:line="240" w:lineRule="auto"/>
              <w:rPr>
                <w:rFonts w:cs="Arial"/>
                <w:sz w:val="18"/>
                <w:szCs w:val="18"/>
              </w:rPr>
            </w:pPr>
          </w:p>
          <w:p w14:paraId="6A1E1A73" w14:textId="77777777" w:rsidR="00821E0D" w:rsidRPr="00FC404D" w:rsidRDefault="00821E0D" w:rsidP="001C50D5">
            <w:pPr>
              <w:keepNext/>
              <w:keepLines/>
              <w:spacing w:before="20" w:after="20" w:line="240" w:lineRule="auto"/>
              <w:rPr>
                <w:rFonts w:cs="Arial"/>
                <w:sz w:val="18"/>
                <w:szCs w:val="18"/>
              </w:rPr>
            </w:pPr>
            <w:r w:rsidRPr="00FC404D">
              <w:rPr>
                <w:rFonts w:cs="Arial"/>
                <w:sz w:val="18"/>
                <w:szCs w:val="18"/>
              </w:rPr>
              <w:t xml:space="preserve">Measure Case: </w:t>
            </w:r>
            <w:r w:rsidR="00D80465" w:rsidRPr="00FC404D">
              <w:rPr>
                <w:rFonts w:cs="Arial"/>
                <w:sz w:val="18"/>
                <w:szCs w:val="18"/>
              </w:rPr>
              <w:t xml:space="preserve">Average of efficient cabinets between CEC and ENERGY STAR databases. </w:t>
            </w:r>
          </w:p>
          <w:p w14:paraId="5DF03F77" w14:textId="77777777" w:rsidR="00821E0D" w:rsidRPr="00FC404D" w:rsidRDefault="00821E0D" w:rsidP="001C50D5">
            <w:pPr>
              <w:keepNext/>
              <w:keepLines/>
              <w:spacing w:before="20" w:after="20" w:line="240" w:lineRule="auto"/>
              <w:rPr>
                <w:rFonts w:cs="Arial"/>
                <w:sz w:val="18"/>
                <w:szCs w:val="18"/>
              </w:rPr>
            </w:pPr>
          </w:p>
          <w:p w14:paraId="6F03C59B" w14:textId="1FE98DC3" w:rsidR="00B01C05" w:rsidRPr="00FC404D" w:rsidRDefault="00D80465" w:rsidP="001C50D5">
            <w:pPr>
              <w:keepNext/>
              <w:keepLines/>
              <w:spacing w:before="20" w:after="20" w:line="240" w:lineRule="auto"/>
              <w:rPr>
                <w:rFonts w:cs="Arial"/>
                <w:sz w:val="18"/>
                <w:szCs w:val="18"/>
              </w:rPr>
            </w:pPr>
            <w:r w:rsidRPr="00FC404D">
              <w:rPr>
                <w:rFonts w:cs="Arial"/>
                <w:sz w:val="18"/>
                <w:szCs w:val="18"/>
              </w:rPr>
              <w:t>Per recommendation of Frontier Energy study.</w:t>
            </w:r>
          </w:p>
        </w:tc>
      </w:tr>
      <w:tr w:rsidR="002C0299" w:rsidRPr="00E25CD2" w14:paraId="77503345" w14:textId="77777777" w:rsidTr="004A67A7">
        <w:trPr>
          <w:cantSplit/>
          <w:trHeight w:val="720"/>
        </w:trPr>
        <w:tc>
          <w:tcPr>
            <w:tcW w:w="3145" w:type="dxa"/>
            <w:vAlign w:val="center"/>
          </w:tcPr>
          <w:p w14:paraId="44497DFA" w14:textId="77777777" w:rsidR="00592093" w:rsidRPr="00E25CD2" w:rsidRDefault="002F7776" w:rsidP="002F7776">
            <w:pPr>
              <w:spacing w:before="20" w:after="20" w:line="240" w:lineRule="auto"/>
              <w:rPr>
                <w:rFonts w:cs="Arial"/>
                <w:sz w:val="20"/>
                <w:szCs w:val="20"/>
              </w:rPr>
            </w:pPr>
            <w:r>
              <w:rPr>
                <w:rFonts w:cs="Arial"/>
                <w:sz w:val="20"/>
                <w:szCs w:val="20"/>
              </w:rPr>
              <w:t>Idle Energy Rate by Volume (W</w:t>
            </w:r>
            <w:r w:rsidR="00592093">
              <w:rPr>
                <w:rFonts w:cs="Arial"/>
                <w:sz w:val="20"/>
                <w:szCs w:val="20"/>
              </w:rPr>
              <w:t>/</w:t>
            </w:r>
            <w:r w:rsidR="00592093" w:rsidRPr="001A57C0">
              <w:rPr>
                <w:rFonts w:cs="Arial"/>
                <w:sz w:val="20"/>
                <w:szCs w:val="20"/>
              </w:rPr>
              <w:t>ft³</w:t>
            </w:r>
            <w:r w:rsidR="00592093">
              <w:rPr>
                <w:rFonts w:cs="Arial"/>
                <w:sz w:val="20"/>
                <w:szCs w:val="20"/>
              </w:rPr>
              <w:t>)</w:t>
            </w:r>
          </w:p>
        </w:tc>
        <w:tc>
          <w:tcPr>
            <w:tcW w:w="1080" w:type="dxa"/>
            <w:vAlign w:val="center"/>
          </w:tcPr>
          <w:p w14:paraId="5272B384" w14:textId="66AA5A76" w:rsidR="00592093" w:rsidRPr="005F0653" w:rsidRDefault="00047564" w:rsidP="002C0299">
            <w:pPr>
              <w:spacing w:before="20" w:after="20" w:line="240" w:lineRule="auto"/>
              <w:jc w:val="center"/>
              <w:rPr>
                <w:rFonts w:cs="Arial"/>
                <w:sz w:val="20"/>
                <w:szCs w:val="20"/>
              </w:rPr>
            </w:pPr>
            <w:r>
              <w:rPr>
                <w:rFonts w:cs="Arial"/>
                <w:sz w:val="20"/>
                <w:szCs w:val="20"/>
              </w:rPr>
              <w:t>25</w:t>
            </w:r>
          </w:p>
        </w:tc>
        <w:tc>
          <w:tcPr>
            <w:tcW w:w="1170" w:type="dxa"/>
            <w:vAlign w:val="center"/>
          </w:tcPr>
          <w:p w14:paraId="155DA4AD" w14:textId="305D4B44" w:rsidR="00592093" w:rsidRPr="005F0653" w:rsidRDefault="00047564" w:rsidP="002C0299">
            <w:pPr>
              <w:spacing w:before="20" w:after="20" w:line="240" w:lineRule="auto"/>
              <w:jc w:val="center"/>
              <w:rPr>
                <w:rFonts w:cs="Arial"/>
                <w:sz w:val="20"/>
                <w:szCs w:val="20"/>
              </w:rPr>
            </w:pPr>
            <w:r>
              <w:rPr>
                <w:rFonts w:cs="Arial"/>
                <w:sz w:val="20"/>
                <w:szCs w:val="20"/>
              </w:rPr>
              <w:t>12</w:t>
            </w:r>
          </w:p>
        </w:tc>
        <w:tc>
          <w:tcPr>
            <w:tcW w:w="4230" w:type="dxa"/>
            <w:vMerge/>
            <w:vAlign w:val="center"/>
          </w:tcPr>
          <w:p w14:paraId="44832C88" w14:textId="77777777" w:rsidR="00592093" w:rsidRPr="00DD38CB" w:rsidRDefault="00592093" w:rsidP="002C0299">
            <w:pPr>
              <w:spacing w:before="20" w:after="20" w:line="240" w:lineRule="auto"/>
              <w:jc w:val="center"/>
              <w:rPr>
                <w:rFonts w:cs="Arial"/>
                <w:color w:val="FF0000"/>
                <w:sz w:val="18"/>
                <w:szCs w:val="18"/>
              </w:rPr>
            </w:pPr>
          </w:p>
        </w:tc>
      </w:tr>
      <w:tr w:rsidR="002C0299" w:rsidRPr="00E25CD2" w14:paraId="4D23D47D" w14:textId="77777777" w:rsidTr="004A67A7">
        <w:trPr>
          <w:cantSplit/>
          <w:trHeight w:val="449"/>
        </w:trPr>
        <w:tc>
          <w:tcPr>
            <w:tcW w:w="3145" w:type="dxa"/>
            <w:vAlign w:val="center"/>
          </w:tcPr>
          <w:p w14:paraId="5ACBE469" w14:textId="77777777" w:rsidR="00E8741C" w:rsidRPr="00E25CD2" w:rsidRDefault="00E8741C" w:rsidP="002C0299">
            <w:pPr>
              <w:spacing w:before="20" w:after="20" w:line="240" w:lineRule="auto"/>
              <w:rPr>
                <w:rFonts w:cs="Arial"/>
                <w:sz w:val="20"/>
                <w:szCs w:val="20"/>
              </w:rPr>
            </w:pPr>
            <w:r w:rsidRPr="006B495D">
              <w:rPr>
                <w:rFonts w:cs="Arial"/>
                <w:sz w:val="20"/>
                <w:szCs w:val="20"/>
              </w:rPr>
              <w:t>Operating Hours per Day (</w:t>
            </w:r>
            <w:proofErr w:type="spellStart"/>
            <w:r w:rsidRPr="006B495D">
              <w:rPr>
                <w:rFonts w:cs="Arial"/>
                <w:sz w:val="20"/>
                <w:szCs w:val="20"/>
              </w:rPr>
              <w:t>h</w:t>
            </w:r>
            <w:r w:rsidR="002F7776">
              <w:rPr>
                <w:rFonts w:cs="Arial"/>
                <w:sz w:val="20"/>
                <w:szCs w:val="20"/>
              </w:rPr>
              <w:t>r</w:t>
            </w:r>
            <w:proofErr w:type="spellEnd"/>
            <w:r w:rsidRPr="006B495D">
              <w:rPr>
                <w:rFonts w:cs="Arial"/>
                <w:sz w:val="20"/>
                <w:szCs w:val="20"/>
              </w:rPr>
              <w:t>/day)</w:t>
            </w:r>
          </w:p>
        </w:tc>
        <w:tc>
          <w:tcPr>
            <w:tcW w:w="1080" w:type="dxa"/>
            <w:vAlign w:val="center"/>
          </w:tcPr>
          <w:p w14:paraId="5B068435" w14:textId="2193B60F" w:rsidR="00E8741C" w:rsidRPr="005F0653" w:rsidRDefault="00047564" w:rsidP="002C0299">
            <w:pPr>
              <w:spacing w:before="20" w:after="20" w:line="240" w:lineRule="auto"/>
              <w:jc w:val="center"/>
              <w:rPr>
                <w:rFonts w:cs="Arial"/>
                <w:sz w:val="20"/>
                <w:szCs w:val="20"/>
              </w:rPr>
            </w:pPr>
            <w:r>
              <w:rPr>
                <w:rFonts w:cs="Arial"/>
                <w:sz w:val="20"/>
                <w:szCs w:val="20"/>
              </w:rPr>
              <w:t>9</w:t>
            </w:r>
          </w:p>
        </w:tc>
        <w:tc>
          <w:tcPr>
            <w:tcW w:w="1170" w:type="dxa"/>
            <w:vAlign w:val="center"/>
          </w:tcPr>
          <w:p w14:paraId="240ACCF5" w14:textId="600F75A9" w:rsidR="00E8741C" w:rsidRPr="005F0653" w:rsidRDefault="00047564" w:rsidP="002C0299">
            <w:pPr>
              <w:spacing w:before="20" w:after="20" w:line="240" w:lineRule="auto"/>
              <w:jc w:val="center"/>
              <w:rPr>
                <w:rFonts w:cs="Arial"/>
                <w:sz w:val="20"/>
                <w:szCs w:val="20"/>
              </w:rPr>
            </w:pPr>
            <w:r>
              <w:rPr>
                <w:rFonts w:cs="Arial"/>
                <w:sz w:val="20"/>
                <w:szCs w:val="20"/>
              </w:rPr>
              <w:t>9</w:t>
            </w:r>
          </w:p>
        </w:tc>
        <w:tc>
          <w:tcPr>
            <w:tcW w:w="4230" w:type="dxa"/>
            <w:vMerge w:val="restart"/>
            <w:vAlign w:val="center"/>
          </w:tcPr>
          <w:p w14:paraId="4D659577" w14:textId="3D1198FB" w:rsidR="00E8741C" w:rsidRPr="00DD38CB" w:rsidRDefault="00F25D4E" w:rsidP="002C0299">
            <w:pPr>
              <w:spacing w:before="20" w:after="20" w:line="240" w:lineRule="auto"/>
              <w:rPr>
                <w:rFonts w:cs="Arial"/>
                <w:color w:val="FF0000"/>
                <w:sz w:val="18"/>
                <w:szCs w:val="18"/>
              </w:rPr>
            </w:pPr>
            <w:r>
              <w:t xml:space="preserve"> </w:t>
            </w:r>
            <w:r w:rsidRPr="00FC404D">
              <w:rPr>
                <w:rFonts w:cs="Arial"/>
                <w:sz w:val="18"/>
                <w:szCs w:val="18"/>
              </w:rPr>
              <w:t>Frontier Energy, Inc. Electric Plug Load Savings Potential of Commercial Foodservice Equipment. (California, CEC-EPC-15-027, 2019).</w:t>
            </w:r>
          </w:p>
        </w:tc>
      </w:tr>
      <w:tr w:rsidR="002C0299" w:rsidRPr="00E25CD2" w14:paraId="421E394C" w14:textId="77777777" w:rsidTr="004A67A7">
        <w:trPr>
          <w:cantSplit/>
          <w:trHeight w:val="288"/>
        </w:trPr>
        <w:tc>
          <w:tcPr>
            <w:tcW w:w="3145" w:type="dxa"/>
            <w:vAlign w:val="center"/>
          </w:tcPr>
          <w:p w14:paraId="729BAC94" w14:textId="77777777" w:rsidR="00E8741C" w:rsidRPr="006B495D" w:rsidRDefault="00E8741C" w:rsidP="002C0299">
            <w:pPr>
              <w:spacing w:before="20" w:after="20" w:line="240" w:lineRule="auto"/>
              <w:rPr>
                <w:rFonts w:cs="Arial"/>
                <w:sz w:val="20"/>
                <w:szCs w:val="20"/>
              </w:rPr>
            </w:pPr>
            <w:r>
              <w:rPr>
                <w:rFonts w:cs="Arial"/>
                <w:sz w:val="20"/>
                <w:szCs w:val="20"/>
              </w:rPr>
              <w:t>Operating Days per Year (days)</w:t>
            </w:r>
          </w:p>
        </w:tc>
        <w:tc>
          <w:tcPr>
            <w:tcW w:w="1080" w:type="dxa"/>
            <w:vAlign w:val="center"/>
          </w:tcPr>
          <w:p w14:paraId="59389C8E" w14:textId="77777777" w:rsidR="00E8741C" w:rsidRPr="005F0653" w:rsidRDefault="00E8741C" w:rsidP="002C0299">
            <w:pPr>
              <w:spacing w:before="20" w:after="20" w:line="240" w:lineRule="auto"/>
              <w:jc w:val="center"/>
              <w:rPr>
                <w:rFonts w:cs="Arial"/>
                <w:sz w:val="20"/>
                <w:szCs w:val="20"/>
              </w:rPr>
            </w:pPr>
            <w:r w:rsidRPr="005F0653">
              <w:rPr>
                <w:rFonts w:cs="Arial"/>
                <w:sz w:val="20"/>
                <w:szCs w:val="20"/>
              </w:rPr>
              <w:t>365</w:t>
            </w:r>
          </w:p>
        </w:tc>
        <w:tc>
          <w:tcPr>
            <w:tcW w:w="1170" w:type="dxa"/>
            <w:vAlign w:val="center"/>
          </w:tcPr>
          <w:p w14:paraId="6BDAD7EA" w14:textId="77777777" w:rsidR="00E8741C" w:rsidRPr="005F0653" w:rsidRDefault="00E8741C" w:rsidP="002C0299">
            <w:pPr>
              <w:spacing w:before="20" w:after="20" w:line="240" w:lineRule="auto"/>
              <w:jc w:val="center"/>
              <w:rPr>
                <w:rFonts w:cs="Arial"/>
                <w:sz w:val="20"/>
                <w:szCs w:val="20"/>
              </w:rPr>
            </w:pPr>
            <w:r w:rsidRPr="005F0653">
              <w:rPr>
                <w:rFonts w:cs="Arial"/>
                <w:sz w:val="20"/>
                <w:szCs w:val="20"/>
              </w:rPr>
              <w:t>365</w:t>
            </w:r>
          </w:p>
        </w:tc>
        <w:tc>
          <w:tcPr>
            <w:tcW w:w="4230" w:type="dxa"/>
            <w:vMerge/>
            <w:vAlign w:val="center"/>
          </w:tcPr>
          <w:p w14:paraId="459A0E2A" w14:textId="77777777" w:rsidR="00E8741C" w:rsidRPr="005E0784" w:rsidRDefault="00E8741C" w:rsidP="002C0299">
            <w:pPr>
              <w:spacing w:before="20" w:after="20" w:line="240" w:lineRule="auto"/>
              <w:jc w:val="center"/>
              <w:rPr>
                <w:rFonts w:cs="Arial"/>
                <w:color w:val="FF0000"/>
                <w:sz w:val="16"/>
                <w:szCs w:val="20"/>
              </w:rPr>
            </w:pPr>
          </w:p>
        </w:tc>
      </w:tr>
    </w:tbl>
    <w:p w14:paraId="1C8902DC" w14:textId="77777777" w:rsidR="00280C3B" w:rsidRDefault="004A67A7" w:rsidP="003D48B0">
      <w:pPr>
        <w:pStyle w:val="Caption"/>
        <w:rPr>
          <w:bCs/>
        </w:rPr>
      </w:pPr>
      <w:bookmarkStart w:id="42" w:name="_Toc458778132"/>
      <w:r>
        <w:t>UEC Inputs -</w:t>
      </w:r>
      <w:r w:rsidR="00280C3B">
        <w:t xml:space="preserve"> </w:t>
      </w:r>
      <w:r w:rsidR="000C7EA0">
        <w:t>Half-</w:t>
      </w:r>
      <w:r w:rsidR="00280C3B" w:rsidRPr="00640B17">
        <w:t xml:space="preserve">Size Insulated Hot Food Holding Cabinet </w:t>
      </w:r>
      <w:bookmarkEnd w:id="42"/>
    </w:p>
    <w:tbl>
      <w:tblPr>
        <w:tblW w:w="5147"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0A0" w:firstRow="1" w:lastRow="0" w:firstColumn="1" w:lastColumn="0" w:noHBand="0" w:noVBand="0"/>
      </w:tblPr>
      <w:tblGrid>
        <w:gridCol w:w="3145"/>
        <w:gridCol w:w="1080"/>
        <w:gridCol w:w="1170"/>
        <w:gridCol w:w="4230"/>
      </w:tblGrid>
      <w:tr w:rsidR="002C0299" w:rsidRPr="00E25CD2" w14:paraId="46D61A21" w14:textId="77777777" w:rsidTr="004A67A7">
        <w:trPr>
          <w:cantSplit/>
          <w:trHeight w:val="20"/>
          <w:tblHeader/>
        </w:trPr>
        <w:tc>
          <w:tcPr>
            <w:tcW w:w="3145" w:type="dxa"/>
            <w:shd w:val="clear" w:color="auto" w:fill="F2F2F2" w:themeFill="background1" w:themeFillShade="F2"/>
            <w:vAlign w:val="bottom"/>
          </w:tcPr>
          <w:p w14:paraId="4F3F7B20" w14:textId="77777777" w:rsidR="009B22D2" w:rsidRPr="00E25CD2" w:rsidRDefault="009472DD" w:rsidP="004A67A7">
            <w:pPr>
              <w:keepNext/>
              <w:keepLines/>
              <w:spacing w:before="0" w:after="0" w:line="240" w:lineRule="auto"/>
              <w:rPr>
                <w:rFonts w:cs="Arial"/>
                <w:b/>
                <w:bCs/>
                <w:sz w:val="20"/>
                <w:szCs w:val="20"/>
              </w:rPr>
            </w:pPr>
            <w:r>
              <w:rPr>
                <w:rFonts w:cs="Arial"/>
                <w:b/>
                <w:bCs/>
                <w:sz w:val="20"/>
                <w:szCs w:val="20"/>
              </w:rPr>
              <w:t>Input</w:t>
            </w:r>
          </w:p>
        </w:tc>
        <w:tc>
          <w:tcPr>
            <w:tcW w:w="1080" w:type="dxa"/>
            <w:shd w:val="clear" w:color="auto" w:fill="F2F2F2" w:themeFill="background1" w:themeFillShade="F2"/>
            <w:vAlign w:val="bottom"/>
          </w:tcPr>
          <w:p w14:paraId="51636639" w14:textId="77777777" w:rsidR="009B22D2" w:rsidRPr="00E25CD2" w:rsidRDefault="009B22D2" w:rsidP="004A67A7">
            <w:pPr>
              <w:keepNext/>
              <w:keepLines/>
              <w:spacing w:before="0" w:after="0" w:line="240" w:lineRule="auto"/>
              <w:jc w:val="center"/>
              <w:rPr>
                <w:rFonts w:cs="Arial"/>
                <w:b/>
                <w:bCs/>
                <w:sz w:val="20"/>
                <w:szCs w:val="20"/>
              </w:rPr>
            </w:pPr>
            <w:r>
              <w:rPr>
                <w:rFonts w:cs="Arial"/>
                <w:b/>
                <w:bCs/>
                <w:sz w:val="20"/>
                <w:szCs w:val="20"/>
              </w:rPr>
              <w:t>Base Case Model</w:t>
            </w:r>
          </w:p>
        </w:tc>
        <w:tc>
          <w:tcPr>
            <w:tcW w:w="1170" w:type="dxa"/>
            <w:shd w:val="clear" w:color="auto" w:fill="F2F2F2" w:themeFill="background1" w:themeFillShade="F2"/>
            <w:vAlign w:val="bottom"/>
          </w:tcPr>
          <w:p w14:paraId="6D556C40" w14:textId="77777777" w:rsidR="009B22D2" w:rsidRPr="00E25CD2" w:rsidRDefault="009B22D2" w:rsidP="004A67A7">
            <w:pPr>
              <w:keepNext/>
              <w:keepLines/>
              <w:spacing w:before="0" w:after="0" w:line="240" w:lineRule="auto"/>
              <w:jc w:val="center"/>
              <w:rPr>
                <w:rFonts w:cs="Arial"/>
                <w:b/>
                <w:bCs/>
                <w:sz w:val="20"/>
                <w:szCs w:val="20"/>
              </w:rPr>
            </w:pPr>
            <w:r>
              <w:rPr>
                <w:rFonts w:cs="Arial"/>
                <w:b/>
                <w:bCs/>
                <w:sz w:val="20"/>
                <w:szCs w:val="20"/>
              </w:rPr>
              <w:t>Measure Case</w:t>
            </w:r>
            <w:r w:rsidRPr="00E25CD2">
              <w:rPr>
                <w:rFonts w:cs="Arial"/>
                <w:b/>
                <w:bCs/>
                <w:sz w:val="20"/>
                <w:szCs w:val="20"/>
              </w:rPr>
              <w:t xml:space="preserve"> Model </w:t>
            </w:r>
          </w:p>
        </w:tc>
        <w:tc>
          <w:tcPr>
            <w:tcW w:w="4230" w:type="dxa"/>
            <w:shd w:val="clear" w:color="auto" w:fill="F2F2F2" w:themeFill="background1" w:themeFillShade="F2"/>
            <w:vAlign w:val="bottom"/>
          </w:tcPr>
          <w:p w14:paraId="0126C166" w14:textId="77777777" w:rsidR="009B22D2" w:rsidRDefault="009B22D2" w:rsidP="004A67A7">
            <w:pPr>
              <w:keepNext/>
              <w:keepLines/>
              <w:spacing w:before="0" w:after="0" w:line="240" w:lineRule="auto"/>
              <w:jc w:val="center"/>
              <w:rPr>
                <w:rFonts w:cs="Arial"/>
                <w:b/>
                <w:bCs/>
                <w:sz w:val="20"/>
                <w:szCs w:val="20"/>
              </w:rPr>
            </w:pPr>
            <w:r>
              <w:rPr>
                <w:rFonts w:cs="Arial"/>
                <w:b/>
                <w:bCs/>
                <w:sz w:val="20"/>
                <w:szCs w:val="20"/>
              </w:rPr>
              <w:t>Source</w:t>
            </w:r>
          </w:p>
        </w:tc>
      </w:tr>
      <w:tr w:rsidR="002C0299" w:rsidRPr="00562810" w14:paraId="4A8F7E2F" w14:textId="77777777" w:rsidTr="004A67A7">
        <w:trPr>
          <w:cantSplit/>
          <w:trHeight w:val="1007"/>
        </w:trPr>
        <w:tc>
          <w:tcPr>
            <w:tcW w:w="3145" w:type="dxa"/>
            <w:vAlign w:val="center"/>
          </w:tcPr>
          <w:p w14:paraId="1EB5470C" w14:textId="77777777" w:rsidR="00143F0D" w:rsidRPr="00562810" w:rsidRDefault="00143F0D" w:rsidP="004A67A7">
            <w:pPr>
              <w:keepNext/>
              <w:keepLines/>
              <w:spacing w:before="0" w:after="0" w:line="240" w:lineRule="auto"/>
              <w:rPr>
                <w:rFonts w:cs="Arial"/>
                <w:sz w:val="20"/>
                <w:szCs w:val="20"/>
              </w:rPr>
            </w:pPr>
            <w:r w:rsidRPr="00562810">
              <w:rPr>
                <w:rFonts w:cs="Arial"/>
                <w:sz w:val="20"/>
                <w:szCs w:val="20"/>
              </w:rPr>
              <w:t>Cabinet Size (ft³)</w:t>
            </w:r>
          </w:p>
        </w:tc>
        <w:tc>
          <w:tcPr>
            <w:tcW w:w="1080" w:type="dxa"/>
            <w:vAlign w:val="center"/>
          </w:tcPr>
          <w:p w14:paraId="2B735B3F" w14:textId="77777777" w:rsidR="00143F0D" w:rsidRPr="005F0653" w:rsidRDefault="00143F0D" w:rsidP="004A67A7">
            <w:pPr>
              <w:keepNext/>
              <w:keepLines/>
              <w:spacing w:before="0" w:after="0" w:line="240" w:lineRule="auto"/>
              <w:jc w:val="center"/>
              <w:rPr>
                <w:rFonts w:cs="Arial"/>
                <w:sz w:val="20"/>
                <w:szCs w:val="20"/>
              </w:rPr>
            </w:pPr>
            <w:r w:rsidRPr="005F0653">
              <w:rPr>
                <w:rFonts w:cs="Arial"/>
                <w:sz w:val="20"/>
                <w:szCs w:val="20"/>
              </w:rPr>
              <w:t>10</w:t>
            </w:r>
            <w:r w:rsidRPr="005F0653">
              <w:t xml:space="preserve"> </w:t>
            </w:r>
          </w:p>
        </w:tc>
        <w:tc>
          <w:tcPr>
            <w:tcW w:w="1170" w:type="dxa"/>
            <w:vAlign w:val="center"/>
          </w:tcPr>
          <w:p w14:paraId="03804918" w14:textId="77777777" w:rsidR="00143F0D" w:rsidRPr="005F0653" w:rsidRDefault="00143F0D" w:rsidP="004A67A7">
            <w:pPr>
              <w:keepNext/>
              <w:keepLines/>
              <w:spacing w:before="0" w:after="0" w:line="240" w:lineRule="auto"/>
              <w:jc w:val="center"/>
              <w:rPr>
                <w:rFonts w:cs="Arial"/>
                <w:sz w:val="20"/>
                <w:szCs w:val="20"/>
              </w:rPr>
            </w:pPr>
            <w:r w:rsidRPr="005F0653">
              <w:rPr>
                <w:rFonts w:cs="Arial"/>
                <w:sz w:val="20"/>
                <w:szCs w:val="20"/>
              </w:rPr>
              <w:t>10</w:t>
            </w:r>
          </w:p>
        </w:tc>
        <w:tc>
          <w:tcPr>
            <w:tcW w:w="4230" w:type="dxa"/>
            <w:vMerge w:val="restart"/>
            <w:vAlign w:val="center"/>
          </w:tcPr>
          <w:p w14:paraId="7CD5A717" w14:textId="77777777" w:rsidR="00821E0D" w:rsidRPr="00FC404D" w:rsidRDefault="00821E0D" w:rsidP="00821E0D">
            <w:pPr>
              <w:keepNext/>
              <w:keepLines/>
              <w:spacing w:before="20" w:after="20" w:line="240" w:lineRule="auto"/>
              <w:rPr>
                <w:rFonts w:cs="Arial"/>
                <w:sz w:val="18"/>
                <w:szCs w:val="18"/>
              </w:rPr>
            </w:pPr>
            <w:r w:rsidRPr="00FC404D">
              <w:rPr>
                <w:rFonts w:cs="Arial"/>
                <w:sz w:val="18"/>
                <w:szCs w:val="18"/>
              </w:rPr>
              <w:t xml:space="preserve">Baseline Case: </w:t>
            </w:r>
            <w:r w:rsidRPr="00FC404D">
              <w:rPr>
                <w:sz w:val="18"/>
                <w:szCs w:val="16"/>
              </w:rPr>
              <w:t xml:space="preserve">Average of FSTC/Frontier Energy HFHC Test Data per ASTM F2140 and CEC database. </w:t>
            </w:r>
          </w:p>
          <w:p w14:paraId="2B78243A" w14:textId="77777777" w:rsidR="00821E0D" w:rsidRPr="00FC404D" w:rsidRDefault="00821E0D" w:rsidP="00821E0D">
            <w:pPr>
              <w:keepNext/>
              <w:keepLines/>
              <w:spacing w:before="20" w:after="20" w:line="240" w:lineRule="auto"/>
              <w:rPr>
                <w:rFonts w:cs="Arial"/>
                <w:sz w:val="18"/>
                <w:szCs w:val="18"/>
              </w:rPr>
            </w:pPr>
          </w:p>
          <w:p w14:paraId="3B129D1D" w14:textId="77777777" w:rsidR="00821E0D" w:rsidRPr="00FC404D" w:rsidRDefault="00821E0D" w:rsidP="00821E0D">
            <w:pPr>
              <w:keepNext/>
              <w:keepLines/>
              <w:spacing w:before="20" w:after="20" w:line="240" w:lineRule="auto"/>
              <w:rPr>
                <w:rFonts w:cs="Arial"/>
                <w:sz w:val="18"/>
                <w:szCs w:val="18"/>
              </w:rPr>
            </w:pPr>
            <w:r w:rsidRPr="00FC404D">
              <w:rPr>
                <w:rFonts w:cs="Arial"/>
                <w:sz w:val="18"/>
                <w:szCs w:val="18"/>
              </w:rPr>
              <w:t xml:space="preserve">Measure Case: Average of efficient cabinets between CEC and ENERGY STAR databases. </w:t>
            </w:r>
          </w:p>
          <w:p w14:paraId="5422256B" w14:textId="77777777" w:rsidR="00821E0D" w:rsidRPr="00FC404D" w:rsidRDefault="00821E0D" w:rsidP="00821E0D">
            <w:pPr>
              <w:keepNext/>
              <w:keepLines/>
              <w:spacing w:before="20" w:after="20" w:line="240" w:lineRule="auto"/>
              <w:rPr>
                <w:rFonts w:cs="Arial"/>
                <w:sz w:val="18"/>
                <w:szCs w:val="18"/>
              </w:rPr>
            </w:pPr>
          </w:p>
          <w:p w14:paraId="6B80E2F3" w14:textId="3D026971" w:rsidR="00143F0D" w:rsidRPr="00FC404D" w:rsidRDefault="00821E0D" w:rsidP="00821E0D">
            <w:pPr>
              <w:keepNext/>
              <w:keepLines/>
              <w:spacing w:before="0" w:after="0" w:line="240" w:lineRule="auto"/>
              <w:rPr>
                <w:rFonts w:cs="Arial"/>
                <w:sz w:val="18"/>
                <w:szCs w:val="18"/>
              </w:rPr>
            </w:pPr>
            <w:r w:rsidRPr="00FC404D">
              <w:rPr>
                <w:rFonts w:cs="Arial"/>
                <w:sz w:val="18"/>
                <w:szCs w:val="18"/>
              </w:rPr>
              <w:t>Per recommendation of Frontier Energy study.</w:t>
            </w:r>
          </w:p>
        </w:tc>
      </w:tr>
      <w:tr w:rsidR="002C0299" w:rsidRPr="00562810" w14:paraId="31BDA5E3" w14:textId="77777777" w:rsidTr="004A67A7">
        <w:trPr>
          <w:cantSplit/>
          <w:trHeight w:val="720"/>
        </w:trPr>
        <w:tc>
          <w:tcPr>
            <w:tcW w:w="3145" w:type="dxa"/>
            <w:vAlign w:val="center"/>
          </w:tcPr>
          <w:p w14:paraId="7DE8BF4A" w14:textId="77777777" w:rsidR="00592093" w:rsidRPr="00562810" w:rsidRDefault="00592093" w:rsidP="004A67A7">
            <w:pPr>
              <w:keepNext/>
              <w:keepLines/>
              <w:spacing w:before="0" w:after="0" w:line="240" w:lineRule="auto"/>
              <w:rPr>
                <w:rFonts w:cs="Arial"/>
                <w:sz w:val="20"/>
                <w:szCs w:val="20"/>
              </w:rPr>
            </w:pPr>
            <w:r w:rsidRPr="00562810">
              <w:rPr>
                <w:rFonts w:cs="Arial"/>
                <w:sz w:val="20"/>
                <w:szCs w:val="20"/>
              </w:rPr>
              <w:t>Idle Energy Rate by Volume (W/ft³)</w:t>
            </w:r>
          </w:p>
        </w:tc>
        <w:tc>
          <w:tcPr>
            <w:tcW w:w="1080" w:type="dxa"/>
            <w:vAlign w:val="center"/>
          </w:tcPr>
          <w:p w14:paraId="64FF8180" w14:textId="4C21AF48" w:rsidR="00592093" w:rsidRPr="005F0653" w:rsidRDefault="00047564" w:rsidP="004A67A7">
            <w:pPr>
              <w:keepNext/>
              <w:keepLines/>
              <w:spacing w:before="0" w:after="0" w:line="240" w:lineRule="auto"/>
              <w:jc w:val="center"/>
              <w:rPr>
                <w:rFonts w:cs="Arial"/>
                <w:sz w:val="20"/>
                <w:szCs w:val="20"/>
              </w:rPr>
            </w:pPr>
            <w:r>
              <w:rPr>
                <w:rFonts w:cs="Arial"/>
                <w:sz w:val="20"/>
                <w:szCs w:val="20"/>
              </w:rPr>
              <w:t>35</w:t>
            </w:r>
          </w:p>
        </w:tc>
        <w:tc>
          <w:tcPr>
            <w:tcW w:w="1170" w:type="dxa"/>
            <w:vAlign w:val="center"/>
          </w:tcPr>
          <w:p w14:paraId="39180303" w14:textId="434E43A9" w:rsidR="00592093" w:rsidRPr="005F0653" w:rsidRDefault="00047564" w:rsidP="004A67A7">
            <w:pPr>
              <w:keepNext/>
              <w:keepLines/>
              <w:spacing w:before="0" w:after="0" w:line="240" w:lineRule="auto"/>
              <w:jc w:val="center"/>
              <w:rPr>
                <w:rFonts w:cs="Arial"/>
                <w:sz w:val="20"/>
                <w:szCs w:val="20"/>
              </w:rPr>
            </w:pPr>
            <w:r>
              <w:rPr>
                <w:rFonts w:cs="Arial"/>
                <w:sz w:val="20"/>
                <w:szCs w:val="20"/>
              </w:rPr>
              <w:t>12</w:t>
            </w:r>
          </w:p>
        </w:tc>
        <w:tc>
          <w:tcPr>
            <w:tcW w:w="4230" w:type="dxa"/>
            <w:vMerge/>
            <w:vAlign w:val="center"/>
          </w:tcPr>
          <w:p w14:paraId="69385910" w14:textId="77777777" w:rsidR="00592093" w:rsidRPr="00FC404D" w:rsidRDefault="00592093" w:rsidP="004A67A7">
            <w:pPr>
              <w:keepNext/>
              <w:keepLines/>
              <w:spacing w:before="0" w:after="0" w:line="240" w:lineRule="auto"/>
              <w:jc w:val="center"/>
              <w:rPr>
                <w:rFonts w:cs="Arial"/>
                <w:sz w:val="18"/>
                <w:szCs w:val="18"/>
              </w:rPr>
            </w:pPr>
          </w:p>
        </w:tc>
      </w:tr>
      <w:tr w:rsidR="002C0299" w:rsidRPr="00562810" w14:paraId="1F6B5418" w14:textId="77777777" w:rsidTr="004A67A7">
        <w:trPr>
          <w:cantSplit/>
          <w:trHeight w:val="521"/>
        </w:trPr>
        <w:tc>
          <w:tcPr>
            <w:tcW w:w="3145" w:type="dxa"/>
            <w:vAlign w:val="center"/>
          </w:tcPr>
          <w:p w14:paraId="5391BE98" w14:textId="77777777" w:rsidR="00E8741C" w:rsidRPr="00562810" w:rsidRDefault="00E8741C" w:rsidP="004A67A7">
            <w:pPr>
              <w:spacing w:before="0" w:after="0" w:line="240" w:lineRule="auto"/>
              <w:rPr>
                <w:rFonts w:cs="Arial"/>
                <w:sz w:val="20"/>
                <w:szCs w:val="20"/>
              </w:rPr>
            </w:pPr>
            <w:r w:rsidRPr="00562810">
              <w:rPr>
                <w:rFonts w:cs="Arial"/>
                <w:sz w:val="20"/>
                <w:szCs w:val="20"/>
              </w:rPr>
              <w:t>Operating Hours per Day (</w:t>
            </w:r>
            <w:proofErr w:type="spellStart"/>
            <w:r w:rsidRPr="00562810">
              <w:rPr>
                <w:rFonts w:cs="Arial"/>
                <w:sz w:val="20"/>
                <w:szCs w:val="20"/>
              </w:rPr>
              <w:t>h</w:t>
            </w:r>
            <w:r>
              <w:rPr>
                <w:rFonts w:cs="Arial"/>
                <w:sz w:val="20"/>
                <w:szCs w:val="20"/>
              </w:rPr>
              <w:t>r</w:t>
            </w:r>
            <w:proofErr w:type="spellEnd"/>
            <w:r w:rsidRPr="00562810">
              <w:rPr>
                <w:rFonts w:cs="Arial"/>
                <w:sz w:val="20"/>
                <w:szCs w:val="20"/>
              </w:rPr>
              <w:t>/day)</w:t>
            </w:r>
          </w:p>
        </w:tc>
        <w:tc>
          <w:tcPr>
            <w:tcW w:w="1080" w:type="dxa"/>
            <w:vAlign w:val="center"/>
          </w:tcPr>
          <w:p w14:paraId="1949B1DA" w14:textId="2C867074" w:rsidR="00E8741C" w:rsidRPr="005F0653" w:rsidRDefault="00047564" w:rsidP="004A67A7">
            <w:pPr>
              <w:spacing w:before="0" w:after="0" w:line="240" w:lineRule="auto"/>
              <w:jc w:val="center"/>
              <w:rPr>
                <w:rFonts w:cs="Arial"/>
                <w:sz w:val="20"/>
                <w:szCs w:val="20"/>
              </w:rPr>
            </w:pPr>
            <w:r>
              <w:rPr>
                <w:rFonts w:cs="Arial"/>
                <w:sz w:val="20"/>
                <w:szCs w:val="20"/>
              </w:rPr>
              <w:t>9</w:t>
            </w:r>
          </w:p>
        </w:tc>
        <w:tc>
          <w:tcPr>
            <w:tcW w:w="1170" w:type="dxa"/>
            <w:vAlign w:val="center"/>
          </w:tcPr>
          <w:p w14:paraId="3B38A980" w14:textId="3C94E59C" w:rsidR="00E8741C" w:rsidRPr="005F0653" w:rsidRDefault="00047564" w:rsidP="004A67A7">
            <w:pPr>
              <w:spacing w:before="0" w:after="0" w:line="240" w:lineRule="auto"/>
              <w:jc w:val="center"/>
              <w:rPr>
                <w:rFonts w:cs="Arial"/>
                <w:sz w:val="20"/>
                <w:szCs w:val="20"/>
              </w:rPr>
            </w:pPr>
            <w:r>
              <w:rPr>
                <w:rFonts w:cs="Arial"/>
                <w:sz w:val="20"/>
                <w:szCs w:val="20"/>
              </w:rPr>
              <w:t>9</w:t>
            </w:r>
          </w:p>
        </w:tc>
        <w:tc>
          <w:tcPr>
            <w:tcW w:w="4230" w:type="dxa"/>
            <w:vMerge w:val="restart"/>
            <w:vAlign w:val="center"/>
          </w:tcPr>
          <w:p w14:paraId="07CB5AE9" w14:textId="5168D29C" w:rsidR="00E8741C" w:rsidRPr="00FC404D" w:rsidRDefault="00F25D4E" w:rsidP="004A67A7">
            <w:pPr>
              <w:spacing w:before="0" w:after="0" w:line="240" w:lineRule="auto"/>
              <w:rPr>
                <w:rFonts w:cs="Arial"/>
                <w:sz w:val="18"/>
                <w:szCs w:val="18"/>
              </w:rPr>
            </w:pPr>
            <w:r w:rsidRPr="00FC404D">
              <w:t xml:space="preserve"> </w:t>
            </w:r>
            <w:r w:rsidRPr="00FC404D">
              <w:rPr>
                <w:rFonts w:cs="Arial"/>
                <w:sz w:val="18"/>
                <w:szCs w:val="18"/>
              </w:rPr>
              <w:t>Frontier Energy, Inc. Electric Plug Load Savings Potential of Commercial Foodservice Equipment. (California, CEC-EPC-15-027, 2019).</w:t>
            </w:r>
          </w:p>
        </w:tc>
      </w:tr>
      <w:tr w:rsidR="002C0299" w:rsidRPr="00562810" w14:paraId="70597378" w14:textId="77777777" w:rsidTr="004A67A7">
        <w:tblPrEx>
          <w:tblCellMar>
            <w:left w:w="115" w:type="dxa"/>
            <w:right w:w="115" w:type="dxa"/>
          </w:tblCellMar>
        </w:tblPrEx>
        <w:trPr>
          <w:cantSplit/>
          <w:trHeight w:val="611"/>
        </w:trPr>
        <w:tc>
          <w:tcPr>
            <w:tcW w:w="3145" w:type="dxa"/>
            <w:vAlign w:val="center"/>
          </w:tcPr>
          <w:p w14:paraId="7385E014" w14:textId="77777777" w:rsidR="00E8741C" w:rsidRPr="00562810" w:rsidRDefault="00E8741C" w:rsidP="004A67A7">
            <w:pPr>
              <w:spacing w:before="0" w:after="0" w:line="240" w:lineRule="auto"/>
              <w:rPr>
                <w:rFonts w:cs="Arial"/>
                <w:sz w:val="20"/>
                <w:szCs w:val="20"/>
              </w:rPr>
            </w:pPr>
            <w:r w:rsidRPr="00562810">
              <w:rPr>
                <w:rFonts w:cs="Arial"/>
                <w:sz w:val="20"/>
                <w:szCs w:val="20"/>
              </w:rPr>
              <w:t>Operating Days per Year (days)</w:t>
            </w:r>
          </w:p>
        </w:tc>
        <w:tc>
          <w:tcPr>
            <w:tcW w:w="1080" w:type="dxa"/>
            <w:vAlign w:val="center"/>
          </w:tcPr>
          <w:p w14:paraId="71F2446B" w14:textId="77777777" w:rsidR="00E8741C" w:rsidRPr="005F0653" w:rsidRDefault="00E8741C" w:rsidP="004A67A7">
            <w:pPr>
              <w:spacing w:before="0" w:after="0" w:line="240" w:lineRule="auto"/>
              <w:jc w:val="center"/>
              <w:rPr>
                <w:rFonts w:cs="Arial"/>
                <w:sz w:val="20"/>
                <w:szCs w:val="20"/>
              </w:rPr>
            </w:pPr>
            <w:r w:rsidRPr="005F0653">
              <w:rPr>
                <w:rFonts w:cs="Arial"/>
                <w:sz w:val="20"/>
                <w:szCs w:val="20"/>
              </w:rPr>
              <w:t>365</w:t>
            </w:r>
          </w:p>
        </w:tc>
        <w:tc>
          <w:tcPr>
            <w:tcW w:w="1170" w:type="dxa"/>
            <w:vAlign w:val="center"/>
          </w:tcPr>
          <w:p w14:paraId="76379F19" w14:textId="77777777" w:rsidR="00E8741C" w:rsidRPr="005F0653" w:rsidRDefault="00E8741C" w:rsidP="004A67A7">
            <w:pPr>
              <w:spacing w:before="0" w:after="0" w:line="240" w:lineRule="auto"/>
              <w:jc w:val="center"/>
              <w:rPr>
                <w:rFonts w:cs="Arial"/>
                <w:sz w:val="20"/>
                <w:szCs w:val="20"/>
              </w:rPr>
            </w:pPr>
            <w:r w:rsidRPr="005F0653">
              <w:rPr>
                <w:rFonts w:cs="Arial"/>
                <w:sz w:val="20"/>
                <w:szCs w:val="20"/>
              </w:rPr>
              <w:t>365</w:t>
            </w:r>
          </w:p>
        </w:tc>
        <w:tc>
          <w:tcPr>
            <w:tcW w:w="4230" w:type="dxa"/>
            <w:vMerge/>
            <w:vAlign w:val="center"/>
          </w:tcPr>
          <w:p w14:paraId="4EDF8761" w14:textId="77777777" w:rsidR="00E8741C" w:rsidRPr="005E0784" w:rsidRDefault="00E8741C" w:rsidP="004A67A7">
            <w:pPr>
              <w:spacing w:before="0" w:after="0" w:line="240" w:lineRule="auto"/>
              <w:jc w:val="center"/>
              <w:rPr>
                <w:rFonts w:cs="Arial"/>
                <w:color w:val="FF0000"/>
                <w:sz w:val="16"/>
                <w:szCs w:val="20"/>
              </w:rPr>
            </w:pPr>
          </w:p>
        </w:tc>
      </w:tr>
    </w:tbl>
    <w:p w14:paraId="32AFBDA1" w14:textId="77777777" w:rsidR="00280C3B" w:rsidRPr="00C87BEF" w:rsidRDefault="00280C3B" w:rsidP="00280C3B">
      <w:pPr>
        <w:rPr>
          <w:lang w:eastAsia="x-none"/>
        </w:rPr>
      </w:pPr>
    </w:p>
    <w:p w14:paraId="1B0A86DB" w14:textId="77777777" w:rsidR="000C7EA0" w:rsidRPr="00AB3791" w:rsidRDefault="000C7EA0" w:rsidP="000C7EA0">
      <w:pPr>
        <w:rPr>
          <w:rFonts w:cs="Arial"/>
          <w:szCs w:val="22"/>
        </w:rPr>
      </w:pPr>
      <w:r w:rsidRPr="00AB3791">
        <w:rPr>
          <w:rFonts w:cs="Arial"/>
          <w:szCs w:val="22"/>
        </w:rPr>
        <w:t xml:space="preserve">A sample calculation </w:t>
      </w:r>
      <w:r>
        <w:rPr>
          <w:rFonts w:cs="Arial"/>
          <w:szCs w:val="22"/>
        </w:rPr>
        <w:t xml:space="preserve">of </w:t>
      </w:r>
      <w:r w:rsidR="004A67A7">
        <w:rPr>
          <w:rFonts w:cs="Arial"/>
          <w:szCs w:val="22"/>
        </w:rPr>
        <w:t>the</w:t>
      </w:r>
      <w:r>
        <w:rPr>
          <w:rFonts w:cs="Arial"/>
          <w:szCs w:val="22"/>
        </w:rPr>
        <w:t xml:space="preserve"> annual </w:t>
      </w:r>
      <w:r w:rsidR="004A67A7">
        <w:rPr>
          <w:rFonts w:cs="Arial"/>
          <w:szCs w:val="22"/>
        </w:rPr>
        <w:t>UEC</w:t>
      </w:r>
      <w:r>
        <w:rPr>
          <w:rFonts w:cs="Arial"/>
          <w:szCs w:val="22"/>
        </w:rPr>
        <w:t xml:space="preserve"> of a half-size base case holding cabinet </w:t>
      </w:r>
      <w:r w:rsidRPr="00AB3791">
        <w:rPr>
          <w:rFonts w:cs="Arial"/>
          <w:szCs w:val="22"/>
        </w:rPr>
        <w:t xml:space="preserve">is provided below. </w:t>
      </w:r>
    </w:p>
    <w:p w14:paraId="7DE45054" w14:textId="77777777" w:rsidR="000C7EA0" w:rsidRPr="000C7EA0" w:rsidRDefault="004A67A7" w:rsidP="000C7EA0">
      <w:pPr>
        <w:ind w:left="720"/>
        <w:rPr>
          <w:rFonts w:ascii="Cambria Math" w:hAnsi="Cambria Math" w:cs="Arial"/>
          <w:i/>
          <w:sz w:val="18"/>
          <w:szCs w:val="18"/>
        </w:rPr>
      </w:pPr>
      <m:oMathPara>
        <m:oMathParaPr>
          <m:jc m:val="left"/>
        </m:oMathParaPr>
        <m:oMath>
          <m:r>
            <w:rPr>
              <w:rFonts w:ascii="Cambria Math" w:hAnsi="Cambria Math" w:cs="Arial"/>
              <w:sz w:val="18"/>
              <w:szCs w:val="18"/>
            </w:rPr>
            <m:t>UEC_YEAR=CVOL×ERATE×EHOU×EDAY</m:t>
          </m:r>
        </m:oMath>
      </m:oMathPara>
    </w:p>
    <w:p w14:paraId="3AEA9F60" w14:textId="4D622275" w:rsidR="00280C3B" w:rsidRPr="000C7EA0" w:rsidRDefault="00787CC2" w:rsidP="000C7EA0">
      <w:pPr>
        <w:ind w:left="720"/>
        <w:rPr>
          <w:rFonts w:ascii="Cambria Math" w:hAnsi="Cambria Math" w:cs="Arial"/>
          <w:i/>
          <w:sz w:val="18"/>
          <w:szCs w:val="18"/>
        </w:rPr>
      </w:pPr>
      <m:oMathPara>
        <m:oMathParaPr>
          <m:jc m:val="left"/>
        </m:oMathParaPr>
        <m:oMath>
          <m:r>
            <w:rPr>
              <w:rFonts w:ascii="Cambria Math" w:hAnsi="Cambria Math"/>
              <w:sz w:val="18"/>
              <w:szCs w:val="18"/>
              <w:lang w:val="x-none" w:eastAsia="x-none"/>
            </w:rPr>
            <m:t>UE</m:t>
          </m:r>
          <m:sSub>
            <m:sSubPr>
              <m:ctrlPr>
                <w:rPr>
                  <w:rFonts w:ascii="Cambria Math" w:hAnsi="Cambria Math"/>
                  <w:i/>
                  <w:sz w:val="18"/>
                  <w:szCs w:val="18"/>
                  <w:lang w:val="x-none" w:eastAsia="x-none"/>
                </w:rPr>
              </m:ctrlPr>
            </m:sSubPr>
            <m:e>
              <m:r>
                <w:rPr>
                  <w:rFonts w:ascii="Cambria Math" w:hAnsi="Cambria Math"/>
                  <w:sz w:val="18"/>
                  <w:szCs w:val="18"/>
                  <w:lang w:val="x-none" w:eastAsia="x-none"/>
                </w:rPr>
                <m:t>C</m:t>
              </m:r>
            </m:e>
            <m:sub>
              <m:r>
                <w:rPr>
                  <w:rFonts w:ascii="Cambria Math" w:hAnsi="Cambria Math"/>
                  <w:sz w:val="18"/>
                  <w:szCs w:val="18"/>
                  <w:lang w:val="x-none" w:eastAsia="x-none"/>
                </w:rPr>
                <m:t>YEAR</m:t>
              </m:r>
            </m:sub>
          </m:sSub>
          <m:r>
            <w:rPr>
              <w:rFonts w:ascii="Cambria Math" w:hAnsi="Cambria Math"/>
              <w:sz w:val="18"/>
              <w:szCs w:val="18"/>
              <w:lang w:val="x-none" w:eastAsia="x-none"/>
            </w:rPr>
            <m:t xml:space="preserve">=10×0.035×9×365=1,149.75 kWh/year </m:t>
          </m:r>
        </m:oMath>
      </m:oMathPara>
    </w:p>
    <w:p w14:paraId="55F0FF43" w14:textId="77777777" w:rsidR="00084E7E" w:rsidRDefault="00084E7E" w:rsidP="00084E7E"/>
    <w:p w14:paraId="197DA1EE" w14:textId="77777777" w:rsidR="00B64E55" w:rsidRPr="004B06E3" w:rsidRDefault="00B64E55" w:rsidP="00B64E55">
      <w:pPr>
        <w:pStyle w:val="eTRMHeading3"/>
      </w:pPr>
      <w:bookmarkStart w:id="43" w:name="_Toc486490856"/>
      <w:bookmarkStart w:id="44" w:name="_Toc486580927"/>
      <w:bookmarkStart w:id="45" w:name="_Toc24559526"/>
      <w:r w:rsidRPr="004B06E3">
        <w:t>Peak Electric Demand Reduction (kW)</w:t>
      </w:r>
      <w:bookmarkEnd w:id="43"/>
      <w:bookmarkEnd w:id="44"/>
      <w:bookmarkEnd w:id="45"/>
    </w:p>
    <w:p w14:paraId="03B9F338" w14:textId="77777777" w:rsidR="00B64E55" w:rsidRDefault="00DD38CB" w:rsidP="00B64E55">
      <w:r>
        <w:rPr>
          <w:rFonts w:cs="Calibri Light"/>
          <w:szCs w:val="22"/>
          <w:shd w:val="clear" w:color="auto" w:fill="FFFFFF"/>
        </w:rPr>
        <w:t>It is assumed that this measure operates within the Database of Energy Efficient Resources (DEER) peak period of 4 p.m. to 9 p.m. on weekdays</w:t>
      </w:r>
      <w:r>
        <w:rPr>
          <w:rStyle w:val="FootnoteReference"/>
          <w:rFonts w:cs="Calibri Light"/>
          <w:szCs w:val="22"/>
          <w:shd w:val="clear" w:color="auto" w:fill="FFFFFF"/>
        </w:rPr>
        <w:footnoteReference w:id="8"/>
      </w:r>
      <w:r>
        <w:rPr>
          <w:rFonts w:cs="Calibri Light"/>
          <w:szCs w:val="22"/>
          <w:shd w:val="clear" w:color="auto" w:fill="FFFFFF"/>
        </w:rPr>
        <w:t xml:space="preserve"> at a constant load throughout the day. </w:t>
      </w:r>
      <w:r w:rsidR="00B64E55">
        <w:t xml:space="preserve">The </w:t>
      </w:r>
      <w:r w:rsidR="00B659E7">
        <w:t xml:space="preserve">estimated </w:t>
      </w:r>
      <w:r w:rsidR="002E05A3">
        <w:t xml:space="preserve">average and peak </w:t>
      </w:r>
      <w:r w:rsidR="00B64E55">
        <w:t xml:space="preserve">demand reduction is based on measured data for base case and measure case insulated holding </w:t>
      </w:r>
      <w:r w:rsidR="00B64E55">
        <w:lastRenderedPageBreak/>
        <w:t>cabinets</w:t>
      </w:r>
      <w:r w:rsidR="00B659E7">
        <w:t xml:space="preserve"> using parameters</w:t>
      </w:r>
      <w:r w:rsidR="002E05A3">
        <w:t xml:space="preserve"> for Electric Savings</w:t>
      </w:r>
      <w:r w:rsidR="00B64E55">
        <w:t>. The measured data are derived from tests conducted under ASTM Standard Test Method for the</w:t>
      </w:r>
      <w:r w:rsidR="00B64E55">
        <w:rPr>
          <w:rFonts w:ascii="Arial" w:hAnsi="Arial" w:cs="Arial"/>
          <w:i/>
          <w:iCs/>
        </w:rPr>
        <w:t xml:space="preserve"> </w:t>
      </w:r>
      <w:r w:rsidR="00B64E55">
        <w:t>Performance of Hot Food Holding Cabinets (F2140</w:t>
      </w:r>
      <w:r>
        <w:t>).</w:t>
      </w:r>
    </w:p>
    <w:p w14:paraId="0FB450F6" w14:textId="77777777" w:rsidR="002E05A3" w:rsidRPr="005D7440" w:rsidRDefault="002E05A3" w:rsidP="002E05A3">
      <w:pPr>
        <w:rPr>
          <w:rFonts w:cs="Calibri Light"/>
          <w:szCs w:val="22"/>
          <w:shd w:val="clear" w:color="auto" w:fill="FFFFFF"/>
        </w:rPr>
      </w:pPr>
      <w:r w:rsidRPr="002E05A3">
        <w:rPr>
          <w:rFonts w:cs="Calibri Light"/>
          <w:szCs w:val="22"/>
          <w:shd w:val="clear" w:color="auto" w:fill="FFFFFF"/>
        </w:rPr>
        <w:t>The </w:t>
      </w:r>
      <w:r w:rsidRPr="002E05A3">
        <w:rPr>
          <w:rStyle w:val="Strong"/>
          <w:rFonts w:cs="Calibri Light"/>
          <w:b w:val="0"/>
          <w:color w:val="292929"/>
          <w:szCs w:val="22"/>
          <w:shd w:val="clear" w:color="auto" w:fill="FFFFFF"/>
        </w:rPr>
        <w:t>average demand</w:t>
      </w:r>
      <w:r w:rsidRPr="002E05A3">
        <w:rPr>
          <w:rStyle w:val="Strong"/>
          <w:rFonts w:cs="Calibri Light"/>
          <w:color w:val="292929"/>
          <w:szCs w:val="22"/>
          <w:shd w:val="clear" w:color="auto" w:fill="FFFFFF"/>
        </w:rPr>
        <w:t> </w:t>
      </w:r>
      <w:r w:rsidRPr="002E05A3">
        <w:rPr>
          <w:rFonts w:cs="Calibri Light"/>
          <w:szCs w:val="22"/>
          <w:shd w:val="clear" w:color="auto" w:fill="FFFFFF"/>
        </w:rPr>
        <w:t>(baseline or measure case) is equal to the annual unit energy consumption (UEC)</w:t>
      </w:r>
      <w:r w:rsidRPr="005D7440">
        <w:rPr>
          <w:rFonts w:cs="Calibri Light"/>
          <w:szCs w:val="22"/>
          <w:shd w:val="clear" w:color="auto" w:fill="FFFFFF"/>
        </w:rPr>
        <w:t xml:space="preserve"> divided by the assumed annual hours of operation. </w:t>
      </w:r>
    </w:p>
    <w:p w14:paraId="1392A7E4" w14:textId="77777777" w:rsidR="002E05A3" w:rsidRPr="00626CDF" w:rsidRDefault="00311972" w:rsidP="002E05A3">
      <w:pPr>
        <w:ind w:left="720"/>
        <w:rPr>
          <w:sz w:val="18"/>
        </w:rPr>
      </w:pPr>
      <m:oMathPara>
        <m:oMathParaPr>
          <m:jc m:val="left"/>
        </m:oMathParaPr>
        <m:oMath>
          <m:sSub>
            <m:sSubPr>
              <m:ctrlPr>
                <w:rPr>
                  <w:rFonts w:ascii="Cambria Math" w:hAnsi="Cambria Math"/>
                  <w:i/>
                  <w:sz w:val="18"/>
                </w:rPr>
              </m:ctrlPr>
            </m:sSubPr>
            <m:e>
              <m:r>
                <w:rPr>
                  <w:rFonts w:ascii="Cambria Math" w:hAnsi="Cambria Math"/>
                  <w:sz w:val="18"/>
                </w:rPr>
                <m:t>Demand</m:t>
              </m:r>
            </m:e>
            <m:sub>
              <m:r>
                <w:rPr>
                  <w:rFonts w:ascii="Cambria Math" w:hAnsi="Cambria Math"/>
                  <w:sz w:val="18"/>
                </w:rPr>
                <m:t>avg</m:t>
              </m:r>
            </m:sub>
          </m:sSub>
          <m:r>
            <w:rPr>
              <w:rFonts w:ascii="Cambria Math" w:hAnsi="Cambria Math"/>
              <w:sz w:val="18"/>
            </w:rPr>
            <m:t>=</m:t>
          </m:r>
          <m:f>
            <m:fPr>
              <m:ctrlPr>
                <w:rPr>
                  <w:rFonts w:ascii="Cambria Math" w:hAnsi="Cambria Math"/>
                  <w:i/>
                  <w:sz w:val="18"/>
                </w:rPr>
              </m:ctrlPr>
            </m:fPr>
            <m:num>
              <m:sSub>
                <m:sSubPr>
                  <m:ctrlPr>
                    <w:rPr>
                      <w:rFonts w:ascii="Cambria Math" w:hAnsi="Cambria Math"/>
                      <w:i/>
                      <w:sz w:val="18"/>
                    </w:rPr>
                  </m:ctrlPr>
                </m:sSubPr>
                <m:e>
                  <m:r>
                    <w:rPr>
                      <w:rFonts w:ascii="Cambria Math" w:hAnsi="Cambria Math" w:cs="Calibri Light"/>
                      <w:sz w:val="18"/>
                      <w:szCs w:val="20"/>
                    </w:rPr>
                    <m:t xml:space="preserve">UEC_YEAR </m:t>
                  </m:r>
                </m:e>
                <m:sub>
                  <m:r>
                    <w:rPr>
                      <w:rFonts w:ascii="Cambria Math" w:hAnsi="Cambria Math"/>
                      <w:sz w:val="18"/>
                    </w:rPr>
                    <m:t>kWh</m:t>
                  </m:r>
                </m:sub>
              </m:sSub>
            </m:num>
            <m:den>
              <m:r>
                <w:rPr>
                  <w:rFonts w:ascii="Cambria Math" w:hAnsi="Cambria Math"/>
                  <w:sz w:val="18"/>
                </w:rPr>
                <m:t>EDAYS×EHOUR</m:t>
              </m:r>
            </m:den>
          </m:f>
        </m:oMath>
      </m:oMathPara>
    </w:p>
    <w:p w14:paraId="7C3F83FB" w14:textId="77777777" w:rsidR="002E05A3" w:rsidRPr="00E00DBE" w:rsidRDefault="002E05A3" w:rsidP="002E05A3">
      <w:pPr>
        <w:tabs>
          <w:tab w:val="left" w:pos="2880"/>
        </w:tabs>
        <w:spacing w:before="20" w:after="20"/>
        <w:ind w:left="2880" w:hanging="1440"/>
        <w:rPr>
          <w:rFonts w:ascii="Cambria Math" w:hAnsi="Cambria Math" w:cs="Calibri Light"/>
          <w:i/>
          <w:sz w:val="18"/>
          <w:szCs w:val="20"/>
        </w:rPr>
      </w:pPr>
      <w:r>
        <w:rPr>
          <w:rFonts w:ascii="Cambria Math" w:hAnsi="Cambria Math" w:cs="Calibri Light"/>
          <w:i/>
          <w:sz w:val="18"/>
          <w:szCs w:val="20"/>
        </w:rPr>
        <w:t>UEC_YEAR =</w:t>
      </w:r>
      <w:r>
        <w:rPr>
          <w:rFonts w:ascii="Cambria Math" w:hAnsi="Cambria Math" w:cs="Calibri Light"/>
          <w:i/>
          <w:sz w:val="18"/>
          <w:szCs w:val="20"/>
        </w:rPr>
        <w:tab/>
        <w:t>Annual UEC, baseline or measure (kWh/year)</w:t>
      </w:r>
    </w:p>
    <w:p w14:paraId="2BB73031" w14:textId="77777777" w:rsidR="002E05A3" w:rsidRDefault="002E05A3" w:rsidP="002E05A3">
      <w:pPr>
        <w:tabs>
          <w:tab w:val="left" w:pos="2880"/>
        </w:tabs>
        <w:spacing w:before="20" w:after="20"/>
        <w:ind w:left="2880" w:hanging="1440"/>
        <w:rPr>
          <w:rFonts w:ascii="Cambria Math" w:hAnsi="Cambria Math" w:cs="Calibri Light"/>
          <w:i/>
          <w:sz w:val="18"/>
          <w:szCs w:val="20"/>
        </w:rPr>
      </w:pPr>
      <w:r>
        <w:rPr>
          <w:rFonts w:ascii="Cambria Math" w:hAnsi="Cambria Math" w:cs="Calibri Light"/>
          <w:i/>
          <w:sz w:val="18"/>
          <w:szCs w:val="20"/>
        </w:rPr>
        <w:t>EDAYS=</w:t>
      </w:r>
      <w:r>
        <w:rPr>
          <w:rFonts w:ascii="Cambria Math" w:hAnsi="Cambria Math" w:cs="Calibri Light"/>
          <w:i/>
          <w:sz w:val="18"/>
          <w:szCs w:val="20"/>
        </w:rPr>
        <w:tab/>
        <w:t>Estimated operating days per year (days)</w:t>
      </w:r>
    </w:p>
    <w:p w14:paraId="2DC092F5" w14:textId="77777777" w:rsidR="002E05A3" w:rsidRDefault="002E05A3" w:rsidP="002E05A3">
      <w:pPr>
        <w:tabs>
          <w:tab w:val="left" w:pos="1980"/>
          <w:tab w:val="left" w:pos="2880"/>
        </w:tabs>
        <w:spacing w:before="20" w:after="20"/>
        <w:ind w:left="2880" w:hanging="1440"/>
        <w:rPr>
          <w:rFonts w:ascii="Cambria Math" w:hAnsi="Cambria Math" w:cs="Arial"/>
          <w:i/>
          <w:sz w:val="18"/>
          <w:szCs w:val="20"/>
        </w:rPr>
      </w:pPr>
      <w:r w:rsidRPr="00EA25BC">
        <w:rPr>
          <w:rFonts w:ascii="Cambria Math" w:hAnsi="Cambria Math" w:cs="Arial"/>
          <w:i/>
          <w:sz w:val="18"/>
          <w:szCs w:val="20"/>
        </w:rPr>
        <w:t>EHOU</w:t>
      </w:r>
      <w:r>
        <w:rPr>
          <w:rFonts w:ascii="Cambria Math" w:hAnsi="Cambria Math" w:cs="Arial"/>
          <w:i/>
          <w:sz w:val="18"/>
          <w:szCs w:val="20"/>
        </w:rPr>
        <w:t>R</w:t>
      </w:r>
      <w:r w:rsidRPr="00EA25BC">
        <w:rPr>
          <w:rFonts w:ascii="Cambria Math" w:hAnsi="Cambria Math" w:cs="Arial"/>
          <w:i/>
          <w:sz w:val="18"/>
          <w:szCs w:val="20"/>
        </w:rPr>
        <w:t>=</w:t>
      </w:r>
      <w:r w:rsidRPr="00EA25BC">
        <w:rPr>
          <w:rFonts w:ascii="Cambria Math" w:hAnsi="Cambria Math" w:cs="Arial"/>
          <w:i/>
          <w:sz w:val="18"/>
          <w:szCs w:val="20"/>
        </w:rPr>
        <w:tab/>
        <w:t xml:space="preserve">Estimated </w:t>
      </w:r>
      <w:r>
        <w:rPr>
          <w:rFonts w:ascii="Cambria Math" w:hAnsi="Cambria Math" w:cs="Arial"/>
          <w:i/>
          <w:sz w:val="18"/>
          <w:szCs w:val="20"/>
        </w:rPr>
        <w:t>operating hours per day (</w:t>
      </w:r>
      <w:proofErr w:type="spellStart"/>
      <w:r>
        <w:rPr>
          <w:rFonts w:ascii="Cambria Math" w:hAnsi="Cambria Math" w:cs="Arial"/>
          <w:i/>
          <w:sz w:val="18"/>
          <w:szCs w:val="20"/>
        </w:rPr>
        <w:t>hrs</w:t>
      </w:r>
      <w:proofErr w:type="spellEnd"/>
      <w:r>
        <w:rPr>
          <w:rFonts w:ascii="Cambria Math" w:hAnsi="Cambria Math" w:cs="Arial"/>
          <w:i/>
          <w:sz w:val="18"/>
          <w:szCs w:val="20"/>
        </w:rPr>
        <w:t>)</w:t>
      </w:r>
    </w:p>
    <w:p w14:paraId="4FD27B99" w14:textId="77777777" w:rsidR="002E05A3" w:rsidRDefault="002E05A3" w:rsidP="002E05A3">
      <w:pPr>
        <w:rPr>
          <w:shd w:val="clear" w:color="auto" w:fill="FFFFFF"/>
        </w:rPr>
      </w:pPr>
    </w:p>
    <w:p w14:paraId="58DC7811" w14:textId="77777777" w:rsidR="002E05A3" w:rsidRDefault="002E05A3" w:rsidP="002E05A3">
      <w:pPr>
        <w:rPr>
          <w:shd w:val="clear" w:color="auto" w:fill="FFFFFF"/>
        </w:rPr>
      </w:pPr>
      <w:r w:rsidRPr="00626CDF">
        <w:rPr>
          <w:shd w:val="clear" w:color="auto" w:fill="FFFFFF"/>
        </w:rPr>
        <w:t xml:space="preserve">The </w:t>
      </w:r>
      <w:r w:rsidRPr="00DC31F9">
        <w:rPr>
          <w:shd w:val="clear" w:color="auto" w:fill="FFFFFF"/>
        </w:rPr>
        <w:t>average demand reduction</w:t>
      </w:r>
      <w:r w:rsidRPr="00626CDF">
        <w:rPr>
          <w:shd w:val="clear" w:color="auto" w:fill="FFFFFF"/>
        </w:rPr>
        <w:t>, therefore, is the difference between the baseline and measure case average demand. The estimated </w:t>
      </w:r>
      <w:r w:rsidRPr="00626CDF">
        <w:rPr>
          <w:rStyle w:val="Strong"/>
          <w:rFonts w:cs="Calibri Light"/>
          <w:color w:val="292929"/>
          <w:szCs w:val="22"/>
          <w:shd w:val="clear" w:color="auto" w:fill="FFFFFF"/>
        </w:rPr>
        <w:t>peak demand reduction</w:t>
      </w:r>
      <w:r w:rsidRPr="00626CDF">
        <w:rPr>
          <w:shd w:val="clear" w:color="auto" w:fill="FFFFFF"/>
        </w:rPr>
        <w:t> is calculated as the average demand reduction multiplied by the coincident demand factor (CDF).</w:t>
      </w:r>
    </w:p>
    <w:p w14:paraId="1CF71C10" w14:textId="77777777" w:rsidR="00B64E55" w:rsidRPr="00152F0E" w:rsidRDefault="00B64E55" w:rsidP="00B64E55">
      <w:pPr>
        <w:pStyle w:val="Caption"/>
      </w:pPr>
      <w:r>
        <w:t xml:space="preserve">Demand Reduction </w:t>
      </w:r>
      <w:r w:rsidR="002E05A3">
        <w:t>Inputs</w:t>
      </w:r>
      <w:r>
        <w:t xml:space="preserve"> (all sizes)</w:t>
      </w:r>
    </w:p>
    <w:tbl>
      <w:tblPr>
        <w:tblW w:w="9517" w:type="dxa"/>
        <w:tblInd w:w="1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0A0" w:firstRow="1" w:lastRow="0" w:firstColumn="1" w:lastColumn="0" w:noHBand="0" w:noVBand="0"/>
      </w:tblPr>
      <w:tblGrid>
        <w:gridCol w:w="3037"/>
        <w:gridCol w:w="1170"/>
        <w:gridCol w:w="5310"/>
      </w:tblGrid>
      <w:tr w:rsidR="002E05A3" w:rsidRPr="0058503B" w14:paraId="2A9EA6EF" w14:textId="77777777" w:rsidTr="002E05A3">
        <w:trPr>
          <w:cantSplit/>
          <w:trHeight w:val="20"/>
          <w:tblHeader/>
        </w:trPr>
        <w:tc>
          <w:tcPr>
            <w:tcW w:w="3037" w:type="dxa"/>
            <w:shd w:val="clear" w:color="auto" w:fill="F2F2F2" w:themeFill="background1" w:themeFillShade="F2"/>
            <w:vAlign w:val="bottom"/>
          </w:tcPr>
          <w:p w14:paraId="4EFC5D44" w14:textId="77777777" w:rsidR="002E05A3" w:rsidRPr="0058503B" w:rsidRDefault="002E05A3" w:rsidP="00B64E55">
            <w:pPr>
              <w:keepNext/>
              <w:keepLines/>
              <w:spacing w:before="20" w:after="20"/>
              <w:rPr>
                <w:rFonts w:cs="Calibri Light"/>
                <w:b/>
                <w:sz w:val="20"/>
                <w:szCs w:val="20"/>
              </w:rPr>
            </w:pPr>
            <w:r>
              <w:rPr>
                <w:rFonts w:cs="Calibri Light"/>
                <w:b/>
                <w:sz w:val="20"/>
                <w:szCs w:val="20"/>
              </w:rPr>
              <w:t>Parameter</w:t>
            </w:r>
          </w:p>
        </w:tc>
        <w:tc>
          <w:tcPr>
            <w:tcW w:w="1170" w:type="dxa"/>
            <w:shd w:val="clear" w:color="auto" w:fill="F2F2F2" w:themeFill="background1" w:themeFillShade="F2"/>
            <w:vAlign w:val="bottom"/>
          </w:tcPr>
          <w:p w14:paraId="4292D02C" w14:textId="77777777" w:rsidR="002E05A3" w:rsidRPr="0058503B" w:rsidRDefault="002E05A3" w:rsidP="00B64E55">
            <w:pPr>
              <w:keepNext/>
              <w:keepLines/>
              <w:spacing w:before="20" w:after="20"/>
              <w:jc w:val="center"/>
              <w:rPr>
                <w:rFonts w:cs="Calibri Light"/>
                <w:b/>
                <w:sz w:val="20"/>
                <w:szCs w:val="20"/>
              </w:rPr>
            </w:pPr>
            <w:r>
              <w:rPr>
                <w:rFonts w:cs="Calibri Light"/>
                <w:b/>
                <w:sz w:val="20"/>
                <w:szCs w:val="20"/>
              </w:rPr>
              <w:t>Base Case</w:t>
            </w:r>
            <w:r w:rsidRPr="0058503B">
              <w:rPr>
                <w:rFonts w:cs="Calibri Light"/>
                <w:b/>
                <w:sz w:val="20"/>
                <w:szCs w:val="20"/>
              </w:rPr>
              <w:t xml:space="preserve"> Model</w:t>
            </w:r>
          </w:p>
        </w:tc>
        <w:tc>
          <w:tcPr>
            <w:tcW w:w="5310" w:type="dxa"/>
            <w:shd w:val="clear" w:color="auto" w:fill="F2F2F2" w:themeFill="background1" w:themeFillShade="F2"/>
            <w:vAlign w:val="bottom"/>
          </w:tcPr>
          <w:p w14:paraId="1548F2FE" w14:textId="77777777" w:rsidR="002E05A3" w:rsidRPr="00787A3A" w:rsidRDefault="002E05A3" w:rsidP="00B64E55">
            <w:pPr>
              <w:keepNext/>
              <w:keepLines/>
              <w:spacing w:before="20" w:after="20"/>
              <w:jc w:val="center"/>
              <w:rPr>
                <w:rFonts w:cs="Calibri Light"/>
                <w:b/>
                <w:sz w:val="16"/>
                <w:szCs w:val="16"/>
              </w:rPr>
            </w:pPr>
            <w:r w:rsidRPr="00787A3A">
              <w:rPr>
                <w:rFonts w:cs="Calibri Light"/>
                <w:b/>
                <w:sz w:val="20"/>
                <w:szCs w:val="16"/>
              </w:rPr>
              <w:t>Source</w:t>
            </w:r>
          </w:p>
        </w:tc>
      </w:tr>
      <w:tr w:rsidR="002E05A3" w:rsidRPr="00DD2215" w14:paraId="009BD9E0" w14:textId="77777777" w:rsidTr="002E05A3">
        <w:trPr>
          <w:cantSplit/>
          <w:trHeight w:val="288"/>
        </w:trPr>
        <w:tc>
          <w:tcPr>
            <w:tcW w:w="3037" w:type="dxa"/>
            <w:tcBorders>
              <w:bottom w:val="single" w:sz="4" w:space="0" w:color="A6A6A6" w:themeColor="background1" w:themeShade="A6"/>
            </w:tcBorders>
            <w:vAlign w:val="center"/>
          </w:tcPr>
          <w:p w14:paraId="2376DC31" w14:textId="77777777" w:rsidR="002E05A3" w:rsidRPr="0058503B" w:rsidRDefault="002E05A3" w:rsidP="00B64E55">
            <w:pPr>
              <w:spacing w:before="20" w:after="20" w:line="220" w:lineRule="exact"/>
              <w:rPr>
                <w:rFonts w:cs="Calibri Light"/>
                <w:sz w:val="20"/>
                <w:szCs w:val="20"/>
              </w:rPr>
            </w:pPr>
            <w:r>
              <w:rPr>
                <w:rFonts w:cs="Calibri Light"/>
                <w:sz w:val="20"/>
                <w:szCs w:val="20"/>
              </w:rPr>
              <w:t>Coincident Demand Factor (CDF)</w:t>
            </w:r>
          </w:p>
        </w:tc>
        <w:tc>
          <w:tcPr>
            <w:tcW w:w="1170" w:type="dxa"/>
            <w:tcBorders>
              <w:bottom w:val="single" w:sz="4" w:space="0" w:color="A6A6A6" w:themeColor="background1" w:themeShade="A6"/>
            </w:tcBorders>
            <w:vAlign w:val="center"/>
          </w:tcPr>
          <w:p w14:paraId="21EA1493" w14:textId="77777777" w:rsidR="002E05A3" w:rsidRPr="005F0653" w:rsidRDefault="002E05A3" w:rsidP="00B64E55">
            <w:pPr>
              <w:spacing w:before="20" w:after="20" w:line="220" w:lineRule="exact"/>
              <w:jc w:val="center"/>
              <w:rPr>
                <w:rFonts w:cs="Calibri Light"/>
                <w:sz w:val="20"/>
                <w:szCs w:val="20"/>
              </w:rPr>
            </w:pPr>
            <w:r w:rsidRPr="005F0653">
              <w:rPr>
                <w:rFonts w:cs="Calibri Light"/>
                <w:sz w:val="20"/>
                <w:szCs w:val="20"/>
              </w:rPr>
              <w:t>0.90</w:t>
            </w:r>
          </w:p>
        </w:tc>
        <w:tc>
          <w:tcPr>
            <w:tcW w:w="5310" w:type="dxa"/>
            <w:tcBorders>
              <w:bottom w:val="single" w:sz="4" w:space="0" w:color="A6A6A6" w:themeColor="background1" w:themeShade="A6"/>
            </w:tcBorders>
            <w:vAlign w:val="center"/>
          </w:tcPr>
          <w:p w14:paraId="2C241DE6" w14:textId="77777777" w:rsidR="002E05A3" w:rsidRPr="00A35DAD" w:rsidRDefault="002E05A3" w:rsidP="00B64E55">
            <w:pPr>
              <w:spacing w:before="20" w:after="20" w:line="220" w:lineRule="exact"/>
              <w:rPr>
                <w:rFonts w:cs="Calibri Light"/>
                <w:sz w:val="18"/>
                <w:szCs w:val="18"/>
              </w:rPr>
            </w:pPr>
            <w:proofErr w:type="spellStart"/>
            <w:r w:rsidRPr="003423EC">
              <w:rPr>
                <w:rStyle w:val="eTRMFootnoteTextChar"/>
                <w:szCs w:val="16"/>
              </w:rPr>
              <w:t>Itron</w:t>
            </w:r>
            <w:proofErr w:type="spellEnd"/>
            <w:r w:rsidRPr="003423EC">
              <w:rPr>
                <w:rStyle w:val="eTRMFootnoteTextChar"/>
                <w:szCs w:val="16"/>
              </w:rPr>
              <w:t xml:space="preserve">, Inc. 2005. </w:t>
            </w:r>
            <w:r w:rsidRPr="003423EC">
              <w:rPr>
                <w:rStyle w:val="eTRMFootnoteTextChar"/>
                <w:i/>
                <w:szCs w:val="16"/>
              </w:rPr>
              <w:t>2004-2005 Database for Energy Efficiency Resources (DEER) Update Study - Final Report.</w:t>
            </w:r>
            <w:r w:rsidRPr="003423EC">
              <w:rPr>
                <w:rStyle w:val="eTRMFootnoteTextChar"/>
                <w:szCs w:val="16"/>
              </w:rPr>
              <w:t xml:space="preserve"> Prepared for Southern California Edison. Pages 3-15 to 3-17, Table 3-14.</w:t>
            </w:r>
          </w:p>
        </w:tc>
      </w:tr>
    </w:tbl>
    <w:p w14:paraId="76020744" w14:textId="77777777" w:rsidR="00B64E55" w:rsidRDefault="00B64E55" w:rsidP="00B64E55"/>
    <w:p w14:paraId="46DDB1F1" w14:textId="77777777" w:rsidR="00B64E55" w:rsidRPr="004B06E3" w:rsidRDefault="00B64E55" w:rsidP="00B64E55">
      <w:pPr>
        <w:pStyle w:val="eTRMHeading3"/>
      </w:pPr>
      <w:bookmarkStart w:id="46" w:name="_Toc486490858"/>
      <w:bookmarkStart w:id="47" w:name="_Toc486580929"/>
      <w:bookmarkStart w:id="48" w:name="_Toc24559527"/>
      <w:bookmarkStart w:id="49" w:name="_Toc486490859"/>
      <w:bookmarkStart w:id="50" w:name="_Toc486580930"/>
      <w:r w:rsidRPr="004B06E3">
        <w:t>Gas Savings (Therms)</w:t>
      </w:r>
      <w:bookmarkEnd w:id="46"/>
      <w:bookmarkEnd w:id="47"/>
      <w:bookmarkEnd w:id="48"/>
    </w:p>
    <w:p w14:paraId="420041B1" w14:textId="77777777" w:rsidR="00B64E55" w:rsidRDefault="00B64E55" w:rsidP="00B64E55">
      <w:r>
        <w:t>Not applicable.</w:t>
      </w:r>
    </w:p>
    <w:p w14:paraId="1EE506A8" w14:textId="77777777" w:rsidR="00B64E55" w:rsidRDefault="00B64E55" w:rsidP="001B12D9"/>
    <w:p w14:paraId="533D2F53" w14:textId="77777777" w:rsidR="007D230B" w:rsidRPr="004B06E3" w:rsidRDefault="00245AFF" w:rsidP="00277238">
      <w:pPr>
        <w:pStyle w:val="eTRMHeading3"/>
      </w:pPr>
      <w:bookmarkStart w:id="51" w:name="_Toc24559528"/>
      <w:r w:rsidRPr="004B06E3">
        <w:t>Life Cycle</w:t>
      </w:r>
      <w:bookmarkEnd w:id="51"/>
      <w:r w:rsidR="007D230B" w:rsidRPr="004B06E3">
        <w:t xml:space="preserve"> </w:t>
      </w:r>
      <w:bookmarkEnd w:id="49"/>
      <w:bookmarkEnd w:id="50"/>
    </w:p>
    <w:p w14:paraId="6D4D6A40" w14:textId="77777777" w:rsidR="00017808" w:rsidRDefault="001A2217" w:rsidP="00795583">
      <w:r>
        <w:t>Effective u</w:t>
      </w:r>
      <w:r w:rsidR="00795583" w:rsidRPr="000F211A">
        <w:t xml:space="preserve">seful </w:t>
      </w:r>
      <w:r>
        <w:t>l</w:t>
      </w:r>
      <w:r w:rsidR="00795583" w:rsidRPr="000F211A">
        <w:t xml:space="preserve">ife (EUL) </w:t>
      </w:r>
      <w:r w:rsidR="00795583">
        <w:t>is</w:t>
      </w:r>
      <w:r w:rsidR="00795583" w:rsidRPr="000F211A">
        <w:t xml:space="preserve"> an estimate of the median number of years that </w:t>
      </w:r>
      <w:r w:rsidR="00795583">
        <w:t xml:space="preserve">a </w:t>
      </w:r>
      <w:r w:rsidR="00795583" w:rsidRPr="000F211A">
        <w:t xml:space="preserve">measure installed </w:t>
      </w:r>
      <w:r w:rsidR="00795583">
        <w:t>through a</w:t>
      </w:r>
      <w:r w:rsidR="00795583" w:rsidRPr="000F211A">
        <w:t xml:space="preserve"> program </w:t>
      </w:r>
      <w:r w:rsidR="00795583">
        <w:t>is</w:t>
      </w:r>
      <w:r w:rsidR="00795583" w:rsidRPr="000F211A">
        <w:t xml:space="preserve"> still in place and operable. Remaining </w:t>
      </w:r>
      <w:r>
        <w:t>u</w:t>
      </w:r>
      <w:r w:rsidR="00795583" w:rsidRPr="000F211A">
        <w:t xml:space="preserve">seful </w:t>
      </w:r>
      <w:r>
        <w:t>l</w:t>
      </w:r>
      <w:r w:rsidR="00795583" w:rsidRPr="000F211A">
        <w:t xml:space="preserve">ife (RUL) </w:t>
      </w:r>
      <w:r w:rsidR="00795583">
        <w:t>is</w:t>
      </w:r>
      <w:r w:rsidR="00795583" w:rsidRPr="000F211A">
        <w:t xml:space="preserve"> an estimate of the median number of years </w:t>
      </w:r>
      <w:r w:rsidR="00795583">
        <w:t xml:space="preserve">that </w:t>
      </w:r>
      <w:r w:rsidR="00795583" w:rsidRPr="000F211A">
        <w:t xml:space="preserve">a technology or piece of equipment replaced or altered by an energy efficiency program would </w:t>
      </w:r>
      <w:r w:rsidR="00795583">
        <w:t xml:space="preserve">have </w:t>
      </w:r>
      <w:r w:rsidR="00795583" w:rsidRPr="000F211A">
        <w:t>remain</w:t>
      </w:r>
      <w:r w:rsidR="00795583">
        <w:t>ed</w:t>
      </w:r>
      <w:r w:rsidR="00795583" w:rsidRPr="000F211A">
        <w:t xml:space="preserve"> in service and operational had the program intervention not cause</w:t>
      </w:r>
      <w:r w:rsidR="00795583">
        <w:t>d</w:t>
      </w:r>
      <w:r w:rsidR="00795583" w:rsidRPr="000F211A">
        <w:t xml:space="preserve"> the replacement or alteration. </w:t>
      </w:r>
    </w:p>
    <w:p w14:paraId="4DF2170E" w14:textId="77777777" w:rsidR="00084E7E" w:rsidRDefault="00795583" w:rsidP="00795583">
      <w:r w:rsidRPr="00D45DA4">
        <w:t xml:space="preserve">The EUL </w:t>
      </w:r>
      <w:r w:rsidR="004F2CDE">
        <w:t xml:space="preserve">specified </w:t>
      </w:r>
      <w:r w:rsidRPr="00D45DA4">
        <w:t>for</w:t>
      </w:r>
      <w:r w:rsidR="00084E7E">
        <w:t xml:space="preserve"> </w:t>
      </w:r>
      <w:r w:rsidR="004F2CDE">
        <w:t>hot food</w:t>
      </w:r>
      <w:r w:rsidR="00084E7E">
        <w:t xml:space="preserve"> holding cabinets</w:t>
      </w:r>
      <w:r>
        <w:t xml:space="preserve"> </w:t>
      </w:r>
      <w:r w:rsidR="004F2CDE">
        <w:t xml:space="preserve">are </w:t>
      </w:r>
      <w:r w:rsidR="009A63FE">
        <w:t>specified below</w:t>
      </w:r>
      <w:r>
        <w:t>.</w:t>
      </w:r>
      <w:r w:rsidR="004F2CDE">
        <w:t xml:space="preserve"> </w:t>
      </w:r>
      <w:bookmarkStart w:id="52" w:name="_Hlk526864122"/>
      <w:r w:rsidR="009A63FE">
        <w:t>Note that RUL is only applicable for add-on and accelerated replacement measures and not applicable for this measure.</w:t>
      </w:r>
      <w:bookmarkEnd w:id="52"/>
      <w:r w:rsidR="009A63FE">
        <w:t xml:space="preserve">  </w:t>
      </w:r>
    </w:p>
    <w:p w14:paraId="5B6B4D06" w14:textId="77777777" w:rsidR="00CE4515" w:rsidRPr="00052C24" w:rsidRDefault="00CE4515" w:rsidP="00DD38CB">
      <w:pPr>
        <w:pStyle w:val="Caption"/>
        <w:keepNext w:val="0"/>
        <w:keepLines w:val="0"/>
      </w:pPr>
      <w:r>
        <w:t>Effective Useful Life</w:t>
      </w:r>
      <w:r w:rsidR="00BB378E">
        <w:t xml:space="preserve"> and Remaining Useful Life</w:t>
      </w:r>
    </w:p>
    <w:tbl>
      <w:tblPr>
        <w:tblW w:w="9630" w:type="dxa"/>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0A0" w:firstRow="1" w:lastRow="0" w:firstColumn="1" w:lastColumn="0" w:noHBand="0" w:noVBand="0"/>
      </w:tblPr>
      <w:tblGrid>
        <w:gridCol w:w="1740"/>
        <w:gridCol w:w="1440"/>
        <w:gridCol w:w="6450"/>
      </w:tblGrid>
      <w:tr w:rsidR="009A63FE" w:rsidRPr="00052C24" w14:paraId="0BDF2FC3" w14:textId="77777777" w:rsidTr="00DD38CB">
        <w:tc>
          <w:tcPr>
            <w:tcW w:w="1740" w:type="dxa"/>
            <w:shd w:val="clear" w:color="auto" w:fill="F2F2F2" w:themeFill="background1" w:themeFillShade="F2"/>
            <w:vAlign w:val="bottom"/>
          </w:tcPr>
          <w:p w14:paraId="3E76D052" w14:textId="77777777" w:rsidR="009A63FE" w:rsidRPr="00052C24" w:rsidRDefault="009A63FE" w:rsidP="00DD38CB">
            <w:pPr>
              <w:spacing w:before="0" w:after="0" w:line="200" w:lineRule="atLeast"/>
              <w:jc w:val="center"/>
              <w:rPr>
                <w:b/>
                <w:sz w:val="20"/>
              </w:rPr>
            </w:pPr>
            <w:r>
              <w:rPr>
                <w:b/>
                <w:sz w:val="20"/>
              </w:rPr>
              <w:t>Parameter</w:t>
            </w:r>
          </w:p>
        </w:tc>
        <w:tc>
          <w:tcPr>
            <w:tcW w:w="1440" w:type="dxa"/>
            <w:shd w:val="clear" w:color="auto" w:fill="F2F2F2" w:themeFill="background1" w:themeFillShade="F2"/>
            <w:vAlign w:val="bottom"/>
          </w:tcPr>
          <w:p w14:paraId="6F22BE44" w14:textId="77777777" w:rsidR="009A63FE" w:rsidRPr="00052C24" w:rsidRDefault="009A63FE" w:rsidP="00DD38CB">
            <w:pPr>
              <w:spacing w:before="0" w:after="0" w:line="200" w:lineRule="atLeast"/>
              <w:jc w:val="center"/>
              <w:rPr>
                <w:b/>
                <w:sz w:val="20"/>
              </w:rPr>
            </w:pPr>
            <w:r>
              <w:rPr>
                <w:b/>
                <w:sz w:val="20"/>
              </w:rPr>
              <w:t xml:space="preserve">Value </w:t>
            </w:r>
            <w:r>
              <w:rPr>
                <w:b/>
                <w:sz w:val="20"/>
              </w:rPr>
              <w:br/>
              <w:t>(all sizes)</w:t>
            </w:r>
          </w:p>
        </w:tc>
        <w:tc>
          <w:tcPr>
            <w:tcW w:w="6450" w:type="dxa"/>
            <w:shd w:val="clear" w:color="auto" w:fill="F2F2F2" w:themeFill="background1" w:themeFillShade="F2"/>
            <w:vAlign w:val="bottom"/>
          </w:tcPr>
          <w:p w14:paraId="22EA26CC" w14:textId="77777777" w:rsidR="009A63FE" w:rsidRDefault="009A63FE" w:rsidP="00DD38CB">
            <w:pPr>
              <w:spacing w:before="0" w:after="0" w:line="200" w:lineRule="atLeast"/>
              <w:jc w:val="center"/>
              <w:rPr>
                <w:b/>
                <w:sz w:val="20"/>
              </w:rPr>
            </w:pPr>
            <w:r>
              <w:rPr>
                <w:b/>
                <w:sz w:val="20"/>
              </w:rPr>
              <w:t>Source</w:t>
            </w:r>
          </w:p>
        </w:tc>
      </w:tr>
      <w:tr w:rsidR="009A63FE" w:rsidRPr="00052C24" w14:paraId="0FEE0BF9" w14:textId="77777777" w:rsidTr="00DD38CB">
        <w:trPr>
          <w:trHeight w:val="260"/>
        </w:trPr>
        <w:tc>
          <w:tcPr>
            <w:tcW w:w="1740" w:type="dxa"/>
            <w:vAlign w:val="center"/>
          </w:tcPr>
          <w:p w14:paraId="0C38028A" w14:textId="77777777" w:rsidR="009A63FE" w:rsidRPr="00C45400" w:rsidRDefault="009A63FE" w:rsidP="00DD38CB">
            <w:pPr>
              <w:spacing w:before="0" w:after="0" w:line="200" w:lineRule="atLeast"/>
              <w:rPr>
                <w:sz w:val="20"/>
              </w:rPr>
            </w:pPr>
            <w:r w:rsidRPr="00C45400">
              <w:rPr>
                <w:sz w:val="20"/>
              </w:rPr>
              <w:t>EUL (</w:t>
            </w:r>
            <w:proofErr w:type="spellStart"/>
            <w:r w:rsidRPr="00C45400">
              <w:rPr>
                <w:sz w:val="20"/>
              </w:rPr>
              <w:t>yrs</w:t>
            </w:r>
            <w:proofErr w:type="spellEnd"/>
            <w:r w:rsidRPr="00C45400">
              <w:rPr>
                <w:sz w:val="20"/>
              </w:rPr>
              <w:t>)</w:t>
            </w:r>
          </w:p>
        </w:tc>
        <w:tc>
          <w:tcPr>
            <w:tcW w:w="1440" w:type="dxa"/>
            <w:shd w:val="clear" w:color="auto" w:fill="auto"/>
            <w:vAlign w:val="center"/>
          </w:tcPr>
          <w:p w14:paraId="5BC63289" w14:textId="77777777" w:rsidR="009A63FE" w:rsidRPr="00F77E75" w:rsidRDefault="009A63FE" w:rsidP="00DD38CB">
            <w:pPr>
              <w:spacing w:before="0" w:after="0" w:line="200" w:lineRule="atLeast"/>
              <w:jc w:val="center"/>
              <w:rPr>
                <w:sz w:val="20"/>
              </w:rPr>
            </w:pPr>
            <w:r w:rsidRPr="00F77E75">
              <w:rPr>
                <w:sz w:val="20"/>
              </w:rPr>
              <w:t>12</w:t>
            </w:r>
          </w:p>
        </w:tc>
        <w:tc>
          <w:tcPr>
            <w:tcW w:w="6450" w:type="dxa"/>
            <w:vAlign w:val="center"/>
          </w:tcPr>
          <w:p w14:paraId="5D8D99C5" w14:textId="77777777" w:rsidR="009A63FE" w:rsidRDefault="009A63FE" w:rsidP="00DD38CB">
            <w:pPr>
              <w:spacing w:before="0" w:after="0" w:line="240" w:lineRule="auto"/>
              <w:rPr>
                <w:rFonts w:eastAsia="Times New Roman" w:cs="Times New Roman"/>
                <w:color w:val="000000"/>
                <w:sz w:val="18"/>
                <w:szCs w:val="18"/>
              </w:rPr>
            </w:pPr>
            <w:r w:rsidRPr="00EB04AC">
              <w:rPr>
                <w:rFonts w:eastAsia="Times New Roman" w:cs="Times New Roman"/>
                <w:color w:val="000000"/>
                <w:sz w:val="18"/>
                <w:szCs w:val="18"/>
              </w:rPr>
              <w:t xml:space="preserve">Robert </w:t>
            </w:r>
            <w:proofErr w:type="spellStart"/>
            <w:r w:rsidRPr="00EB04AC">
              <w:rPr>
                <w:rFonts w:eastAsia="Times New Roman" w:cs="Times New Roman"/>
                <w:color w:val="000000"/>
                <w:sz w:val="18"/>
                <w:szCs w:val="18"/>
              </w:rPr>
              <w:t>Mowris</w:t>
            </w:r>
            <w:proofErr w:type="spellEnd"/>
            <w:r w:rsidRPr="00EB04AC">
              <w:rPr>
                <w:rFonts w:eastAsia="Times New Roman" w:cs="Times New Roman"/>
                <w:color w:val="000000"/>
                <w:sz w:val="18"/>
                <w:szCs w:val="18"/>
              </w:rPr>
              <w:t xml:space="preserve"> &amp; Associates. 2005. </w:t>
            </w:r>
            <w:r w:rsidRPr="00EB04AC">
              <w:rPr>
                <w:rFonts w:eastAsia="Times New Roman" w:cs="Times New Roman"/>
                <w:i/>
                <w:iCs/>
                <w:color w:val="000000"/>
                <w:sz w:val="18"/>
                <w:szCs w:val="18"/>
              </w:rPr>
              <w:t>Ninth Year Retention Study of the 1995 Southern California Gas Company Commercial New Construction Program</w:t>
            </w:r>
            <w:r w:rsidRPr="00EB04AC">
              <w:rPr>
                <w:rFonts w:eastAsia="Times New Roman" w:cs="Times New Roman"/>
                <w:color w:val="000000"/>
                <w:sz w:val="18"/>
                <w:szCs w:val="18"/>
              </w:rPr>
              <w:t xml:space="preserve">. Prepared for Southern California Gas Company. Study ID Number 718A. </w:t>
            </w:r>
          </w:p>
          <w:p w14:paraId="1C50F8E7" w14:textId="77777777" w:rsidR="009A63FE" w:rsidRDefault="009A63FE" w:rsidP="00DD38CB">
            <w:pPr>
              <w:spacing w:before="0" w:after="0" w:line="240" w:lineRule="auto"/>
              <w:rPr>
                <w:rFonts w:eastAsia="Times New Roman" w:cs="Times New Roman"/>
                <w:color w:val="000000"/>
                <w:sz w:val="18"/>
                <w:szCs w:val="18"/>
              </w:rPr>
            </w:pPr>
          </w:p>
          <w:p w14:paraId="696983B1" w14:textId="77777777" w:rsidR="009A63FE" w:rsidRPr="00EB04AC" w:rsidRDefault="009A63FE" w:rsidP="00DD38CB">
            <w:pPr>
              <w:spacing w:before="0" w:after="0" w:line="240" w:lineRule="auto"/>
              <w:rPr>
                <w:rFonts w:eastAsia="Times New Roman" w:cs="Times New Roman"/>
                <w:color w:val="000000"/>
                <w:sz w:val="18"/>
                <w:szCs w:val="18"/>
              </w:rPr>
            </w:pPr>
            <w:r w:rsidRPr="006948A0">
              <w:rPr>
                <w:rFonts w:eastAsia="Times New Roman" w:cs="Times New Roman"/>
                <w:color w:val="000000"/>
                <w:sz w:val="18"/>
                <w:szCs w:val="18"/>
              </w:rPr>
              <w:t xml:space="preserve">California Public Utilities Commission (CPUC), Energy Division.  2003. </w:t>
            </w:r>
            <w:r w:rsidRPr="006948A0">
              <w:rPr>
                <w:rFonts w:eastAsia="Times New Roman" w:cs="Times New Roman"/>
                <w:i/>
                <w:color w:val="000000"/>
                <w:sz w:val="18"/>
                <w:szCs w:val="18"/>
              </w:rPr>
              <w:t>Energy Efficiency Policy Manual v 2.0.</w:t>
            </w:r>
            <w:r>
              <w:rPr>
                <w:rFonts w:eastAsia="Times New Roman" w:cs="Times New Roman"/>
                <w:i/>
                <w:color w:val="000000"/>
                <w:sz w:val="18"/>
                <w:szCs w:val="18"/>
              </w:rPr>
              <w:t xml:space="preserve"> </w:t>
            </w:r>
            <w:r w:rsidRPr="006948A0">
              <w:rPr>
                <w:rFonts w:eastAsia="Times New Roman" w:cs="Times New Roman"/>
                <w:color w:val="000000"/>
                <w:sz w:val="18"/>
                <w:szCs w:val="18"/>
              </w:rPr>
              <w:t>Page 18 Table 4.1.</w:t>
            </w:r>
          </w:p>
        </w:tc>
      </w:tr>
      <w:tr w:rsidR="009A63FE" w:rsidRPr="00052C24" w14:paraId="69346FAB" w14:textId="77777777" w:rsidTr="00DD38CB">
        <w:tc>
          <w:tcPr>
            <w:tcW w:w="1740" w:type="dxa"/>
            <w:vAlign w:val="center"/>
          </w:tcPr>
          <w:p w14:paraId="3A4E0DCC" w14:textId="77777777" w:rsidR="009A63FE" w:rsidRPr="00C45400" w:rsidRDefault="009A63FE" w:rsidP="00DD38CB">
            <w:pPr>
              <w:spacing w:before="0" w:after="0" w:line="200" w:lineRule="atLeast"/>
              <w:rPr>
                <w:sz w:val="20"/>
              </w:rPr>
            </w:pPr>
            <w:r w:rsidRPr="00C45400">
              <w:rPr>
                <w:sz w:val="20"/>
              </w:rPr>
              <w:t>RUL (</w:t>
            </w:r>
            <w:proofErr w:type="spellStart"/>
            <w:r w:rsidRPr="00C45400">
              <w:rPr>
                <w:sz w:val="20"/>
              </w:rPr>
              <w:t>yrs</w:t>
            </w:r>
            <w:proofErr w:type="spellEnd"/>
            <w:r w:rsidRPr="00C45400">
              <w:rPr>
                <w:sz w:val="20"/>
              </w:rPr>
              <w:t>)</w:t>
            </w:r>
          </w:p>
        </w:tc>
        <w:tc>
          <w:tcPr>
            <w:tcW w:w="1440" w:type="dxa"/>
            <w:shd w:val="clear" w:color="auto" w:fill="auto"/>
            <w:vAlign w:val="center"/>
          </w:tcPr>
          <w:p w14:paraId="5F7429BE" w14:textId="77777777" w:rsidR="009A63FE" w:rsidRPr="00F77E75" w:rsidRDefault="009A63FE" w:rsidP="00DD38CB">
            <w:pPr>
              <w:spacing w:before="0" w:after="0" w:line="200" w:lineRule="atLeast"/>
              <w:jc w:val="center"/>
              <w:rPr>
                <w:sz w:val="20"/>
              </w:rPr>
            </w:pPr>
            <w:r w:rsidRPr="00F77E75">
              <w:rPr>
                <w:sz w:val="20"/>
              </w:rPr>
              <w:t>n/a</w:t>
            </w:r>
          </w:p>
        </w:tc>
        <w:tc>
          <w:tcPr>
            <w:tcW w:w="6450" w:type="dxa"/>
            <w:vAlign w:val="center"/>
          </w:tcPr>
          <w:p w14:paraId="067247AD" w14:textId="77777777" w:rsidR="009A63FE" w:rsidRPr="00EB04AC" w:rsidRDefault="009A63FE" w:rsidP="00DD38CB">
            <w:pPr>
              <w:spacing w:before="0" w:after="0" w:line="240" w:lineRule="auto"/>
              <w:rPr>
                <w:rFonts w:eastAsia="Times New Roman" w:cs="Times New Roman"/>
                <w:color w:val="000000"/>
                <w:sz w:val="18"/>
                <w:szCs w:val="18"/>
              </w:rPr>
            </w:pPr>
            <w:r>
              <w:rPr>
                <w:rFonts w:eastAsia="Times New Roman" w:cs="Times New Roman"/>
                <w:color w:val="000000"/>
                <w:sz w:val="18"/>
                <w:szCs w:val="18"/>
              </w:rPr>
              <w:t>n/a</w:t>
            </w:r>
          </w:p>
        </w:tc>
      </w:tr>
    </w:tbl>
    <w:p w14:paraId="1BACD953" w14:textId="77777777" w:rsidR="00664F63" w:rsidRDefault="00664F63" w:rsidP="00664F63">
      <w:bookmarkStart w:id="53" w:name="_Toc486490860"/>
      <w:bookmarkStart w:id="54" w:name="_Toc486580931"/>
    </w:p>
    <w:p w14:paraId="511A15B3" w14:textId="77777777" w:rsidR="007D230B" w:rsidRPr="004B06E3" w:rsidRDefault="007D230B" w:rsidP="00277238">
      <w:pPr>
        <w:pStyle w:val="eTRMHeading3"/>
      </w:pPr>
      <w:bookmarkStart w:id="55" w:name="_Toc24559529"/>
      <w:r w:rsidRPr="004B06E3">
        <w:t>Base Case Material Cost ($/unit)</w:t>
      </w:r>
      <w:bookmarkEnd w:id="53"/>
      <w:bookmarkEnd w:id="54"/>
      <w:bookmarkEnd w:id="55"/>
    </w:p>
    <w:p w14:paraId="779F1DDC" w14:textId="3B5B9C2A" w:rsidR="001B6048" w:rsidRPr="00A5632F" w:rsidRDefault="00A115A2" w:rsidP="009F2E94">
      <w:pPr>
        <w:rPr>
          <w:szCs w:val="22"/>
        </w:rPr>
      </w:pPr>
      <w:r w:rsidRPr="00A5632F">
        <w:rPr>
          <w:szCs w:val="22"/>
        </w:rPr>
        <w:t xml:space="preserve">For </w:t>
      </w:r>
      <w:r w:rsidRPr="00A5632F">
        <w:rPr>
          <w:i/>
          <w:szCs w:val="22"/>
        </w:rPr>
        <w:t>all delivery types</w:t>
      </w:r>
      <w:r w:rsidRPr="00A5632F">
        <w:rPr>
          <w:szCs w:val="22"/>
        </w:rPr>
        <w:t>, the base case material cost was</w:t>
      </w:r>
      <w:r w:rsidR="009F2E94" w:rsidRPr="00A5632F">
        <w:rPr>
          <w:szCs w:val="22"/>
        </w:rPr>
        <w:t xml:space="preserve"> derived as the average of the manufacturer list prices for insulated hot food holding cabinet models</w:t>
      </w:r>
      <w:r w:rsidR="00204666" w:rsidRPr="00A5632F">
        <w:rPr>
          <w:szCs w:val="22"/>
        </w:rPr>
        <w:t>. This cost information was originally</w:t>
      </w:r>
      <w:r w:rsidR="009F2E94" w:rsidRPr="00A5632F">
        <w:rPr>
          <w:szCs w:val="22"/>
        </w:rPr>
        <w:t xml:space="preserve"> retrieved from the </w:t>
      </w:r>
      <w:proofErr w:type="spellStart"/>
      <w:r w:rsidR="009F2E94" w:rsidRPr="00A5632F">
        <w:rPr>
          <w:szCs w:val="22"/>
        </w:rPr>
        <w:t>AutoQuotes</w:t>
      </w:r>
      <w:proofErr w:type="spellEnd"/>
      <w:r w:rsidR="009F2E94" w:rsidRPr="00A5632F">
        <w:rPr>
          <w:szCs w:val="22"/>
        </w:rPr>
        <w:t xml:space="preserve"> online catalog</w:t>
      </w:r>
      <w:r w:rsidR="009F2E94" w:rsidRPr="00A5632F">
        <w:rPr>
          <w:rFonts w:cs="Calibri Light"/>
          <w:szCs w:val="22"/>
        </w:rPr>
        <w:t xml:space="preserve"> for food</w:t>
      </w:r>
      <w:r w:rsidR="002A5C85" w:rsidRPr="00A5632F">
        <w:rPr>
          <w:rFonts w:cs="Calibri Light"/>
          <w:szCs w:val="22"/>
        </w:rPr>
        <w:t xml:space="preserve"> </w:t>
      </w:r>
      <w:r w:rsidR="009F2E94" w:rsidRPr="00A5632F">
        <w:rPr>
          <w:rFonts w:cs="Calibri Light"/>
          <w:szCs w:val="22"/>
        </w:rPr>
        <w:t>service equipment and supplies</w:t>
      </w:r>
      <w:r w:rsidR="00204666" w:rsidRPr="00A5632F">
        <w:rPr>
          <w:rFonts w:cs="Calibri Light"/>
          <w:szCs w:val="22"/>
        </w:rPr>
        <w:t xml:space="preserve"> which sourced 2012 catalog data</w:t>
      </w:r>
      <w:r w:rsidR="009F2E94" w:rsidRPr="00A5632F">
        <w:rPr>
          <w:szCs w:val="22"/>
        </w:rPr>
        <w:t>.</w:t>
      </w:r>
      <w:r w:rsidR="00E97879" w:rsidRPr="00A5632F">
        <w:rPr>
          <w:rStyle w:val="FootnoteReference"/>
          <w:szCs w:val="22"/>
        </w:rPr>
        <w:footnoteReference w:id="9"/>
      </w:r>
      <w:r w:rsidR="009F2E94" w:rsidRPr="00A5632F">
        <w:rPr>
          <w:szCs w:val="22"/>
        </w:rPr>
        <w:t xml:space="preserve"> </w:t>
      </w:r>
      <w:r w:rsidR="00204666" w:rsidRPr="00A5632F">
        <w:rPr>
          <w:szCs w:val="22"/>
        </w:rPr>
        <w:t xml:space="preserve">Due to the age of this data, updated online list prices were obtained from manufacturers and retailers of holding cabinets in 2020. </w:t>
      </w:r>
      <w:r w:rsidR="00E97879" w:rsidRPr="00A5632F">
        <w:rPr>
          <w:szCs w:val="22"/>
        </w:rPr>
        <w:t xml:space="preserve">Because it is common knowledge that dealers do not pay the published list prices for equipment, it was necessary apply a discount factor to the </w:t>
      </w:r>
      <w:r w:rsidR="00204666" w:rsidRPr="00A5632F">
        <w:rPr>
          <w:szCs w:val="22"/>
        </w:rPr>
        <w:t>list prices</w:t>
      </w:r>
      <w:r w:rsidR="00E97879" w:rsidRPr="00A5632F">
        <w:rPr>
          <w:szCs w:val="22"/>
        </w:rPr>
        <w:t xml:space="preserve"> to more accurately reflect the actual prices paid for the equipment. The discount factor of 50% was based upon professional judgement by </w:t>
      </w:r>
      <w:r w:rsidR="006224B1" w:rsidRPr="00A5632F">
        <w:rPr>
          <w:szCs w:val="22"/>
        </w:rPr>
        <w:t xml:space="preserve">the Southern California Edison (SCE) </w:t>
      </w:r>
      <w:r w:rsidR="008D1DC6" w:rsidRPr="00A5632F">
        <w:rPr>
          <w:szCs w:val="22"/>
        </w:rPr>
        <w:t>Food Service Technology Center (</w:t>
      </w:r>
      <w:r w:rsidR="00E97879" w:rsidRPr="00A5632F">
        <w:rPr>
          <w:szCs w:val="22"/>
        </w:rPr>
        <w:t>FSTC</w:t>
      </w:r>
      <w:r w:rsidR="008D1DC6" w:rsidRPr="00A5632F">
        <w:rPr>
          <w:szCs w:val="22"/>
        </w:rPr>
        <w:t>)</w:t>
      </w:r>
      <w:r w:rsidR="00E97879" w:rsidRPr="00A5632F">
        <w:rPr>
          <w:szCs w:val="22"/>
        </w:rPr>
        <w:t xml:space="preserve"> staff. Additional analysis to validate the reasonableness of this value was conducted by comparing </w:t>
      </w:r>
      <w:r w:rsidR="00204666" w:rsidRPr="00A5632F">
        <w:rPr>
          <w:szCs w:val="22"/>
        </w:rPr>
        <w:t xml:space="preserve">the original </w:t>
      </w:r>
      <w:proofErr w:type="spellStart"/>
      <w:r w:rsidR="00E97879" w:rsidRPr="00A5632F">
        <w:rPr>
          <w:szCs w:val="22"/>
        </w:rPr>
        <w:t>AutoQuotes</w:t>
      </w:r>
      <w:proofErr w:type="spellEnd"/>
      <w:r w:rsidR="00E97879" w:rsidRPr="00A5632F">
        <w:rPr>
          <w:szCs w:val="22"/>
        </w:rPr>
        <w:t xml:space="preserve"> published prices with actual prices on invoices submitted </w:t>
      </w:r>
      <w:r w:rsidR="00E97879" w:rsidRPr="00A5632F">
        <w:rPr>
          <w:rFonts w:eastAsia="Times New Roman" w:cs="Times New Roman"/>
          <w:color w:val="000000"/>
          <w:szCs w:val="22"/>
        </w:rPr>
        <w:t xml:space="preserve">through the </w:t>
      </w:r>
      <w:r w:rsidR="008D1DC6" w:rsidRPr="00A5632F">
        <w:rPr>
          <w:szCs w:val="22"/>
        </w:rPr>
        <w:t xml:space="preserve">Southern California Gas Company Instant Rebates! point-of-sale rebate program </w:t>
      </w:r>
      <w:r w:rsidR="008D1DC6" w:rsidRPr="00A5632F">
        <w:rPr>
          <w:rFonts w:eastAsia="Times New Roman" w:cs="Times New Roman"/>
          <w:color w:val="000000"/>
          <w:szCs w:val="22"/>
        </w:rPr>
        <w:t xml:space="preserve">from </w:t>
      </w:r>
      <w:r w:rsidR="00E97879" w:rsidRPr="00A5632F">
        <w:rPr>
          <w:rFonts w:eastAsia="Times New Roman" w:cs="Times New Roman"/>
          <w:color w:val="000000"/>
          <w:szCs w:val="22"/>
        </w:rPr>
        <w:t>2015 through August of 2017.</w:t>
      </w:r>
      <w:r w:rsidR="00E97879" w:rsidRPr="00A5632F">
        <w:rPr>
          <w:rStyle w:val="FootnoteReference"/>
          <w:rFonts w:eastAsia="Times New Roman" w:cs="Times New Roman"/>
          <w:color w:val="000000"/>
          <w:szCs w:val="22"/>
        </w:rPr>
        <w:footnoteReference w:id="10"/>
      </w:r>
      <w:r w:rsidR="00E97879" w:rsidRPr="00A5632F">
        <w:rPr>
          <w:rFonts w:eastAsia="Times New Roman" w:cs="Times New Roman"/>
          <w:color w:val="000000"/>
          <w:szCs w:val="22"/>
        </w:rPr>
        <w:t xml:space="preserve"> </w:t>
      </w:r>
      <w:bookmarkStart w:id="56" w:name="_Hlk526856016"/>
      <w:r w:rsidR="008D1DC6" w:rsidRPr="00A5632F">
        <w:rPr>
          <w:rFonts w:eastAsia="Times New Roman" w:cs="Times New Roman"/>
          <w:color w:val="000000"/>
          <w:szCs w:val="22"/>
        </w:rPr>
        <w:t>This verification revealed that a “list-to-actual” cost ratio for food service equipment of 50% is a reasonable average discount factor.</w:t>
      </w:r>
      <w:bookmarkEnd w:id="56"/>
    </w:p>
    <w:p w14:paraId="2E496D7F" w14:textId="77777777" w:rsidR="001B12D9" w:rsidRPr="00A5632F" w:rsidRDefault="001B12D9" w:rsidP="001B12D9">
      <w:pPr>
        <w:rPr>
          <w:szCs w:val="22"/>
        </w:rPr>
      </w:pPr>
    </w:p>
    <w:p w14:paraId="51FA5C41" w14:textId="77777777" w:rsidR="007D230B" w:rsidRPr="00A5632F" w:rsidRDefault="007D230B" w:rsidP="00277238">
      <w:pPr>
        <w:pStyle w:val="eTRMHeading3"/>
        <w:rPr>
          <w:sz w:val="22"/>
          <w:szCs w:val="22"/>
        </w:rPr>
      </w:pPr>
      <w:bookmarkStart w:id="57" w:name="_Toc486490861"/>
      <w:bookmarkStart w:id="58" w:name="_Toc486580932"/>
      <w:bookmarkStart w:id="59" w:name="_Toc24559530"/>
      <w:r w:rsidRPr="00A5632F">
        <w:rPr>
          <w:sz w:val="22"/>
          <w:szCs w:val="22"/>
        </w:rPr>
        <w:t>Measure Case Material Cost ($/unit)</w:t>
      </w:r>
      <w:bookmarkEnd w:id="57"/>
      <w:bookmarkEnd w:id="58"/>
      <w:bookmarkEnd w:id="59"/>
    </w:p>
    <w:p w14:paraId="0CB20F85" w14:textId="26441676" w:rsidR="009F2E94" w:rsidRPr="008D1DC6" w:rsidRDefault="00A115A2" w:rsidP="009F2E94">
      <w:r w:rsidRPr="00A5632F">
        <w:rPr>
          <w:szCs w:val="22"/>
        </w:rPr>
        <w:t xml:space="preserve">The measure case material cost for </w:t>
      </w:r>
      <w:r w:rsidRPr="00A5632F">
        <w:rPr>
          <w:i/>
          <w:szCs w:val="22"/>
        </w:rPr>
        <w:t>all delivery types</w:t>
      </w:r>
      <w:r w:rsidRPr="00A5632F">
        <w:rPr>
          <w:szCs w:val="22"/>
        </w:rPr>
        <w:t xml:space="preserve"> was </w:t>
      </w:r>
      <w:r w:rsidR="009F2E94" w:rsidRPr="00A5632F">
        <w:rPr>
          <w:szCs w:val="22"/>
        </w:rPr>
        <w:t>derived as the average of the manufacturer list prices</w:t>
      </w:r>
      <w:r w:rsidR="00604D72" w:rsidRPr="00A5632F">
        <w:rPr>
          <w:szCs w:val="22"/>
        </w:rPr>
        <w:t xml:space="preserve"> for efficient models of hot food holding cabinets. This cost information was originally</w:t>
      </w:r>
      <w:r w:rsidR="009F2E94" w:rsidRPr="00A5632F">
        <w:rPr>
          <w:szCs w:val="22"/>
        </w:rPr>
        <w:t xml:space="preserve"> retrieved from the </w:t>
      </w:r>
      <w:proofErr w:type="spellStart"/>
      <w:r w:rsidR="009F2E94" w:rsidRPr="00A5632F">
        <w:rPr>
          <w:szCs w:val="22"/>
        </w:rPr>
        <w:t>AutoQuotes</w:t>
      </w:r>
      <w:proofErr w:type="spellEnd"/>
      <w:r w:rsidR="009F2E94" w:rsidRPr="00A5632F">
        <w:rPr>
          <w:szCs w:val="22"/>
        </w:rPr>
        <w:t xml:space="preserve"> online catalog</w:t>
      </w:r>
      <w:r w:rsidR="009F2E94" w:rsidRPr="00A5632F">
        <w:rPr>
          <w:rFonts w:cs="Calibri Light"/>
          <w:szCs w:val="22"/>
        </w:rPr>
        <w:t xml:space="preserve"> for food</w:t>
      </w:r>
      <w:r w:rsidR="002A5C85" w:rsidRPr="00A5632F">
        <w:rPr>
          <w:rFonts w:cs="Calibri Light"/>
          <w:szCs w:val="22"/>
        </w:rPr>
        <w:t xml:space="preserve"> </w:t>
      </w:r>
      <w:r w:rsidR="009F2E94" w:rsidRPr="00A5632F">
        <w:rPr>
          <w:rFonts w:cs="Calibri Light"/>
          <w:szCs w:val="22"/>
        </w:rPr>
        <w:t>service equipment and supplies</w:t>
      </w:r>
      <w:r w:rsidR="00604D72" w:rsidRPr="00A5632F">
        <w:rPr>
          <w:rFonts w:cs="Calibri Light"/>
          <w:szCs w:val="22"/>
        </w:rPr>
        <w:t xml:space="preserve"> which sourced 2012 catalog data</w:t>
      </w:r>
      <w:r w:rsidR="009F2E94" w:rsidRPr="00A5632F">
        <w:rPr>
          <w:szCs w:val="22"/>
        </w:rPr>
        <w:t>.</w:t>
      </w:r>
      <w:r w:rsidR="00E97879" w:rsidRPr="00A5632F">
        <w:rPr>
          <w:rStyle w:val="FootnoteReference"/>
          <w:szCs w:val="22"/>
        </w:rPr>
        <w:footnoteReference w:id="11"/>
      </w:r>
      <w:r w:rsidR="009F2E94" w:rsidRPr="00A5632F">
        <w:rPr>
          <w:szCs w:val="22"/>
        </w:rPr>
        <w:t xml:space="preserve"> </w:t>
      </w:r>
      <w:r w:rsidR="00604D72" w:rsidRPr="00A5632F">
        <w:rPr>
          <w:szCs w:val="22"/>
        </w:rPr>
        <w:t xml:space="preserve">Due to the age of this data, updated online list prices were obtained from manufacturers and retailers of holding cabinets in 2020. </w:t>
      </w:r>
      <w:r w:rsidR="00E97879" w:rsidRPr="00A5632F">
        <w:rPr>
          <w:szCs w:val="22"/>
        </w:rPr>
        <w:t xml:space="preserve">Because it is common knowledge that dealers do not pay the published list prices for equipment, it was necessary apply a discount factor to the </w:t>
      </w:r>
      <w:r w:rsidR="00604D72" w:rsidRPr="00A5632F">
        <w:rPr>
          <w:szCs w:val="22"/>
        </w:rPr>
        <w:t>list prices</w:t>
      </w:r>
      <w:r w:rsidR="00E97879" w:rsidRPr="00A5632F">
        <w:rPr>
          <w:szCs w:val="22"/>
        </w:rPr>
        <w:t xml:space="preserve"> to more accurately reflect the actual prices paid for the equipment. The discount factor of 50% was based upon professional judgement by </w:t>
      </w:r>
      <w:r w:rsidR="006224B1" w:rsidRPr="00A5632F">
        <w:rPr>
          <w:szCs w:val="22"/>
        </w:rPr>
        <w:t xml:space="preserve">Southern California Edison (SCE) </w:t>
      </w:r>
      <w:r w:rsidR="008D1DC6" w:rsidRPr="00A5632F">
        <w:rPr>
          <w:szCs w:val="22"/>
        </w:rPr>
        <w:t xml:space="preserve">Food Service Technology Center (FSTC) </w:t>
      </w:r>
      <w:r w:rsidR="00E97879" w:rsidRPr="00A5632F">
        <w:rPr>
          <w:szCs w:val="22"/>
        </w:rPr>
        <w:t xml:space="preserve">staff. Additional analysis to validate the reasonableness of this value was conducted by comparing </w:t>
      </w:r>
      <w:r w:rsidR="00604D72" w:rsidRPr="00A5632F">
        <w:rPr>
          <w:szCs w:val="22"/>
        </w:rPr>
        <w:t xml:space="preserve">the original </w:t>
      </w:r>
      <w:proofErr w:type="spellStart"/>
      <w:r w:rsidR="00E97879" w:rsidRPr="00A5632F">
        <w:rPr>
          <w:szCs w:val="22"/>
        </w:rPr>
        <w:t>AutoQuotes</w:t>
      </w:r>
      <w:proofErr w:type="spellEnd"/>
      <w:r w:rsidR="00E97879" w:rsidRPr="00A5632F">
        <w:rPr>
          <w:szCs w:val="22"/>
        </w:rPr>
        <w:t xml:space="preserve"> published prices with actual prices on invoices</w:t>
      </w:r>
      <w:r w:rsidR="00E97879" w:rsidRPr="00AA5B3F">
        <w:rPr>
          <w:szCs w:val="22"/>
        </w:rPr>
        <w:t xml:space="preserve"> submitted </w:t>
      </w:r>
      <w:r w:rsidR="00E97879" w:rsidRPr="00AA5B3F">
        <w:rPr>
          <w:rFonts w:eastAsia="Times New Roman" w:cs="Times New Roman"/>
          <w:color w:val="000000"/>
          <w:szCs w:val="22"/>
        </w:rPr>
        <w:t xml:space="preserve">through </w:t>
      </w:r>
      <w:r w:rsidR="008D1DC6">
        <w:t xml:space="preserve">Southern California Gas Company Instant Rebates! point-of-sale rebate program </w:t>
      </w:r>
      <w:r w:rsidR="008D1DC6" w:rsidRPr="00AA5B3F">
        <w:rPr>
          <w:rFonts w:eastAsia="Times New Roman" w:cs="Times New Roman"/>
          <w:color w:val="000000"/>
          <w:szCs w:val="22"/>
        </w:rPr>
        <w:t xml:space="preserve">from </w:t>
      </w:r>
      <w:r w:rsidR="00E97879" w:rsidRPr="00AA5B3F">
        <w:rPr>
          <w:rFonts w:eastAsia="Times New Roman" w:cs="Times New Roman"/>
          <w:color w:val="000000"/>
          <w:szCs w:val="22"/>
        </w:rPr>
        <w:t>2015 through August of 2017.</w:t>
      </w:r>
      <w:r w:rsidR="00E97879">
        <w:rPr>
          <w:rStyle w:val="FootnoteReference"/>
          <w:rFonts w:eastAsia="Times New Roman" w:cs="Times New Roman"/>
          <w:color w:val="000000"/>
          <w:szCs w:val="22"/>
        </w:rPr>
        <w:footnoteReference w:id="12"/>
      </w:r>
      <w:r w:rsidR="00E97879" w:rsidRPr="00AA5B3F">
        <w:rPr>
          <w:rFonts w:eastAsia="Times New Roman" w:cs="Times New Roman"/>
          <w:color w:val="000000"/>
          <w:szCs w:val="22"/>
        </w:rPr>
        <w:t xml:space="preserve"> </w:t>
      </w:r>
      <w:r w:rsidR="008D1DC6" w:rsidRPr="00AA5B3F">
        <w:rPr>
          <w:rFonts w:eastAsia="Times New Roman" w:cs="Times New Roman"/>
          <w:color w:val="000000"/>
          <w:szCs w:val="22"/>
        </w:rPr>
        <w:t xml:space="preserve">This verification revealed that a </w:t>
      </w:r>
      <w:r w:rsidR="008D1DC6">
        <w:rPr>
          <w:rFonts w:eastAsia="Times New Roman" w:cs="Times New Roman"/>
          <w:color w:val="000000"/>
          <w:szCs w:val="22"/>
        </w:rPr>
        <w:t>“list-to-actual” cost ratio</w:t>
      </w:r>
      <w:r w:rsidR="008D1DC6" w:rsidRPr="00AA5B3F">
        <w:rPr>
          <w:rFonts w:eastAsia="Times New Roman" w:cs="Times New Roman"/>
          <w:color w:val="000000"/>
          <w:szCs w:val="22"/>
        </w:rPr>
        <w:t xml:space="preserve"> for food service equipment of 50% is a reasonable average </w:t>
      </w:r>
      <w:r w:rsidR="008D1DC6">
        <w:rPr>
          <w:rFonts w:eastAsia="Times New Roman" w:cs="Times New Roman"/>
          <w:color w:val="000000"/>
          <w:szCs w:val="22"/>
        </w:rPr>
        <w:t>discount factor</w:t>
      </w:r>
      <w:r w:rsidR="008D1DC6" w:rsidRPr="00AA5B3F">
        <w:rPr>
          <w:rFonts w:eastAsia="Times New Roman" w:cs="Times New Roman"/>
          <w:color w:val="000000"/>
          <w:szCs w:val="22"/>
        </w:rPr>
        <w:t>.</w:t>
      </w:r>
    </w:p>
    <w:p w14:paraId="260A15FE" w14:textId="77777777" w:rsidR="007D230B" w:rsidRDefault="007D230B" w:rsidP="004142EF"/>
    <w:p w14:paraId="6BFA7F59" w14:textId="77777777" w:rsidR="00263265" w:rsidRPr="004B06E3" w:rsidRDefault="00263265" w:rsidP="00263265">
      <w:pPr>
        <w:pStyle w:val="eTRMHeading3"/>
      </w:pPr>
      <w:bookmarkStart w:id="60" w:name="_Toc24559531"/>
      <w:r>
        <w:t xml:space="preserve">Base Case </w:t>
      </w:r>
      <w:r w:rsidRPr="004B06E3">
        <w:t>Labor Cost ($/unit)</w:t>
      </w:r>
      <w:bookmarkEnd w:id="60"/>
    </w:p>
    <w:p w14:paraId="50B43EE2" w14:textId="44B3C5DB" w:rsidR="00A115A2" w:rsidRDefault="00A115A2" w:rsidP="00A115A2">
      <w:r>
        <w:t xml:space="preserve">For </w:t>
      </w:r>
      <w:r w:rsidRPr="00B310F1">
        <w:rPr>
          <w:i/>
        </w:rPr>
        <w:t>all delivery types</w:t>
      </w:r>
      <w:r>
        <w:t>, the base case and measure case model installation costs are expected to be the same for the customer and thus were not estimated for the incremental cost analysis.</w:t>
      </w:r>
    </w:p>
    <w:p w14:paraId="2DDD4B34" w14:textId="77777777" w:rsidR="00263265" w:rsidRPr="004B06E3" w:rsidRDefault="00263265" w:rsidP="004142EF"/>
    <w:p w14:paraId="1D9AE156" w14:textId="77777777" w:rsidR="007D230B" w:rsidRPr="004B06E3" w:rsidRDefault="00263265" w:rsidP="00277238">
      <w:pPr>
        <w:pStyle w:val="eTRMHeading3"/>
      </w:pPr>
      <w:bookmarkStart w:id="61" w:name="_Toc486490862"/>
      <w:bookmarkStart w:id="62" w:name="_Toc486580933"/>
      <w:bookmarkStart w:id="63" w:name="_Toc24559532"/>
      <w:r>
        <w:t xml:space="preserve">Measure Case </w:t>
      </w:r>
      <w:r w:rsidR="007D230B" w:rsidRPr="004B06E3">
        <w:t>Labor Cost ($/unit)</w:t>
      </w:r>
      <w:bookmarkEnd w:id="61"/>
      <w:bookmarkEnd w:id="62"/>
      <w:bookmarkEnd w:id="63"/>
    </w:p>
    <w:p w14:paraId="354A2D33" w14:textId="0F86816A" w:rsidR="00A115A2" w:rsidRDefault="00A115A2" w:rsidP="00A115A2">
      <w:r>
        <w:t xml:space="preserve">For </w:t>
      </w:r>
      <w:r w:rsidRPr="00C315A6">
        <w:rPr>
          <w:i/>
        </w:rPr>
        <w:t>all delivery types</w:t>
      </w:r>
      <w:r>
        <w:t>, a high efficiency model</w:t>
      </w:r>
      <w:r w:rsidRPr="00C33CB0">
        <w:t xml:space="preserve"> </w:t>
      </w:r>
      <w:r>
        <w:t xml:space="preserve">does not </w:t>
      </w:r>
      <w:r w:rsidRPr="00C33CB0">
        <w:t xml:space="preserve">require additional </w:t>
      </w:r>
      <w:r>
        <w:t xml:space="preserve">installation </w:t>
      </w:r>
      <w:r w:rsidRPr="00C33CB0">
        <w:t xml:space="preserve">labor compared to </w:t>
      </w:r>
      <w:r>
        <w:t xml:space="preserve">a </w:t>
      </w:r>
      <w:r w:rsidRPr="00C33CB0">
        <w:t xml:space="preserve">base case </w:t>
      </w:r>
      <w:r>
        <w:t>model</w:t>
      </w:r>
      <w:r w:rsidRPr="00C33CB0">
        <w:t xml:space="preserve">. </w:t>
      </w:r>
      <w:r>
        <w:t>Since this measure is applicable for normal replacement and new construction installations, the base case and measure case model installation costs are expected to be the same for the customer and thus were not estimated for the incremental cost analysis.</w:t>
      </w:r>
    </w:p>
    <w:p w14:paraId="79B4BFC3" w14:textId="77777777" w:rsidR="007D230B" w:rsidRPr="004B06E3" w:rsidRDefault="007D230B" w:rsidP="004142EF"/>
    <w:p w14:paraId="262D8B8F" w14:textId="77777777" w:rsidR="007D230B" w:rsidRPr="004B06E3" w:rsidRDefault="004B06E3" w:rsidP="00277238">
      <w:pPr>
        <w:pStyle w:val="eTRMHeading3"/>
      </w:pPr>
      <w:bookmarkStart w:id="64" w:name="_Toc486490863"/>
      <w:bookmarkStart w:id="65" w:name="_Toc486580934"/>
      <w:bookmarkStart w:id="66" w:name="_Toc24559533"/>
      <w:r>
        <w:t>Net-to-Gross</w:t>
      </w:r>
      <w:bookmarkEnd w:id="64"/>
      <w:bookmarkEnd w:id="65"/>
      <w:r w:rsidR="00D37270">
        <w:t xml:space="preserve"> (NTG)</w:t>
      </w:r>
      <w:bookmarkEnd w:id="66"/>
    </w:p>
    <w:p w14:paraId="3C4FC032" w14:textId="77777777" w:rsidR="00952D8F" w:rsidRDefault="00795583" w:rsidP="00795583">
      <w:r w:rsidRPr="00860FEC">
        <w:t xml:space="preserve">The net-to-gross (NTG) ratio represents the portion of gross impacts that are determined to be directly attributed to a specific program intervention. </w:t>
      </w:r>
      <w:r w:rsidR="007268A4" w:rsidRPr="00AF3038">
        <w:t xml:space="preserve">These NTG values are based upon the average of all NTG ratios for all evaluated 2006 – 2008 commercial, industrial, and agriculture programs, as documented in the 2011 DEER Update Study conducted by </w:t>
      </w:r>
      <w:proofErr w:type="spellStart"/>
      <w:r w:rsidR="007268A4" w:rsidRPr="00AF3038">
        <w:t>Itron</w:t>
      </w:r>
      <w:proofErr w:type="spellEnd"/>
      <w:r w:rsidR="007268A4" w:rsidRPr="00AF3038">
        <w:t xml:space="preserve">, Inc. These sector average NTGs (“default NTGs”) are applicable </w:t>
      </w:r>
      <w:r w:rsidR="007268A4">
        <w:t xml:space="preserve">to </w:t>
      </w:r>
      <w:r w:rsidR="007268A4" w:rsidRPr="00AF3038">
        <w:t xml:space="preserve">all energy efficiency measures that have been offered </w:t>
      </w:r>
      <w:r w:rsidR="007268A4">
        <w:t>through</w:t>
      </w:r>
      <w:r w:rsidR="007268A4" w:rsidRPr="00AF3038">
        <w:t xml:space="preserve"> commercial, industrial, and agriculture </w:t>
      </w:r>
      <w:r w:rsidR="007268A4">
        <w:t xml:space="preserve">sector </w:t>
      </w:r>
      <w:r w:rsidR="007268A4" w:rsidRPr="00AF3038">
        <w:t>programs for more than two years and for which impact evaluation results are not available.</w:t>
      </w:r>
      <w:r w:rsidR="007268A4" w:rsidRPr="00765218">
        <w:t> </w:t>
      </w:r>
    </w:p>
    <w:p w14:paraId="5A8D106F" w14:textId="77777777" w:rsidR="00CE4515" w:rsidRPr="0059426D" w:rsidRDefault="00C5006A" w:rsidP="00CE4515">
      <w:pPr>
        <w:pStyle w:val="Caption"/>
      </w:pPr>
      <w:r>
        <w:t>Net-to-Gross Ratio</w:t>
      </w:r>
      <w:r w:rsidR="00263265">
        <w:t>s</w:t>
      </w:r>
    </w:p>
    <w:tbl>
      <w:tblPr>
        <w:tblW w:w="9540" w:type="dxa"/>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0A0" w:firstRow="1" w:lastRow="0" w:firstColumn="1" w:lastColumn="0" w:noHBand="0" w:noVBand="0"/>
      </w:tblPr>
      <w:tblGrid>
        <w:gridCol w:w="2190"/>
        <w:gridCol w:w="1620"/>
        <w:gridCol w:w="5730"/>
      </w:tblGrid>
      <w:tr w:rsidR="00263265" w:rsidRPr="00052C24" w14:paraId="4D58563F" w14:textId="77777777" w:rsidTr="00263265">
        <w:tc>
          <w:tcPr>
            <w:tcW w:w="2190" w:type="dxa"/>
            <w:shd w:val="clear" w:color="auto" w:fill="F2F2F2" w:themeFill="background1" w:themeFillShade="F2"/>
            <w:vAlign w:val="bottom"/>
          </w:tcPr>
          <w:p w14:paraId="70BC5D18" w14:textId="77777777" w:rsidR="00263265" w:rsidRPr="00052C24" w:rsidRDefault="00263265" w:rsidP="00B64E55">
            <w:pPr>
              <w:keepNext/>
              <w:keepLines/>
              <w:spacing w:before="0" w:after="0" w:line="200" w:lineRule="atLeast"/>
              <w:jc w:val="center"/>
              <w:rPr>
                <w:b/>
                <w:sz w:val="20"/>
              </w:rPr>
            </w:pPr>
            <w:bookmarkStart w:id="67" w:name="_Toc486490864"/>
            <w:bookmarkStart w:id="68" w:name="_Toc486580935"/>
            <w:r>
              <w:rPr>
                <w:b/>
                <w:sz w:val="20"/>
              </w:rPr>
              <w:t>Parameter</w:t>
            </w:r>
          </w:p>
        </w:tc>
        <w:tc>
          <w:tcPr>
            <w:tcW w:w="1620" w:type="dxa"/>
            <w:shd w:val="clear" w:color="auto" w:fill="F2F2F2" w:themeFill="background1" w:themeFillShade="F2"/>
            <w:vAlign w:val="center"/>
          </w:tcPr>
          <w:p w14:paraId="054C5BB5" w14:textId="77777777" w:rsidR="00263265" w:rsidRPr="007268A4" w:rsidRDefault="00263265" w:rsidP="00B64E55">
            <w:pPr>
              <w:keepNext/>
              <w:keepLines/>
              <w:spacing w:before="0" w:after="0" w:line="200" w:lineRule="atLeast"/>
              <w:jc w:val="center"/>
              <w:rPr>
                <w:b/>
                <w:sz w:val="20"/>
              </w:rPr>
            </w:pPr>
            <w:r>
              <w:rPr>
                <w:b/>
                <w:sz w:val="20"/>
              </w:rPr>
              <w:t>Value (all sizes)</w:t>
            </w:r>
          </w:p>
        </w:tc>
        <w:tc>
          <w:tcPr>
            <w:tcW w:w="5730" w:type="dxa"/>
            <w:shd w:val="clear" w:color="auto" w:fill="F2F2F2" w:themeFill="background1" w:themeFillShade="F2"/>
            <w:vAlign w:val="bottom"/>
          </w:tcPr>
          <w:p w14:paraId="5D66D724" w14:textId="77777777" w:rsidR="00263265" w:rsidRDefault="00263265" w:rsidP="00B64E55">
            <w:pPr>
              <w:keepNext/>
              <w:keepLines/>
              <w:spacing w:before="0" w:after="0" w:line="200" w:lineRule="atLeast"/>
              <w:jc w:val="center"/>
              <w:rPr>
                <w:b/>
                <w:sz w:val="20"/>
              </w:rPr>
            </w:pPr>
            <w:r>
              <w:rPr>
                <w:b/>
                <w:sz w:val="20"/>
              </w:rPr>
              <w:t>Source</w:t>
            </w:r>
          </w:p>
        </w:tc>
      </w:tr>
      <w:tr w:rsidR="00263265" w:rsidRPr="009062D0" w14:paraId="47BA0B79" w14:textId="77777777" w:rsidTr="00263265">
        <w:trPr>
          <w:trHeight w:val="260"/>
        </w:trPr>
        <w:tc>
          <w:tcPr>
            <w:tcW w:w="2190" w:type="dxa"/>
            <w:vAlign w:val="center"/>
          </w:tcPr>
          <w:p w14:paraId="50F18461" w14:textId="77777777" w:rsidR="00263265" w:rsidRPr="009062D0" w:rsidRDefault="00263265" w:rsidP="00B64E55">
            <w:pPr>
              <w:keepNext/>
              <w:keepLines/>
              <w:spacing w:before="0" w:after="0" w:line="200" w:lineRule="atLeast"/>
              <w:rPr>
                <w:sz w:val="20"/>
              </w:rPr>
            </w:pPr>
            <w:r w:rsidRPr="009062D0">
              <w:rPr>
                <w:sz w:val="20"/>
              </w:rPr>
              <w:t>NTG – Commercial</w:t>
            </w:r>
          </w:p>
        </w:tc>
        <w:tc>
          <w:tcPr>
            <w:tcW w:w="1620" w:type="dxa"/>
          </w:tcPr>
          <w:p w14:paraId="5C7060BE" w14:textId="77777777" w:rsidR="00263265" w:rsidRPr="00F77E75" w:rsidRDefault="00263265" w:rsidP="00B64E55">
            <w:pPr>
              <w:keepNext/>
              <w:keepLines/>
              <w:spacing w:before="0" w:after="0" w:line="200" w:lineRule="atLeast"/>
              <w:jc w:val="center"/>
              <w:rPr>
                <w:sz w:val="20"/>
              </w:rPr>
            </w:pPr>
            <w:r w:rsidRPr="00F77E75">
              <w:rPr>
                <w:sz w:val="20"/>
                <w:szCs w:val="20"/>
              </w:rPr>
              <w:t>0.60</w:t>
            </w:r>
          </w:p>
        </w:tc>
        <w:tc>
          <w:tcPr>
            <w:tcW w:w="5730" w:type="dxa"/>
            <w:vAlign w:val="center"/>
          </w:tcPr>
          <w:p w14:paraId="5E3C3B41" w14:textId="77777777" w:rsidR="00263265" w:rsidRPr="006D78A7" w:rsidRDefault="00263265" w:rsidP="00804F17">
            <w:pPr>
              <w:keepNext/>
              <w:keepLines/>
              <w:spacing w:before="0" w:after="0" w:line="240" w:lineRule="auto"/>
              <w:rPr>
                <w:rFonts w:eastAsia="Times New Roman" w:cs="Times New Roman"/>
                <w:color w:val="000000"/>
                <w:sz w:val="18"/>
                <w:szCs w:val="18"/>
                <w:highlight w:val="yellow"/>
              </w:rPr>
            </w:pPr>
            <w:proofErr w:type="spellStart"/>
            <w:r w:rsidRPr="00575E9A">
              <w:rPr>
                <w:sz w:val="18"/>
              </w:rPr>
              <w:t>Itron</w:t>
            </w:r>
            <w:proofErr w:type="spellEnd"/>
            <w:r w:rsidRPr="00575E9A">
              <w:rPr>
                <w:sz w:val="18"/>
              </w:rPr>
              <w:t xml:space="preserve">, Inc. 2011. </w:t>
            </w:r>
            <w:r w:rsidRPr="00575E9A">
              <w:rPr>
                <w:i/>
                <w:sz w:val="18"/>
              </w:rPr>
              <w:t>DEER Database 2011 Update Documentation.</w:t>
            </w:r>
            <w:r w:rsidRPr="00575E9A">
              <w:rPr>
                <w:sz w:val="18"/>
              </w:rPr>
              <w:t xml:space="preserve"> Prepared for the California Public Utilities Commission. Page 15-4 Table 15-3.</w:t>
            </w:r>
          </w:p>
        </w:tc>
      </w:tr>
    </w:tbl>
    <w:p w14:paraId="44B12213" w14:textId="77777777" w:rsidR="007268A4" w:rsidRPr="004B06E3" w:rsidRDefault="007268A4" w:rsidP="007268A4"/>
    <w:p w14:paraId="5A7517FB" w14:textId="77777777" w:rsidR="007D230B" w:rsidRPr="004B06E3" w:rsidRDefault="00D37270" w:rsidP="00277238">
      <w:pPr>
        <w:pStyle w:val="eTRMHeading3"/>
      </w:pPr>
      <w:bookmarkStart w:id="69" w:name="_Toc24559534"/>
      <w:r>
        <w:t>Gross Savings Installation Adjustment (</w:t>
      </w:r>
      <w:r w:rsidR="007D230B" w:rsidRPr="004B06E3">
        <w:t>GSIA</w:t>
      </w:r>
      <w:bookmarkEnd w:id="67"/>
      <w:bookmarkEnd w:id="68"/>
      <w:r>
        <w:t>)</w:t>
      </w:r>
      <w:bookmarkEnd w:id="69"/>
    </w:p>
    <w:p w14:paraId="5925D34C" w14:textId="77777777" w:rsidR="00CE4515" w:rsidRDefault="0062790D" w:rsidP="00CE4515">
      <w:pPr>
        <w:keepNext/>
        <w:keepLines/>
      </w:pPr>
      <w:r w:rsidRPr="00AD00D3">
        <w:t xml:space="preserve">The </w:t>
      </w:r>
      <w:r>
        <w:t xml:space="preserve">gross savings </w:t>
      </w:r>
      <w:r w:rsidRPr="00AD00D3">
        <w:t xml:space="preserve">installation </w:t>
      </w:r>
      <w:r>
        <w:t xml:space="preserve">adjustment (GSIA) </w:t>
      </w:r>
      <w:r w:rsidRPr="00AD00D3">
        <w:t xml:space="preserve">represents the ratio of the number of verified installations of the measure to the number of claimed installations </w:t>
      </w:r>
      <w:r>
        <w:t>reported</w:t>
      </w:r>
      <w:r w:rsidRPr="00AD00D3">
        <w:t xml:space="preserve"> by the utility. </w:t>
      </w:r>
      <w:r>
        <w:t>This factor</w:t>
      </w:r>
      <w:r w:rsidRPr="00AD00D3">
        <w:t xml:space="preserve"> varies by end use, sector, technology, application, and delivery method. </w:t>
      </w:r>
      <w:r w:rsidR="007268A4">
        <w:t>This GSIA rate is the current “default” rate specified for measures for which an alternative GSIA has not been estimated and approved.</w:t>
      </w:r>
    </w:p>
    <w:p w14:paraId="1B27DFA8" w14:textId="77777777" w:rsidR="00CE4515" w:rsidRPr="0059426D" w:rsidRDefault="0062790D" w:rsidP="00CE4515">
      <w:pPr>
        <w:pStyle w:val="Caption"/>
      </w:pPr>
      <w:r>
        <w:t>Gross Savings Installation Adjustment</w:t>
      </w:r>
    </w:p>
    <w:tbl>
      <w:tblPr>
        <w:tblW w:w="9630" w:type="dxa"/>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0A0" w:firstRow="1" w:lastRow="0" w:firstColumn="1" w:lastColumn="0" w:noHBand="0" w:noVBand="0"/>
      </w:tblPr>
      <w:tblGrid>
        <w:gridCol w:w="2190"/>
        <w:gridCol w:w="1620"/>
        <w:gridCol w:w="5820"/>
      </w:tblGrid>
      <w:tr w:rsidR="00A600D5" w:rsidRPr="00052C24" w14:paraId="407A3DF8" w14:textId="77777777" w:rsidTr="00A600D5">
        <w:tc>
          <w:tcPr>
            <w:tcW w:w="2190" w:type="dxa"/>
            <w:shd w:val="clear" w:color="auto" w:fill="F2F2F2" w:themeFill="background1" w:themeFillShade="F2"/>
            <w:vAlign w:val="bottom"/>
          </w:tcPr>
          <w:p w14:paraId="63BBE9B9" w14:textId="77777777" w:rsidR="00A600D5" w:rsidRPr="00052C24" w:rsidRDefault="00A600D5" w:rsidP="00B64E55">
            <w:pPr>
              <w:keepNext/>
              <w:keepLines/>
              <w:spacing w:before="0" w:after="0" w:line="200" w:lineRule="atLeast"/>
              <w:jc w:val="center"/>
              <w:rPr>
                <w:b/>
                <w:sz w:val="20"/>
              </w:rPr>
            </w:pPr>
            <w:r>
              <w:rPr>
                <w:b/>
                <w:sz w:val="20"/>
              </w:rPr>
              <w:t>Parameter</w:t>
            </w:r>
          </w:p>
        </w:tc>
        <w:tc>
          <w:tcPr>
            <w:tcW w:w="1620" w:type="dxa"/>
            <w:shd w:val="clear" w:color="auto" w:fill="F2F2F2" w:themeFill="background1" w:themeFillShade="F2"/>
            <w:vAlign w:val="center"/>
          </w:tcPr>
          <w:p w14:paraId="3B02592A" w14:textId="77777777" w:rsidR="00A600D5" w:rsidRPr="00052C24" w:rsidRDefault="00A600D5" w:rsidP="00B64E55">
            <w:pPr>
              <w:keepNext/>
              <w:keepLines/>
              <w:spacing w:before="0" w:after="0" w:line="200" w:lineRule="atLeast"/>
              <w:jc w:val="center"/>
              <w:rPr>
                <w:b/>
                <w:sz w:val="20"/>
              </w:rPr>
            </w:pPr>
            <w:r>
              <w:rPr>
                <w:b/>
                <w:sz w:val="20"/>
              </w:rPr>
              <w:t>Value (all sizes)</w:t>
            </w:r>
          </w:p>
        </w:tc>
        <w:tc>
          <w:tcPr>
            <w:tcW w:w="5820" w:type="dxa"/>
            <w:shd w:val="clear" w:color="auto" w:fill="F2F2F2" w:themeFill="background1" w:themeFillShade="F2"/>
            <w:vAlign w:val="bottom"/>
          </w:tcPr>
          <w:p w14:paraId="64237CDE" w14:textId="77777777" w:rsidR="00A600D5" w:rsidRDefault="00A600D5" w:rsidP="00B64E55">
            <w:pPr>
              <w:keepNext/>
              <w:keepLines/>
              <w:spacing w:before="0" w:after="0" w:line="200" w:lineRule="atLeast"/>
              <w:jc w:val="center"/>
              <w:rPr>
                <w:b/>
                <w:sz w:val="20"/>
              </w:rPr>
            </w:pPr>
            <w:r>
              <w:rPr>
                <w:b/>
                <w:sz w:val="20"/>
              </w:rPr>
              <w:t>Source</w:t>
            </w:r>
          </w:p>
        </w:tc>
      </w:tr>
      <w:tr w:rsidR="00A600D5" w:rsidRPr="009062D0" w14:paraId="6CA405AF" w14:textId="77777777" w:rsidTr="00A600D5">
        <w:trPr>
          <w:trHeight w:val="260"/>
        </w:trPr>
        <w:tc>
          <w:tcPr>
            <w:tcW w:w="2190" w:type="dxa"/>
            <w:vAlign w:val="center"/>
          </w:tcPr>
          <w:p w14:paraId="2CA82D75" w14:textId="77777777" w:rsidR="00A600D5" w:rsidRPr="009062D0" w:rsidRDefault="00A600D5" w:rsidP="00B64E55">
            <w:pPr>
              <w:keepNext/>
              <w:keepLines/>
              <w:spacing w:before="0" w:after="0" w:line="200" w:lineRule="atLeast"/>
              <w:rPr>
                <w:sz w:val="20"/>
              </w:rPr>
            </w:pPr>
            <w:r>
              <w:rPr>
                <w:sz w:val="20"/>
              </w:rPr>
              <w:t>GSIA</w:t>
            </w:r>
          </w:p>
        </w:tc>
        <w:tc>
          <w:tcPr>
            <w:tcW w:w="1620" w:type="dxa"/>
            <w:vAlign w:val="center"/>
          </w:tcPr>
          <w:p w14:paraId="4AE4BD97" w14:textId="77777777" w:rsidR="00A600D5" w:rsidRPr="00C71629" w:rsidRDefault="00A600D5" w:rsidP="00B64E55">
            <w:pPr>
              <w:keepNext/>
              <w:keepLines/>
              <w:spacing w:before="0" w:after="0" w:line="200" w:lineRule="atLeast"/>
              <w:jc w:val="center"/>
              <w:rPr>
                <w:sz w:val="20"/>
              </w:rPr>
            </w:pPr>
            <w:r w:rsidRPr="00C71629">
              <w:rPr>
                <w:sz w:val="20"/>
                <w:szCs w:val="20"/>
              </w:rPr>
              <w:t>1.0</w:t>
            </w:r>
          </w:p>
        </w:tc>
        <w:tc>
          <w:tcPr>
            <w:tcW w:w="5820" w:type="dxa"/>
            <w:vAlign w:val="center"/>
          </w:tcPr>
          <w:p w14:paraId="444A2CC3" w14:textId="77777777" w:rsidR="00A600D5" w:rsidRPr="009062D0" w:rsidRDefault="00A600D5" w:rsidP="00B64E55">
            <w:pPr>
              <w:keepNext/>
              <w:keepLines/>
              <w:spacing w:before="0" w:after="0" w:line="240" w:lineRule="auto"/>
              <w:rPr>
                <w:rFonts w:eastAsia="Times New Roman" w:cs="Times New Roman"/>
                <w:color w:val="000000"/>
                <w:sz w:val="18"/>
                <w:szCs w:val="18"/>
              </w:rPr>
            </w:pPr>
            <w:r w:rsidRPr="00297B33">
              <w:rPr>
                <w:rFonts w:eastAsia="Times New Roman" w:cs="Times New Roman"/>
                <w:color w:val="000000"/>
                <w:sz w:val="18"/>
                <w:szCs w:val="18"/>
              </w:rPr>
              <w:t xml:space="preserve">California Public Utilities Commission (CPUC), Energy Division. 2013. </w:t>
            </w:r>
            <w:r w:rsidRPr="00297B33">
              <w:rPr>
                <w:rFonts w:eastAsia="Times New Roman" w:cs="Times New Roman"/>
                <w:i/>
                <w:color w:val="000000"/>
                <w:sz w:val="18"/>
                <w:szCs w:val="18"/>
              </w:rPr>
              <w:t>Energy Efficiency Policy Manual Version 5</w:t>
            </w:r>
            <w:r w:rsidRPr="00297B33">
              <w:rPr>
                <w:rFonts w:eastAsia="Times New Roman" w:cs="Times New Roman"/>
                <w:color w:val="000000"/>
                <w:sz w:val="18"/>
                <w:szCs w:val="18"/>
              </w:rPr>
              <w:t>.</w:t>
            </w:r>
            <w:r>
              <w:rPr>
                <w:rFonts w:eastAsia="Times New Roman" w:cs="Times New Roman"/>
                <w:color w:val="000000"/>
                <w:sz w:val="18"/>
                <w:szCs w:val="18"/>
              </w:rPr>
              <w:t xml:space="preserve"> Page 31.</w:t>
            </w:r>
          </w:p>
        </w:tc>
      </w:tr>
    </w:tbl>
    <w:p w14:paraId="6B7B0A66" w14:textId="77777777" w:rsidR="007268A4" w:rsidRDefault="007268A4" w:rsidP="007268A4">
      <w:pPr>
        <w:rPr>
          <w:rFonts w:cs="Arial"/>
          <w:sz w:val="20"/>
          <w:szCs w:val="20"/>
        </w:rPr>
      </w:pPr>
    </w:p>
    <w:p w14:paraId="6A4AE6C2" w14:textId="77777777" w:rsidR="002F00A9" w:rsidRPr="004B06E3" w:rsidRDefault="002F00A9" w:rsidP="002F00A9">
      <w:pPr>
        <w:pStyle w:val="eTRMHeading3"/>
      </w:pPr>
      <w:bookmarkStart w:id="70" w:name="_Toc486490865"/>
      <w:bookmarkStart w:id="71" w:name="_Toc486580936"/>
      <w:bookmarkStart w:id="72" w:name="_Toc494369270"/>
      <w:bookmarkStart w:id="73" w:name="_Toc24559535"/>
      <w:r w:rsidRPr="004B06E3">
        <w:t xml:space="preserve">Non-Energy </w:t>
      </w:r>
      <w:bookmarkEnd w:id="70"/>
      <w:bookmarkEnd w:id="71"/>
      <w:bookmarkEnd w:id="72"/>
      <w:r>
        <w:t>Impacts</w:t>
      </w:r>
      <w:bookmarkEnd w:id="73"/>
    </w:p>
    <w:p w14:paraId="56839C7B" w14:textId="77777777" w:rsidR="002F00A9" w:rsidRDefault="002F00A9" w:rsidP="002F00A9">
      <w:r>
        <w:t>Non-energy impacts for this measure have not been quantified.</w:t>
      </w:r>
    </w:p>
    <w:p w14:paraId="12170C21" w14:textId="77777777" w:rsidR="002C67DF" w:rsidRDefault="002C67DF" w:rsidP="004142EF"/>
    <w:p w14:paraId="1939019E" w14:textId="77777777" w:rsidR="00795583" w:rsidRPr="004B06E3" w:rsidRDefault="00795583" w:rsidP="00277238">
      <w:pPr>
        <w:pStyle w:val="eTRMHeading3"/>
      </w:pPr>
      <w:bookmarkStart w:id="74" w:name="_Toc490461312"/>
      <w:bookmarkStart w:id="75" w:name="_Toc24559536"/>
      <w:r>
        <w:t>DEER Differences Analysis</w:t>
      </w:r>
      <w:bookmarkEnd w:id="74"/>
      <w:bookmarkEnd w:id="75"/>
    </w:p>
    <w:p w14:paraId="3AFFC3A5" w14:textId="77777777" w:rsidR="0041160A" w:rsidRDefault="008E177D" w:rsidP="008E177D">
      <w:bookmarkStart w:id="76" w:name="_Hlk526856348"/>
      <w:r>
        <w:t xml:space="preserve">The table below summarizes the inputs and methods that are and are not based upon the Database for Energy Efficient Resources (DEER). </w:t>
      </w:r>
      <w:bookmarkEnd w:id="76"/>
    </w:p>
    <w:p w14:paraId="01016218" w14:textId="77777777" w:rsidR="00BF4823" w:rsidRPr="00176DED" w:rsidRDefault="00CE1CDD" w:rsidP="00E5186C">
      <w:pPr>
        <w:pStyle w:val="eTRMBulletedText"/>
      </w:pPr>
      <w:r w:rsidRPr="00176DED">
        <w:t>This</w:t>
      </w:r>
      <w:r>
        <w:t xml:space="preserve"> measure</w:t>
      </w:r>
      <w:r w:rsidRPr="00176DED">
        <w:t xml:space="preserve"> </w:t>
      </w:r>
      <w:r>
        <w:t>analysis</w:t>
      </w:r>
      <w:r w:rsidRPr="00176DED">
        <w:t xml:space="preserve"> includes cost data </w:t>
      </w:r>
      <w:r>
        <w:t xml:space="preserve">more recent than cost presented in </w:t>
      </w:r>
      <w:r w:rsidR="00176DED" w:rsidRPr="00176DED">
        <w:t xml:space="preserve">2004-2005 </w:t>
      </w:r>
      <w:r w:rsidR="00BF4823" w:rsidRPr="00176DED">
        <w:t xml:space="preserve">DEER </w:t>
      </w:r>
      <w:r w:rsidR="00176DED" w:rsidRPr="00176DED">
        <w:t>version 2.01</w:t>
      </w:r>
      <w:r w:rsidR="00BF4823" w:rsidRPr="00176DED">
        <w:t xml:space="preserve"> (</w:t>
      </w:r>
      <w:r w:rsidR="00176DED" w:rsidRPr="00176DED">
        <w:t xml:space="preserve">measure ID </w:t>
      </w:r>
      <w:r w:rsidR="00BF4823" w:rsidRPr="00176DED">
        <w:t xml:space="preserve">D03-907). </w:t>
      </w:r>
    </w:p>
    <w:p w14:paraId="2D1CDB55" w14:textId="77777777" w:rsidR="00BF4823" w:rsidRPr="00176DED" w:rsidRDefault="00BF4823" w:rsidP="00E5186C">
      <w:pPr>
        <w:pStyle w:val="eTRMBulletedText"/>
        <w:rPr>
          <w:rFonts w:ascii="Cambria Math" w:hAnsi="Cambria Math"/>
          <w:i/>
          <w:sz w:val="18"/>
          <w:szCs w:val="18"/>
        </w:rPr>
      </w:pPr>
      <w:r w:rsidRPr="00176DED">
        <w:lastRenderedPageBreak/>
        <w:t xml:space="preserve">The DEER </w:t>
      </w:r>
      <w:r w:rsidR="002C0299">
        <w:t xml:space="preserve">savings </w:t>
      </w:r>
      <w:r w:rsidRPr="00176DED">
        <w:t>calculations use a linear savings estimate based on the average production kW inputs of a standard and energy-efficient hol</w:t>
      </w:r>
      <w:r w:rsidR="00176DED">
        <w:t>ding cabinet over a 12-hour day,</w:t>
      </w:r>
      <w:r w:rsidR="00CE1CDD">
        <w:t xml:space="preserve"> 365 days per year</w:t>
      </w:r>
      <w:r w:rsidRPr="00176DED">
        <w:t xml:space="preserve">. </w:t>
      </w:r>
    </w:p>
    <w:p w14:paraId="47171097" w14:textId="77777777" w:rsidR="00BF4823" w:rsidRPr="00176DED" w:rsidRDefault="00BF4823" w:rsidP="00E5186C">
      <w:pPr>
        <w:pStyle w:val="eTRMBulletedText"/>
      </w:pPr>
      <w:r w:rsidRPr="00176DED">
        <w:t xml:space="preserve">The DEER data assumed a </w:t>
      </w:r>
      <w:r w:rsidR="00176DED">
        <w:t>base case</w:t>
      </w:r>
      <w:r w:rsidRPr="00176DED">
        <w:t xml:space="preserve"> demand of 1.35 kW/hour and </w:t>
      </w:r>
      <w:r w:rsidR="00176DED">
        <w:t>measure case</w:t>
      </w:r>
      <w:r w:rsidRPr="00176DED">
        <w:t xml:space="preserve"> demand of 0.43 kW/hour. This </w:t>
      </w:r>
      <w:r w:rsidR="00492543">
        <w:t>measure analysis</w:t>
      </w:r>
      <w:r w:rsidRPr="00176DED">
        <w:t xml:space="preserve"> uses the CEC Title 20 Appliance Efficiency Regulations to establish the </w:t>
      </w:r>
      <w:r w:rsidR="00176DED">
        <w:t>base case</w:t>
      </w:r>
      <w:r w:rsidR="00176DED" w:rsidRPr="00176DED">
        <w:t xml:space="preserve"> demand</w:t>
      </w:r>
      <w:r w:rsidR="003E2CB3">
        <w:t>.</w:t>
      </w:r>
      <w:r w:rsidR="005F2293">
        <w:rPr>
          <w:rStyle w:val="FootnoteReference"/>
        </w:rPr>
        <w:footnoteReference w:id="13"/>
      </w:r>
      <w:r w:rsidRPr="00176DED">
        <w:t xml:space="preserve"> </w:t>
      </w:r>
    </w:p>
    <w:p w14:paraId="5AE4457C" w14:textId="77777777" w:rsidR="00BF4823" w:rsidRDefault="00BF4823" w:rsidP="00E5186C">
      <w:pPr>
        <w:pStyle w:val="eTRMBulletedText"/>
      </w:pPr>
      <w:r w:rsidRPr="00176DED">
        <w:t xml:space="preserve">The </w:t>
      </w:r>
      <w:r w:rsidR="00B66A30" w:rsidRPr="00333DEE">
        <w:rPr>
          <w:i/>
        </w:rPr>
        <w:t>2004-2005 Database for Energy Efficiency Resources (DEER) Update Study</w:t>
      </w:r>
      <w:r w:rsidR="00B66A30">
        <w:rPr>
          <w:rStyle w:val="FootnoteReference"/>
        </w:rPr>
        <w:t xml:space="preserve"> </w:t>
      </w:r>
      <w:r w:rsidR="00B66A30">
        <w:t xml:space="preserve">conducted by </w:t>
      </w:r>
      <w:proofErr w:type="spellStart"/>
      <w:r w:rsidR="00B66A30">
        <w:t>Itron</w:t>
      </w:r>
      <w:proofErr w:type="spellEnd"/>
      <w:r w:rsidR="005F2293">
        <w:rPr>
          <w:rStyle w:val="FootnoteReference"/>
        </w:rPr>
        <w:footnoteReference w:id="14"/>
      </w:r>
      <w:r w:rsidR="005F2293">
        <w:t xml:space="preserve"> </w:t>
      </w:r>
      <w:r w:rsidR="00CE1CDD">
        <w:t>specifies</w:t>
      </w:r>
      <w:r w:rsidRPr="00176DED">
        <w:t xml:space="preserve"> 4</w:t>
      </w:r>
      <w:r w:rsidR="00027367">
        <w:t>,</w:t>
      </w:r>
      <w:r w:rsidRPr="00176DED">
        <w:t xml:space="preserve">380 </w:t>
      </w:r>
      <w:r w:rsidR="00027367">
        <w:t xml:space="preserve">annual operating </w:t>
      </w:r>
      <w:r w:rsidRPr="00176DED">
        <w:t>hours</w:t>
      </w:r>
      <w:r w:rsidR="00027367">
        <w:t>,</w:t>
      </w:r>
      <w:r w:rsidRPr="00176DED">
        <w:t xml:space="preserve"> based on 12 hours per day. This </w:t>
      </w:r>
      <w:r w:rsidR="00027367">
        <w:t>measure analysis</w:t>
      </w:r>
      <w:r w:rsidRPr="00176DED">
        <w:t xml:space="preserve"> assumes 15-hour daily </w:t>
      </w:r>
      <w:r w:rsidR="00027367">
        <w:t>operating hours</w:t>
      </w:r>
      <w:r w:rsidR="001A2217">
        <w:t>,</w:t>
      </w:r>
      <w:r w:rsidRPr="00176DED">
        <w:t xml:space="preserve"> 365</w:t>
      </w:r>
      <w:r w:rsidRPr="00176DED">
        <w:rPr>
          <w:rStyle w:val="CommentReference"/>
        </w:rPr>
        <w:t xml:space="preserve"> </w:t>
      </w:r>
      <w:r w:rsidR="00B66A30">
        <w:t>days per year (</w:t>
      </w:r>
      <w:r w:rsidRPr="00176DED">
        <w:t>5</w:t>
      </w:r>
      <w:r w:rsidR="001A2217">
        <w:t>,475 hours per year</w:t>
      </w:r>
      <w:r w:rsidR="00B66A30">
        <w:t>)</w:t>
      </w:r>
      <w:r w:rsidR="00CE1CDD">
        <w:t>, which</w:t>
      </w:r>
      <w:r w:rsidR="001A2217">
        <w:t xml:space="preserve"> </w:t>
      </w:r>
      <w:r w:rsidRPr="00176DED">
        <w:t>is consistent with the Federal Energy Management Program purchasing specification for hot food holding cabinets.</w:t>
      </w:r>
      <w:r w:rsidR="00333DEE">
        <w:rPr>
          <w:rStyle w:val="FootnoteReference"/>
        </w:rPr>
        <w:footnoteReference w:id="15"/>
      </w:r>
      <w:r w:rsidR="00333DEE">
        <w:t xml:space="preserve"> </w:t>
      </w:r>
    </w:p>
    <w:p w14:paraId="024A994A" w14:textId="77777777" w:rsidR="00795583" w:rsidRPr="00920905" w:rsidRDefault="00795583" w:rsidP="00664F63">
      <w:pPr>
        <w:pStyle w:val="Caption"/>
      </w:pPr>
      <w:r w:rsidRPr="00920905">
        <w:t>DEER Difference Summary</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115" w:type="dxa"/>
          <w:right w:w="115" w:type="dxa"/>
        </w:tblCellMar>
        <w:tblLook w:val="04A0" w:firstRow="1" w:lastRow="0" w:firstColumn="1" w:lastColumn="0" w:noHBand="0" w:noVBand="1"/>
      </w:tblPr>
      <w:tblGrid>
        <w:gridCol w:w="3235"/>
        <w:gridCol w:w="6115"/>
      </w:tblGrid>
      <w:tr w:rsidR="00795583" w:rsidRPr="00500C4E" w14:paraId="7FB25EC4" w14:textId="77777777" w:rsidTr="00F77E75">
        <w:trPr>
          <w:trHeight w:val="20"/>
          <w:tblHeader/>
        </w:trPr>
        <w:tc>
          <w:tcPr>
            <w:tcW w:w="1730" w:type="pct"/>
            <w:shd w:val="clear" w:color="auto" w:fill="F2F2F2" w:themeFill="background1" w:themeFillShade="F2"/>
          </w:tcPr>
          <w:p w14:paraId="02E76D4D" w14:textId="77777777" w:rsidR="00795583" w:rsidRPr="00EA057C" w:rsidRDefault="00795583" w:rsidP="00664F63">
            <w:pPr>
              <w:keepNext/>
              <w:keepLines/>
              <w:tabs>
                <w:tab w:val="right" w:pos="2957"/>
              </w:tabs>
              <w:spacing w:before="20" w:after="20"/>
              <w:rPr>
                <w:rFonts w:cs="Arial"/>
                <w:b/>
                <w:sz w:val="20"/>
                <w:szCs w:val="20"/>
              </w:rPr>
            </w:pPr>
            <w:r w:rsidRPr="00EA057C">
              <w:rPr>
                <w:rFonts w:cs="Arial"/>
                <w:b/>
                <w:sz w:val="20"/>
                <w:szCs w:val="20"/>
              </w:rPr>
              <w:t>DEER Item</w:t>
            </w:r>
          </w:p>
        </w:tc>
        <w:tc>
          <w:tcPr>
            <w:tcW w:w="3270" w:type="pct"/>
            <w:shd w:val="clear" w:color="auto" w:fill="F2F2F2" w:themeFill="background1" w:themeFillShade="F2"/>
          </w:tcPr>
          <w:p w14:paraId="0358C60C" w14:textId="77777777" w:rsidR="00795583" w:rsidRPr="00EA057C" w:rsidRDefault="00795583" w:rsidP="00664F63">
            <w:pPr>
              <w:keepNext/>
              <w:keepLines/>
              <w:spacing w:before="20" w:after="20"/>
              <w:rPr>
                <w:rFonts w:cs="Arial"/>
                <w:b/>
                <w:sz w:val="20"/>
                <w:szCs w:val="20"/>
              </w:rPr>
            </w:pPr>
            <w:r>
              <w:rPr>
                <w:rFonts w:cs="Arial"/>
                <w:b/>
                <w:sz w:val="20"/>
                <w:szCs w:val="20"/>
              </w:rPr>
              <w:t xml:space="preserve">Comment / </w:t>
            </w:r>
            <w:r w:rsidRPr="00EA057C">
              <w:rPr>
                <w:rFonts w:cs="Arial"/>
                <w:b/>
                <w:sz w:val="20"/>
                <w:szCs w:val="20"/>
              </w:rPr>
              <w:t>Used for Workpaper</w:t>
            </w:r>
          </w:p>
        </w:tc>
      </w:tr>
      <w:tr w:rsidR="004C4616" w:rsidRPr="00500C4E" w14:paraId="4ABF50E2" w14:textId="77777777" w:rsidTr="005E13DF">
        <w:trPr>
          <w:trHeight w:val="20"/>
        </w:trPr>
        <w:tc>
          <w:tcPr>
            <w:tcW w:w="1730" w:type="pct"/>
          </w:tcPr>
          <w:p w14:paraId="78EA886A" w14:textId="77777777" w:rsidR="004C4616" w:rsidRPr="00EA057C" w:rsidRDefault="004C4616" w:rsidP="00664F63">
            <w:pPr>
              <w:keepNext/>
              <w:keepLines/>
              <w:spacing w:before="20" w:after="20"/>
              <w:rPr>
                <w:rFonts w:cs="Arial"/>
                <w:sz w:val="20"/>
                <w:szCs w:val="20"/>
              </w:rPr>
            </w:pPr>
            <w:r w:rsidRPr="00EA057C">
              <w:rPr>
                <w:rFonts w:cs="Arial"/>
                <w:sz w:val="20"/>
                <w:szCs w:val="20"/>
              </w:rPr>
              <w:t>Modified DEER methodology</w:t>
            </w:r>
          </w:p>
        </w:tc>
        <w:tc>
          <w:tcPr>
            <w:tcW w:w="3270" w:type="pct"/>
          </w:tcPr>
          <w:p w14:paraId="58803D5F" w14:textId="77777777" w:rsidR="004C4616" w:rsidRPr="008E177D" w:rsidRDefault="004C4616" w:rsidP="00664F63">
            <w:pPr>
              <w:keepNext/>
              <w:keepLines/>
              <w:spacing w:before="20" w:after="20"/>
              <w:rPr>
                <w:rFonts w:cs="Arial"/>
                <w:b/>
                <w:sz w:val="20"/>
                <w:szCs w:val="20"/>
              </w:rPr>
            </w:pPr>
            <w:r w:rsidRPr="008E177D">
              <w:rPr>
                <w:rFonts w:cs="Arial"/>
                <w:sz w:val="20"/>
                <w:szCs w:val="20"/>
              </w:rPr>
              <w:t>No</w:t>
            </w:r>
          </w:p>
        </w:tc>
      </w:tr>
      <w:tr w:rsidR="004C4616" w:rsidRPr="00500C4E" w14:paraId="285717CF" w14:textId="77777777" w:rsidTr="005E13DF">
        <w:trPr>
          <w:trHeight w:val="20"/>
        </w:trPr>
        <w:tc>
          <w:tcPr>
            <w:tcW w:w="1730" w:type="pct"/>
          </w:tcPr>
          <w:p w14:paraId="288ED31B" w14:textId="77777777" w:rsidR="004C4616" w:rsidRPr="00EA057C" w:rsidRDefault="004C4616" w:rsidP="00F77E75">
            <w:pPr>
              <w:spacing w:before="20" w:after="20"/>
              <w:rPr>
                <w:rFonts w:cs="Arial"/>
                <w:sz w:val="20"/>
                <w:szCs w:val="20"/>
              </w:rPr>
            </w:pPr>
            <w:r w:rsidRPr="00EA057C">
              <w:rPr>
                <w:rFonts w:cs="Arial"/>
                <w:sz w:val="20"/>
                <w:szCs w:val="20"/>
              </w:rPr>
              <w:t>Scaled DEER measure</w:t>
            </w:r>
          </w:p>
        </w:tc>
        <w:tc>
          <w:tcPr>
            <w:tcW w:w="3270" w:type="pct"/>
          </w:tcPr>
          <w:p w14:paraId="0A4586F5" w14:textId="77777777" w:rsidR="004C4616" w:rsidRPr="008E177D" w:rsidRDefault="004C4616" w:rsidP="00F77E75">
            <w:pPr>
              <w:spacing w:before="20" w:after="20"/>
              <w:rPr>
                <w:rFonts w:cs="Arial"/>
                <w:sz w:val="20"/>
                <w:szCs w:val="20"/>
              </w:rPr>
            </w:pPr>
            <w:r w:rsidRPr="008E177D">
              <w:rPr>
                <w:rFonts w:cs="Arial"/>
                <w:sz w:val="20"/>
                <w:szCs w:val="20"/>
              </w:rPr>
              <w:t>No</w:t>
            </w:r>
          </w:p>
        </w:tc>
      </w:tr>
      <w:tr w:rsidR="004C4616" w:rsidRPr="00500C4E" w14:paraId="7EB2FC2D" w14:textId="77777777" w:rsidTr="005E13DF">
        <w:trPr>
          <w:trHeight w:val="20"/>
        </w:trPr>
        <w:tc>
          <w:tcPr>
            <w:tcW w:w="1730" w:type="pct"/>
          </w:tcPr>
          <w:p w14:paraId="30391985" w14:textId="77777777" w:rsidR="004C4616" w:rsidRPr="00EA057C" w:rsidRDefault="004C4616" w:rsidP="00F77E75">
            <w:pPr>
              <w:spacing w:before="20" w:after="20"/>
              <w:rPr>
                <w:rFonts w:cs="Arial"/>
                <w:sz w:val="20"/>
                <w:szCs w:val="20"/>
              </w:rPr>
            </w:pPr>
            <w:r w:rsidRPr="00EA057C">
              <w:rPr>
                <w:rFonts w:cs="Arial"/>
                <w:sz w:val="20"/>
                <w:szCs w:val="20"/>
              </w:rPr>
              <w:t>DEER Base Case</w:t>
            </w:r>
          </w:p>
        </w:tc>
        <w:tc>
          <w:tcPr>
            <w:tcW w:w="3270" w:type="pct"/>
          </w:tcPr>
          <w:p w14:paraId="1994DB6F" w14:textId="77777777" w:rsidR="004C4616" w:rsidRPr="008E177D" w:rsidRDefault="004C4616" w:rsidP="00F77E75">
            <w:pPr>
              <w:spacing w:before="20" w:after="20"/>
              <w:rPr>
                <w:rFonts w:cs="Arial"/>
                <w:sz w:val="20"/>
                <w:szCs w:val="20"/>
              </w:rPr>
            </w:pPr>
            <w:r w:rsidRPr="008E177D">
              <w:rPr>
                <w:rFonts w:cs="Arial"/>
                <w:sz w:val="20"/>
                <w:szCs w:val="20"/>
              </w:rPr>
              <w:t>No</w:t>
            </w:r>
          </w:p>
        </w:tc>
      </w:tr>
      <w:tr w:rsidR="004C4616" w:rsidRPr="00500C4E" w14:paraId="486A5A9C" w14:textId="77777777" w:rsidTr="005E13DF">
        <w:trPr>
          <w:trHeight w:val="20"/>
        </w:trPr>
        <w:tc>
          <w:tcPr>
            <w:tcW w:w="1730" w:type="pct"/>
          </w:tcPr>
          <w:p w14:paraId="338135CC" w14:textId="77777777" w:rsidR="004C4616" w:rsidRPr="00EA057C" w:rsidRDefault="004C4616" w:rsidP="00F77E75">
            <w:pPr>
              <w:spacing w:before="20" w:after="20"/>
              <w:rPr>
                <w:rFonts w:cs="Arial"/>
                <w:sz w:val="20"/>
                <w:szCs w:val="20"/>
              </w:rPr>
            </w:pPr>
            <w:r w:rsidRPr="00EA057C">
              <w:rPr>
                <w:rFonts w:cs="Arial"/>
                <w:sz w:val="20"/>
                <w:szCs w:val="20"/>
              </w:rPr>
              <w:t>DEER Measure Case</w:t>
            </w:r>
          </w:p>
        </w:tc>
        <w:tc>
          <w:tcPr>
            <w:tcW w:w="3270" w:type="pct"/>
          </w:tcPr>
          <w:p w14:paraId="7EF998DD" w14:textId="77777777" w:rsidR="004C4616" w:rsidRPr="008E177D" w:rsidRDefault="004C4616" w:rsidP="00F77E75">
            <w:pPr>
              <w:spacing w:before="20" w:after="20"/>
              <w:rPr>
                <w:rFonts w:cs="Arial"/>
                <w:sz w:val="20"/>
                <w:szCs w:val="20"/>
              </w:rPr>
            </w:pPr>
            <w:r w:rsidRPr="008E177D">
              <w:rPr>
                <w:rFonts w:cs="Arial"/>
                <w:sz w:val="20"/>
                <w:szCs w:val="20"/>
              </w:rPr>
              <w:t>No</w:t>
            </w:r>
          </w:p>
        </w:tc>
      </w:tr>
      <w:tr w:rsidR="004C4616" w:rsidRPr="00500C4E" w14:paraId="0ACBA2FB" w14:textId="77777777" w:rsidTr="005E13DF">
        <w:trPr>
          <w:trHeight w:val="20"/>
        </w:trPr>
        <w:tc>
          <w:tcPr>
            <w:tcW w:w="1730" w:type="pct"/>
          </w:tcPr>
          <w:p w14:paraId="3322E41F" w14:textId="77777777" w:rsidR="004C4616" w:rsidRPr="00EA057C" w:rsidRDefault="004C4616" w:rsidP="00F77E75">
            <w:pPr>
              <w:spacing w:before="20" w:after="20"/>
              <w:rPr>
                <w:rFonts w:cs="Arial"/>
                <w:sz w:val="20"/>
                <w:szCs w:val="20"/>
              </w:rPr>
            </w:pPr>
            <w:r w:rsidRPr="00EA057C">
              <w:rPr>
                <w:rFonts w:cs="Arial"/>
                <w:sz w:val="20"/>
                <w:szCs w:val="20"/>
              </w:rPr>
              <w:t>DEER Building Types</w:t>
            </w:r>
          </w:p>
        </w:tc>
        <w:tc>
          <w:tcPr>
            <w:tcW w:w="3270" w:type="pct"/>
          </w:tcPr>
          <w:p w14:paraId="5C963DBF" w14:textId="77777777" w:rsidR="004C4616" w:rsidRPr="008E177D" w:rsidRDefault="004C4616" w:rsidP="00F77E75">
            <w:pPr>
              <w:spacing w:before="20" w:after="20"/>
              <w:rPr>
                <w:rFonts w:cs="Arial"/>
                <w:sz w:val="20"/>
                <w:szCs w:val="20"/>
              </w:rPr>
            </w:pPr>
            <w:r w:rsidRPr="008E177D">
              <w:rPr>
                <w:rFonts w:cs="Arial"/>
                <w:sz w:val="20"/>
                <w:szCs w:val="20"/>
              </w:rPr>
              <w:t>N</w:t>
            </w:r>
            <w:r w:rsidR="001A2217" w:rsidRPr="008E177D">
              <w:rPr>
                <w:rFonts w:cs="Arial"/>
                <w:sz w:val="20"/>
                <w:szCs w:val="20"/>
              </w:rPr>
              <w:t>o</w:t>
            </w:r>
          </w:p>
        </w:tc>
      </w:tr>
      <w:tr w:rsidR="004C4616" w:rsidRPr="00500C4E" w14:paraId="31ADD8C3" w14:textId="77777777" w:rsidTr="005E13DF">
        <w:trPr>
          <w:trHeight w:val="20"/>
        </w:trPr>
        <w:tc>
          <w:tcPr>
            <w:tcW w:w="1730" w:type="pct"/>
          </w:tcPr>
          <w:p w14:paraId="41381B73" w14:textId="77777777" w:rsidR="004C4616" w:rsidRPr="00EA057C" w:rsidRDefault="004C4616" w:rsidP="00F77E75">
            <w:pPr>
              <w:spacing w:before="20" w:after="20"/>
              <w:rPr>
                <w:rFonts w:cs="Arial"/>
                <w:sz w:val="20"/>
                <w:szCs w:val="20"/>
              </w:rPr>
            </w:pPr>
            <w:r w:rsidRPr="00EA057C">
              <w:rPr>
                <w:rFonts w:cs="Arial"/>
                <w:sz w:val="20"/>
                <w:szCs w:val="20"/>
              </w:rPr>
              <w:t>DEER Operating Hours</w:t>
            </w:r>
          </w:p>
        </w:tc>
        <w:tc>
          <w:tcPr>
            <w:tcW w:w="3270" w:type="pct"/>
          </w:tcPr>
          <w:p w14:paraId="2081E152" w14:textId="77777777" w:rsidR="004C4616" w:rsidRPr="008E177D" w:rsidRDefault="004C4616" w:rsidP="00F77E75">
            <w:pPr>
              <w:spacing w:before="20" w:after="20"/>
              <w:rPr>
                <w:rFonts w:cs="Arial"/>
                <w:sz w:val="20"/>
                <w:szCs w:val="20"/>
              </w:rPr>
            </w:pPr>
            <w:r w:rsidRPr="008E177D">
              <w:rPr>
                <w:rFonts w:cs="Arial"/>
                <w:sz w:val="20"/>
                <w:szCs w:val="20"/>
              </w:rPr>
              <w:t>N</w:t>
            </w:r>
            <w:r w:rsidR="001A2217" w:rsidRPr="008E177D">
              <w:rPr>
                <w:rFonts w:cs="Arial"/>
                <w:sz w:val="20"/>
                <w:szCs w:val="20"/>
              </w:rPr>
              <w:t>o</w:t>
            </w:r>
          </w:p>
        </w:tc>
      </w:tr>
      <w:tr w:rsidR="004C4616" w:rsidRPr="00500C4E" w14:paraId="7C768173" w14:textId="77777777" w:rsidTr="005E13DF">
        <w:trPr>
          <w:trHeight w:val="20"/>
        </w:trPr>
        <w:tc>
          <w:tcPr>
            <w:tcW w:w="1730" w:type="pct"/>
          </w:tcPr>
          <w:p w14:paraId="75617FBD" w14:textId="77777777" w:rsidR="004C4616" w:rsidRPr="00EA057C" w:rsidRDefault="004C4616" w:rsidP="00F77E75">
            <w:pPr>
              <w:spacing w:before="20" w:after="20"/>
              <w:rPr>
                <w:rFonts w:cs="Arial"/>
                <w:sz w:val="20"/>
                <w:szCs w:val="20"/>
              </w:rPr>
            </w:pPr>
            <w:r w:rsidRPr="00EA057C">
              <w:rPr>
                <w:rFonts w:cs="Arial"/>
                <w:sz w:val="20"/>
                <w:szCs w:val="20"/>
              </w:rPr>
              <w:t>DEER eQUEST Prototypes</w:t>
            </w:r>
          </w:p>
        </w:tc>
        <w:tc>
          <w:tcPr>
            <w:tcW w:w="3270" w:type="pct"/>
          </w:tcPr>
          <w:p w14:paraId="386E59C4" w14:textId="77777777" w:rsidR="004C4616" w:rsidRPr="008E177D" w:rsidDel="00505CEC" w:rsidRDefault="004C4616" w:rsidP="00F77E75">
            <w:pPr>
              <w:spacing w:before="20" w:after="20"/>
              <w:rPr>
                <w:rFonts w:cs="Arial"/>
                <w:sz w:val="20"/>
                <w:szCs w:val="20"/>
              </w:rPr>
            </w:pPr>
            <w:r w:rsidRPr="008E177D">
              <w:rPr>
                <w:rFonts w:cs="Arial"/>
                <w:sz w:val="20"/>
                <w:szCs w:val="20"/>
              </w:rPr>
              <w:t>No</w:t>
            </w:r>
          </w:p>
        </w:tc>
      </w:tr>
      <w:tr w:rsidR="004C4616" w:rsidRPr="00500C4E" w14:paraId="5078B77E" w14:textId="77777777" w:rsidTr="005E13DF">
        <w:trPr>
          <w:trHeight w:val="180"/>
        </w:trPr>
        <w:tc>
          <w:tcPr>
            <w:tcW w:w="1730" w:type="pct"/>
          </w:tcPr>
          <w:p w14:paraId="69512364" w14:textId="77777777" w:rsidR="004C4616" w:rsidRPr="00EA057C" w:rsidRDefault="004C4616" w:rsidP="00F77E75">
            <w:pPr>
              <w:spacing w:before="20" w:after="20"/>
              <w:rPr>
                <w:rFonts w:cs="Arial"/>
                <w:sz w:val="20"/>
                <w:szCs w:val="20"/>
              </w:rPr>
            </w:pPr>
            <w:r w:rsidRPr="00EA057C">
              <w:rPr>
                <w:rFonts w:cs="Arial"/>
                <w:sz w:val="20"/>
                <w:szCs w:val="20"/>
              </w:rPr>
              <w:t>DEER Version</w:t>
            </w:r>
          </w:p>
        </w:tc>
        <w:tc>
          <w:tcPr>
            <w:tcW w:w="3270" w:type="pct"/>
          </w:tcPr>
          <w:p w14:paraId="68C7B507" w14:textId="77777777" w:rsidR="004C4616" w:rsidRPr="008E177D" w:rsidRDefault="004C4616" w:rsidP="00F77E75">
            <w:pPr>
              <w:spacing w:before="20" w:after="20"/>
              <w:rPr>
                <w:rFonts w:cs="Arial"/>
                <w:sz w:val="20"/>
                <w:szCs w:val="20"/>
              </w:rPr>
            </w:pPr>
            <w:r w:rsidRPr="008E177D">
              <w:rPr>
                <w:rFonts w:cs="Arial"/>
                <w:sz w:val="20"/>
                <w:szCs w:val="20"/>
              </w:rPr>
              <w:t>n/a</w:t>
            </w:r>
          </w:p>
        </w:tc>
      </w:tr>
      <w:tr w:rsidR="004C4616" w:rsidRPr="00500C4E" w14:paraId="7E2A6C1B" w14:textId="77777777" w:rsidTr="005E13DF">
        <w:trPr>
          <w:trHeight w:val="20"/>
        </w:trPr>
        <w:tc>
          <w:tcPr>
            <w:tcW w:w="1730" w:type="pct"/>
          </w:tcPr>
          <w:p w14:paraId="42243078" w14:textId="77777777" w:rsidR="004C4616" w:rsidRPr="00EA057C" w:rsidRDefault="004C4616" w:rsidP="00F77E75">
            <w:pPr>
              <w:spacing w:before="20" w:after="20"/>
              <w:rPr>
                <w:rFonts w:cs="Arial"/>
                <w:sz w:val="20"/>
                <w:szCs w:val="20"/>
              </w:rPr>
            </w:pPr>
            <w:r w:rsidRPr="00EA057C">
              <w:rPr>
                <w:rFonts w:cs="Arial"/>
                <w:sz w:val="20"/>
                <w:szCs w:val="20"/>
              </w:rPr>
              <w:t>Reason for Deviation from DEER</w:t>
            </w:r>
          </w:p>
        </w:tc>
        <w:tc>
          <w:tcPr>
            <w:tcW w:w="3270" w:type="pct"/>
          </w:tcPr>
          <w:p w14:paraId="01644151" w14:textId="77777777" w:rsidR="004C4616" w:rsidRPr="008E177D" w:rsidRDefault="004C4616" w:rsidP="00F77E75">
            <w:pPr>
              <w:spacing w:before="20" w:after="20"/>
              <w:rPr>
                <w:rFonts w:cs="Arial"/>
                <w:sz w:val="20"/>
                <w:szCs w:val="20"/>
              </w:rPr>
            </w:pPr>
            <w:r w:rsidRPr="008E177D">
              <w:rPr>
                <w:rFonts w:cs="Arial"/>
                <w:sz w:val="20"/>
                <w:szCs w:val="20"/>
              </w:rPr>
              <w:t>DEER 2014 does not contain this measure</w:t>
            </w:r>
          </w:p>
        </w:tc>
      </w:tr>
      <w:tr w:rsidR="004C4616" w:rsidRPr="00500C4E" w14:paraId="7DAD0E1B" w14:textId="77777777" w:rsidTr="005E13DF">
        <w:trPr>
          <w:trHeight w:val="20"/>
        </w:trPr>
        <w:tc>
          <w:tcPr>
            <w:tcW w:w="1730" w:type="pct"/>
          </w:tcPr>
          <w:p w14:paraId="3C82440B" w14:textId="77777777" w:rsidR="004C4616" w:rsidRPr="00EA057C" w:rsidRDefault="004C4616" w:rsidP="00F77E75">
            <w:pPr>
              <w:spacing w:before="20" w:after="20"/>
              <w:rPr>
                <w:rFonts w:cs="Arial"/>
                <w:sz w:val="20"/>
                <w:szCs w:val="20"/>
              </w:rPr>
            </w:pPr>
            <w:r w:rsidRPr="00EA057C">
              <w:rPr>
                <w:rFonts w:cs="Arial"/>
                <w:sz w:val="20"/>
                <w:szCs w:val="20"/>
              </w:rPr>
              <w:t>DEER Measure IDs Used</w:t>
            </w:r>
          </w:p>
        </w:tc>
        <w:tc>
          <w:tcPr>
            <w:tcW w:w="3270" w:type="pct"/>
          </w:tcPr>
          <w:p w14:paraId="6C791F27" w14:textId="77777777" w:rsidR="004C4616" w:rsidRPr="008E177D" w:rsidRDefault="004C4616" w:rsidP="00F77E75">
            <w:pPr>
              <w:spacing w:before="20" w:after="20"/>
              <w:rPr>
                <w:rFonts w:cs="Arial"/>
                <w:sz w:val="20"/>
                <w:szCs w:val="20"/>
              </w:rPr>
            </w:pPr>
            <w:r w:rsidRPr="008E177D">
              <w:rPr>
                <w:rFonts w:cs="Arial"/>
                <w:sz w:val="20"/>
                <w:szCs w:val="20"/>
              </w:rPr>
              <w:t>n/a</w:t>
            </w:r>
          </w:p>
        </w:tc>
      </w:tr>
      <w:tr w:rsidR="008971BA" w:rsidRPr="00500C4E" w14:paraId="200A3C4C" w14:textId="77777777" w:rsidTr="005E13DF">
        <w:trPr>
          <w:trHeight w:val="20"/>
        </w:trPr>
        <w:tc>
          <w:tcPr>
            <w:tcW w:w="1730" w:type="pct"/>
          </w:tcPr>
          <w:p w14:paraId="73031439" w14:textId="77777777" w:rsidR="008971BA" w:rsidRPr="00EA057C" w:rsidRDefault="008971BA" w:rsidP="00F77E75">
            <w:pPr>
              <w:spacing w:before="20" w:after="20"/>
              <w:rPr>
                <w:rFonts w:cs="Arial"/>
                <w:sz w:val="20"/>
                <w:szCs w:val="20"/>
              </w:rPr>
            </w:pPr>
            <w:r>
              <w:rPr>
                <w:rFonts w:cs="Arial"/>
                <w:sz w:val="20"/>
                <w:szCs w:val="20"/>
              </w:rPr>
              <w:t>NTG</w:t>
            </w:r>
          </w:p>
        </w:tc>
        <w:tc>
          <w:tcPr>
            <w:tcW w:w="3270" w:type="pct"/>
          </w:tcPr>
          <w:p w14:paraId="582BB6A2" w14:textId="77777777" w:rsidR="008971BA" w:rsidRPr="008E177D" w:rsidRDefault="008971BA" w:rsidP="00F77E75">
            <w:pPr>
              <w:spacing w:before="20" w:after="20"/>
              <w:rPr>
                <w:rFonts w:cs="Arial"/>
                <w:sz w:val="20"/>
                <w:szCs w:val="20"/>
              </w:rPr>
            </w:pPr>
            <w:r w:rsidRPr="008E177D">
              <w:rPr>
                <w:sz w:val="20"/>
                <w:szCs w:val="22"/>
              </w:rPr>
              <w:t xml:space="preserve">NTG of 0.60 is associated with NTG ID:  </w:t>
            </w:r>
            <w:r w:rsidRPr="008E177D">
              <w:rPr>
                <w:rFonts w:cs="Arial"/>
                <w:i/>
                <w:sz w:val="20"/>
                <w:szCs w:val="22"/>
              </w:rPr>
              <w:t>Com-Default&gt;2yrs</w:t>
            </w:r>
            <w:r w:rsidRPr="008E177D">
              <w:rPr>
                <w:sz w:val="20"/>
                <w:szCs w:val="22"/>
              </w:rPr>
              <w:t xml:space="preserve">, </w:t>
            </w:r>
            <w:r w:rsidR="001C50D5" w:rsidRPr="008E177D">
              <w:rPr>
                <w:rStyle w:val="eTRMFootnoteTextChar"/>
                <w:sz w:val="20"/>
                <w:szCs w:val="20"/>
              </w:rPr>
              <w:t xml:space="preserve">Source: DEER 2016. </w:t>
            </w:r>
            <w:r w:rsidRPr="008E177D">
              <w:rPr>
                <w:i/>
                <w:sz w:val="20"/>
                <w:szCs w:val="22"/>
              </w:rPr>
              <w:t>Ag-Default&gt;2yrs</w:t>
            </w:r>
            <w:r w:rsidRPr="008E177D">
              <w:rPr>
                <w:sz w:val="20"/>
                <w:szCs w:val="22"/>
              </w:rPr>
              <w:t xml:space="preserve">, </w:t>
            </w:r>
            <w:r w:rsidRPr="008E177D">
              <w:rPr>
                <w:i/>
                <w:sz w:val="20"/>
                <w:szCs w:val="22"/>
              </w:rPr>
              <w:t>Ind-Default&gt;2yrs</w:t>
            </w:r>
          </w:p>
        </w:tc>
      </w:tr>
      <w:tr w:rsidR="00B94D73" w:rsidRPr="00500C4E" w14:paraId="05B3B693" w14:textId="77777777" w:rsidTr="005E13DF">
        <w:trPr>
          <w:trHeight w:val="20"/>
        </w:trPr>
        <w:tc>
          <w:tcPr>
            <w:tcW w:w="1730" w:type="pct"/>
          </w:tcPr>
          <w:p w14:paraId="43B7E21C" w14:textId="77777777" w:rsidR="00B94D73" w:rsidRDefault="00B94D73" w:rsidP="00F77E75">
            <w:pPr>
              <w:spacing w:before="20" w:after="20"/>
              <w:rPr>
                <w:rFonts w:cs="Arial"/>
                <w:sz w:val="20"/>
                <w:szCs w:val="20"/>
              </w:rPr>
            </w:pPr>
            <w:r>
              <w:rPr>
                <w:rFonts w:cs="Arial"/>
                <w:sz w:val="20"/>
                <w:szCs w:val="20"/>
              </w:rPr>
              <w:t>GSIA</w:t>
            </w:r>
          </w:p>
        </w:tc>
        <w:tc>
          <w:tcPr>
            <w:tcW w:w="3270" w:type="pct"/>
          </w:tcPr>
          <w:p w14:paraId="006A3659" w14:textId="77777777" w:rsidR="00B94D73" w:rsidRPr="008E177D" w:rsidRDefault="001C50D5" w:rsidP="00F77E75">
            <w:pPr>
              <w:spacing w:before="20" w:after="20"/>
              <w:rPr>
                <w:rFonts w:cs="Arial"/>
                <w:sz w:val="20"/>
                <w:szCs w:val="20"/>
              </w:rPr>
            </w:pPr>
            <w:r w:rsidRPr="008E177D">
              <w:rPr>
                <w:rStyle w:val="eTRMFootnoteTextChar"/>
                <w:sz w:val="20"/>
                <w:szCs w:val="20"/>
              </w:rPr>
              <w:t xml:space="preserve">Source: DEER 2016. </w:t>
            </w:r>
            <w:r w:rsidR="00B94D73" w:rsidRPr="008E177D">
              <w:rPr>
                <w:rFonts w:cs="Arial"/>
                <w:sz w:val="20"/>
                <w:szCs w:val="20"/>
              </w:rPr>
              <w:t xml:space="preserve">The GSIA value of 1.0 is associated with GSIA ID: </w:t>
            </w:r>
            <w:r w:rsidR="00B94D73" w:rsidRPr="008E177D">
              <w:rPr>
                <w:rFonts w:cs="Arial"/>
                <w:i/>
                <w:sz w:val="20"/>
                <w:szCs w:val="20"/>
              </w:rPr>
              <w:t>Def-GSIA</w:t>
            </w:r>
          </w:p>
        </w:tc>
      </w:tr>
      <w:tr w:rsidR="00B94D73" w:rsidRPr="00500C4E" w14:paraId="5CD900C4" w14:textId="77777777" w:rsidTr="005E13DF">
        <w:trPr>
          <w:trHeight w:val="20"/>
        </w:trPr>
        <w:tc>
          <w:tcPr>
            <w:tcW w:w="1730" w:type="pct"/>
          </w:tcPr>
          <w:p w14:paraId="5A6FC865" w14:textId="77777777" w:rsidR="00B94D73" w:rsidRDefault="00B94D73" w:rsidP="00F77E75">
            <w:pPr>
              <w:spacing w:before="20" w:after="20"/>
              <w:rPr>
                <w:rFonts w:cs="Arial"/>
                <w:sz w:val="20"/>
                <w:szCs w:val="20"/>
              </w:rPr>
            </w:pPr>
            <w:r>
              <w:rPr>
                <w:rFonts w:cs="Arial"/>
                <w:sz w:val="20"/>
                <w:szCs w:val="20"/>
              </w:rPr>
              <w:t>EUL/RUL</w:t>
            </w:r>
          </w:p>
        </w:tc>
        <w:tc>
          <w:tcPr>
            <w:tcW w:w="3270" w:type="pct"/>
          </w:tcPr>
          <w:p w14:paraId="0D67A95D" w14:textId="77777777" w:rsidR="00B94D73" w:rsidRPr="008E177D" w:rsidRDefault="001C50D5" w:rsidP="00F77E75">
            <w:pPr>
              <w:spacing w:before="20" w:after="20"/>
              <w:rPr>
                <w:rFonts w:cs="Arial"/>
                <w:sz w:val="20"/>
                <w:szCs w:val="20"/>
              </w:rPr>
            </w:pPr>
            <w:r w:rsidRPr="008E177D">
              <w:rPr>
                <w:sz w:val="20"/>
                <w:szCs w:val="20"/>
              </w:rPr>
              <w:t xml:space="preserve">Source: </w:t>
            </w:r>
            <w:r w:rsidR="00B94D73" w:rsidRPr="008E177D">
              <w:rPr>
                <w:sz w:val="20"/>
                <w:szCs w:val="20"/>
              </w:rPr>
              <w:t>DEER 2014</w:t>
            </w:r>
            <w:r w:rsidR="008971BA" w:rsidRPr="008E177D">
              <w:rPr>
                <w:sz w:val="20"/>
                <w:szCs w:val="20"/>
              </w:rPr>
              <w:t>. EUL of 12 years is associated with</w:t>
            </w:r>
            <w:r w:rsidR="00B94D73" w:rsidRPr="008E177D">
              <w:rPr>
                <w:sz w:val="20"/>
                <w:szCs w:val="20"/>
              </w:rPr>
              <w:t xml:space="preserve"> EUL</w:t>
            </w:r>
            <w:r w:rsidR="008971BA" w:rsidRPr="008E177D">
              <w:rPr>
                <w:sz w:val="20"/>
                <w:szCs w:val="20"/>
              </w:rPr>
              <w:t>-ID:</w:t>
            </w:r>
            <w:r w:rsidR="00B94D73" w:rsidRPr="008E177D">
              <w:rPr>
                <w:sz w:val="20"/>
                <w:szCs w:val="20"/>
              </w:rPr>
              <w:t xml:space="preserve"> </w:t>
            </w:r>
            <w:r w:rsidR="00B94D73" w:rsidRPr="008E177D">
              <w:rPr>
                <w:i/>
                <w:sz w:val="20"/>
                <w:szCs w:val="20"/>
              </w:rPr>
              <w:t>Cook-</w:t>
            </w:r>
            <w:proofErr w:type="spellStart"/>
            <w:r w:rsidR="00B94D73" w:rsidRPr="008E177D">
              <w:rPr>
                <w:i/>
                <w:sz w:val="20"/>
                <w:szCs w:val="20"/>
              </w:rPr>
              <w:t>HoldCab</w:t>
            </w:r>
            <w:proofErr w:type="spellEnd"/>
            <w:r w:rsidR="00B94D73" w:rsidRPr="008E177D">
              <w:rPr>
                <w:sz w:val="20"/>
                <w:szCs w:val="20"/>
              </w:rPr>
              <w:t xml:space="preserve">. See </w:t>
            </w:r>
            <w:bookmarkStart w:id="78" w:name="_Ref183858028"/>
            <w:r w:rsidR="00B94D73" w:rsidRPr="008E177D">
              <w:rPr>
                <w:rStyle w:val="eTRMFootnoteTextChar"/>
                <w:sz w:val="20"/>
                <w:szCs w:val="20"/>
              </w:rPr>
              <w:t>2004-2005 DEER, Version 2.01, Measure ID DO3-907.</w:t>
            </w:r>
            <w:bookmarkEnd w:id="78"/>
          </w:p>
        </w:tc>
      </w:tr>
    </w:tbl>
    <w:p w14:paraId="0BFF50F3" w14:textId="77777777" w:rsidR="00664F63" w:rsidRDefault="00664F63" w:rsidP="00664F63">
      <w:bookmarkStart w:id="79" w:name="_Toc515951877"/>
      <w:bookmarkStart w:id="80" w:name="_Toc486580937"/>
      <w:bookmarkStart w:id="81" w:name="_Toc486490866"/>
      <w:bookmarkStart w:id="82" w:name="_Hlk516047558"/>
    </w:p>
    <w:p w14:paraId="5CD12369" w14:textId="77777777" w:rsidR="00C1235B" w:rsidRDefault="00C1235B" w:rsidP="00C1235B">
      <w:pPr>
        <w:pStyle w:val="eTRMHeading3"/>
      </w:pPr>
      <w:bookmarkStart w:id="83" w:name="_Toc24559537"/>
      <w:r>
        <w:lastRenderedPageBreak/>
        <w:t>Revision History</w:t>
      </w:r>
      <w:bookmarkEnd w:id="79"/>
      <w:bookmarkEnd w:id="80"/>
      <w:bookmarkEnd w:id="81"/>
      <w:bookmarkEnd w:id="83"/>
    </w:p>
    <w:p w14:paraId="5E4868A1" w14:textId="77777777" w:rsidR="00C1235B" w:rsidRDefault="00C1235B" w:rsidP="00C1235B">
      <w:pPr>
        <w:pStyle w:val="Caption"/>
      </w:pPr>
      <w:bookmarkStart w:id="84" w:name="_Hlk515959178"/>
      <w:r>
        <w:t>Measure Characterization Revision History</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115" w:type="dxa"/>
          <w:right w:w="115" w:type="dxa"/>
        </w:tblCellMar>
        <w:tblLook w:val="04A0" w:firstRow="1" w:lastRow="0" w:firstColumn="1" w:lastColumn="0" w:noHBand="0" w:noVBand="1"/>
      </w:tblPr>
      <w:tblGrid>
        <w:gridCol w:w="941"/>
        <w:gridCol w:w="1485"/>
        <w:gridCol w:w="1709"/>
        <w:gridCol w:w="5215"/>
      </w:tblGrid>
      <w:tr w:rsidR="00C1235B" w14:paraId="6982BAC7" w14:textId="77777777" w:rsidTr="0005040C">
        <w:trPr>
          <w:trHeight w:val="20"/>
        </w:trPr>
        <w:tc>
          <w:tcPr>
            <w:tcW w:w="503"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bottom"/>
            <w:hideMark/>
          </w:tcPr>
          <w:p w14:paraId="1AE2E180" w14:textId="77777777" w:rsidR="00C1235B" w:rsidRDefault="00C1235B">
            <w:pPr>
              <w:keepNext/>
              <w:keepLines/>
              <w:tabs>
                <w:tab w:val="right" w:pos="2957"/>
              </w:tabs>
              <w:spacing w:before="20" w:after="20"/>
              <w:rPr>
                <w:rFonts w:cs="Arial"/>
                <w:b/>
                <w:sz w:val="20"/>
                <w:szCs w:val="20"/>
              </w:rPr>
            </w:pPr>
            <w:r>
              <w:rPr>
                <w:rFonts w:cs="Arial"/>
                <w:b/>
                <w:sz w:val="20"/>
                <w:szCs w:val="20"/>
              </w:rPr>
              <w:t>Revision Number</w:t>
            </w:r>
          </w:p>
        </w:tc>
        <w:tc>
          <w:tcPr>
            <w:tcW w:w="794"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bottom"/>
            <w:hideMark/>
          </w:tcPr>
          <w:p w14:paraId="0CF1AC64" w14:textId="77777777" w:rsidR="00C1235B" w:rsidRDefault="00B04AFA">
            <w:pPr>
              <w:keepNext/>
              <w:keepLines/>
              <w:spacing w:before="20" w:after="20"/>
              <w:rPr>
                <w:rFonts w:cs="Arial"/>
                <w:b/>
                <w:sz w:val="20"/>
                <w:szCs w:val="20"/>
              </w:rPr>
            </w:pPr>
            <w:r>
              <w:rPr>
                <w:rFonts w:cs="Arial"/>
                <w:b/>
                <w:sz w:val="20"/>
                <w:szCs w:val="20"/>
              </w:rPr>
              <w:t xml:space="preserve">Revision Complete </w:t>
            </w:r>
            <w:r w:rsidR="00C1235B">
              <w:rPr>
                <w:rFonts w:cs="Arial"/>
                <w:b/>
                <w:sz w:val="20"/>
                <w:szCs w:val="20"/>
              </w:rPr>
              <w:t>Date</w:t>
            </w:r>
          </w:p>
        </w:tc>
        <w:tc>
          <w:tcPr>
            <w:tcW w:w="914"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bottom"/>
            <w:hideMark/>
          </w:tcPr>
          <w:p w14:paraId="2E6F3758" w14:textId="77777777" w:rsidR="00C1235B" w:rsidRDefault="00C1235B">
            <w:pPr>
              <w:keepNext/>
              <w:keepLines/>
              <w:spacing w:before="20" w:after="20"/>
              <w:rPr>
                <w:rFonts w:cs="Arial"/>
                <w:b/>
                <w:sz w:val="20"/>
                <w:szCs w:val="20"/>
              </w:rPr>
            </w:pPr>
            <w:r>
              <w:rPr>
                <w:rFonts w:cs="Arial"/>
                <w:b/>
                <w:sz w:val="20"/>
                <w:szCs w:val="20"/>
              </w:rPr>
              <w:t>Primary Author, Title, Organization</w:t>
            </w:r>
          </w:p>
        </w:tc>
        <w:tc>
          <w:tcPr>
            <w:tcW w:w="2789"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bottom"/>
            <w:hideMark/>
          </w:tcPr>
          <w:p w14:paraId="7BAAFB97" w14:textId="77777777" w:rsidR="00C1235B" w:rsidRDefault="00C1235B">
            <w:pPr>
              <w:keepNext/>
              <w:keepLines/>
              <w:spacing w:before="20" w:after="20"/>
              <w:rPr>
                <w:rFonts w:cs="Arial"/>
                <w:b/>
                <w:sz w:val="20"/>
                <w:szCs w:val="20"/>
              </w:rPr>
            </w:pPr>
            <w:r>
              <w:rPr>
                <w:rFonts w:cs="Arial"/>
                <w:b/>
                <w:sz w:val="20"/>
                <w:szCs w:val="20"/>
              </w:rPr>
              <w:t>Revision Summary and Rationale for Revision</w:t>
            </w:r>
          </w:p>
        </w:tc>
      </w:tr>
      <w:tr w:rsidR="008762A5" w14:paraId="6BDB48A9" w14:textId="77777777" w:rsidTr="00942A91">
        <w:trPr>
          <w:trHeight w:val="20"/>
        </w:trPr>
        <w:tc>
          <w:tcPr>
            <w:tcW w:w="503" w:type="pct"/>
            <w:vMerge w:val="restart"/>
            <w:tcBorders>
              <w:top w:val="single" w:sz="4" w:space="0" w:color="A6A6A6" w:themeColor="background1" w:themeShade="A6"/>
              <w:left w:val="single" w:sz="4" w:space="0" w:color="A6A6A6" w:themeColor="background1" w:themeShade="A6"/>
              <w:right w:val="single" w:sz="4" w:space="0" w:color="A6A6A6" w:themeColor="background1" w:themeShade="A6"/>
            </w:tcBorders>
            <w:hideMark/>
          </w:tcPr>
          <w:p w14:paraId="311E4D7F" w14:textId="77777777" w:rsidR="008762A5" w:rsidRPr="001C50D5" w:rsidRDefault="008762A5">
            <w:pPr>
              <w:keepNext/>
              <w:keepLines/>
              <w:spacing w:before="20" w:after="20"/>
              <w:rPr>
                <w:rFonts w:cs="Arial"/>
                <w:sz w:val="20"/>
                <w:szCs w:val="20"/>
              </w:rPr>
            </w:pPr>
            <w:r w:rsidRPr="001C50D5">
              <w:rPr>
                <w:rFonts w:cs="Arial"/>
                <w:sz w:val="20"/>
                <w:szCs w:val="20"/>
              </w:rPr>
              <w:t>01</w:t>
            </w:r>
          </w:p>
        </w:tc>
        <w:tc>
          <w:tcPr>
            <w:tcW w:w="794"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728FC5D8" w14:textId="77777777" w:rsidR="008762A5" w:rsidRPr="001C50D5" w:rsidRDefault="008762A5">
            <w:pPr>
              <w:keepNext/>
              <w:keepLines/>
              <w:spacing w:before="20" w:after="20"/>
              <w:rPr>
                <w:rFonts w:cs="Arial"/>
                <w:sz w:val="20"/>
                <w:szCs w:val="20"/>
              </w:rPr>
            </w:pPr>
            <w:r w:rsidRPr="001C50D5">
              <w:rPr>
                <w:rFonts w:cs="Arial"/>
                <w:sz w:val="20"/>
                <w:szCs w:val="20"/>
              </w:rPr>
              <w:t>08/31/2018</w:t>
            </w:r>
          </w:p>
        </w:tc>
        <w:tc>
          <w:tcPr>
            <w:tcW w:w="914"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10A5DEF7" w14:textId="77777777" w:rsidR="008762A5" w:rsidRPr="001C50D5" w:rsidRDefault="008762A5">
            <w:pPr>
              <w:keepNext/>
              <w:keepLines/>
              <w:spacing w:before="20" w:after="20"/>
              <w:rPr>
                <w:rFonts w:cs="Arial"/>
                <w:sz w:val="20"/>
                <w:szCs w:val="20"/>
              </w:rPr>
            </w:pPr>
            <w:r w:rsidRPr="001C50D5">
              <w:rPr>
                <w:rFonts w:cs="Arial"/>
                <w:sz w:val="20"/>
                <w:szCs w:val="20"/>
              </w:rPr>
              <w:t>Jennifer Holmes</w:t>
            </w:r>
          </w:p>
          <w:p w14:paraId="466767FF" w14:textId="77777777" w:rsidR="008762A5" w:rsidRPr="001C50D5" w:rsidRDefault="008762A5">
            <w:pPr>
              <w:keepNext/>
              <w:keepLines/>
              <w:spacing w:before="20" w:after="20"/>
              <w:rPr>
                <w:rFonts w:cs="Arial"/>
                <w:sz w:val="20"/>
                <w:szCs w:val="20"/>
              </w:rPr>
            </w:pPr>
            <w:r w:rsidRPr="001C50D5">
              <w:rPr>
                <w:rFonts w:cs="Arial"/>
                <w:sz w:val="20"/>
                <w:szCs w:val="20"/>
              </w:rPr>
              <w:t>Cal TF Staff</w:t>
            </w:r>
          </w:p>
        </w:tc>
        <w:tc>
          <w:tcPr>
            <w:tcW w:w="2789"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80D794E" w14:textId="77777777" w:rsidR="008762A5" w:rsidRDefault="008762A5">
            <w:pPr>
              <w:keepNext/>
              <w:keepLines/>
              <w:spacing w:before="20" w:after="20"/>
              <w:rPr>
                <w:rFonts w:cs="Arial"/>
                <w:sz w:val="20"/>
                <w:szCs w:val="20"/>
              </w:rPr>
            </w:pPr>
            <w:r>
              <w:rPr>
                <w:rFonts w:cs="Arial"/>
                <w:sz w:val="20"/>
                <w:szCs w:val="20"/>
              </w:rPr>
              <w:t>Draft of consolidated text for this statewide measure is based upon:</w:t>
            </w:r>
          </w:p>
          <w:p w14:paraId="07F36CBF" w14:textId="77777777" w:rsidR="008762A5" w:rsidRPr="001C50D5" w:rsidRDefault="008762A5" w:rsidP="001C50D5">
            <w:pPr>
              <w:spacing w:before="0" w:after="0" w:line="240" w:lineRule="auto"/>
              <w:rPr>
                <w:rFonts w:eastAsia="Times New Roman" w:cs="Calibri Light"/>
                <w:color w:val="000000"/>
                <w:sz w:val="20"/>
                <w:szCs w:val="20"/>
              </w:rPr>
            </w:pPr>
            <w:r w:rsidRPr="001C50D5">
              <w:rPr>
                <w:rFonts w:eastAsia="Times New Roman" w:cs="Calibri Light"/>
                <w:color w:val="000000"/>
                <w:sz w:val="20"/>
                <w:szCs w:val="20"/>
              </w:rPr>
              <w:t>PGECOFST105, Revision 5 (July 2016)</w:t>
            </w:r>
          </w:p>
          <w:p w14:paraId="209F92D6" w14:textId="77777777" w:rsidR="008762A5" w:rsidRPr="001C50D5" w:rsidRDefault="008762A5" w:rsidP="001C50D5">
            <w:pPr>
              <w:spacing w:before="0" w:after="0" w:line="240" w:lineRule="auto"/>
              <w:rPr>
                <w:rFonts w:eastAsia="Times New Roman" w:cs="Calibri Light"/>
                <w:color w:val="000000"/>
                <w:sz w:val="20"/>
                <w:szCs w:val="20"/>
              </w:rPr>
            </w:pPr>
            <w:r w:rsidRPr="001C50D5">
              <w:rPr>
                <w:rFonts w:eastAsia="Times New Roman" w:cs="Calibri Light"/>
                <w:color w:val="000000"/>
                <w:sz w:val="20"/>
                <w:szCs w:val="20"/>
              </w:rPr>
              <w:t>SCE13CC003, Revision 2 (January 15, 2016)</w:t>
            </w:r>
          </w:p>
          <w:p w14:paraId="24D0DF1B" w14:textId="77777777" w:rsidR="008762A5" w:rsidRPr="001C50D5" w:rsidRDefault="008762A5" w:rsidP="001C50D5">
            <w:pPr>
              <w:spacing w:before="0" w:after="0" w:line="240" w:lineRule="auto"/>
              <w:rPr>
                <w:rFonts w:cs="Calibri Light"/>
                <w:sz w:val="20"/>
                <w:szCs w:val="20"/>
              </w:rPr>
            </w:pPr>
            <w:r w:rsidRPr="001C50D5">
              <w:rPr>
                <w:rFonts w:eastAsia="Times New Roman" w:cs="Calibri Light"/>
                <w:color w:val="000000"/>
                <w:sz w:val="20"/>
                <w:szCs w:val="20"/>
              </w:rPr>
              <w:t>WPSDGENRCC0018, Revision 9 (Jun 26, 2012)</w:t>
            </w:r>
            <w:r w:rsidRPr="001C50D5">
              <w:rPr>
                <w:rFonts w:cs="Calibri Light"/>
                <w:sz w:val="20"/>
                <w:szCs w:val="20"/>
              </w:rPr>
              <w:t xml:space="preserve"> </w:t>
            </w:r>
          </w:p>
          <w:p w14:paraId="7C0BCD98" w14:textId="77777777" w:rsidR="008762A5" w:rsidRDefault="008762A5" w:rsidP="001C50D5">
            <w:pPr>
              <w:keepNext/>
              <w:keepLines/>
              <w:spacing w:before="20" w:after="20"/>
              <w:rPr>
                <w:rFonts w:cs="Arial"/>
                <w:sz w:val="20"/>
                <w:szCs w:val="20"/>
              </w:rPr>
            </w:pPr>
            <w:r w:rsidRPr="001C50D5">
              <w:rPr>
                <w:rFonts w:cs="Calibri Light"/>
                <w:sz w:val="20"/>
                <w:szCs w:val="20"/>
              </w:rPr>
              <w:t>Consensus reached among Cal TF members.</w:t>
            </w:r>
          </w:p>
        </w:tc>
      </w:tr>
      <w:tr w:rsidR="008762A5" w14:paraId="62051ADE" w14:textId="77777777" w:rsidTr="005D5B26">
        <w:trPr>
          <w:trHeight w:val="20"/>
        </w:trPr>
        <w:tc>
          <w:tcPr>
            <w:tcW w:w="503" w:type="pct"/>
            <w:vMerge/>
            <w:tcBorders>
              <w:left w:val="single" w:sz="4" w:space="0" w:color="A6A6A6" w:themeColor="background1" w:themeShade="A6"/>
              <w:right w:val="single" w:sz="4" w:space="0" w:color="A6A6A6" w:themeColor="background1" w:themeShade="A6"/>
            </w:tcBorders>
          </w:tcPr>
          <w:p w14:paraId="567F72C1" w14:textId="77777777" w:rsidR="008762A5" w:rsidRPr="001C50D5" w:rsidRDefault="008762A5" w:rsidP="008E177D">
            <w:pPr>
              <w:keepNext/>
              <w:keepLines/>
              <w:spacing w:before="20" w:after="20"/>
              <w:rPr>
                <w:rFonts w:cs="Arial"/>
                <w:sz w:val="20"/>
                <w:szCs w:val="20"/>
              </w:rPr>
            </w:pPr>
          </w:p>
        </w:tc>
        <w:tc>
          <w:tcPr>
            <w:tcW w:w="794"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2623D96" w14:textId="77777777" w:rsidR="008762A5" w:rsidRDefault="008762A5" w:rsidP="008E177D">
            <w:pPr>
              <w:keepNext/>
              <w:keepLines/>
              <w:spacing w:before="20" w:after="20"/>
              <w:rPr>
                <w:rFonts w:cs="Arial"/>
                <w:sz w:val="20"/>
                <w:szCs w:val="20"/>
              </w:rPr>
            </w:pPr>
            <w:r>
              <w:rPr>
                <w:rFonts w:cs="Arial"/>
                <w:sz w:val="20"/>
                <w:szCs w:val="20"/>
              </w:rPr>
              <w:t>10/10/2018</w:t>
            </w:r>
          </w:p>
          <w:p w14:paraId="3DE19DC7" w14:textId="77777777" w:rsidR="008762A5" w:rsidRPr="001C50D5" w:rsidRDefault="008762A5" w:rsidP="008E177D">
            <w:pPr>
              <w:keepNext/>
              <w:keepLines/>
              <w:spacing w:before="20" w:after="20"/>
              <w:rPr>
                <w:rFonts w:cs="Arial"/>
                <w:sz w:val="20"/>
                <w:szCs w:val="20"/>
              </w:rPr>
            </w:pPr>
            <w:r>
              <w:rPr>
                <w:rFonts w:cs="Arial"/>
                <w:sz w:val="20"/>
                <w:szCs w:val="20"/>
              </w:rPr>
              <w:t>10/</w:t>
            </w:r>
            <w:r w:rsidR="00664F63">
              <w:rPr>
                <w:rFonts w:cs="Arial"/>
                <w:sz w:val="20"/>
                <w:szCs w:val="20"/>
              </w:rPr>
              <w:t>30</w:t>
            </w:r>
            <w:r>
              <w:rPr>
                <w:rFonts w:cs="Arial"/>
                <w:sz w:val="20"/>
                <w:szCs w:val="20"/>
              </w:rPr>
              <w:t>/2018</w:t>
            </w:r>
          </w:p>
        </w:tc>
        <w:tc>
          <w:tcPr>
            <w:tcW w:w="914"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36E9F8E" w14:textId="77777777" w:rsidR="008762A5" w:rsidRPr="00743373" w:rsidRDefault="008762A5" w:rsidP="008E177D">
            <w:pPr>
              <w:keepNext/>
              <w:keepLines/>
              <w:spacing w:before="20" w:after="20"/>
              <w:rPr>
                <w:rFonts w:cs="Arial"/>
                <w:sz w:val="20"/>
                <w:szCs w:val="20"/>
              </w:rPr>
            </w:pPr>
            <w:r w:rsidRPr="00743373">
              <w:rPr>
                <w:rFonts w:cs="Arial"/>
                <w:sz w:val="20"/>
                <w:szCs w:val="20"/>
              </w:rPr>
              <w:t>Jennifer Holmes</w:t>
            </w:r>
          </w:p>
          <w:p w14:paraId="15EBD046" w14:textId="77777777" w:rsidR="008762A5" w:rsidRPr="001C50D5" w:rsidRDefault="008762A5" w:rsidP="008E177D">
            <w:pPr>
              <w:keepNext/>
              <w:keepLines/>
              <w:spacing w:before="20" w:after="20"/>
              <w:rPr>
                <w:rFonts w:cs="Arial"/>
                <w:sz w:val="20"/>
                <w:szCs w:val="20"/>
              </w:rPr>
            </w:pPr>
            <w:r w:rsidRPr="00743373">
              <w:rPr>
                <w:rFonts w:cs="Arial"/>
                <w:sz w:val="20"/>
                <w:szCs w:val="20"/>
              </w:rPr>
              <w:t>Cal TF Staff</w:t>
            </w:r>
          </w:p>
        </w:tc>
        <w:tc>
          <w:tcPr>
            <w:tcW w:w="2789"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2A1BE10" w14:textId="77777777" w:rsidR="008762A5" w:rsidRDefault="008762A5" w:rsidP="008E177D">
            <w:pPr>
              <w:keepNext/>
              <w:keepLines/>
              <w:spacing w:before="20" w:after="20"/>
              <w:rPr>
                <w:rFonts w:cs="Arial"/>
                <w:sz w:val="20"/>
                <w:szCs w:val="20"/>
              </w:rPr>
            </w:pPr>
            <w:r>
              <w:rPr>
                <w:rFonts w:cs="Arial"/>
                <w:sz w:val="20"/>
                <w:szCs w:val="20"/>
              </w:rPr>
              <w:t>Completed final revisions for submittal of version 01.</w:t>
            </w:r>
          </w:p>
        </w:tc>
      </w:tr>
      <w:tr w:rsidR="005D5B26" w14:paraId="59D4598C" w14:textId="77777777" w:rsidTr="005D5B26">
        <w:trPr>
          <w:trHeight w:val="20"/>
        </w:trPr>
        <w:tc>
          <w:tcPr>
            <w:tcW w:w="503" w:type="pct"/>
            <w:vMerge w:val="restart"/>
            <w:tcBorders>
              <w:left w:val="single" w:sz="4" w:space="0" w:color="A6A6A6" w:themeColor="background1" w:themeShade="A6"/>
              <w:right w:val="single" w:sz="4" w:space="0" w:color="A6A6A6" w:themeColor="background1" w:themeShade="A6"/>
            </w:tcBorders>
          </w:tcPr>
          <w:p w14:paraId="6FB8B505" w14:textId="7095BCEC" w:rsidR="005D5B26" w:rsidRPr="001C50D5" w:rsidRDefault="005D5B26" w:rsidP="005D5B26">
            <w:pPr>
              <w:keepNext/>
              <w:keepLines/>
              <w:spacing w:before="20" w:after="20"/>
              <w:rPr>
                <w:rFonts w:cs="Arial"/>
                <w:sz w:val="20"/>
                <w:szCs w:val="20"/>
              </w:rPr>
            </w:pPr>
            <w:r>
              <w:rPr>
                <w:rFonts w:cs="Arial"/>
                <w:sz w:val="20"/>
                <w:szCs w:val="20"/>
              </w:rPr>
              <w:t>02</w:t>
            </w:r>
          </w:p>
        </w:tc>
        <w:tc>
          <w:tcPr>
            <w:tcW w:w="794"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C056260" w14:textId="3B7DA5BE" w:rsidR="005D5B26" w:rsidRDefault="005D5B26" w:rsidP="005D5B26">
            <w:pPr>
              <w:keepNext/>
              <w:keepLines/>
              <w:spacing w:before="20" w:after="20"/>
              <w:rPr>
                <w:rFonts w:cs="Arial"/>
                <w:sz w:val="20"/>
                <w:szCs w:val="20"/>
              </w:rPr>
            </w:pPr>
            <w:r>
              <w:rPr>
                <w:rFonts w:cs="Arial"/>
                <w:sz w:val="20"/>
                <w:szCs w:val="20"/>
              </w:rPr>
              <w:t>11/15/2019</w:t>
            </w:r>
          </w:p>
        </w:tc>
        <w:tc>
          <w:tcPr>
            <w:tcW w:w="914"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59BC389" w14:textId="5E4C352D" w:rsidR="005D5B26" w:rsidRPr="00743373" w:rsidRDefault="005D5B26" w:rsidP="005D5B26">
            <w:pPr>
              <w:keepNext/>
              <w:keepLines/>
              <w:spacing w:before="20" w:after="20"/>
              <w:rPr>
                <w:rFonts w:cs="Arial"/>
                <w:sz w:val="20"/>
                <w:szCs w:val="20"/>
              </w:rPr>
            </w:pPr>
            <w:r>
              <w:rPr>
                <w:rFonts w:cs="Arial"/>
                <w:sz w:val="20"/>
                <w:szCs w:val="20"/>
              </w:rPr>
              <w:t>Joseph Ling, AESC</w:t>
            </w:r>
          </w:p>
        </w:tc>
        <w:tc>
          <w:tcPr>
            <w:tcW w:w="2789"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CA0E04E" w14:textId="77777777" w:rsidR="005D5B26" w:rsidRDefault="005D5B26" w:rsidP="005D5B26">
            <w:pPr>
              <w:keepNext/>
              <w:keepLines/>
              <w:spacing w:before="20" w:after="20"/>
              <w:rPr>
                <w:rFonts w:cs="Arial"/>
                <w:sz w:val="20"/>
                <w:szCs w:val="20"/>
              </w:rPr>
            </w:pPr>
            <w:r>
              <w:rPr>
                <w:rFonts w:cs="Arial"/>
                <w:sz w:val="20"/>
                <w:szCs w:val="20"/>
              </w:rPr>
              <w:t xml:space="preserve">Used data acquired by Frontier Energy to update baseline and measure energy and demand.  </w:t>
            </w:r>
          </w:p>
          <w:p w14:paraId="13A91D43" w14:textId="32C9EBD3" w:rsidR="005D5B26" w:rsidRDefault="005D5B26" w:rsidP="005D5B26">
            <w:pPr>
              <w:keepNext/>
              <w:keepLines/>
              <w:spacing w:before="20" w:after="20"/>
              <w:rPr>
                <w:rFonts w:cs="Arial"/>
                <w:sz w:val="20"/>
                <w:szCs w:val="20"/>
              </w:rPr>
            </w:pPr>
            <w:r>
              <w:rPr>
                <w:rFonts w:cs="Arial"/>
                <w:sz w:val="20"/>
                <w:szCs w:val="20"/>
              </w:rPr>
              <w:t>Created new calculation workbook based on updated savings and using new SCE Workpaper Calculation Template.</w:t>
            </w:r>
          </w:p>
        </w:tc>
      </w:tr>
      <w:tr w:rsidR="005D5B26" w14:paraId="4A376F52" w14:textId="77777777" w:rsidTr="005D5B26">
        <w:trPr>
          <w:trHeight w:val="20"/>
        </w:trPr>
        <w:tc>
          <w:tcPr>
            <w:tcW w:w="503" w:type="pct"/>
            <w:vMerge/>
            <w:tcBorders>
              <w:left w:val="single" w:sz="4" w:space="0" w:color="A6A6A6" w:themeColor="background1" w:themeShade="A6"/>
              <w:right w:val="single" w:sz="4" w:space="0" w:color="A6A6A6" w:themeColor="background1" w:themeShade="A6"/>
            </w:tcBorders>
          </w:tcPr>
          <w:p w14:paraId="51CE571A" w14:textId="77777777" w:rsidR="005D5B26" w:rsidRPr="001C50D5" w:rsidRDefault="005D5B26" w:rsidP="005D5B26">
            <w:pPr>
              <w:keepNext/>
              <w:keepLines/>
              <w:spacing w:before="20" w:after="20"/>
              <w:rPr>
                <w:rFonts w:cs="Arial"/>
                <w:sz w:val="20"/>
                <w:szCs w:val="20"/>
              </w:rPr>
            </w:pPr>
          </w:p>
        </w:tc>
        <w:tc>
          <w:tcPr>
            <w:tcW w:w="794"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3F06944" w14:textId="314E6878" w:rsidR="005D5B26" w:rsidRDefault="005D5B26" w:rsidP="005D5B26">
            <w:pPr>
              <w:keepNext/>
              <w:keepLines/>
              <w:spacing w:before="20" w:after="20"/>
              <w:rPr>
                <w:rFonts w:cs="Arial"/>
                <w:sz w:val="20"/>
                <w:szCs w:val="20"/>
              </w:rPr>
            </w:pPr>
            <w:r>
              <w:rPr>
                <w:rFonts w:cs="Arial"/>
                <w:sz w:val="20"/>
                <w:szCs w:val="20"/>
              </w:rPr>
              <w:t>3/3/2020</w:t>
            </w:r>
          </w:p>
        </w:tc>
        <w:tc>
          <w:tcPr>
            <w:tcW w:w="914"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9035A53" w14:textId="280AA168" w:rsidR="005D5B26" w:rsidRPr="00743373" w:rsidRDefault="005D5B26" w:rsidP="005D5B26">
            <w:pPr>
              <w:keepNext/>
              <w:keepLines/>
              <w:spacing w:before="20" w:after="20"/>
              <w:rPr>
                <w:rFonts w:cs="Arial"/>
                <w:sz w:val="20"/>
                <w:szCs w:val="20"/>
              </w:rPr>
            </w:pPr>
            <w:r>
              <w:rPr>
                <w:rFonts w:cs="Arial"/>
                <w:sz w:val="20"/>
                <w:szCs w:val="20"/>
              </w:rPr>
              <w:t>Jay Madden, SCE</w:t>
            </w:r>
          </w:p>
        </w:tc>
        <w:tc>
          <w:tcPr>
            <w:tcW w:w="2789"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0AD0F79" w14:textId="3ADED624" w:rsidR="005D5B26" w:rsidRDefault="005D5B26" w:rsidP="005D5B26">
            <w:pPr>
              <w:keepNext/>
              <w:keepLines/>
              <w:spacing w:before="20" w:after="20"/>
              <w:rPr>
                <w:rFonts w:cs="Arial"/>
                <w:sz w:val="20"/>
                <w:szCs w:val="20"/>
              </w:rPr>
            </w:pPr>
            <w:r>
              <w:rPr>
                <w:rFonts w:cs="Arial"/>
                <w:sz w:val="20"/>
                <w:szCs w:val="20"/>
              </w:rPr>
              <w:t xml:space="preserve">Corrected Columns N and O of Measure Ex Ante Table. Original half-size and full-size measures were transposed. </w:t>
            </w:r>
          </w:p>
        </w:tc>
      </w:tr>
      <w:tr w:rsidR="005D5B26" w14:paraId="17C2057D" w14:textId="77777777" w:rsidTr="000E0B1C">
        <w:trPr>
          <w:trHeight w:val="20"/>
        </w:trPr>
        <w:tc>
          <w:tcPr>
            <w:tcW w:w="503" w:type="pct"/>
            <w:tcBorders>
              <w:left w:val="single" w:sz="4" w:space="0" w:color="A6A6A6" w:themeColor="background1" w:themeShade="A6"/>
              <w:bottom w:val="single" w:sz="4" w:space="0" w:color="A6A6A6" w:themeColor="background1" w:themeShade="A6"/>
              <w:right w:val="single" w:sz="4" w:space="0" w:color="A6A6A6" w:themeColor="background1" w:themeShade="A6"/>
            </w:tcBorders>
            <w:vAlign w:val="bottom"/>
          </w:tcPr>
          <w:p w14:paraId="5D7F2C35" w14:textId="60164A79" w:rsidR="005D5B26" w:rsidRPr="001C50D5" w:rsidRDefault="005D5B26" w:rsidP="005D5B26">
            <w:pPr>
              <w:keepNext/>
              <w:keepLines/>
              <w:spacing w:before="20" w:after="20"/>
              <w:rPr>
                <w:rFonts w:cs="Arial"/>
                <w:sz w:val="20"/>
                <w:szCs w:val="20"/>
              </w:rPr>
            </w:pPr>
            <w:r w:rsidRPr="006F2BE3">
              <w:rPr>
                <w:rFonts w:cs="Arial"/>
                <w:bCs/>
                <w:sz w:val="20"/>
                <w:szCs w:val="20"/>
              </w:rPr>
              <w:t>03</w:t>
            </w:r>
          </w:p>
        </w:tc>
        <w:tc>
          <w:tcPr>
            <w:tcW w:w="794"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bottom"/>
          </w:tcPr>
          <w:p w14:paraId="72CFDB3F" w14:textId="5233ECB5" w:rsidR="005D5B26" w:rsidRDefault="005D5B26" w:rsidP="005D5B26">
            <w:pPr>
              <w:keepNext/>
              <w:keepLines/>
              <w:spacing w:before="20" w:after="20"/>
              <w:rPr>
                <w:rFonts w:cs="Arial"/>
                <w:sz w:val="20"/>
                <w:szCs w:val="20"/>
              </w:rPr>
            </w:pPr>
            <w:r w:rsidRPr="006F2BE3">
              <w:rPr>
                <w:rFonts w:cs="Arial"/>
                <w:bCs/>
                <w:sz w:val="20"/>
                <w:szCs w:val="20"/>
              </w:rPr>
              <w:t>12/1/2020</w:t>
            </w:r>
          </w:p>
        </w:tc>
        <w:tc>
          <w:tcPr>
            <w:tcW w:w="914"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bottom"/>
          </w:tcPr>
          <w:p w14:paraId="2B1AF29B" w14:textId="2D0CB30C" w:rsidR="005D5B26" w:rsidRPr="00743373" w:rsidRDefault="005D5B26" w:rsidP="005D5B26">
            <w:pPr>
              <w:keepNext/>
              <w:keepLines/>
              <w:spacing w:before="20" w:after="20"/>
              <w:rPr>
                <w:rFonts w:cs="Arial"/>
                <w:sz w:val="20"/>
                <w:szCs w:val="20"/>
              </w:rPr>
            </w:pPr>
            <w:r w:rsidRPr="006F2BE3">
              <w:rPr>
                <w:rFonts w:cs="Arial"/>
                <w:bCs/>
                <w:sz w:val="20"/>
                <w:szCs w:val="20"/>
              </w:rPr>
              <w:t>Joseph Ling, AESC</w:t>
            </w:r>
          </w:p>
        </w:tc>
        <w:tc>
          <w:tcPr>
            <w:tcW w:w="2789"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bottom"/>
          </w:tcPr>
          <w:p w14:paraId="73CF0B2D" w14:textId="77777777" w:rsidR="005D5B26" w:rsidRDefault="005D5B26" w:rsidP="005D5B26">
            <w:pPr>
              <w:keepNext/>
              <w:keepLines/>
              <w:spacing w:before="20" w:after="20"/>
              <w:rPr>
                <w:rFonts w:cs="Arial"/>
                <w:bCs/>
                <w:sz w:val="20"/>
                <w:szCs w:val="20"/>
              </w:rPr>
            </w:pPr>
            <w:r w:rsidRPr="006F2BE3">
              <w:rPr>
                <w:rFonts w:cs="Arial"/>
                <w:bCs/>
                <w:sz w:val="20"/>
                <w:szCs w:val="20"/>
              </w:rPr>
              <w:t>Updated costs</w:t>
            </w:r>
          </w:p>
          <w:p w14:paraId="43D9DB62" w14:textId="71ABE622" w:rsidR="00E86CB7" w:rsidRDefault="00E86CB7" w:rsidP="005D5B26">
            <w:pPr>
              <w:keepNext/>
              <w:keepLines/>
              <w:spacing w:before="20" w:after="20"/>
              <w:rPr>
                <w:rFonts w:cs="Arial"/>
                <w:sz w:val="20"/>
                <w:szCs w:val="20"/>
              </w:rPr>
            </w:pPr>
            <w:r>
              <w:rPr>
                <w:rFonts w:cs="Arial"/>
                <w:bCs/>
                <w:sz w:val="20"/>
                <w:szCs w:val="20"/>
              </w:rPr>
              <w:t>Removed direct install delivery type from workpaper</w:t>
            </w:r>
          </w:p>
        </w:tc>
      </w:tr>
      <w:bookmarkEnd w:id="82"/>
      <w:bookmarkEnd w:id="84"/>
    </w:tbl>
    <w:p w14:paraId="78E4932F" w14:textId="77777777" w:rsidR="00795583" w:rsidRDefault="00795583" w:rsidP="00795583"/>
    <w:sectPr w:rsidR="00795583" w:rsidSect="005F505E">
      <w:headerReference w:type="default" r:id="rId17"/>
      <w:headerReference w:type="first" r:id="rId18"/>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1F1594" w14:textId="77777777" w:rsidR="00F3469E" w:rsidRDefault="00F3469E" w:rsidP="00A2690C">
      <w:r>
        <w:separator/>
      </w:r>
    </w:p>
    <w:p w14:paraId="238BB199" w14:textId="77777777" w:rsidR="00F3469E" w:rsidRDefault="00F3469E"/>
  </w:endnote>
  <w:endnote w:type="continuationSeparator" w:id="0">
    <w:p w14:paraId="5D9D0073" w14:textId="77777777" w:rsidR="00F3469E" w:rsidRDefault="00F3469E" w:rsidP="00A2690C">
      <w:r>
        <w:continuationSeparator/>
      </w:r>
    </w:p>
    <w:p w14:paraId="6B2736F5" w14:textId="77777777" w:rsidR="00F3469E" w:rsidRDefault="00F346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venir Next">
    <w:altName w:val="Corbel"/>
    <w:charset w:val="00"/>
    <w:family w:val="swiss"/>
    <w:pitch w:val="variable"/>
    <w:sig w:usb0="00000001" w:usb1="5000204A" w:usb2="00000000" w:usb3="00000000" w:csb0="0000009B" w:csb1="00000000"/>
  </w:font>
  <w:font w:name="Proxima Nova Regular">
    <w:altName w:val="Times New Roman"/>
    <w:charset w:val="00"/>
    <w:family w:val="auto"/>
    <w:pitch w:val="variable"/>
    <w:sig w:usb0="800000AF" w:usb1="5000E0FB" w:usb2="00000000" w:usb3="00000000" w:csb0="0000019B" w:csb1="00000000"/>
  </w:font>
  <w:font w:name="MS PMincho">
    <w:charset w:val="80"/>
    <w:family w:val="roman"/>
    <w:pitch w:val="variable"/>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Proxima Nova Light">
    <w:altName w:val="Candara"/>
    <w:charset w:val="00"/>
    <w:family w:val="auto"/>
    <w:pitch w:val="variable"/>
    <w:sig w:usb0="800000AF" w:usb1="5000E0FB" w:usb2="00000000" w:usb3="00000000" w:csb0="0000019B" w:csb1="00000000"/>
  </w:font>
  <w:font w:name="MS Gothic">
    <w:altName w:val="ＭＳ ゴシック"/>
    <w:panose1 w:val="020B0609070205080204"/>
    <w:charset w:val="80"/>
    <w:family w:val="modern"/>
    <w:pitch w:val="fixed"/>
    <w:sig w:usb0="E00002FF" w:usb1="6AC7FDFB" w:usb2="08000012" w:usb3="00000000" w:csb0="0002009F" w:csb1="00000000"/>
  </w:font>
  <w:font w:name="Proxima Nova Semibold">
    <w:altName w:val="Candara"/>
    <w:charset w:val="00"/>
    <w:family w:val="auto"/>
    <w:pitch w:val="variable"/>
    <w:sig w:usb0="800000AF" w:usb1="5000E0FB" w:usb2="00000000" w:usb3="00000000" w:csb0="0000019B"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2479B0" w14:textId="77777777" w:rsidR="00204666" w:rsidRDefault="00204666" w:rsidP="000220A0">
    <w:pPr>
      <w:pStyle w:val="Footer"/>
      <w:pBdr>
        <w:top w:val="none" w:sz="0" w:space="0" w:color="auto"/>
      </w:pBdr>
      <w:tabs>
        <w:tab w:val="right" w:pos="9360"/>
      </w:tabs>
      <w:spacing w:before="0"/>
      <w:jc w:val="center"/>
      <w:rPr>
        <w:rStyle w:val="PageNumber"/>
        <w:sz w:val="14"/>
        <w:szCs w:val="14"/>
      </w:rPr>
    </w:pPr>
    <w:r>
      <w:rPr>
        <w:noProof/>
      </w:rPr>
      <w:drawing>
        <wp:inline distT="0" distB="0" distL="0" distR="0" wp14:anchorId="446C826A" wp14:editId="11D40197">
          <wp:extent cx="2223135" cy="160885"/>
          <wp:effectExtent l="0" t="0" r="0" b="0"/>
          <wp:docPr id="28" name="Picture 1" descr="CalTF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lTF_Logo.png"/>
                  <pic:cNvPicPr/>
                </pic:nvPicPr>
                <pic:blipFill rotWithShape="1">
                  <a:blip r:embed="rId1"/>
                  <a:srcRect t="47768" b="41315"/>
                  <a:stretch/>
                </pic:blipFill>
                <pic:spPr bwMode="auto">
                  <a:xfrm>
                    <a:off x="0" y="0"/>
                    <a:ext cx="2349780" cy="170050"/>
                  </a:xfrm>
                  <a:prstGeom prst="rect">
                    <a:avLst/>
                  </a:prstGeom>
                  <a:ln>
                    <a:noFill/>
                  </a:ln>
                  <a:extLst>
                    <a:ext uri="{53640926-AAD7-44D8-BBD7-CCE9431645EC}">
                      <a14:shadowObscured xmlns:a14="http://schemas.microsoft.com/office/drawing/2010/main"/>
                    </a:ext>
                  </a:extLst>
                </pic:spPr>
              </pic:pic>
            </a:graphicData>
          </a:graphic>
        </wp:inline>
      </w:drawing>
    </w:r>
  </w:p>
  <w:p w14:paraId="105D045F" w14:textId="77777777" w:rsidR="00204666" w:rsidRPr="00B837C1" w:rsidRDefault="00204666" w:rsidP="000220A0">
    <w:pPr>
      <w:pStyle w:val="Footer"/>
      <w:pBdr>
        <w:top w:val="none" w:sz="0" w:space="0" w:color="auto"/>
      </w:pBdr>
      <w:tabs>
        <w:tab w:val="right" w:pos="9360"/>
      </w:tabs>
      <w:spacing w:before="0"/>
      <w:jc w:val="center"/>
      <w:rPr>
        <w:rStyle w:val="PageNumber"/>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2</w:t>
    </w:r>
    <w:r w:rsidRPr="00B837C1">
      <w:rPr>
        <w:rStyle w:val="PageNumber"/>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521400" w14:textId="77777777" w:rsidR="00204666" w:rsidRDefault="00204666" w:rsidP="000220A0">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58240" behindDoc="0" locked="0" layoutInCell="1" allowOverlap="1" wp14:anchorId="0D4DB29C" wp14:editId="78C9B959">
          <wp:simplePos x="0" y="0"/>
          <wp:positionH relativeFrom="column">
            <wp:posOffset>2863850</wp:posOffset>
          </wp:positionH>
          <wp:positionV relativeFrom="paragraph">
            <wp:posOffset>-138781</wp:posOffset>
          </wp:positionV>
          <wp:extent cx="210820" cy="579335"/>
          <wp:effectExtent l="0" t="6350" r="11430" b="11430"/>
          <wp:wrapNone/>
          <wp:docPr id="29" name="Picture 29"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BD64AB9" w14:textId="77777777" w:rsidR="00204666" w:rsidRPr="00B837C1" w:rsidRDefault="00204666" w:rsidP="000220A0">
    <w:pPr>
      <w:pStyle w:val="Footer"/>
      <w:pBdr>
        <w:top w:val="none" w:sz="0" w:space="0" w:color="auto"/>
      </w:pBdr>
      <w:tabs>
        <w:tab w:val="left" w:pos="900"/>
        <w:tab w:val="right" w:pos="9360"/>
      </w:tabs>
      <w:spacing w:before="0"/>
      <w:jc w:val="center"/>
      <w:rPr>
        <w:rFonts w:ascii="Avenir Next" w:hAnsi="Avenir Next"/>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3</w:t>
    </w:r>
    <w:r w:rsidRPr="00B837C1">
      <w:rPr>
        <w:rStyle w:val="PageNumber"/>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29B4BE" w14:textId="77777777" w:rsidR="00204666" w:rsidRDefault="00204666" w:rsidP="005F505E">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60288" behindDoc="0" locked="0" layoutInCell="1" allowOverlap="1" wp14:anchorId="7CEF552E" wp14:editId="04A3B1C3">
          <wp:simplePos x="0" y="0"/>
          <wp:positionH relativeFrom="column">
            <wp:posOffset>2863850</wp:posOffset>
          </wp:positionH>
          <wp:positionV relativeFrom="paragraph">
            <wp:posOffset>-138781</wp:posOffset>
          </wp:positionV>
          <wp:extent cx="210820" cy="579335"/>
          <wp:effectExtent l="0" t="6350" r="11430" b="11430"/>
          <wp:wrapNone/>
          <wp:docPr id="31" name="Picture 31"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F07C493" w14:textId="77777777" w:rsidR="00204666" w:rsidRPr="005F505E" w:rsidRDefault="00204666" w:rsidP="005F505E">
    <w:pPr>
      <w:pStyle w:val="Footer"/>
      <w:pBdr>
        <w:top w:val="none" w:sz="0" w:space="0" w:color="auto"/>
      </w:pBdr>
      <w:tabs>
        <w:tab w:val="left" w:pos="900"/>
        <w:tab w:val="right" w:pos="9360"/>
      </w:tabs>
      <w:spacing w:before="0"/>
      <w:jc w:val="center"/>
      <w:rPr>
        <w:rStyle w:val="PageNumber"/>
        <w:rFonts w:ascii="Avenir Next" w:hAnsi="Avenir Next"/>
        <w:color w:val="auto"/>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1</w:t>
    </w:r>
    <w:r w:rsidRPr="00B837C1">
      <w:rPr>
        <w:rStyle w:val="PageNumber"/>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BB85F9" w14:textId="77777777" w:rsidR="00F3469E" w:rsidRDefault="00F3469E" w:rsidP="00A2690C">
      <w:r>
        <w:separator/>
      </w:r>
    </w:p>
    <w:p w14:paraId="7D0F92AC" w14:textId="77777777" w:rsidR="00F3469E" w:rsidRDefault="00F3469E"/>
  </w:footnote>
  <w:footnote w:type="continuationSeparator" w:id="0">
    <w:p w14:paraId="54888595" w14:textId="77777777" w:rsidR="00F3469E" w:rsidRDefault="00F3469E" w:rsidP="00A2690C">
      <w:r>
        <w:continuationSeparator/>
      </w:r>
    </w:p>
    <w:p w14:paraId="14798318" w14:textId="77777777" w:rsidR="00F3469E" w:rsidRDefault="00F3469E"/>
  </w:footnote>
  <w:footnote w:id="1">
    <w:p w14:paraId="16E7369F" w14:textId="77777777" w:rsidR="00204666" w:rsidRDefault="00204666">
      <w:pPr>
        <w:pStyle w:val="FootnoteText"/>
      </w:pPr>
      <w:r>
        <w:rPr>
          <w:rStyle w:val="FootnoteReference"/>
        </w:rPr>
        <w:footnoteRef/>
      </w:r>
      <w:r>
        <w:t xml:space="preserve"> </w:t>
      </w:r>
      <w:r w:rsidRPr="00E8741C">
        <w:t>American Society for Testing and Materials (ASTM). 201</w:t>
      </w:r>
      <w:r>
        <w:t>9</w:t>
      </w:r>
      <w:r w:rsidRPr="00E8741C">
        <w:t xml:space="preserve">. </w:t>
      </w:r>
      <w:r w:rsidRPr="00E8741C">
        <w:rPr>
          <w:i/>
        </w:rPr>
        <w:t>ASTM F2140-1</w:t>
      </w:r>
      <w:r>
        <w:rPr>
          <w:i/>
        </w:rPr>
        <w:t>9</w:t>
      </w:r>
      <w:r w:rsidRPr="00E8741C">
        <w:rPr>
          <w:i/>
        </w:rPr>
        <w:t>, Standard Test Method for the Performance of Hot Food Holding Cabinets.</w:t>
      </w:r>
      <w:r w:rsidRPr="00E8741C">
        <w:t xml:space="preserve"> West Conshohocken (PA): ASTM International.</w:t>
      </w:r>
    </w:p>
  </w:footnote>
  <w:footnote w:id="2">
    <w:p w14:paraId="5D397668" w14:textId="662C8954" w:rsidR="00204666" w:rsidRDefault="00204666" w:rsidP="008F52E8">
      <w:pPr>
        <w:pStyle w:val="FootnoteText"/>
      </w:pPr>
      <w:r>
        <w:rPr>
          <w:rStyle w:val="FootnoteReference"/>
        </w:rPr>
        <w:footnoteRef/>
      </w:r>
      <w:r>
        <w:t xml:space="preserve"> </w:t>
      </w:r>
      <w:r w:rsidRPr="00E8741C">
        <w:t>American Society for Testing and Materials (ASTM). 201</w:t>
      </w:r>
      <w:r>
        <w:t>9</w:t>
      </w:r>
      <w:r w:rsidRPr="00E8741C">
        <w:t xml:space="preserve">. </w:t>
      </w:r>
      <w:r w:rsidRPr="00E8741C">
        <w:rPr>
          <w:i/>
        </w:rPr>
        <w:t>ASTM F2140-11, Standard Test Method for the Performance of Hot Food Holding Cabinets.</w:t>
      </w:r>
      <w:r w:rsidRPr="00E8741C">
        <w:t xml:space="preserve"> West Conshohocken (PA): ASTM International.</w:t>
      </w:r>
    </w:p>
  </w:footnote>
  <w:footnote w:id="3">
    <w:p w14:paraId="00805AE3" w14:textId="77777777" w:rsidR="00204666" w:rsidRDefault="00204666">
      <w:pPr>
        <w:pStyle w:val="FootnoteText"/>
      </w:pPr>
      <w:r>
        <w:rPr>
          <w:rStyle w:val="FootnoteReference"/>
        </w:rPr>
        <w:footnoteRef/>
      </w:r>
      <w:r>
        <w:t xml:space="preserve"> </w:t>
      </w:r>
      <w:r w:rsidRPr="008000F0">
        <w:t xml:space="preserve">California Energy Commission (CEC). 2014. </w:t>
      </w:r>
      <w:r w:rsidRPr="0043368E">
        <w:rPr>
          <w:i/>
        </w:rPr>
        <w:t>2014 Appliance Efficiency Regulations.</w:t>
      </w:r>
      <w:r w:rsidRPr="008000F0">
        <w:t xml:space="preserve"> CEC-400-2014-009-CMF.</w:t>
      </w:r>
    </w:p>
  </w:footnote>
  <w:footnote w:id="4">
    <w:p w14:paraId="572B678B" w14:textId="559D36A1" w:rsidR="00204666" w:rsidRDefault="00204666" w:rsidP="008F52E8">
      <w:pPr>
        <w:pStyle w:val="FootnoteText"/>
      </w:pPr>
      <w:r>
        <w:rPr>
          <w:rStyle w:val="FootnoteReference"/>
        </w:rPr>
        <w:footnoteRef/>
      </w:r>
      <w:r>
        <w:t xml:space="preserve"> </w:t>
      </w:r>
      <w:r w:rsidRPr="00E8741C">
        <w:t>American Society for Testing and Materials (ASTM). 201</w:t>
      </w:r>
      <w:r>
        <w:t>9</w:t>
      </w:r>
      <w:r w:rsidRPr="00E8741C">
        <w:t xml:space="preserve">. </w:t>
      </w:r>
      <w:r w:rsidRPr="00E8741C">
        <w:rPr>
          <w:i/>
        </w:rPr>
        <w:t>ASTM F2140-11, Standard Test Method for the Performance of Hot Food Holding Cabinets.</w:t>
      </w:r>
      <w:r w:rsidRPr="00E8741C">
        <w:t xml:space="preserve"> West Conshohocken (PA): ASTM International.</w:t>
      </w:r>
    </w:p>
  </w:footnote>
  <w:footnote w:id="5">
    <w:p w14:paraId="3730185D" w14:textId="2A4794B5" w:rsidR="00204666" w:rsidRDefault="00204666" w:rsidP="008F52E8">
      <w:pPr>
        <w:pStyle w:val="FootnoteText"/>
      </w:pPr>
      <w:r>
        <w:rPr>
          <w:rStyle w:val="FootnoteReference"/>
        </w:rPr>
        <w:footnoteRef/>
      </w:r>
      <w:r>
        <w:t xml:space="preserve"> </w:t>
      </w:r>
      <w:r w:rsidRPr="00E8741C">
        <w:t>American Society for Testing and Materials (ASTM). 201</w:t>
      </w:r>
      <w:r>
        <w:t>9</w:t>
      </w:r>
      <w:r w:rsidRPr="00E8741C">
        <w:t xml:space="preserve">. </w:t>
      </w:r>
      <w:r w:rsidRPr="00E8741C">
        <w:rPr>
          <w:i/>
        </w:rPr>
        <w:t>ASTM F2140-11, Standard Test Method for the Performance of Hot Food Holding Cabinets.</w:t>
      </w:r>
      <w:r w:rsidRPr="00E8741C">
        <w:t xml:space="preserve"> West Conshohocken (PA): ASTM International.</w:t>
      </w:r>
    </w:p>
  </w:footnote>
  <w:footnote w:id="6">
    <w:p w14:paraId="4B23770F" w14:textId="65BCC6AC" w:rsidR="00204666" w:rsidRDefault="00204666" w:rsidP="002259D0">
      <w:pPr>
        <w:pStyle w:val="FootnoteText"/>
      </w:pPr>
      <w:r>
        <w:rPr>
          <w:rStyle w:val="FootnoteReference"/>
        </w:rPr>
        <w:footnoteRef/>
      </w:r>
      <w:r>
        <w:t xml:space="preserve"> </w:t>
      </w:r>
      <w:r w:rsidRPr="00C35C90">
        <w:rPr>
          <w:rStyle w:val="eTRMFootnoteTextChar"/>
        </w:rPr>
        <w:t>American Society for Testing and Materials (ASTM). 201</w:t>
      </w:r>
      <w:r>
        <w:rPr>
          <w:rStyle w:val="eTRMFootnoteTextChar"/>
        </w:rPr>
        <w:t>9</w:t>
      </w:r>
      <w:r w:rsidRPr="00C35C90">
        <w:rPr>
          <w:rStyle w:val="eTRMFootnoteTextChar"/>
        </w:rPr>
        <w:t xml:space="preserve">. </w:t>
      </w:r>
      <w:r w:rsidRPr="00C35C90">
        <w:rPr>
          <w:rStyle w:val="eTRMFootnoteTextChar"/>
          <w:i/>
        </w:rPr>
        <w:t>ASTM F2140-11, Standard Test Method for the Performance of Hot Food Holding Cabinets.</w:t>
      </w:r>
      <w:r w:rsidRPr="00C35C90">
        <w:rPr>
          <w:rStyle w:val="eTRMFootnoteTextChar"/>
        </w:rPr>
        <w:t xml:space="preserve"> West Conshohocken (PA): ASTM International.</w:t>
      </w:r>
    </w:p>
  </w:footnote>
  <w:footnote w:id="7">
    <w:p w14:paraId="64833846" w14:textId="77777777" w:rsidR="00204666" w:rsidRPr="003F377B" w:rsidRDefault="00204666" w:rsidP="00F25D4E">
      <w:pPr>
        <w:pStyle w:val="FootnoteText"/>
      </w:pPr>
      <w:r>
        <w:rPr>
          <w:rStyle w:val="FootnoteReference"/>
        </w:rPr>
        <w:footnoteRef/>
      </w:r>
      <w:r>
        <w:t xml:space="preserve"> Frontier Energy, Inc.</w:t>
      </w:r>
      <w:r>
        <w:rPr>
          <w:i/>
        </w:rPr>
        <w:t xml:space="preserve"> Electric Plug Load Savings Potential of Commercial Foodservice Equipment</w:t>
      </w:r>
      <w:r>
        <w:t xml:space="preserve">. (California, CEC-EPC-15-027, 2019). </w:t>
      </w:r>
      <w:hyperlink r:id="rId1" w:history="1">
        <w:r>
          <w:rPr>
            <w:rStyle w:val="Hyperlink"/>
          </w:rPr>
          <w:t>https://fishnick.com/cecplug/</w:t>
        </w:r>
      </w:hyperlink>
    </w:p>
  </w:footnote>
  <w:footnote w:id="8">
    <w:p w14:paraId="2A9B5B09" w14:textId="77777777" w:rsidR="00204666" w:rsidRDefault="00204666" w:rsidP="00DD38CB">
      <w:pPr>
        <w:pStyle w:val="FootnoteText"/>
      </w:pPr>
      <w:r>
        <w:rPr>
          <w:rStyle w:val="FootnoteReference"/>
        </w:rPr>
        <w:footnoteRef/>
      </w:r>
      <w:r>
        <w:t xml:space="preserve"> </w:t>
      </w:r>
      <w:r w:rsidRPr="00461A0D">
        <w:rPr>
          <w:rStyle w:val="eTRMFootnoteTextChar"/>
        </w:rPr>
        <w:t xml:space="preserve">California Public Utilities Commission (CPUC). 2018. </w:t>
      </w:r>
      <w:r w:rsidRPr="004B7794">
        <w:rPr>
          <w:rStyle w:val="eTRMFootnoteTextChar"/>
          <w:i/>
        </w:rPr>
        <w:t>Resolution E-4952.</w:t>
      </w:r>
      <w:r w:rsidRPr="00461A0D">
        <w:rPr>
          <w:rStyle w:val="eTRMFootnoteTextChar"/>
        </w:rPr>
        <w:t xml:space="preserve"> October 11. </w:t>
      </w:r>
      <w:r>
        <w:rPr>
          <w:rStyle w:val="eTRMFootnoteTextChar"/>
        </w:rPr>
        <w:t>Op</w:t>
      </w:r>
      <w:r w:rsidRPr="00461A0D">
        <w:rPr>
          <w:rStyle w:val="eTRMFootnoteTextChar"/>
        </w:rPr>
        <w:t xml:space="preserve"> 1.</w:t>
      </w:r>
    </w:p>
  </w:footnote>
  <w:footnote w:id="9">
    <w:p w14:paraId="250020EB" w14:textId="77777777" w:rsidR="00204666" w:rsidRDefault="00204666">
      <w:pPr>
        <w:pStyle w:val="FootnoteText"/>
      </w:pPr>
      <w:r>
        <w:rPr>
          <w:rStyle w:val="FootnoteReference"/>
        </w:rPr>
        <w:footnoteRef/>
      </w:r>
      <w:r>
        <w:t xml:space="preserve"> </w:t>
      </w:r>
      <w:r w:rsidRPr="00E97879">
        <w:rPr>
          <w:rStyle w:val="eTRMFootnoteTextChar"/>
        </w:rPr>
        <w:t>Food Service Technology Center</w:t>
      </w:r>
      <w:r>
        <w:rPr>
          <w:rStyle w:val="eTRMFootnoteTextChar"/>
        </w:rPr>
        <w:t xml:space="preserve"> (FSTC)</w:t>
      </w:r>
      <w:r w:rsidRPr="00E97879">
        <w:rPr>
          <w:rStyle w:val="eTRMFootnoteTextChar"/>
        </w:rPr>
        <w:t xml:space="preserve">. </w:t>
      </w:r>
      <w:r>
        <w:rPr>
          <w:rStyle w:val="eTRMFootnoteTextChar"/>
        </w:rPr>
        <w:t xml:space="preserve">2016. </w:t>
      </w:r>
      <w:r w:rsidRPr="00E97879">
        <w:rPr>
          <w:rStyle w:val="eTRMFootnoteTextChar"/>
        </w:rPr>
        <w:t>“HFC cost tables 2016.xlsx</w:t>
      </w:r>
      <w:r>
        <w:rPr>
          <w:rStyle w:val="eTRMFootnoteTextChar"/>
        </w:rPr>
        <w:t>.</w:t>
      </w:r>
      <w:r w:rsidRPr="00E97879">
        <w:rPr>
          <w:rStyle w:val="eTRMFootnoteTextChar"/>
        </w:rPr>
        <w:t>”</w:t>
      </w:r>
    </w:p>
  </w:footnote>
  <w:footnote w:id="10">
    <w:p w14:paraId="10FB9723" w14:textId="77777777" w:rsidR="00204666" w:rsidRDefault="00204666" w:rsidP="00E97879">
      <w:pPr>
        <w:pStyle w:val="FootnoteText"/>
      </w:pPr>
      <w:r>
        <w:rPr>
          <w:rStyle w:val="FootnoteReference"/>
        </w:rPr>
        <w:footnoteRef/>
      </w:r>
      <w:r>
        <w:t xml:space="preserve"> </w:t>
      </w:r>
      <w:r w:rsidRPr="002C1AA6">
        <w:rPr>
          <w:rStyle w:val="eTRMFootnoteTextChar"/>
        </w:rPr>
        <w:t>Energy Solutions. 2017. "2016 IMC Analysis - For Cal TF (Energy Solutions).</w:t>
      </w:r>
      <w:proofErr w:type="spellStart"/>
      <w:r w:rsidRPr="002C1AA6">
        <w:rPr>
          <w:rStyle w:val="eTRMFootnoteTextChar"/>
        </w:rPr>
        <w:t>xls</w:t>
      </w:r>
      <w:proofErr w:type="spellEnd"/>
      <w:r w:rsidRPr="002C1AA6">
        <w:rPr>
          <w:rStyle w:val="eTRMFootnoteTextChar"/>
        </w:rPr>
        <w:t>."</w:t>
      </w:r>
    </w:p>
  </w:footnote>
  <w:footnote w:id="11">
    <w:p w14:paraId="1EE1E34C" w14:textId="77777777" w:rsidR="00204666" w:rsidRDefault="00204666">
      <w:pPr>
        <w:pStyle w:val="FootnoteText"/>
      </w:pPr>
      <w:r>
        <w:rPr>
          <w:rStyle w:val="FootnoteReference"/>
        </w:rPr>
        <w:footnoteRef/>
      </w:r>
      <w:r>
        <w:t xml:space="preserve"> </w:t>
      </w:r>
      <w:r w:rsidRPr="00E97879">
        <w:rPr>
          <w:rStyle w:val="eTRMFootnoteTextChar"/>
        </w:rPr>
        <w:t>Food Service Technology Center</w:t>
      </w:r>
      <w:r>
        <w:rPr>
          <w:rStyle w:val="eTRMFootnoteTextChar"/>
        </w:rPr>
        <w:t xml:space="preserve"> (FSTC)</w:t>
      </w:r>
      <w:r w:rsidRPr="00E97879">
        <w:rPr>
          <w:rStyle w:val="eTRMFootnoteTextChar"/>
        </w:rPr>
        <w:t xml:space="preserve">. </w:t>
      </w:r>
      <w:r>
        <w:rPr>
          <w:rStyle w:val="eTRMFootnoteTextChar"/>
        </w:rPr>
        <w:t xml:space="preserve">2016. </w:t>
      </w:r>
      <w:r w:rsidRPr="00E97879">
        <w:rPr>
          <w:rStyle w:val="eTRMFootnoteTextChar"/>
        </w:rPr>
        <w:t>“HFC cost tables 2016.xlsx</w:t>
      </w:r>
      <w:r>
        <w:rPr>
          <w:rStyle w:val="eTRMFootnoteTextChar"/>
        </w:rPr>
        <w:t>.</w:t>
      </w:r>
      <w:r w:rsidRPr="00E97879">
        <w:rPr>
          <w:rStyle w:val="eTRMFootnoteTextChar"/>
        </w:rPr>
        <w:t>”</w:t>
      </w:r>
    </w:p>
  </w:footnote>
  <w:footnote w:id="12">
    <w:p w14:paraId="5AD99C52" w14:textId="77777777" w:rsidR="00204666" w:rsidRDefault="00204666" w:rsidP="00E97879">
      <w:pPr>
        <w:pStyle w:val="FootnoteText"/>
      </w:pPr>
      <w:r>
        <w:rPr>
          <w:rStyle w:val="FootnoteReference"/>
        </w:rPr>
        <w:footnoteRef/>
      </w:r>
      <w:r>
        <w:t xml:space="preserve"> </w:t>
      </w:r>
      <w:r w:rsidRPr="002C1AA6">
        <w:rPr>
          <w:rStyle w:val="eTRMFootnoteTextChar"/>
        </w:rPr>
        <w:t>Energy Solutions. 2017. "2016 IMC Analysis - For Cal TF (Energy Solutions).</w:t>
      </w:r>
      <w:proofErr w:type="spellStart"/>
      <w:r w:rsidRPr="002C1AA6">
        <w:rPr>
          <w:rStyle w:val="eTRMFootnoteTextChar"/>
        </w:rPr>
        <w:t>xls</w:t>
      </w:r>
      <w:proofErr w:type="spellEnd"/>
      <w:r w:rsidRPr="002C1AA6">
        <w:rPr>
          <w:rStyle w:val="eTRMFootnoteTextChar"/>
        </w:rPr>
        <w:t>."</w:t>
      </w:r>
    </w:p>
  </w:footnote>
  <w:footnote w:id="13">
    <w:p w14:paraId="694EDB17" w14:textId="77777777" w:rsidR="00204666" w:rsidRDefault="00204666">
      <w:pPr>
        <w:pStyle w:val="FootnoteText"/>
      </w:pPr>
      <w:r>
        <w:rPr>
          <w:rStyle w:val="FootnoteReference"/>
        </w:rPr>
        <w:footnoteRef/>
      </w:r>
      <w:r>
        <w:t xml:space="preserve"> </w:t>
      </w:r>
      <w:bookmarkStart w:id="77" w:name="_Ref182111519"/>
      <w:r w:rsidRPr="0053040B">
        <w:rPr>
          <w:rStyle w:val="eTRMFootnoteTextChar"/>
        </w:rPr>
        <w:t>California Energy Commission (CEC). 2014. 2014 Appliance Efficiency Regulations. CEC-400-2014-009-CMF.</w:t>
      </w:r>
      <w:r w:rsidRPr="00661B24">
        <w:rPr>
          <w:rFonts w:cstheme="minorHAnsi"/>
          <w:sz w:val="20"/>
          <w:szCs w:val="20"/>
        </w:rPr>
        <w:t xml:space="preserve"> </w:t>
      </w:r>
      <w:r w:rsidRPr="00D37270">
        <w:rPr>
          <w:rFonts w:cstheme="minorHAnsi"/>
          <w:sz w:val="20"/>
          <w:szCs w:val="20"/>
        </w:rPr>
        <w:t>Section 1605.3(r)(2)</w:t>
      </w:r>
      <w:r w:rsidRPr="0053040B">
        <w:rPr>
          <w:rStyle w:val="eTRMFootnoteTextChar"/>
        </w:rPr>
        <w:t>.</w:t>
      </w:r>
      <w:bookmarkEnd w:id="77"/>
    </w:p>
  </w:footnote>
  <w:footnote w:id="14">
    <w:p w14:paraId="1137F160" w14:textId="77777777" w:rsidR="00204666" w:rsidRDefault="00204666">
      <w:pPr>
        <w:pStyle w:val="FootnoteText"/>
      </w:pPr>
      <w:r>
        <w:rPr>
          <w:rStyle w:val="FootnoteReference"/>
        </w:rPr>
        <w:footnoteRef/>
      </w:r>
      <w:r>
        <w:t xml:space="preserve"> </w:t>
      </w:r>
      <w:proofErr w:type="spellStart"/>
      <w:r w:rsidRPr="00333DEE">
        <w:t>Itron</w:t>
      </w:r>
      <w:proofErr w:type="spellEnd"/>
      <w:r w:rsidRPr="00333DEE">
        <w:t xml:space="preserve">, Inc. 2005. </w:t>
      </w:r>
      <w:r w:rsidRPr="00333DEE">
        <w:rPr>
          <w:i/>
        </w:rPr>
        <w:t>2004-2005 Database for Energy Efficiency Resources (DEER) Update Study - Final Report.</w:t>
      </w:r>
      <w:r w:rsidRPr="00333DEE">
        <w:t xml:space="preserve"> Prepared for Southern California Edison. </w:t>
      </w:r>
    </w:p>
  </w:footnote>
  <w:footnote w:id="15">
    <w:p w14:paraId="2A33B88F" w14:textId="77777777" w:rsidR="00204666" w:rsidRDefault="00204666">
      <w:pPr>
        <w:pStyle w:val="FootnoteText"/>
      </w:pPr>
      <w:r>
        <w:rPr>
          <w:rStyle w:val="FootnoteReference"/>
        </w:rPr>
        <w:footnoteRef/>
      </w:r>
      <w:r>
        <w:t xml:space="preserve"> </w:t>
      </w:r>
      <w:r w:rsidRPr="00096A11">
        <w:t>U.S. Department of Energy (DOE), Federal Energy Management Program (FEMP). 2012. "Covered Product Category: Hot Food Holding Cabinets."  http://www2.eere.energy.gov/femp/technologies/printable_versions/eep_hot_food.html. Updated May 2012.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E1789A" w14:textId="77777777" w:rsidR="00204666" w:rsidRPr="000220A0" w:rsidRDefault="00204666" w:rsidP="005B7418">
    <w:pPr>
      <w:pStyle w:val="Header"/>
      <w:rPr>
        <w:rFonts w:ascii="Calibri Light" w:hAnsi="Calibri Light"/>
      </w:rPr>
    </w:pPr>
    <w:r w:rsidRPr="000220A0">
      <w:rPr>
        <w:rFonts w:ascii="Calibri Light" w:hAnsi="Calibri Light"/>
      </w:rPr>
      <w:t xml:space="preserve">FOOD SERVICE | </w:t>
    </w:r>
    <w:r w:rsidRPr="000220A0">
      <w:rPr>
        <w:rFonts w:ascii="Calibri Light" w:hAnsi="Calibri Light"/>
        <w:b/>
      </w:rPr>
      <w:t>2.01 Commercial Convection Ovens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7F0153" w14:textId="77777777" w:rsidR="00204666" w:rsidRDefault="00204666">
    <w:pPr>
      <w:pStyle w:val="Header"/>
    </w:pPr>
    <w:r>
      <w:rPr>
        <w:rFonts w:ascii="Calibri Light" w:hAnsi="Calibri Light"/>
      </w:rPr>
      <w:t xml:space="preserve">MEASURE  END USE </w:t>
    </w:r>
    <w:r w:rsidRPr="000220A0">
      <w:rPr>
        <w:rFonts w:ascii="Calibri Light" w:hAnsi="Calibri Light"/>
      </w:rPr>
      <w:t xml:space="preserve"> </w:t>
    </w:r>
    <w:r w:rsidRPr="00181E01">
      <w:rPr>
        <w:rFonts w:ascii="Calibri Light" w:hAnsi="Calibri Light"/>
        <w:color w:val="8DC63F"/>
      </w:rPr>
      <w:sym w:font="Wingdings" w:char="F06E"/>
    </w:r>
    <w:r w:rsidRPr="000220A0">
      <w:rPr>
        <w:rFonts w:ascii="Calibri Light" w:hAnsi="Calibri Light"/>
      </w:rPr>
      <w:t xml:space="preserve"> </w:t>
    </w:r>
    <w:r>
      <w:rPr>
        <w:rFonts w:ascii="Calibri Light" w:hAnsi="Calibri Light"/>
      </w:rPr>
      <w:t xml:space="preserve"> </w:t>
    </w:r>
    <w:r>
      <w:rPr>
        <w:rFonts w:ascii="Calibri Light" w:hAnsi="Calibri Light"/>
        <w:b/>
      </w:rPr>
      <w:t>#.##</w:t>
    </w:r>
    <w:r w:rsidRPr="000220A0">
      <w:rPr>
        <w:rFonts w:ascii="Calibri Light" w:hAnsi="Calibri Light"/>
        <w:b/>
      </w:rPr>
      <w:t xml:space="preserve"> </w:t>
    </w:r>
    <w:r>
      <w:rPr>
        <w:rFonts w:ascii="Calibri Light" w:hAnsi="Calibri Light"/>
        <w:b/>
      </w:rPr>
      <w:t xml:space="preserve"> Measure Name</w:t>
    </w:r>
  </w:p>
  <w:p w14:paraId="2962917D" w14:textId="77777777" w:rsidR="00204666" w:rsidRDefault="0020466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2A39EF" w14:textId="77777777" w:rsidR="00204666" w:rsidRDefault="00204666" w:rsidP="00B867C3">
    <w:pPr>
      <w:jc w:val="center"/>
    </w:pPr>
  </w:p>
  <w:p w14:paraId="18FD460A" w14:textId="77777777" w:rsidR="00204666" w:rsidRDefault="00204666" w:rsidP="00B867C3">
    <w:pPr>
      <w:jc w:val="center"/>
    </w:pPr>
    <w:r>
      <w:rPr>
        <w:noProof/>
      </w:rPr>
      <w:drawing>
        <wp:inline distT="0" distB="0" distL="0" distR="0" wp14:anchorId="6DD891C0" wp14:editId="285C6DDC">
          <wp:extent cx="937307" cy="1405961"/>
          <wp:effectExtent l="0" t="0" r="2540" b="0"/>
          <wp:docPr id="30" name="Picture 30"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ers/jenniferholmes/Documents/___FutEE /CalTF and eTRM/Style Guide Logos Colors Templates/eTRM_Logo.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5933" cy="1433900"/>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1CFB63" w14:textId="77777777" w:rsidR="00204666" w:rsidRDefault="00204666" w:rsidP="001D7A57">
    <w:pPr>
      <w:pStyle w:val="Header"/>
    </w:pPr>
    <w:r>
      <w:rPr>
        <w:rFonts w:ascii="Calibri Light" w:hAnsi="Calibri Light"/>
      </w:rPr>
      <w:t xml:space="preserve">FOOD SERVICE </w:t>
    </w:r>
    <w:r w:rsidRPr="000220A0">
      <w:rPr>
        <w:rFonts w:ascii="Calibri Light" w:hAnsi="Calibri Light"/>
      </w:rPr>
      <w:t xml:space="preserve"> </w:t>
    </w:r>
    <w:r w:rsidRPr="00181E01">
      <w:rPr>
        <w:rFonts w:ascii="Calibri Light" w:hAnsi="Calibri Light"/>
        <w:color w:val="8DC63F"/>
      </w:rPr>
      <w:sym w:font="Wingdings" w:char="F06E"/>
    </w:r>
    <w:r w:rsidRPr="000220A0">
      <w:rPr>
        <w:rFonts w:ascii="Calibri Light" w:hAnsi="Calibri Light"/>
      </w:rPr>
      <w:t xml:space="preserve">  </w:t>
    </w:r>
    <w:r>
      <w:rPr>
        <w:rFonts w:ascii="Calibri Light" w:hAnsi="Calibri Light"/>
        <w:b/>
      </w:rPr>
      <w:t>Insulated Hot Food Holding Cabinet</w:t>
    </w:r>
  </w:p>
  <w:p w14:paraId="37E4CB06" w14:textId="77777777" w:rsidR="00204666" w:rsidRDefault="0020466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1A5F7B" w14:textId="77777777" w:rsidR="00204666" w:rsidRDefault="002046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27809BA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C82C59"/>
    <w:multiLevelType w:val="hybridMultilevel"/>
    <w:tmpl w:val="9F48222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A5F09"/>
    <w:multiLevelType w:val="hybridMultilevel"/>
    <w:tmpl w:val="37F86C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5815BB"/>
    <w:multiLevelType w:val="hybridMultilevel"/>
    <w:tmpl w:val="B8B6BB8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8C162BD"/>
    <w:multiLevelType w:val="hybridMultilevel"/>
    <w:tmpl w:val="8F149D4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F161B9"/>
    <w:multiLevelType w:val="hybridMultilevel"/>
    <w:tmpl w:val="6856183C"/>
    <w:lvl w:ilvl="0" w:tplc="60B2E530">
      <w:start w:val="1"/>
      <w:numFmt w:val="bullet"/>
      <w:lvlText w:val=""/>
      <w:lvlJc w:val="left"/>
      <w:pPr>
        <w:ind w:left="720" w:hanging="360"/>
      </w:pPr>
      <w:rPr>
        <w:rFonts w:ascii="Symbol" w:hAnsi="Symbol" w:hint="default"/>
        <w:color w:val="404040" w:themeColor="accent3" w:themeShade="80"/>
        <w:sz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8957A1"/>
    <w:multiLevelType w:val="hybridMultilevel"/>
    <w:tmpl w:val="4AD8BBE2"/>
    <w:lvl w:ilvl="0" w:tplc="60E6B210">
      <w:start w:val="1"/>
      <w:numFmt w:val="decimal"/>
      <w:pStyle w:val="eTRM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8D40528"/>
    <w:multiLevelType w:val="hybridMultilevel"/>
    <w:tmpl w:val="F8DE20B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5801B01"/>
    <w:multiLevelType w:val="multilevel"/>
    <w:tmpl w:val="E1E82E7E"/>
    <w:name w:val="EMIBULLET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96E69A3"/>
    <w:multiLevelType w:val="hybridMultilevel"/>
    <w:tmpl w:val="D7EE809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9C33106"/>
    <w:multiLevelType w:val="multilevel"/>
    <w:tmpl w:val="00C27506"/>
    <w:lvl w:ilvl="0">
      <w:start w:val="1"/>
      <w:numFmt w:val="decimal"/>
      <w:lvlText w:val="%1"/>
      <w:lvlJc w:val="left"/>
      <w:pPr>
        <w:tabs>
          <w:tab w:val="num" w:pos="504"/>
        </w:tabs>
        <w:ind w:left="504" w:hanging="504"/>
      </w:pPr>
      <w:rPr>
        <w:rFonts w:ascii="Avenir Next" w:hAnsi="Avenir Next" w:hint="default"/>
        <w:b w:val="0"/>
        <w:i w:val="0"/>
        <w:color w:val="164B76"/>
        <w:sz w:val="72"/>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11" w15:restartNumberingAfterBreak="0">
    <w:nsid w:val="3CDA3ACF"/>
    <w:multiLevelType w:val="hybridMultilevel"/>
    <w:tmpl w:val="3D4043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0C919F2"/>
    <w:multiLevelType w:val="hybridMultilevel"/>
    <w:tmpl w:val="9A9828DE"/>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3E57611"/>
    <w:multiLevelType w:val="multilevel"/>
    <w:tmpl w:val="E1E82E7E"/>
    <w:name w:val="EMIBULLET3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498A6E76"/>
    <w:multiLevelType w:val="hybridMultilevel"/>
    <w:tmpl w:val="85C0B1E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4DA6B52"/>
    <w:multiLevelType w:val="hybridMultilevel"/>
    <w:tmpl w:val="10A25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0816E8"/>
    <w:multiLevelType w:val="hybridMultilevel"/>
    <w:tmpl w:val="988E15C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C044B6C"/>
    <w:multiLevelType w:val="multilevel"/>
    <w:tmpl w:val="00C27506"/>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pStyle w:val="Heading9"/>
      <w:lvlText w:val="%1.%2.%3.%4.%5.%6.%7.%8.%9"/>
      <w:lvlJc w:val="left"/>
      <w:pPr>
        <w:ind w:left="2304" w:hanging="1584"/>
      </w:pPr>
      <w:rPr>
        <w:rFonts w:hint="default"/>
      </w:rPr>
    </w:lvl>
  </w:abstractNum>
  <w:abstractNum w:abstractNumId="18" w15:restartNumberingAfterBreak="0">
    <w:nsid w:val="6FC07B80"/>
    <w:multiLevelType w:val="hybridMultilevel"/>
    <w:tmpl w:val="55922A78"/>
    <w:lvl w:ilvl="0" w:tplc="BC907EE2">
      <w:start w:val="1"/>
      <w:numFmt w:val="bullet"/>
      <w:pStyle w:val="eTRMBulletedText"/>
      <w:lvlText w:val=""/>
      <w:lvlJc w:val="left"/>
      <w:pPr>
        <w:ind w:left="720" w:hanging="360"/>
      </w:pPr>
      <w:rPr>
        <w:rFonts w:ascii="Symbol" w:hAnsi="Symbol" w:hint="default"/>
        <w:color w:val="404040" w:themeColor="accent3" w:themeShade="80"/>
        <w:sz w:val="20"/>
      </w:rPr>
    </w:lvl>
    <w:lvl w:ilvl="1" w:tplc="797E59F6">
      <w:start w:val="1"/>
      <w:numFmt w:val="bullet"/>
      <w:pStyle w:val="eTRMSub-bulletedText"/>
      <w:lvlText w:val="-"/>
      <w:lvlJc w:val="left"/>
      <w:pPr>
        <w:ind w:left="1440" w:hanging="360"/>
      </w:pPr>
      <w:rPr>
        <w:rFonts w:ascii="Courier New" w:hAnsi="Courier New" w:hint="default"/>
        <w:color w:val="404040" w:themeColor="accent3"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1E35D41"/>
    <w:multiLevelType w:val="multilevel"/>
    <w:tmpl w:val="00C27506"/>
    <w:lvl w:ilvl="0">
      <w:start w:val="1"/>
      <w:numFmt w:val="decimal"/>
      <w:lvlText w:val="%1"/>
      <w:lvlJc w:val="left"/>
      <w:pPr>
        <w:tabs>
          <w:tab w:val="num" w:pos="504"/>
        </w:tabs>
        <w:ind w:left="504" w:hanging="504"/>
      </w:pPr>
      <w:rPr>
        <w:rFonts w:ascii="Avenir Next" w:hAnsi="Avenir Next" w:hint="default"/>
        <w:b w:val="0"/>
        <w:i w:val="0"/>
        <w:color w:val="164B76"/>
        <w:sz w:val="72"/>
      </w:rPr>
    </w:lvl>
    <w:lvl w:ilvl="1">
      <w:start w:val="1"/>
      <w:numFmt w:val="decimal"/>
      <w:pStyle w:val="Heading2"/>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20" w15:restartNumberingAfterBreak="0">
    <w:nsid w:val="732B14C5"/>
    <w:multiLevelType w:val="hybridMultilevel"/>
    <w:tmpl w:val="F81041A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629650D"/>
    <w:multiLevelType w:val="multilevel"/>
    <w:tmpl w:val="25189148"/>
    <w:lvl w:ilvl="0">
      <w:start w:val="1"/>
      <w:numFmt w:val="upperLetter"/>
      <w:lvlText w:val="Appendix %1:"/>
      <w:lvlJc w:val="left"/>
      <w:pPr>
        <w:tabs>
          <w:tab w:val="num" w:pos="2707"/>
        </w:tabs>
        <w:ind w:left="2707" w:hanging="2707"/>
      </w:pPr>
      <w:rPr>
        <w:rFonts w:hint="default"/>
      </w:rPr>
    </w:lvl>
    <w:lvl w:ilvl="1">
      <w:start w:val="1"/>
      <w:numFmt w:val="decimal"/>
      <w:lvlText w:val="%1.%2"/>
      <w:lvlJc w:val="left"/>
      <w:pPr>
        <w:tabs>
          <w:tab w:val="num" w:pos="3600"/>
        </w:tabs>
        <w:ind w:left="3600" w:hanging="3600"/>
      </w:pPr>
      <w:rPr>
        <w:rFonts w:hint="default"/>
        <w:color w:val="207685" w:themeColor="accent6" w:themeShade="80"/>
      </w:rPr>
    </w:lvl>
    <w:lvl w:ilvl="2">
      <w:start w:val="1"/>
      <w:numFmt w:val="decimal"/>
      <w:lvlText w:val="%1.%2.%3 "/>
      <w:lvlJc w:val="left"/>
      <w:pPr>
        <w:tabs>
          <w:tab w:val="num" w:pos="3600"/>
        </w:tabs>
        <w:ind w:left="3600" w:hanging="3600"/>
      </w:pPr>
      <w:rPr>
        <w:rFonts w:hint="default"/>
      </w:rPr>
    </w:lvl>
    <w:lvl w:ilvl="3">
      <w:start w:val="1"/>
      <w:numFmt w:val="decimal"/>
      <w:lvlText w:val="%4."/>
      <w:lvlJc w:val="left"/>
      <w:pPr>
        <w:ind w:left="13500" w:hanging="360"/>
      </w:pPr>
      <w:rPr>
        <w:rFonts w:hint="default"/>
      </w:rPr>
    </w:lvl>
    <w:lvl w:ilvl="4">
      <w:start w:val="1"/>
      <w:numFmt w:val="lowerLetter"/>
      <w:lvlText w:val="%5."/>
      <w:lvlJc w:val="left"/>
      <w:pPr>
        <w:tabs>
          <w:tab w:val="num" w:pos="0"/>
        </w:tabs>
        <w:ind w:left="14220" w:hanging="360"/>
      </w:pPr>
      <w:rPr>
        <w:rFonts w:hint="default"/>
      </w:rPr>
    </w:lvl>
    <w:lvl w:ilvl="5">
      <w:start w:val="1"/>
      <w:numFmt w:val="upperLetter"/>
      <w:pStyle w:val="Heading6"/>
      <w:lvlText w:val="Appendix %6: "/>
      <w:lvlJc w:val="left"/>
      <w:pPr>
        <w:tabs>
          <w:tab w:val="num" w:pos="2707"/>
        </w:tabs>
        <w:ind w:left="2707" w:hanging="2707"/>
      </w:pPr>
      <w:rPr>
        <w:rFonts w:hint="default"/>
      </w:rPr>
    </w:lvl>
    <w:lvl w:ilvl="6">
      <w:start w:val="1"/>
      <w:numFmt w:val="decimal"/>
      <w:pStyle w:val="Heading7"/>
      <w:lvlText w:val="%6.%7 "/>
      <w:lvlJc w:val="left"/>
      <w:pPr>
        <w:tabs>
          <w:tab w:val="num" w:pos="720"/>
        </w:tabs>
        <w:ind w:left="720" w:hanging="720"/>
      </w:pPr>
      <w:rPr>
        <w:rFonts w:hint="default"/>
      </w:rPr>
    </w:lvl>
    <w:lvl w:ilvl="7">
      <w:start w:val="1"/>
      <w:numFmt w:val="decimal"/>
      <w:lvlText w:val="%6.%7.%8 "/>
      <w:lvlJc w:val="left"/>
      <w:pPr>
        <w:tabs>
          <w:tab w:val="num" w:pos="3600"/>
        </w:tabs>
        <w:ind w:left="3600" w:hanging="3600"/>
      </w:pPr>
      <w:rPr>
        <w:rFonts w:hint="default"/>
      </w:rPr>
    </w:lvl>
    <w:lvl w:ilvl="8">
      <w:start w:val="1"/>
      <w:numFmt w:val="lowerRoman"/>
      <w:lvlText w:val="%9."/>
      <w:lvlJc w:val="right"/>
      <w:pPr>
        <w:ind w:left="17100" w:hanging="180"/>
      </w:pPr>
      <w:rPr>
        <w:rFonts w:hint="default"/>
      </w:rPr>
    </w:lvl>
  </w:abstractNum>
  <w:abstractNum w:abstractNumId="22" w15:restartNumberingAfterBreak="0">
    <w:nsid w:val="76DC32C3"/>
    <w:multiLevelType w:val="hybridMultilevel"/>
    <w:tmpl w:val="8F2CF39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9"/>
  </w:num>
  <w:num w:numId="3">
    <w:abstractNumId w:val="21"/>
  </w:num>
  <w:num w:numId="4">
    <w:abstractNumId w:val="21"/>
  </w:num>
  <w:num w:numId="5">
    <w:abstractNumId w:val="17"/>
    <w:lvlOverride w:ilvl="0">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Override>
  </w:num>
  <w:num w:numId="6">
    <w:abstractNumId w:val="2"/>
  </w:num>
  <w:num w:numId="7">
    <w:abstractNumId w:val="5"/>
  </w:num>
  <w:num w:numId="8">
    <w:abstractNumId w:val="18"/>
  </w:num>
  <w:num w:numId="9">
    <w:abstractNumId w:val="0"/>
  </w:num>
  <w:num w:numId="10">
    <w:abstractNumId w:val="20"/>
  </w:num>
  <w:num w:numId="11">
    <w:abstractNumId w:val="6"/>
  </w:num>
  <w:num w:numId="12">
    <w:abstractNumId w:val="12"/>
  </w:num>
  <w:num w:numId="13">
    <w:abstractNumId w:val="22"/>
  </w:num>
  <w:num w:numId="14">
    <w:abstractNumId w:val="14"/>
  </w:num>
  <w:num w:numId="15">
    <w:abstractNumId w:val="4"/>
  </w:num>
  <w:num w:numId="16">
    <w:abstractNumId w:val="16"/>
  </w:num>
  <w:num w:numId="17">
    <w:abstractNumId w:val="9"/>
  </w:num>
  <w:num w:numId="18">
    <w:abstractNumId w:val="3"/>
  </w:num>
  <w:num w:numId="19">
    <w:abstractNumId w:val="7"/>
  </w:num>
  <w:num w:numId="20">
    <w:abstractNumId w:val="1"/>
  </w:num>
  <w:num w:numId="21">
    <w:abstractNumId w:val="11"/>
  </w:num>
  <w:num w:numId="22">
    <w:abstractNumId w:val="1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20"/>
  <w:drawingGridHorizontalSpacing w:val="110"/>
  <w:displayHorizontalDrawingGridEvery w:val="2"/>
  <w:displayVerticalDrawingGridEvery w:val="2"/>
  <w:characterSpacingControl w:val="doNotCompress"/>
  <w:hdrShapeDefaults>
    <o:shapedefaults v:ext="edit" spidmax="10241"/>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A08"/>
    <w:rsid w:val="000017B2"/>
    <w:rsid w:val="00005B06"/>
    <w:rsid w:val="000063B0"/>
    <w:rsid w:val="000110D9"/>
    <w:rsid w:val="000111AF"/>
    <w:rsid w:val="00016928"/>
    <w:rsid w:val="00017808"/>
    <w:rsid w:val="00020824"/>
    <w:rsid w:val="000220A0"/>
    <w:rsid w:val="0002389A"/>
    <w:rsid w:val="00026D58"/>
    <w:rsid w:val="00027367"/>
    <w:rsid w:val="000302DF"/>
    <w:rsid w:val="00031184"/>
    <w:rsid w:val="00034336"/>
    <w:rsid w:val="00036EDE"/>
    <w:rsid w:val="00037A06"/>
    <w:rsid w:val="00046BB0"/>
    <w:rsid w:val="00047564"/>
    <w:rsid w:val="00050029"/>
    <w:rsid w:val="0005040C"/>
    <w:rsid w:val="00051DBB"/>
    <w:rsid w:val="00052C95"/>
    <w:rsid w:val="00061D34"/>
    <w:rsid w:val="00062EAE"/>
    <w:rsid w:val="00066749"/>
    <w:rsid w:val="000672E5"/>
    <w:rsid w:val="00071F49"/>
    <w:rsid w:val="00074E3E"/>
    <w:rsid w:val="000767E9"/>
    <w:rsid w:val="00077175"/>
    <w:rsid w:val="0008108C"/>
    <w:rsid w:val="000841AA"/>
    <w:rsid w:val="00084550"/>
    <w:rsid w:val="00084E7E"/>
    <w:rsid w:val="00090BBF"/>
    <w:rsid w:val="000910B7"/>
    <w:rsid w:val="00091581"/>
    <w:rsid w:val="00094285"/>
    <w:rsid w:val="00094517"/>
    <w:rsid w:val="00096485"/>
    <w:rsid w:val="00096A11"/>
    <w:rsid w:val="000978C8"/>
    <w:rsid w:val="000A4D3A"/>
    <w:rsid w:val="000A6270"/>
    <w:rsid w:val="000A62EF"/>
    <w:rsid w:val="000A66B7"/>
    <w:rsid w:val="000A7058"/>
    <w:rsid w:val="000A7594"/>
    <w:rsid w:val="000B03F0"/>
    <w:rsid w:val="000B6004"/>
    <w:rsid w:val="000C36B4"/>
    <w:rsid w:val="000C72C1"/>
    <w:rsid w:val="000C7EA0"/>
    <w:rsid w:val="000D3BFB"/>
    <w:rsid w:val="000D577F"/>
    <w:rsid w:val="000F1443"/>
    <w:rsid w:val="000F1833"/>
    <w:rsid w:val="00100423"/>
    <w:rsid w:val="0010094F"/>
    <w:rsid w:val="00103399"/>
    <w:rsid w:val="00104933"/>
    <w:rsid w:val="00111A53"/>
    <w:rsid w:val="0011498C"/>
    <w:rsid w:val="00120592"/>
    <w:rsid w:val="001207D5"/>
    <w:rsid w:val="001217DF"/>
    <w:rsid w:val="0012187D"/>
    <w:rsid w:val="00124BFE"/>
    <w:rsid w:val="00126809"/>
    <w:rsid w:val="00131C5A"/>
    <w:rsid w:val="001407FB"/>
    <w:rsid w:val="00142D3C"/>
    <w:rsid w:val="00143F0D"/>
    <w:rsid w:val="00145866"/>
    <w:rsid w:val="00151B9F"/>
    <w:rsid w:val="00154391"/>
    <w:rsid w:val="001564FC"/>
    <w:rsid w:val="00161DF1"/>
    <w:rsid w:val="001648F6"/>
    <w:rsid w:val="00165C73"/>
    <w:rsid w:val="00171BB8"/>
    <w:rsid w:val="0017375B"/>
    <w:rsid w:val="00174707"/>
    <w:rsid w:val="00176DED"/>
    <w:rsid w:val="00180DAD"/>
    <w:rsid w:val="00181497"/>
    <w:rsid w:val="00181672"/>
    <w:rsid w:val="00181E01"/>
    <w:rsid w:val="0018259A"/>
    <w:rsid w:val="00192191"/>
    <w:rsid w:val="001944A0"/>
    <w:rsid w:val="001945B5"/>
    <w:rsid w:val="00195B03"/>
    <w:rsid w:val="00196649"/>
    <w:rsid w:val="001A2217"/>
    <w:rsid w:val="001A4BE1"/>
    <w:rsid w:val="001A7A21"/>
    <w:rsid w:val="001B12D9"/>
    <w:rsid w:val="001B1D23"/>
    <w:rsid w:val="001B6048"/>
    <w:rsid w:val="001B7566"/>
    <w:rsid w:val="001C0CC8"/>
    <w:rsid w:val="001C1C25"/>
    <w:rsid w:val="001C247C"/>
    <w:rsid w:val="001C2ACE"/>
    <w:rsid w:val="001C50D5"/>
    <w:rsid w:val="001C6C9B"/>
    <w:rsid w:val="001C7134"/>
    <w:rsid w:val="001C7259"/>
    <w:rsid w:val="001D34D3"/>
    <w:rsid w:val="001D65A6"/>
    <w:rsid w:val="001D7A57"/>
    <w:rsid w:val="001E19A3"/>
    <w:rsid w:val="001E4C3F"/>
    <w:rsid w:val="001F5CAD"/>
    <w:rsid w:val="001F735E"/>
    <w:rsid w:val="001F75C3"/>
    <w:rsid w:val="001F7EDE"/>
    <w:rsid w:val="002005A8"/>
    <w:rsid w:val="002006B6"/>
    <w:rsid w:val="00204666"/>
    <w:rsid w:val="00205BAF"/>
    <w:rsid w:val="00207F85"/>
    <w:rsid w:val="0021226A"/>
    <w:rsid w:val="0022259E"/>
    <w:rsid w:val="0022294E"/>
    <w:rsid w:val="00225142"/>
    <w:rsid w:val="002259D0"/>
    <w:rsid w:val="00227BDD"/>
    <w:rsid w:val="002318A4"/>
    <w:rsid w:val="002335FF"/>
    <w:rsid w:val="00233D87"/>
    <w:rsid w:val="0023666C"/>
    <w:rsid w:val="00236E0A"/>
    <w:rsid w:val="00237964"/>
    <w:rsid w:val="002421F5"/>
    <w:rsid w:val="002434DE"/>
    <w:rsid w:val="00243B79"/>
    <w:rsid w:val="00245AFF"/>
    <w:rsid w:val="0024628D"/>
    <w:rsid w:val="0024690E"/>
    <w:rsid w:val="00251ABC"/>
    <w:rsid w:val="0025223A"/>
    <w:rsid w:val="002524CF"/>
    <w:rsid w:val="00256400"/>
    <w:rsid w:val="00263265"/>
    <w:rsid w:val="00275C56"/>
    <w:rsid w:val="00276F9B"/>
    <w:rsid w:val="00277238"/>
    <w:rsid w:val="002809A4"/>
    <w:rsid w:val="00280C3B"/>
    <w:rsid w:val="00287795"/>
    <w:rsid w:val="00294F34"/>
    <w:rsid w:val="0029555D"/>
    <w:rsid w:val="0029781E"/>
    <w:rsid w:val="002A2471"/>
    <w:rsid w:val="002A2A94"/>
    <w:rsid w:val="002A4FEB"/>
    <w:rsid w:val="002A5C85"/>
    <w:rsid w:val="002B107C"/>
    <w:rsid w:val="002B2C97"/>
    <w:rsid w:val="002B3BF4"/>
    <w:rsid w:val="002B6DED"/>
    <w:rsid w:val="002B6F2A"/>
    <w:rsid w:val="002C0299"/>
    <w:rsid w:val="002C06FC"/>
    <w:rsid w:val="002C1117"/>
    <w:rsid w:val="002C4DEF"/>
    <w:rsid w:val="002C67DF"/>
    <w:rsid w:val="002D0036"/>
    <w:rsid w:val="002D29F8"/>
    <w:rsid w:val="002D2FA8"/>
    <w:rsid w:val="002D40EE"/>
    <w:rsid w:val="002D4993"/>
    <w:rsid w:val="002D50E9"/>
    <w:rsid w:val="002D5CFA"/>
    <w:rsid w:val="002D7FFA"/>
    <w:rsid w:val="002E05A3"/>
    <w:rsid w:val="002E1D04"/>
    <w:rsid w:val="002F00A9"/>
    <w:rsid w:val="002F0B43"/>
    <w:rsid w:val="002F3B4F"/>
    <w:rsid w:val="002F5B5C"/>
    <w:rsid w:val="002F7776"/>
    <w:rsid w:val="00302A82"/>
    <w:rsid w:val="003051C8"/>
    <w:rsid w:val="003103FB"/>
    <w:rsid w:val="00311972"/>
    <w:rsid w:val="00311F99"/>
    <w:rsid w:val="00313E1D"/>
    <w:rsid w:val="00314643"/>
    <w:rsid w:val="003247FA"/>
    <w:rsid w:val="00325711"/>
    <w:rsid w:val="0032729A"/>
    <w:rsid w:val="003309DA"/>
    <w:rsid w:val="00333809"/>
    <w:rsid w:val="00333DEE"/>
    <w:rsid w:val="00336313"/>
    <w:rsid w:val="00336722"/>
    <w:rsid w:val="00337D1D"/>
    <w:rsid w:val="00341FB1"/>
    <w:rsid w:val="0035060F"/>
    <w:rsid w:val="00352864"/>
    <w:rsid w:val="00362F9E"/>
    <w:rsid w:val="00363BE8"/>
    <w:rsid w:val="00372F61"/>
    <w:rsid w:val="0037457B"/>
    <w:rsid w:val="00385069"/>
    <w:rsid w:val="00392097"/>
    <w:rsid w:val="00392684"/>
    <w:rsid w:val="00392F48"/>
    <w:rsid w:val="003A54D6"/>
    <w:rsid w:val="003B6017"/>
    <w:rsid w:val="003B7610"/>
    <w:rsid w:val="003C2CC3"/>
    <w:rsid w:val="003C7721"/>
    <w:rsid w:val="003D1FB8"/>
    <w:rsid w:val="003D31BE"/>
    <w:rsid w:val="003D48B0"/>
    <w:rsid w:val="003D7104"/>
    <w:rsid w:val="003D72B3"/>
    <w:rsid w:val="003E2CB3"/>
    <w:rsid w:val="003E5605"/>
    <w:rsid w:val="003E5960"/>
    <w:rsid w:val="003E5995"/>
    <w:rsid w:val="003F269E"/>
    <w:rsid w:val="003F4964"/>
    <w:rsid w:val="003F65F3"/>
    <w:rsid w:val="00401C43"/>
    <w:rsid w:val="004046FF"/>
    <w:rsid w:val="0040724C"/>
    <w:rsid w:val="00410790"/>
    <w:rsid w:val="0041160A"/>
    <w:rsid w:val="00411EF4"/>
    <w:rsid w:val="004133BB"/>
    <w:rsid w:val="004142EF"/>
    <w:rsid w:val="00420958"/>
    <w:rsid w:val="00420EF1"/>
    <w:rsid w:val="00421920"/>
    <w:rsid w:val="004249A0"/>
    <w:rsid w:val="00432D49"/>
    <w:rsid w:val="0043368E"/>
    <w:rsid w:val="004339EA"/>
    <w:rsid w:val="00433E8F"/>
    <w:rsid w:val="0043690D"/>
    <w:rsid w:val="0044577B"/>
    <w:rsid w:val="00447098"/>
    <w:rsid w:val="00447733"/>
    <w:rsid w:val="004517F1"/>
    <w:rsid w:val="00453160"/>
    <w:rsid w:val="004562F4"/>
    <w:rsid w:val="0045685E"/>
    <w:rsid w:val="00461AE3"/>
    <w:rsid w:val="0046377E"/>
    <w:rsid w:val="00464913"/>
    <w:rsid w:val="00464A63"/>
    <w:rsid w:val="0046691E"/>
    <w:rsid w:val="00466DD6"/>
    <w:rsid w:val="00470670"/>
    <w:rsid w:val="004707C6"/>
    <w:rsid w:val="0047184F"/>
    <w:rsid w:val="00472286"/>
    <w:rsid w:val="00475A47"/>
    <w:rsid w:val="0048328D"/>
    <w:rsid w:val="00483479"/>
    <w:rsid w:val="00484536"/>
    <w:rsid w:val="00486585"/>
    <w:rsid w:val="00492543"/>
    <w:rsid w:val="00497289"/>
    <w:rsid w:val="00497F4D"/>
    <w:rsid w:val="004A06AE"/>
    <w:rsid w:val="004A510D"/>
    <w:rsid w:val="004A67A7"/>
    <w:rsid w:val="004B06E3"/>
    <w:rsid w:val="004B1880"/>
    <w:rsid w:val="004B35DC"/>
    <w:rsid w:val="004B5888"/>
    <w:rsid w:val="004C2A36"/>
    <w:rsid w:val="004C3663"/>
    <w:rsid w:val="004C4616"/>
    <w:rsid w:val="004C5636"/>
    <w:rsid w:val="004C57EC"/>
    <w:rsid w:val="004C69F2"/>
    <w:rsid w:val="004C7F98"/>
    <w:rsid w:val="004D1461"/>
    <w:rsid w:val="004D3A71"/>
    <w:rsid w:val="004D3CE4"/>
    <w:rsid w:val="004D7E51"/>
    <w:rsid w:val="004E04EE"/>
    <w:rsid w:val="004E1B37"/>
    <w:rsid w:val="004E2704"/>
    <w:rsid w:val="004E4D01"/>
    <w:rsid w:val="004F02F1"/>
    <w:rsid w:val="004F058F"/>
    <w:rsid w:val="004F2CDE"/>
    <w:rsid w:val="00500964"/>
    <w:rsid w:val="00500C66"/>
    <w:rsid w:val="0050253D"/>
    <w:rsid w:val="00505B94"/>
    <w:rsid w:val="005130EC"/>
    <w:rsid w:val="00513623"/>
    <w:rsid w:val="005146E6"/>
    <w:rsid w:val="00526526"/>
    <w:rsid w:val="00527922"/>
    <w:rsid w:val="0053040B"/>
    <w:rsid w:val="005322F1"/>
    <w:rsid w:val="00535A42"/>
    <w:rsid w:val="0053748E"/>
    <w:rsid w:val="005378CE"/>
    <w:rsid w:val="0054218B"/>
    <w:rsid w:val="005449C6"/>
    <w:rsid w:val="00562810"/>
    <w:rsid w:val="00566B42"/>
    <w:rsid w:val="0057165C"/>
    <w:rsid w:val="005722C6"/>
    <w:rsid w:val="00575510"/>
    <w:rsid w:val="00580FF8"/>
    <w:rsid w:val="00585C8D"/>
    <w:rsid w:val="005862CC"/>
    <w:rsid w:val="005911FE"/>
    <w:rsid w:val="00591E33"/>
    <w:rsid w:val="00592093"/>
    <w:rsid w:val="0059312F"/>
    <w:rsid w:val="00595758"/>
    <w:rsid w:val="00596081"/>
    <w:rsid w:val="00596144"/>
    <w:rsid w:val="005A3943"/>
    <w:rsid w:val="005A51E6"/>
    <w:rsid w:val="005B7418"/>
    <w:rsid w:val="005C03A9"/>
    <w:rsid w:val="005C107F"/>
    <w:rsid w:val="005C2BFC"/>
    <w:rsid w:val="005C324B"/>
    <w:rsid w:val="005C43E2"/>
    <w:rsid w:val="005C454A"/>
    <w:rsid w:val="005C4ACB"/>
    <w:rsid w:val="005C74C9"/>
    <w:rsid w:val="005D0C59"/>
    <w:rsid w:val="005D1B14"/>
    <w:rsid w:val="005D257B"/>
    <w:rsid w:val="005D5B26"/>
    <w:rsid w:val="005E0784"/>
    <w:rsid w:val="005E13DF"/>
    <w:rsid w:val="005E1D5C"/>
    <w:rsid w:val="005E25DC"/>
    <w:rsid w:val="005E33ED"/>
    <w:rsid w:val="005E4C48"/>
    <w:rsid w:val="005E52AE"/>
    <w:rsid w:val="005E5607"/>
    <w:rsid w:val="005E567C"/>
    <w:rsid w:val="005F0653"/>
    <w:rsid w:val="005F2293"/>
    <w:rsid w:val="005F505E"/>
    <w:rsid w:val="005F643B"/>
    <w:rsid w:val="00602976"/>
    <w:rsid w:val="00602C94"/>
    <w:rsid w:val="0060376A"/>
    <w:rsid w:val="0060388D"/>
    <w:rsid w:val="00604231"/>
    <w:rsid w:val="00604D72"/>
    <w:rsid w:val="00607A59"/>
    <w:rsid w:val="00610C2F"/>
    <w:rsid w:val="006218F1"/>
    <w:rsid w:val="006224B1"/>
    <w:rsid w:val="00625805"/>
    <w:rsid w:val="0062790D"/>
    <w:rsid w:val="00627AC4"/>
    <w:rsid w:val="00631AF8"/>
    <w:rsid w:val="0063253B"/>
    <w:rsid w:val="00635837"/>
    <w:rsid w:val="006363C8"/>
    <w:rsid w:val="00637AB8"/>
    <w:rsid w:val="0064370D"/>
    <w:rsid w:val="00643771"/>
    <w:rsid w:val="00644946"/>
    <w:rsid w:val="00646AB8"/>
    <w:rsid w:val="00647BD9"/>
    <w:rsid w:val="00652342"/>
    <w:rsid w:val="00654A3E"/>
    <w:rsid w:val="006570B6"/>
    <w:rsid w:val="006609FF"/>
    <w:rsid w:val="00661B24"/>
    <w:rsid w:val="006624A7"/>
    <w:rsid w:val="00664F63"/>
    <w:rsid w:val="0066515F"/>
    <w:rsid w:val="006668AF"/>
    <w:rsid w:val="0067779D"/>
    <w:rsid w:val="006822F6"/>
    <w:rsid w:val="00686439"/>
    <w:rsid w:val="00686DF3"/>
    <w:rsid w:val="006948A0"/>
    <w:rsid w:val="00694E75"/>
    <w:rsid w:val="00694F98"/>
    <w:rsid w:val="006A6051"/>
    <w:rsid w:val="006A7E87"/>
    <w:rsid w:val="006B31D9"/>
    <w:rsid w:val="006C0102"/>
    <w:rsid w:val="006C07D4"/>
    <w:rsid w:val="006C41AD"/>
    <w:rsid w:val="006D04BD"/>
    <w:rsid w:val="006D2851"/>
    <w:rsid w:val="006D6F1E"/>
    <w:rsid w:val="006D7180"/>
    <w:rsid w:val="006E1BEB"/>
    <w:rsid w:val="006E400C"/>
    <w:rsid w:val="006E433B"/>
    <w:rsid w:val="006E7899"/>
    <w:rsid w:val="006E7C78"/>
    <w:rsid w:val="006F27F4"/>
    <w:rsid w:val="006F2BE3"/>
    <w:rsid w:val="006F2E23"/>
    <w:rsid w:val="006F6FEA"/>
    <w:rsid w:val="006F7024"/>
    <w:rsid w:val="00703A7C"/>
    <w:rsid w:val="007076DA"/>
    <w:rsid w:val="00707860"/>
    <w:rsid w:val="007207BF"/>
    <w:rsid w:val="00720F44"/>
    <w:rsid w:val="00725CB0"/>
    <w:rsid w:val="007268A4"/>
    <w:rsid w:val="0073685C"/>
    <w:rsid w:val="00737EA5"/>
    <w:rsid w:val="007400AE"/>
    <w:rsid w:val="00741000"/>
    <w:rsid w:val="00741F3E"/>
    <w:rsid w:val="00743AA8"/>
    <w:rsid w:val="00750840"/>
    <w:rsid w:val="00751D86"/>
    <w:rsid w:val="00757376"/>
    <w:rsid w:val="00757617"/>
    <w:rsid w:val="00763AD8"/>
    <w:rsid w:val="00763B52"/>
    <w:rsid w:val="00765016"/>
    <w:rsid w:val="0077100C"/>
    <w:rsid w:val="00771F5F"/>
    <w:rsid w:val="00776C39"/>
    <w:rsid w:val="00781D00"/>
    <w:rsid w:val="007825B7"/>
    <w:rsid w:val="00787CC2"/>
    <w:rsid w:val="00787CD0"/>
    <w:rsid w:val="007900F3"/>
    <w:rsid w:val="00791B69"/>
    <w:rsid w:val="0079498E"/>
    <w:rsid w:val="00795583"/>
    <w:rsid w:val="00796F10"/>
    <w:rsid w:val="007A39C0"/>
    <w:rsid w:val="007A6AB5"/>
    <w:rsid w:val="007A7D81"/>
    <w:rsid w:val="007B0E92"/>
    <w:rsid w:val="007B1B22"/>
    <w:rsid w:val="007B2B46"/>
    <w:rsid w:val="007B30F2"/>
    <w:rsid w:val="007B377F"/>
    <w:rsid w:val="007B4274"/>
    <w:rsid w:val="007B5117"/>
    <w:rsid w:val="007B599D"/>
    <w:rsid w:val="007B6A74"/>
    <w:rsid w:val="007C0A84"/>
    <w:rsid w:val="007C2DC8"/>
    <w:rsid w:val="007D097E"/>
    <w:rsid w:val="007D230B"/>
    <w:rsid w:val="007D2D80"/>
    <w:rsid w:val="007D3681"/>
    <w:rsid w:val="007D3824"/>
    <w:rsid w:val="007D49A1"/>
    <w:rsid w:val="007D59DD"/>
    <w:rsid w:val="007E0A5B"/>
    <w:rsid w:val="007E1F66"/>
    <w:rsid w:val="007E4C10"/>
    <w:rsid w:val="007E6501"/>
    <w:rsid w:val="007E6C25"/>
    <w:rsid w:val="007E7474"/>
    <w:rsid w:val="007F32D7"/>
    <w:rsid w:val="008000F0"/>
    <w:rsid w:val="00801632"/>
    <w:rsid w:val="00804F17"/>
    <w:rsid w:val="0080520B"/>
    <w:rsid w:val="00807B3E"/>
    <w:rsid w:val="00810D4A"/>
    <w:rsid w:val="0081108D"/>
    <w:rsid w:val="00812F82"/>
    <w:rsid w:val="008146FD"/>
    <w:rsid w:val="00814AA3"/>
    <w:rsid w:val="00816AAB"/>
    <w:rsid w:val="00817401"/>
    <w:rsid w:val="00820402"/>
    <w:rsid w:val="00821E0D"/>
    <w:rsid w:val="008243B2"/>
    <w:rsid w:val="00824F08"/>
    <w:rsid w:val="00825E31"/>
    <w:rsid w:val="00826A69"/>
    <w:rsid w:val="008310DF"/>
    <w:rsid w:val="00831105"/>
    <w:rsid w:val="00832B76"/>
    <w:rsid w:val="00835487"/>
    <w:rsid w:val="0083650E"/>
    <w:rsid w:val="0084418D"/>
    <w:rsid w:val="00844A4B"/>
    <w:rsid w:val="00846FC4"/>
    <w:rsid w:val="00847BD9"/>
    <w:rsid w:val="00854676"/>
    <w:rsid w:val="00861F09"/>
    <w:rsid w:val="00865296"/>
    <w:rsid w:val="00865C40"/>
    <w:rsid w:val="00867086"/>
    <w:rsid w:val="0086737E"/>
    <w:rsid w:val="00872227"/>
    <w:rsid w:val="0087429F"/>
    <w:rsid w:val="00874663"/>
    <w:rsid w:val="008762A5"/>
    <w:rsid w:val="00881B95"/>
    <w:rsid w:val="008831CA"/>
    <w:rsid w:val="0089272A"/>
    <w:rsid w:val="00894890"/>
    <w:rsid w:val="0089704C"/>
    <w:rsid w:val="008971BA"/>
    <w:rsid w:val="00897247"/>
    <w:rsid w:val="008A1E39"/>
    <w:rsid w:val="008A76D1"/>
    <w:rsid w:val="008B08F0"/>
    <w:rsid w:val="008B262C"/>
    <w:rsid w:val="008B4EF2"/>
    <w:rsid w:val="008B54C2"/>
    <w:rsid w:val="008B6FC8"/>
    <w:rsid w:val="008B772F"/>
    <w:rsid w:val="008B7862"/>
    <w:rsid w:val="008C0B95"/>
    <w:rsid w:val="008C19E9"/>
    <w:rsid w:val="008C1E2A"/>
    <w:rsid w:val="008C26E9"/>
    <w:rsid w:val="008C774E"/>
    <w:rsid w:val="008D1B98"/>
    <w:rsid w:val="008D1DC6"/>
    <w:rsid w:val="008D6D9D"/>
    <w:rsid w:val="008E090B"/>
    <w:rsid w:val="008E177D"/>
    <w:rsid w:val="008F1691"/>
    <w:rsid w:val="008F22E2"/>
    <w:rsid w:val="008F52E8"/>
    <w:rsid w:val="008F5698"/>
    <w:rsid w:val="008F639E"/>
    <w:rsid w:val="00901EF2"/>
    <w:rsid w:val="00903EB6"/>
    <w:rsid w:val="009079D0"/>
    <w:rsid w:val="00910CE3"/>
    <w:rsid w:val="00913D0A"/>
    <w:rsid w:val="009148A1"/>
    <w:rsid w:val="0092246B"/>
    <w:rsid w:val="00924972"/>
    <w:rsid w:val="00932E1E"/>
    <w:rsid w:val="00934068"/>
    <w:rsid w:val="00937854"/>
    <w:rsid w:val="00941F75"/>
    <w:rsid w:val="00942A91"/>
    <w:rsid w:val="0094476D"/>
    <w:rsid w:val="009469E0"/>
    <w:rsid w:val="009472DD"/>
    <w:rsid w:val="00951C4D"/>
    <w:rsid w:val="0095207C"/>
    <w:rsid w:val="00952D8F"/>
    <w:rsid w:val="00952E03"/>
    <w:rsid w:val="009547E2"/>
    <w:rsid w:val="00956488"/>
    <w:rsid w:val="00956F5F"/>
    <w:rsid w:val="009610DC"/>
    <w:rsid w:val="00967492"/>
    <w:rsid w:val="0097154F"/>
    <w:rsid w:val="00972F08"/>
    <w:rsid w:val="00973FC8"/>
    <w:rsid w:val="00983E25"/>
    <w:rsid w:val="00985996"/>
    <w:rsid w:val="00986978"/>
    <w:rsid w:val="009878BF"/>
    <w:rsid w:val="00994F74"/>
    <w:rsid w:val="0099563A"/>
    <w:rsid w:val="009A13F4"/>
    <w:rsid w:val="009A303B"/>
    <w:rsid w:val="009A44BE"/>
    <w:rsid w:val="009A63FE"/>
    <w:rsid w:val="009B029F"/>
    <w:rsid w:val="009B22D2"/>
    <w:rsid w:val="009B27F8"/>
    <w:rsid w:val="009B3AF7"/>
    <w:rsid w:val="009B4A8B"/>
    <w:rsid w:val="009B74FB"/>
    <w:rsid w:val="009C0660"/>
    <w:rsid w:val="009C4845"/>
    <w:rsid w:val="009C7314"/>
    <w:rsid w:val="009C7B4E"/>
    <w:rsid w:val="009D4772"/>
    <w:rsid w:val="009D5D9F"/>
    <w:rsid w:val="009E0FA2"/>
    <w:rsid w:val="009E2244"/>
    <w:rsid w:val="009F2E94"/>
    <w:rsid w:val="009F57FD"/>
    <w:rsid w:val="009F7F9F"/>
    <w:rsid w:val="00A01E02"/>
    <w:rsid w:val="00A02E26"/>
    <w:rsid w:val="00A0574A"/>
    <w:rsid w:val="00A05BA0"/>
    <w:rsid w:val="00A07E28"/>
    <w:rsid w:val="00A115A2"/>
    <w:rsid w:val="00A131C1"/>
    <w:rsid w:val="00A159C9"/>
    <w:rsid w:val="00A167FB"/>
    <w:rsid w:val="00A21B70"/>
    <w:rsid w:val="00A21D02"/>
    <w:rsid w:val="00A21DDB"/>
    <w:rsid w:val="00A226FB"/>
    <w:rsid w:val="00A23CF6"/>
    <w:rsid w:val="00A2690C"/>
    <w:rsid w:val="00A2792F"/>
    <w:rsid w:val="00A30970"/>
    <w:rsid w:val="00A315E4"/>
    <w:rsid w:val="00A31D96"/>
    <w:rsid w:val="00A31FEE"/>
    <w:rsid w:val="00A33C55"/>
    <w:rsid w:val="00A403B0"/>
    <w:rsid w:val="00A40FE4"/>
    <w:rsid w:val="00A42875"/>
    <w:rsid w:val="00A44193"/>
    <w:rsid w:val="00A44DC1"/>
    <w:rsid w:val="00A47A98"/>
    <w:rsid w:val="00A47EE7"/>
    <w:rsid w:val="00A50B43"/>
    <w:rsid w:val="00A51C87"/>
    <w:rsid w:val="00A54197"/>
    <w:rsid w:val="00A5632F"/>
    <w:rsid w:val="00A600D5"/>
    <w:rsid w:val="00A60D33"/>
    <w:rsid w:val="00A61821"/>
    <w:rsid w:val="00A67CA5"/>
    <w:rsid w:val="00A7406A"/>
    <w:rsid w:val="00A757B3"/>
    <w:rsid w:val="00A75CCD"/>
    <w:rsid w:val="00A80506"/>
    <w:rsid w:val="00A806AE"/>
    <w:rsid w:val="00A8118F"/>
    <w:rsid w:val="00A83458"/>
    <w:rsid w:val="00A86C41"/>
    <w:rsid w:val="00A90148"/>
    <w:rsid w:val="00A90D4A"/>
    <w:rsid w:val="00A93B94"/>
    <w:rsid w:val="00AA0D8C"/>
    <w:rsid w:val="00AA25BC"/>
    <w:rsid w:val="00AA3077"/>
    <w:rsid w:val="00AA46AF"/>
    <w:rsid w:val="00AB42AA"/>
    <w:rsid w:val="00AB4E9E"/>
    <w:rsid w:val="00AB6C99"/>
    <w:rsid w:val="00AB749A"/>
    <w:rsid w:val="00AB7C10"/>
    <w:rsid w:val="00AC11D5"/>
    <w:rsid w:val="00AC15E5"/>
    <w:rsid w:val="00AC22BB"/>
    <w:rsid w:val="00AC4080"/>
    <w:rsid w:val="00AC56DD"/>
    <w:rsid w:val="00AC5A6D"/>
    <w:rsid w:val="00AC5D73"/>
    <w:rsid w:val="00AC73AD"/>
    <w:rsid w:val="00AD0426"/>
    <w:rsid w:val="00AD38B3"/>
    <w:rsid w:val="00AD6C98"/>
    <w:rsid w:val="00AD705A"/>
    <w:rsid w:val="00AD78F9"/>
    <w:rsid w:val="00AE008D"/>
    <w:rsid w:val="00AE30E0"/>
    <w:rsid w:val="00AE346F"/>
    <w:rsid w:val="00AF2122"/>
    <w:rsid w:val="00AF2329"/>
    <w:rsid w:val="00AF2E5F"/>
    <w:rsid w:val="00AF3660"/>
    <w:rsid w:val="00AF7A20"/>
    <w:rsid w:val="00B00FBB"/>
    <w:rsid w:val="00B01312"/>
    <w:rsid w:val="00B01C05"/>
    <w:rsid w:val="00B02D98"/>
    <w:rsid w:val="00B03681"/>
    <w:rsid w:val="00B04AFA"/>
    <w:rsid w:val="00B11BD2"/>
    <w:rsid w:val="00B14E53"/>
    <w:rsid w:val="00B15D2F"/>
    <w:rsid w:val="00B16399"/>
    <w:rsid w:val="00B1760F"/>
    <w:rsid w:val="00B22DCB"/>
    <w:rsid w:val="00B2586D"/>
    <w:rsid w:val="00B25AE4"/>
    <w:rsid w:val="00B26909"/>
    <w:rsid w:val="00B27664"/>
    <w:rsid w:val="00B27A68"/>
    <w:rsid w:val="00B31169"/>
    <w:rsid w:val="00B31828"/>
    <w:rsid w:val="00B42BEE"/>
    <w:rsid w:val="00B452B7"/>
    <w:rsid w:val="00B458E3"/>
    <w:rsid w:val="00B46720"/>
    <w:rsid w:val="00B518FF"/>
    <w:rsid w:val="00B54F17"/>
    <w:rsid w:val="00B56C47"/>
    <w:rsid w:val="00B57D47"/>
    <w:rsid w:val="00B6210E"/>
    <w:rsid w:val="00B632E3"/>
    <w:rsid w:val="00B64DC8"/>
    <w:rsid w:val="00B64E55"/>
    <w:rsid w:val="00B659E7"/>
    <w:rsid w:val="00B66A30"/>
    <w:rsid w:val="00B70688"/>
    <w:rsid w:val="00B75070"/>
    <w:rsid w:val="00B77091"/>
    <w:rsid w:val="00B837C1"/>
    <w:rsid w:val="00B841E0"/>
    <w:rsid w:val="00B8541A"/>
    <w:rsid w:val="00B860BA"/>
    <w:rsid w:val="00B865F5"/>
    <w:rsid w:val="00B867C3"/>
    <w:rsid w:val="00B870A0"/>
    <w:rsid w:val="00B91DFE"/>
    <w:rsid w:val="00B94D73"/>
    <w:rsid w:val="00B966E9"/>
    <w:rsid w:val="00B96BC7"/>
    <w:rsid w:val="00B97229"/>
    <w:rsid w:val="00BA08A3"/>
    <w:rsid w:val="00BA5AB3"/>
    <w:rsid w:val="00BB227E"/>
    <w:rsid w:val="00BB378E"/>
    <w:rsid w:val="00BB7E3D"/>
    <w:rsid w:val="00BC3010"/>
    <w:rsid w:val="00BC3CD1"/>
    <w:rsid w:val="00BC5EC6"/>
    <w:rsid w:val="00BC5F0E"/>
    <w:rsid w:val="00BD2211"/>
    <w:rsid w:val="00BD221D"/>
    <w:rsid w:val="00BD3E65"/>
    <w:rsid w:val="00BD50B8"/>
    <w:rsid w:val="00BD5934"/>
    <w:rsid w:val="00BD7785"/>
    <w:rsid w:val="00BE01DF"/>
    <w:rsid w:val="00BE3B2E"/>
    <w:rsid w:val="00BF1CBD"/>
    <w:rsid w:val="00BF4823"/>
    <w:rsid w:val="00BF52C4"/>
    <w:rsid w:val="00C006BE"/>
    <w:rsid w:val="00C00876"/>
    <w:rsid w:val="00C05B8E"/>
    <w:rsid w:val="00C1063D"/>
    <w:rsid w:val="00C1235B"/>
    <w:rsid w:val="00C15E0E"/>
    <w:rsid w:val="00C21328"/>
    <w:rsid w:val="00C23FB5"/>
    <w:rsid w:val="00C24A1A"/>
    <w:rsid w:val="00C2708C"/>
    <w:rsid w:val="00C331BB"/>
    <w:rsid w:val="00C33BBA"/>
    <w:rsid w:val="00C35C90"/>
    <w:rsid w:val="00C41A08"/>
    <w:rsid w:val="00C422B9"/>
    <w:rsid w:val="00C4241E"/>
    <w:rsid w:val="00C443B8"/>
    <w:rsid w:val="00C44A93"/>
    <w:rsid w:val="00C46752"/>
    <w:rsid w:val="00C5006A"/>
    <w:rsid w:val="00C50EFE"/>
    <w:rsid w:val="00C60A06"/>
    <w:rsid w:val="00C615A3"/>
    <w:rsid w:val="00C635DA"/>
    <w:rsid w:val="00C639E7"/>
    <w:rsid w:val="00C659BE"/>
    <w:rsid w:val="00C71629"/>
    <w:rsid w:val="00C80300"/>
    <w:rsid w:val="00C82307"/>
    <w:rsid w:val="00C8613B"/>
    <w:rsid w:val="00C92622"/>
    <w:rsid w:val="00C97228"/>
    <w:rsid w:val="00C9780D"/>
    <w:rsid w:val="00CA02DA"/>
    <w:rsid w:val="00CA1A54"/>
    <w:rsid w:val="00CA1CBA"/>
    <w:rsid w:val="00CB21B1"/>
    <w:rsid w:val="00CB457E"/>
    <w:rsid w:val="00CC1F4A"/>
    <w:rsid w:val="00CC46B2"/>
    <w:rsid w:val="00CC46EB"/>
    <w:rsid w:val="00CC5718"/>
    <w:rsid w:val="00CC71D8"/>
    <w:rsid w:val="00CD1352"/>
    <w:rsid w:val="00CD1CBE"/>
    <w:rsid w:val="00CD1E3E"/>
    <w:rsid w:val="00CD26EE"/>
    <w:rsid w:val="00CD32E2"/>
    <w:rsid w:val="00CD4B0B"/>
    <w:rsid w:val="00CD6698"/>
    <w:rsid w:val="00CE1CDD"/>
    <w:rsid w:val="00CE1E5B"/>
    <w:rsid w:val="00CE4515"/>
    <w:rsid w:val="00CF1D92"/>
    <w:rsid w:val="00CF5D91"/>
    <w:rsid w:val="00D0025C"/>
    <w:rsid w:val="00D00331"/>
    <w:rsid w:val="00D12172"/>
    <w:rsid w:val="00D12B8C"/>
    <w:rsid w:val="00D200F6"/>
    <w:rsid w:val="00D21646"/>
    <w:rsid w:val="00D23873"/>
    <w:rsid w:val="00D255F3"/>
    <w:rsid w:val="00D37270"/>
    <w:rsid w:val="00D454F2"/>
    <w:rsid w:val="00D4613B"/>
    <w:rsid w:val="00D47485"/>
    <w:rsid w:val="00D47CE9"/>
    <w:rsid w:val="00D52995"/>
    <w:rsid w:val="00D5449C"/>
    <w:rsid w:val="00D728EE"/>
    <w:rsid w:val="00D72ADE"/>
    <w:rsid w:val="00D7410F"/>
    <w:rsid w:val="00D75233"/>
    <w:rsid w:val="00D7728F"/>
    <w:rsid w:val="00D77696"/>
    <w:rsid w:val="00D80465"/>
    <w:rsid w:val="00D81CC4"/>
    <w:rsid w:val="00D95BD6"/>
    <w:rsid w:val="00D9765E"/>
    <w:rsid w:val="00DA11F7"/>
    <w:rsid w:val="00DA4591"/>
    <w:rsid w:val="00DA6279"/>
    <w:rsid w:val="00DA6430"/>
    <w:rsid w:val="00DB47FC"/>
    <w:rsid w:val="00DB63DB"/>
    <w:rsid w:val="00DB76A5"/>
    <w:rsid w:val="00DB7824"/>
    <w:rsid w:val="00DC14B2"/>
    <w:rsid w:val="00DC272E"/>
    <w:rsid w:val="00DC308E"/>
    <w:rsid w:val="00DC7F73"/>
    <w:rsid w:val="00DD38CB"/>
    <w:rsid w:val="00DE191A"/>
    <w:rsid w:val="00DE3123"/>
    <w:rsid w:val="00DE339F"/>
    <w:rsid w:val="00DE49B0"/>
    <w:rsid w:val="00DF1535"/>
    <w:rsid w:val="00DF4FF4"/>
    <w:rsid w:val="00DF53F5"/>
    <w:rsid w:val="00DF61FD"/>
    <w:rsid w:val="00DF6D25"/>
    <w:rsid w:val="00E01951"/>
    <w:rsid w:val="00E03C6D"/>
    <w:rsid w:val="00E04D2F"/>
    <w:rsid w:val="00E11EE3"/>
    <w:rsid w:val="00E135F9"/>
    <w:rsid w:val="00E14349"/>
    <w:rsid w:val="00E167BE"/>
    <w:rsid w:val="00E20C28"/>
    <w:rsid w:val="00E22A77"/>
    <w:rsid w:val="00E22E84"/>
    <w:rsid w:val="00E24B18"/>
    <w:rsid w:val="00E24FBA"/>
    <w:rsid w:val="00E3016C"/>
    <w:rsid w:val="00E348BC"/>
    <w:rsid w:val="00E34DE9"/>
    <w:rsid w:val="00E4088A"/>
    <w:rsid w:val="00E4318F"/>
    <w:rsid w:val="00E4392E"/>
    <w:rsid w:val="00E5186C"/>
    <w:rsid w:val="00E5190D"/>
    <w:rsid w:val="00E529CB"/>
    <w:rsid w:val="00E54395"/>
    <w:rsid w:val="00E54741"/>
    <w:rsid w:val="00E568E5"/>
    <w:rsid w:val="00E623AA"/>
    <w:rsid w:val="00E6453F"/>
    <w:rsid w:val="00E659EF"/>
    <w:rsid w:val="00E70CBD"/>
    <w:rsid w:val="00E717E8"/>
    <w:rsid w:val="00E73D81"/>
    <w:rsid w:val="00E754F4"/>
    <w:rsid w:val="00E86CB7"/>
    <w:rsid w:val="00E8741C"/>
    <w:rsid w:val="00E94348"/>
    <w:rsid w:val="00E97879"/>
    <w:rsid w:val="00EA2D3D"/>
    <w:rsid w:val="00EA5B84"/>
    <w:rsid w:val="00EA7431"/>
    <w:rsid w:val="00EB20F9"/>
    <w:rsid w:val="00EB2361"/>
    <w:rsid w:val="00EB24EB"/>
    <w:rsid w:val="00EC411C"/>
    <w:rsid w:val="00EC7AF1"/>
    <w:rsid w:val="00ED06CC"/>
    <w:rsid w:val="00ED2C8E"/>
    <w:rsid w:val="00ED2FA9"/>
    <w:rsid w:val="00ED379E"/>
    <w:rsid w:val="00ED7680"/>
    <w:rsid w:val="00EE0424"/>
    <w:rsid w:val="00EE0D47"/>
    <w:rsid w:val="00EE5358"/>
    <w:rsid w:val="00EE5BC0"/>
    <w:rsid w:val="00EF0A15"/>
    <w:rsid w:val="00EF71E9"/>
    <w:rsid w:val="00F006D2"/>
    <w:rsid w:val="00F00BD1"/>
    <w:rsid w:val="00F01FD9"/>
    <w:rsid w:val="00F04B07"/>
    <w:rsid w:val="00F05BA8"/>
    <w:rsid w:val="00F06209"/>
    <w:rsid w:val="00F12A7F"/>
    <w:rsid w:val="00F16F13"/>
    <w:rsid w:val="00F23E9A"/>
    <w:rsid w:val="00F242D9"/>
    <w:rsid w:val="00F25D4E"/>
    <w:rsid w:val="00F31E4B"/>
    <w:rsid w:val="00F3469E"/>
    <w:rsid w:val="00F3715D"/>
    <w:rsid w:val="00F37A93"/>
    <w:rsid w:val="00F44B62"/>
    <w:rsid w:val="00F4742F"/>
    <w:rsid w:val="00F5072C"/>
    <w:rsid w:val="00F51CBF"/>
    <w:rsid w:val="00F5411D"/>
    <w:rsid w:val="00F56D2B"/>
    <w:rsid w:val="00F57D2D"/>
    <w:rsid w:val="00F62A49"/>
    <w:rsid w:val="00F64F0D"/>
    <w:rsid w:val="00F64F50"/>
    <w:rsid w:val="00F7026A"/>
    <w:rsid w:val="00F71826"/>
    <w:rsid w:val="00F72B45"/>
    <w:rsid w:val="00F73366"/>
    <w:rsid w:val="00F73B00"/>
    <w:rsid w:val="00F77E75"/>
    <w:rsid w:val="00F84737"/>
    <w:rsid w:val="00F85263"/>
    <w:rsid w:val="00F86C4E"/>
    <w:rsid w:val="00F87B69"/>
    <w:rsid w:val="00F90C95"/>
    <w:rsid w:val="00F9103E"/>
    <w:rsid w:val="00F941C9"/>
    <w:rsid w:val="00F95923"/>
    <w:rsid w:val="00F96A39"/>
    <w:rsid w:val="00F97463"/>
    <w:rsid w:val="00FA49C0"/>
    <w:rsid w:val="00FA4DC6"/>
    <w:rsid w:val="00FA5D99"/>
    <w:rsid w:val="00FB030E"/>
    <w:rsid w:val="00FB3864"/>
    <w:rsid w:val="00FB571F"/>
    <w:rsid w:val="00FC0BAA"/>
    <w:rsid w:val="00FC2D4E"/>
    <w:rsid w:val="00FC404D"/>
    <w:rsid w:val="00FC42BA"/>
    <w:rsid w:val="00FC6166"/>
    <w:rsid w:val="00FD02F1"/>
    <w:rsid w:val="00FD08C1"/>
    <w:rsid w:val="00FD7A7A"/>
    <w:rsid w:val="00FE10C1"/>
    <w:rsid w:val="00FE190E"/>
    <w:rsid w:val="00FE20A9"/>
    <w:rsid w:val="00FE48A9"/>
    <w:rsid w:val="00FF08B7"/>
    <w:rsid w:val="00FF12B8"/>
    <w:rsid w:val="00FF52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3429A86B"/>
  <w15:docId w15:val="{A1346385-2502-4995-B84A-B4C8CBE82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0592"/>
    <w:pPr>
      <w:spacing w:before="120" w:after="120" w:line="220" w:lineRule="atLeast"/>
    </w:pPr>
    <w:rPr>
      <w:rFonts w:ascii="Calibri Light" w:hAnsi="Calibri Light"/>
      <w:sz w:val="22"/>
    </w:rPr>
  </w:style>
  <w:style w:type="paragraph" w:styleId="Heading1">
    <w:name w:val="heading 1"/>
    <w:aliases w:val="H1"/>
    <w:next w:val="Normal"/>
    <w:link w:val="Heading1Char"/>
    <w:uiPriority w:val="9"/>
    <w:qFormat/>
    <w:rsid w:val="009C4845"/>
    <w:pPr>
      <w:keepNext/>
      <w:keepLines/>
      <w:pageBreakBefore/>
      <w:numPr>
        <w:numId w:val="5"/>
      </w:numPr>
      <w:spacing w:before="240" w:after="320"/>
      <w:outlineLvl w:val="0"/>
    </w:pPr>
    <w:rPr>
      <w:rFonts w:ascii="Proxima Nova Light" w:eastAsiaTheme="majorEastAsia" w:hAnsi="Proxima Nova Light" w:cstheme="majorBidi"/>
      <w:caps/>
      <w:color w:val="164B76"/>
      <w:sz w:val="44"/>
      <w:szCs w:val="40"/>
    </w:rPr>
  </w:style>
  <w:style w:type="paragraph" w:styleId="Heading2">
    <w:name w:val="heading 2"/>
    <w:aliases w:val="H2"/>
    <w:basedOn w:val="Normal"/>
    <w:next w:val="Normal"/>
    <w:link w:val="Heading2Char"/>
    <w:uiPriority w:val="9"/>
    <w:unhideWhenUsed/>
    <w:qFormat/>
    <w:rsid w:val="00952E03"/>
    <w:pPr>
      <w:keepNext/>
      <w:keepLines/>
      <w:numPr>
        <w:ilvl w:val="1"/>
        <w:numId w:val="2"/>
      </w:numPr>
      <w:spacing w:before="360" w:after="200"/>
      <w:outlineLvl w:val="1"/>
    </w:pPr>
    <w:rPr>
      <w:rFonts w:ascii="Proxima Nova Light" w:eastAsiaTheme="majorEastAsia" w:hAnsi="Proxima Nova Light" w:cstheme="majorBidi"/>
      <w:bCs/>
      <w:color w:val="164B76"/>
      <w:sz w:val="32"/>
      <w:szCs w:val="26"/>
    </w:rPr>
  </w:style>
  <w:style w:type="paragraph" w:styleId="Heading3">
    <w:name w:val="heading 3"/>
    <w:aliases w:val="H3"/>
    <w:next w:val="Normal"/>
    <w:link w:val="Heading3Char"/>
    <w:uiPriority w:val="9"/>
    <w:unhideWhenUsed/>
    <w:qFormat/>
    <w:rsid w:val="00952E03"/>
    <w:pPr>
      <w:keepNext/>
      <w:keepLines/>
      <w:spacing w:before="120" w:after="120"/>
      <w:outlineLvl w:val="2"/>
    </w:pPr>
    <w:rPr>
      <w:rFonts w:ascii="Proxima Nova Light" w:eastAsiaTheme="majorEastAsia" w:hAnsi="Proxima Nova Light" w:cstheme="majorBidi"/>
      <w:color w:val="164B76"/>
      <w:w w:val="102"/>
      <w:sz w:val="28"/>
      <w:szCs w:val="30"/>
    </w:rPr>
  </w:style>
  <w:style w:type="paragraph" w:styleId="Heading4">
    <w:name w:val="heading 4"/>
    <w:aliases w:val="H4"/>
    <w:next w:val="Normal"/>
    <w:link w:val="Heading4Char"/>
    <w:uiPriority w:val="9"/>
    <w:unhideWhenUsed/>
    <w:qFormat/>
    <w:rsid w:val="00F90C95"/>
    <w:pPr>
      <w:keepNext/>
      <w:keepLines/>
      <w:spacing w:before="280" w:after="160"/>
      <w:outlineLvl w:val="3"/>
    </w:pPr>
    <w:rPr>
      <w:rFonts w:ascii="Proxima Nova Light" w:eastAsiaTheme="majorEastAsia" w:hAnsi="Proxima Nova Light" w:cstheme="majorBidi"/>
      <w:bCs/>
      <w:color w:val="808080" w:themeColor="accent3"/>
      <w:sz w:val="26"/>
      <w:szCs w:val="22"/>
    </w:rPr>
  </w:style>
  <w:style w:type="paragraph" w:styleId="Heading5">
    <w:name w:val="heading 5"/>
    <w:aliases w:val="H5"/>
    <w:basedOn w:val="Normal"/>
    <w:next w:val="Normal"/>
    <w:link w:val="Heading5Char"/>
    <w:uiPriority w:val="9"/>
    <w:unhideWhenUsed/>
    <w:qFormat/>
    <w:rsid w:val="005E52AE"/>
    <w:pPr>
      <w:keepNext/>
      <w:keepLines/>
      <w:spacing w:before="200"/>
      <w:outlineLvl w:val="4"/>
    </w:pPr>
    <w:rPr>
      <w:rFonts w:ascii="Proxima Nova Light" w:eastAsiaTheme="majorEastAsia" w:hAnsi="Proxima Nova Light" w:cstheme="majorBidi"/>
      <w:color w:val="8B8B8B" w:themeColor="text1" w:themeTint="80"/>
    </w:rPr>
  </w:style>
  <w:style w:type="paragraph" w:styleId="Heading6">
    <w:name w:val="heading 6"/>
    <w:aliases w:val="Appendix Header 1"/>
    <w:next w:val="Normal"/>
    <w:link w:val="Heading6Char"/>
    <w:uiPriority w:val="9"/>
    <w:unhideWhenUsed/>
    <w:rsid w:val="005E52AE"/>
    <w:pPr>
      <w:keepNext/>
      <w:numPr>
        <w:ilvl w:val="5"/>
        <w:numId w:val="4"/>
      </w:numPr>
      <w:spacing w:before="360" w:after="240"/>
      <w:outlineLvl w:val="5"/>
    </w:pPr>
    <w:rPr>
      <w:rFonts w:ascii="Proxima Nova Light" w:hAnsi="Proxima Nova Light"/>
      <w:caps/>
      <w:color w:val="FF6D2E" w:themeColor="accent1"/>
      <w:sz w:val="44"/>
      <w:szCs w:val="40"/>
    </w:rPr>
  </w:style>
  <w:style w:type="paragraph" w:styleId="Heading7">
    <w:name w:val="heading 7"/>
    <w:aliases w:val="Appendix Header 7"/>
    <w:next w:val="Normal"/>
    <w:link w:val="Heading7Char"/>
    <w:uiPriority w:val="9"/>
    <w:unhideWhenUsed/>
    <w:rsid w:val="005E52AE"/>
    <w:pPr>
      <w:keepNext/>
      <w:numPr>
        <w:ilvl w:val="6"/>
        <w:numId w:val="4"/>
      </w:numPr>
      <w:spacing w:before="360" w:after="200"/>
      <w:outlineLvl w:val="6"/>
    </w:pPr>
    <w:rPr>
      <w:rFonts w:ascii="Proxima Nova Light" w:hAnsi="Proxima Nova Light"/>
      <w:color w:val="FF6D2E" w:themeColor="accent1"/>
      <w:sz w:val="32"/>
    </w:rPr>
  </w:style>
  <w:style w:type="paragraph" w:styleId="Heading8">
    <w:name w:val="heading 8"/>
    <w:aliases w:val="Appendix 8"/>
    <w:next w:val="Normal"/>
    <w:link w:val="Heading8Char"/>
    <w:uiPriority w:val="9"/>
    <w:unhideWhenUsed/>
    <w:rsid w:val="005E52AE"/>
    <w:pPr>
      <w:spacing w:before="360" w:after="180"/>
      <w:outlineLvl w:val="7"/>
    </w:pPr>
    <w:rPr>
      <w:rFonts w:ascii="Proxima Nova Light" w:hAnsi="Proxima Nova Light"/>
      <w:color w:val="FF6D2E" w:themeColor="accent1"/>
      <w:sz w:val="28"/>
    </w:rPr>
  </w:style>
  <w:style w:type="paragraph" w:styleId="Heading9">
    <w:name w:val="heading 9"/>
    <w:basedOn w:val="Normal"/>
    <w:next w:val="Normal"/>
    <w:link w:val="Heading9Char"/>
    <w:uiPriority w:val="9"/>
    <w:semiHidden/>
    <w:unhideWhenUsed/>
    <w:rsid w:val="009C4845"/>
    <w:pPr>
      <w:keepNext/>
      <w:keepLines/>
      <w:numPr>
        <w:ilvl w:val="8"/>
        <w:numId w:val="5"/>
      </w:numPr>
      <w:spacing w:before="200"/>
      <w:outlineLvl w:val="8"/>
    </w:pPr>
    <w:rPr>
      <w:rFonts w:asciiTheme="majorHAnsi" w:eastAsiaTheme="majorEastAsia" w:hAnsiTheme="majorHAnsi" w:cstheme="majorBidi"/>
      <w:i/>
      <w:iCs/>
      <w:color w:val="525252"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rsid w:val="00952E03"/>
    <w:rPr>
      <w:rFonts w:ascii="Proxima Nova Light" w:eastAsiaTheme="majorEastAsia" w:hAnsi="Proxima Nova Light" w:cstheme="majorBidi"/>
      <w:caps/>
      <w:color w:val="164B76"/>
      <w:sz w:val="44"/>
      <w:szCs w:val="40"/>
    </w:rPr>
  </w:style>
  <w:style w:type="character" w:customStyle="1" w:styleId="Heading2Char">
    <w:name w:val="Heading 2 Char"/>
    <w:aliases w:val="H2 Char"/>
    <w:basedOn w:val="DefaultParagraphFont"/>
    <w:link w:val="Heading2"/>
    <w:uiPriority w:val="9"/>
    <w:rsid w:val="00952E03"/>
    <w:rPr>
      <w:rFonts w:ascii="Proxima Nova Light" w:eastAsiaTheme="majorEastAsia" w:hAnsi="Proxima Nova Light" w:cstheme="majorBidi"/>
      <w:bCs/>
      <w:color w:val="164B76"/>
      <w:sz w:val="32"/>
      <w:szCs w:val="26"/>
    </w:rPr>
  </w:style>
  <w:style w:type="character" w:customStyle="1" w:styleId="Heading3Char">
    <w:name w:val="Heading 3 Char"/>
    <w:aliases w:val="H3 Char"/>
    <w:basedOn w:val="DefaultParagraphFont"/>
    <w:link w:val="Heading3"/>
    <w:uiPriority w:val="9"/>
    <w:rsid w:val="00952E03"/>
    <w:rPr>
      <w:rFonts w:ascii="Proxima Nova Light" w:eastAsiaTheme="majorEastAsia" w:hAnsi="Proxima Nova Light" w:cstheme="majorBidi"/>
      <w:color w:val="164B76"/>
      <w:w w:val="102"/>
      <w:sz w:val="28"/>
      <w:szCs w:val="30"/>
    </w:rPr>
  </w:style>
  <w:style w:type="character" w:customStyle="1" w:styleId="Heading4Char">
    <w:name w:val="Heading 4 Char"/>
    <w:aliases w:val="H4 Char"/>
    <w:basedOn w:val="DefaultParagraphFont"/>
    <w:link w:val="Heading4"/>
    <w:uiPriority w:val="9"/>
    <w:rsid w:val="00F90C95"/>
    <w:rPr>
      <w:rFonts w:ascii="Proxima Nova Light" w:eastAsiaTheme="majorEastAsia" w:hAnsi="Proxima Nova Light" w:cstheme="majorBidi"/>
      <w:bCs/>
      <w:color w:val="808080" w:themeColor="accent3"/>
      <w:sz w:val="26"/>
      <w:szCs w:val="22"/>
    </w:rPr>
  </w:style>
  <w:style w:type="character" w:customStyle="1" w:styleId="Heading5Char">
    <w:name w:val="Heading 5 Char"/>
    <w:aliases w:val="H5 Char"/>
    <w:basedOn w:val="DefaultParagraphFont"/>
    <w:link w:val="Heading5"/>
    <w:uiPriority w:val="9"/>
    <w:rsid w:val="005E52AE"/>
    <w:rPr>
      <w:rFonts w:ascii="Proxima Nova Light" w:eastAsiaTheme="majorEastAsia" w:hAnsi="Proxima Nova Light" w:cstheme="majorBidi"/>
      <w:color w:val="8B8B8B" w:themeColor="text1" w:themeTint="80"/>
      <w:sz w:val="22"/>
    </w:rPr>
  </w:style>
  <w:style w:type="character" w:customStyle="1" w:styleId="Heading6Char">
    <w:name w:val="Heading 6 Char"/>
    <w:aliases w:val="Appendix Header 1 Char"/>
    <w:basedOn w:val="DefaultParagraphFont"/>
    <w:link w:val="Heading6"/>
    <w:uiPriority w:val="9"/>
    <w:rsid w:val="005E52AE"/>
    <w:rPr>
      <w:rFonts w:ascii="Proxima Nova Light" w:hAnsi="Proxima Nova Light"/>
      <w:caps/>
      <w:color w:val="FF6D2E" w:themeColor="accent1"/>
      <w:sz w:val="44"/>
      <w:szCs w:val="40"/>
    </w:rPr>
  </w:style>
  <w:style w:type="character" w:customStyle="1" w:styleId="Heading7Char">
    <w:name w:val="Heading 7 Char"/>
    <w:aliases w:val="Appendix Header 7 Char"/>
    <w:basedOn w:val="DefaultParagraphFont"/>
    <w:link w:val="Heading7"/>
    <w:uiPriority w:val="9"/>
    <w:rsid w:val="005E52AE"/>
    <w:rPr>
      <w:rFonts w:ascii="Proxima Nova Light" w:hAnsi="Proxima Nova Light"/>
      <w:color w:val="FF6D2E" w:themeColor="accent1"/>
      <w:sz w:val="32"/>
    </w:rPr>
  </w:style>
  <w:style w:type="character" w:customStyle="1" w:styleId="Heading8Char">
    <w:name w:val="Heading 8 Char"/>
    <w:aliases w:val="Appendix 8 Char"/>
    <w:basedOn w:val="DefaultParagraphFont"/>
    <w:link w:val="Heading8"/>
    <w:uiPriority w:val="9"/>
    <w:rsid w:val="005E52AE"/>
    <w:rPr>
      <w:rFonts w:ascii="Proxima Nova Light" w:hAnsi="Proxima Nova Light"/>
      <w:color w:val="FF6D2E" w:themeColor="accent1"/>
      <w:sz w:val="28"/>
    </w:rPr>
  </w:style>
  <w:style w:type="character" w:customStyle="1" w:styleId="Heading9Char">
    <w:name w:val="Heading 9 Char"/>
    <w:basedOn w:val="DefaultParagraphFont"/>
    <w:link w:val="Heading9"/>
    <w:uiPriority w:val="9"/>
    <w:semiHidden/>
    <w:rsid w:val="00F62A49"/>
    <w:rPr>
      <w:rFonts w:asciiTheme="majorHAnsi" w:eastAsiaTheme="majorEastAsia" w:hAnsiTheme="majorHAnsi" w:cstheme="majorBidi"/>
      <w:i/>
      <w:iCs/>
      <w:color w:val="525252" w:themeColor="text1" w:themeTint="BF"/>
      <w:sz w:val="20"/>
      <w:szCs w:val="20"/>
    </w:rPr>
  </w:style>
  <w:style w:type="table" w:styleId="PlainTable4">
    <w:name w:val="Plain Table 4"/>
    <w:basedOn w:val="TableNormal"/>
    <w:uiPriority w:val="44"/>
    <w:rsid w:val="00154391"/>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OCHeading">
    <w:name w:val="TOC Heading"/>
    <w:aliases w:val="TOC/ES Heading"/>
    <w:next w:val="Normal"/>
    <w:uiPriority w:val="39"/>
    <w:unhideWhenUsed/>
    <w:rsid w:val="002D40EE"/>
    <w:pPr>
      <w:spacing w:before="240" w:after="340"/>
      <w:jc w:val="center"/>
    </w:pPr>
    <w:rPr>
      <w:rFonts w:ascii="Proxima Nova Light" w:eastAsiaTheme="majorEastAsia" w:hAnsi="Proxima Nova Light" w:cstheme="majorBidi"/>
      <w:color w:val="FF7A42" w:themeColor="accent1" w:themeTint="E6"/>
      <w:sz w:val="48"/>
      <w:szCs w:val="48"/>
    </w:rPr>
  </w:style>
  <w:style w:type="paragraph" w:styleId="TOC1">
    <w:name w:val="toc 1"/>
    <w:next w:val="Normal"/>
    <w:autoRedefine/>
    <w:uiPriority w:val="39"/>
    <w:unhideWhenUsed/>
    <w:rsid w:val="007E1F66"/>
    <w:pPr>
      <w:tabs>
        <w:tab w:val="left" w:pos="395"/>
        <w:tab w:val="left" w:pos="426"/>
        <w:tab w:val="right" w:leader="dot" w:pos="9346"/>
      </w:tabs>
      <w:spacing w:before="120"/>
    </w:pPr>
    <w:rPr>
      <w:rFonts w:ascii="Calibri Light" w:hAnsi="Calibri Light"/>
      <w:b/>
      <w:szCs w:val="22"/>
    </w:rPr>
  </w:style>
  <w:style w:type="paragraph" w:styleId="TOC2">
    <w:name w:val="toc 2"/>
    <w:basedOn w:val="Normal"/>
    <w:next w:val="Normal"/>
    <w:autoRedefine/>
    <w:uiPriority w:val="39"/>
    <w:unhideWhenUsed/>
    <w:rsid w:val="00835487"/>
    <w:pPr>
      <w:tabs>
        <w:tab w:val="left" w:pos="925"/>
        <w:tab w:val="left" w:pos="997"/>
        <w:tab w:val="right" w:leader="dot" w:pos="9346"/>
      </w:tabs>
      <w:ind w:left="360" w:right="360"/>
      <w:contextualSpacing/>
    </w:pPr>
    <w:rPr>
      <w:b/>
    </w:rPr>
  </w:style>
  <w:style w:type="paragraph" w:styleId="TOC3">
    <w:name w:val="toc 3"/>
    <w:basedOn w:val="Normal"/>
    <w:next w:val="Normal"/>
    <w:autoRedefine/>
    <w:uiPriority w:val="39"/>
    <w:unhideWhenUsed/>
    <w:rsid w:val="00835487"/>
    <w:pPr>
      <w:tabs>
        <w:tab w:val="right" w:leader="dot" w:pos="9346"/>
      </w:tabs>
      <w:spacing w:before="20"/>
      <w:ind w:left="360" w:right="360"/>
      <w:contextualSpacing/>
    </w:pPr>
  </w:style>
  <w:style w:type="paragraph" w:styleId="TOC4">
    <w:name w:val="toc 4"/>
    <w:basedOn w:val="Normal"/>
    <w:next w:val="Normal"/>
    <w:autoRedefine/>
    <w:uiPriority w:val="39"/>
    <w:unhideWhenUsed/>
    <w:rsid w:val="0024628D"/>
    <w:pPr>
      <w:tabs>
        <w:tab w:val="right" w:leader="dot" w:pos="9346"/>
      </w:tabs>
      <w:ind w:left="1296"/>
    </w:pPr>
    <w:rPr>
      <w:i/>
      <w:sz w:val="20"/>
    </w:rPr>
  </w:style>
  <w:style w:type="paragraph" w:styleId="TOC5">
    <w:name w:val="toc 5"/>
    <w:basedOn w:val="Normal"/>
    <w:next w:val="Normal"/>
    <w:autoRedefine/>
    <w:uiPriority w:val="39"/>
    <w:unhideWhenUsed/>
    <w:rsid w:val="000C72C1"/>
    <w:pPr>
      <w:ind w:left="880"/>
    </w:pPr>
    <w:rPr>
      <w:rFonts w:asciiTheme="majorHAnsi" w:hAnsiTheme="majorHAnsi"/>
      <w:sz w:val="20"/>
    </w:rPr>
  </w:style>
  <w:style w:type="paragraph" w:styleId="TOC6">
    <w:name w:val="toc 6"/>
    <w:basedOn w:val="Normal"/>
    <w:next w:val="Normal"/>
    <w:autoRedefine/>
    <w:uiPriority w:val="39"/>
    <w:unhideWhenUsed/>
    <w:rsid w:val="000C72C1"/>
    <w:pPr>
      <w:ind w:left="1100"/>
    </w:pPr>
    <w:rPr>
      <w:rFonts w:asciiTheme="majorHAnsi" w:hAnsiTheme="majorHAnsi"/>
      <w:sz w:val="20"/>
    </w:rPr>
  </w:style>
  <w:style w:type="paragraph" w:styleId="TOC7">
    <w:name w:val="toc 7"/>
    <w:basedOn w:val="Normal"/>
    <w:next w:val="Normal"/>
    <w:autoRedefine/>
    <w:uiPriority w:val="39"/>
    <w:unhideWhenUsed/>
    <w:rsid w:val="000C72C1"/>
    <w:pPr>
      <w:ind w:left="1320"/>
    </w:pPr>
    <w:rPr>
      <w:rFonts w:asciiTheme="majorHAnsi" w:hAnsiTheme="majorHAnsi"/>
      <w:sz w:val="20"/>
    </w:rPr>
  </w:style>
  <w:style w:type="paragraph" w:styleId="TOC8">
    <w:name w:val="toc 8"/>
    <w:basedOn w:val="Normal"/>
    <w:next w:val="Normal"/>
    <w:autoRedefine/>
    <w:uiPriority w:val="39"/>
    <w:unhideWhenUsed/>
    <w:rsid w:val="000C72C1"/>
    <w:pPr>
      <w:ind w:left="1540"/>
    </w:pPr>
    <w:rPr>
      <w:rFonts w:asciiTheme="majorHAnsi" w:hAnsiTheme="majorHAnsi"/>
      <w:sz w:val="20"/>
    </w:rPr>
  </w:style>
  <w:style w:type="paragraph" w:styleId="TOC9">
    <w:name w:val="toc 9"/>
    <w:basedOn w:val="Normal"/>
    <w:next w:val="Normal"/>
    <w:autoRedefine/>
    <w:uiPriority w:val="39"/>
    <w:unhideWhenUsed/>
    <w:rsid w:val="000C72C1"/>
    <w:pPr>
      <w:ind w:left="1760"/>
    </w:pPr>
    <w:rPr>
      <w:rFonts w:asciiTheme="majorHAnsi" w:hAnsiTheme="majorHAnsi"/>
      <w:sz w:val="20"/>
    </w:rPr>
  </w:style>
  <w:style w:type="paragraph" w:customStyle="1" w:styleId="TableListHeader">
    <w:name w:val="Table List Header"/>
    <w:next w:val="Normal"/>
    <w:rsid w:val="00A80506"/>
    <w:pPr>
      <w:spacing w:after="280"/>
      <w:jc w:val="center"/>
    </w:pPr>
    <w:rPr>
      <w:rFonts w:ascii="Proxima Nova Light" w:hAnsi="Proxima Nova Light"/>
      <w:caps/>
      <w:color w:val="8B8B8B" w:themeColor="text1" w:themeTint="80"/>
      <w:szCs w:val="28"/>
    </w:rPr>
  </w:style>
  <w:style w:type="paragraph" w:styleId="ListParagraph">
    <w:name w:val="List Paragraph"/>
    <w:basedOn w:val="Normal"/>
    <w:uiPriority w:val="34"/>
    <w:rsid w:val="0008108C"/>
    <w:pPr>
      <w:ind w:left="720"/>
      <w:contextualSpacing/>
    </w:pPr>
  </w:style>
  <w:style w:type="paragraph" w:styleId="Caption">
    <w:name w:val="caption"/>
    <w:aliases w:val="eTRM Caption"/>
    <w:basedOn w:val="Normal"/>
    <w:next w:val="Normal"/>
    <w:link w:val="CaptionChar"/>
    <w:autoRedefine/>
    <w:unhideWhenUsed/>
    <w:qFormat/>
    <w:rsid w:val="00C92622"/>
    <w:pPr>
      <w:keepNext/>
      <w:keepLines/>
      <w:spacing w:before="280" w:after="80"/>
    </w:pPr>
    <w:rPr>
      <w:b/>
      <w:color w:val="000000"/>
      <w:sz w:val="20"/>
      <w:szCs w:val="18"/>
      <w14:textFill>
        <w14:solidFill>
          <w14:srgbClr w14:val="000000">
            <w14:lumMod w14:val="50000"/>
          </w14:srgbClr>
        </w14:solidFill>
      </w14:textFill>
    </w:rPr>
  </w:style>
  <w:style w:type="character" w:customStyle="1" w:styleId="CaptionChar">
    <w:name w:val="Caption Char"/>
    <w:aliases w:val="eTRM Caption Char"/>
    <w:link w:val="Caption"/>
    <w:locked/>
    <w:rsid w:val="00C92622"/>
    <w:rPr>
      <w:rFonts w:ascii="Calibri Light" w:hAnsi="Calibri Light"/>
      <w:b/>
      <w:color w:val="000000"/>
      <w:sz w:val="20"/>
      <w:szCs w:val="18"/>
      <w14:textFill>
        <w14:solidFill>
          <w14:srgbClr w14:val="000000">
            <w14:lumMod w14:val="50000"/>
          </w14:srgbClr>
        </w14:solidFill>
      </w14:textFill>
    </w:rPr>
  </w:style>
  <w:style w:type="table" w:styleId="PlainTable2">
    <w:name w:val="Plain Table 2"/>
    <w:basedOn w:val="TableNormal"/>
    <w:uiPriority w:val="42"/>
    <w:rsid w:val="00154391"/>
    <w:tblPr>
      <w:tblStyleRowBandSize w:val="1"/>
      <w:tblStyleColBandSize w:val="1"/>
      <w:tblBorders>
        <w:top w:val="single" w:sz="4" w:space="0" w:color="8B8B8B" w:themeColor="text1" w:themeTint="80"/>
        <w:bottom w:val="single" w:sz="4" w:space="0" w:color="8B8B8B" w:themeColor="text1" w:themeTint="80"/>
      </w:tblBorders>
    </w:tblPr>
    <w:tblStylePr w:type="firstRow">
      <w:rPr>
        <w:b/>
        <w:bCs/>
      </w:rPr>
      <w:tblPr/>
      <w:tcPr>
        <w:tcBorders>
          <w:bottom w:val="single" w:sz="4" w:space="0" w:color="8B8B8B" w:themeColor="text1" w:themeTint="80"/>
        </w:tcBorders>
      </w:tcPr>
    </w:tblStylePr>
    <w:tblStylePr w:type="lastRow">
      <w:rPr>
        <w:b/>
        <w:bCs/>
      </w:rPr>
      <w:tblPr/>
      <w:tcPr>
        <w:tcBorders>
          <w:top w:val="single" w:sz="4" w:space="0" w:color="8B8B8B" w:themeColor="text1" w:themeTint="80"/>
        </w:tcBorders>
      </w:tcPr>
    </w:tblStylePr>
    <w:tblStylePr w:type="firstCol">
      <w:rPr>
        <w:b/>
        <w:bCs/>
      </w:rPr>
    </w:tblStylePr>
    <w:tblStylePr w:type="lastCol">
      <w:rPr>
        <w:b/>
        <w:bCs/>
      </w:rPr>
    </w:tblStylePr>
    <w:tblStylePr w:type="band1Vert">
      <w:tblPr/>
      <w:tcPr>
        <w:tcBorders>
          <w:left w:val="single" w:sz="4" w:space="0" w:color="8B8B8B" w:themeColor="text1" w:themeTint="80"/>
          <w:right w:val="single" w:sz="4" w:space="0" w:color="8B8B8B" w:themeColor="text1" w:themeTint="80"/>
        </w:tcBorders>
      </w:tcPr>
    </w:tblStylePr>
    <w:tblStylePr w:type="band2Vert">
      <w:tblPr/>
      <w:tcPr>
        <w:tcBorders>
          <w:left w:val="single" w:sz="4" w:space="0" w:color="8B8B8B" w:themeColor="text1" w:themeTint="80"/>
          <w:right w:val="single" w:sz="4" w:space="0" w:color="8B8B8B" w:themeColor="text1" w:themeTint="80"/>
        </w:tcBorders>
      </w:tcPr>
    </w:tblStylePr>
    <w:tblStylePr w:type="band1Horz">
      <w:tblPr/>
      <w:tcPr>
        <w:tcBorders>
          <w:top w:val="single" w:sz="4" w:space="0" w:color="8B8B8B" w:themeColor="text1" w:themeTint="80"/>
          <w:bottom w:val="single" w:sz="4" w:space="0" w:color="8B8B8B" w:themeColor="text1" w:themeTint="80"/>
        </w:tcBorders>
      </w:tcPr>
    </w:tblStylePr>
  </w:style>
  <w:style w:type="paragraph" w:styleId="FootnoteText">
    <w:name w:val="footnote text"/>
    <w:aliases w:val="EMI Footnote Text"/>
    <w:basedOn w:val="Normal"/>
    <w:link w:val="FootnoteTextChar"/>
    <w:uiPriority w:val="99"/>
    <w:unhideWhenUsed/>
    <w:qFormat/>
    <w:rsid w:val="005E25DC"/>
    <w:rPr>
      <w:sz w:val="18"/>
    </w:rPr>
  </w:style>
  <w:style w:type="character" w:customStyle="1" w:styleId="FootnoteTextChar">
    <w:name w:val="Footnote Text Char"/>
    <w:aliases w:val="EMI Footnote Text Char"/>
    <w:basedOn w:val="DefaultParagraphFont"/>
    <w:link w:val="FootnoteText"/>
    <w:uiPriority w:val="99"/>
    <w:rsid w:val="005E25DC"/>
    <w:rPr>
      <w:sz w:val="18"/>
    </w:rPr>
  </w:style>
  <w:style w:type="character" w:styleId="FootnoteReference">
    <w:name w:val="footnote reference"/>
    <w:basedOn w:val="DefaultParagraphFont"/>
    <w:uiPriority w:val="99"/>
    <w:unhideWhenUsed/>
    <w:rsid w:val="00A2690C"/>
    <w:rPr>
      <w:vertAlign w:val="superscript"/>
    </w:rPr>
  </w:style>
  <w:style w:type="paragraph" w:styleId="TableofFigures">
    <w:name w:val="table of figures"/>
    <w:basedOn w:val="Normal"/>
    <w:next w:val="Normal"/>
    <w:uiPriority w:val="99"/>
    <w:unhideWhenUsed/>
    <w:rsid w:val="00A80506"/>
  </w:style>
  <w:style w:type="paragraph" w:styleId="Header">
    <w:name w:val="header"/>
    <w:aliases w:val="eTRM Header Text"/>
    <w:basedOn w:val="Normal"/>
    <w:link w:val="HeaderChar"/>
    <w:uiPriority w:val="99"/>
    <w:unhideWhenUsed/>
    <w:rsid w:val="005B7418"/>
    <w:pPr>
      <w:tabs>
        <w:tab w:val="center" w:pos="4320"/>
        <w:tab w:val="right" w:pos="8640"/>
      </w:tabs>
      <w:jc w:val="center"/>
    </w:pPr>
    <w:rPr>
      <w:rFonts w:ascii="Avenir Next" w:hAnsi="Avenir Next"/>
      <w:color w:val="5F5F5F" w:themeColor="accent3" w:themeShade="BF"/>
      <w:sz w:val="16"/>
    </w:rPr>
  </w:style>
  <w:style w:type="character" w:customStyle="1" w:styleId="HeaderChar">
    <w:name w:val="Header Char"/>
    <w:aliases w:val="eTRM Header Text Char"/>
    <w:basedOn w:val="DefaultParagraphFont"/>
    <w:link w:val="Header"/>
    <w:uiPriority w:val="99"/>
    <w:rsid w:val="005B7418"/>
    <w:rPr>
      <w:rFonts w:ascii="Avenir Next" w:hAnsi="Avenir Next"/>
      <w:color w:val="5F5F5F" w:themeColor="accent3" w:themeShade="BF"/>
      <w:sz w:val="16"/>
    </w:rPr>
  </w:style>
  <w:style w:type="paragraph" w:styleId="Footer">
    <w:name w:val="footer"/>
    <w:basedOn w:val="Normal"/>
    <w:link w:val="FooterChar"/>
    <w:uiPriority w:val="99"/>
    <w:unhideWhenUsed/>
    <w:rsid w:val="005722C6"/>
    <w:pPr>
      <w:pBdr>
        <w:top w:val="single" w:sz="6" w:space="6" w:color="344D6D" w:themeColor="background2"/>
      </w:pBdr>
    </w:pPr>
  </w:style>
  <w:style w:type="character" w:customStyle="1" w:styleId="FooterChar">
    <w:name w:val="Footer Char"/>
    <w:basedOn w:val="DefaultParagraphFont"/>
    <w:link w:val="Footer"/>
    <w:uiPriority w:val="99"/>
    <w:rsid w:val="005722C6"/>
    <w:rPr>
      <w:sz w:val="22"/>
    </w:rPr>
  </w:style>
  <w:style w:type="character" w:styleId="PageNumber">
    <w:name w:val="page number"/>
    <w:basedOn w:val="DefaultParagraphFont"/>
    <w:uiPriority w:val="99"/>
    <w:unhideWhenUsed/>
    <w:rsid w:val="000220A0"/>
    <w:rPr>
      <w:rFonts w:ascii="Calibri" w:hAnsi="Calibri"/>
      <w:b w:val="0"/>
      <w:i w:val="0"/>
      <w:color w:val="808080" w:themeColor="accent3"/>
      <w:sz w:val="16"/>
      <w:bdr w:val="none" w:sz="0" w:space="0" w:color="auto"/>
    </w:rPr>
  </w:style>
  <w:style w:type="table" w:styleId="TableGrid">
    <w:name w:val="Table Grid"/>
    <w:basedOn w:val="TableNormal"/>
    <w:uiPriority w:val="59"/>
    <w:rsid w:val="004A51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TRMNumberedList">
    <w:name w:val="eTRM Numbered List"/>
    <w:basedOn w:val="ListParagraph"/>
    <w:autoRedefine/>
    <w:qFormat/>
    <w:rsid w:val="00120592"/>
    <w:pPr>
      <w:numPr>
        <w:numId w:val="11"/>
      </w:numPr>
      <w:contextualSpacing w:val="0"/>
    </w:pPr>
  </w:style>
  <w:style w:type="paragraph" w:customStyle="1" w:styleId="TableFootnote">
    <w:name w:val="Table Footnote"/>
    <w:basedOn w:val="Normal"/>
    <w:next w:val="Normal"/>
    <w:qFormat/>
    <w:rsid w:val="00703A7C"/>
    <w:pPr>
      <w:tabs>
        <w:tab w:val="left" w:pos="180"/>
        <w:tab w:val="left" w:pos="360"/>
      </w:tabs>
      <w:adjustRightInd w:val="0"/>
      <w:spacing w:before="20" w:after="0" w:line="180" w:lineRule="atLeast"/>
      <w:contextualSpacing/>
    </w:pPr>
    <w:rPr>
      <w:color w:val="808080" w:themeColor="background1" w:themeShade="80"/>
      <w:sz w:val="18"/>
      <w:szCs w:val="18"/>
    </w:rPr>
  </w:style>
  <w:style w:type="paragraph" w:styleId="TOAHeading">
    <w:name w:val="toa heading"/>
    <w:basedOn w:val="Normal"/>
    <w:next w:val="Normal"/>
    <w:uiPriority w:val="99"/>
    <w:unhideWhenUsed/>
    <w:rsid w:val="00B25AE4"/>
    <w:pPr>
      <w:spacing w:after="220"/>
      <w:jc w:val="center"/>
    </w:pPr>
    <w:rPr>
      <w:rFonts w:asciiTheme="majorHAnsi" w:eastAsiaTheme="majorEastAsia" w:hAnsiTheme="majorHAnsi" w:cstheme="majorBidi"/>
      <w:caps/>
      <w:spacing w:val="8"/>
      <w:sz w:val="24"/>
    </w:rPr>
  </w:style>
  <w:style w:type="paragraph" w:customStyle="1" w:styleId="eTRMTextBoxTitle">
    <w:name w:val="eTRM Text Box Title"/>
    <w:basedOn w:val="Normal"/>
    <w:autoRedefine/>
    <w:qFormat/>
    <w:rsid w:val="00763AD8"/>
    <w:pPr>
      <w:jc w:val="center"/>
    </w:pPr>
    <w:rPr>
      <w:b/>
      <w:sz w:val="18"/>
    </w:rPr>
  </w:style>
  <w:style w:type="paragraph" w:customStyle="1" w:styleId="eTRMTextBoxText">
    <w:name w:val="eTRM Text Box Text"/>
    <w:basedOn w:val="Normal"/>
    <w:autoRedefine/>
    <w:qFormat/>
    <w:rsid w:val="00763AD8"/>
    <w:pPr>
      <w:spacing w:line="180" w:lineRule="exact"/>
    </w:pPr>
    <w:rPr>
      <w:sz w:val="18"/>
    </w:rPr>
  </w:style>
  <w:style w:type="paragraph" w:customStyle="1" w:styleId="FigureCaption">
    <w:name w:val="Figure Caption"/>
    <w:basedOn w:val="Caption"/>
    <w:link w:val="FigureCaptionChar"/>
    <w:autoRedefine/>
    <w:qFormat/>
    <w:rsid w:val="00C92622"/>
    <w:pPr>
      <w:jc w:val="center"/>
    </w:pPr>
  </w:style>
  <w:style w:type="character" w:customStyle="1" w:styleId="FigureCaptionChar">
    <w:name w:val="Figure Caption Char"/>
    <w:basedOn w:val="CaptionChar"/>
    <w:link w:val="FigureCaption"/>
    <w:rsid w:val="00C92622"/>
    <w:rPr>
      <w:rFonts w:ascii="Calibri Light" w:hAnsi="Calibri Light"/>
      <w:b/>
      <w:color w:val="000000"/>
      <w:sz w:val="20"/>
      <w:szCs w:val="18"/>
      <w14:textFill>
        <w14:solidFill>
          <w14:srgbClr w14:val="000000">
            <w14:lumMod w14:val="50000"/>
          </w14:srgbClr>
        </w14:solidFill>
      </w14:textFill>
    </w:rPr>
  </w:style>
  <w:style w:type="character" w:customStyle="1" w:styleId="Regular">
    <w:name w:val="Regular"/>
    <w:basedOn w:val="DefaultParagraphFont"/>
    <w:uiPriority w:val="1"/>
    <w:rsid w:val="009B029F"/>
  </w:style>
  <w:style w:type="paragraph" w:styleId="BodyText">
    <w:name w:val="Body Text"/>
    <w:basedOn w:val="Normal"/>
    <w:link w:val="BodyTextChar"/>
    <w:autoRedefine/>
    <w:uiPriority w:val="99"/>
    <w:unhideWhenUsed/>
    <w:qFormat/>
    <w:rsid w:val="00120592"/>
  </w:style>
  <w:style w:type="character" w:customStyle="1" w:styleId="BodyTextChar">
    <w:name w:val="Body Text Char"/>
    <w:basedOn w:val="DefaultParagraphFont"/>
    <w:link w:val="BodyText"/>
    <w:uiPriority w:val="99"/>
    <w:rsid w:val="00120592"/>
    <w:rPr>
      <w:rFonts w:ascii="Calibri Light" w:hAnsi="Calibri Light"/>
      <w:sz w:val="22"/>
    </w:rPr>
  </w:style>
  <w:style w:type="paragraph" w:customStyle="1" w:styleId="eTRMBulletedText">
    <w:name w:val="eTRM Bulleted Text"/>
    <w:basedOn w:val="Normal"/>
    <w:autoRedefine/>
    <w:qFormat/>
    <w:rsid w:val="003A54D6"/>
    <w:pPr>
      <w:numPr>
        <w:numId w:val="8"/>
      </w:numPr>
      <w:spacing w:before="0" w:after="20"/>
    </w:pPr>
  </w:style>
  <w:style w:type="paragraph" w:styleId="Revision">
    <w:name w:val="Revision"/>
    <w:hidden/>
    <w:uiPriority w:val="99"/>
    <w:semiHidden/>
    <w:rsid w:val="00AA46AF"/>
    <w:rPr>
      <w:rFonts w:ascii="Calibri Light" w:hAnsi="Calibri Light"/>
      <w:sz w:val="22"/>
    </w:rPr>
  </w:style>
  <w:style w:type="character" w:styleId="Hyperlink">
    <w:name w:val="Hyperlink"/>
    <w:uiPriority w:val="99"/>
    <w:rsid w:val="00901EF2"/>
    <w:rPr>
      <w:color w:val="0000FF"/>
      <w:u w:val="single"/>
    </w:rPr>
  </w:style>
  <w:style w:type="character" w:styleId="EndnoteReference">
    <w:name w:val="endnote reference"/>
    <w:semiHidden/>
    <w:rsid w:val="00901EF2"/>
    <w:rPr>
      <w:vertAlign w:val="superscript"/>
    </w:rPr>
  </w:style>
  <w:style w:type="paragraph" w:customStyle="1" w:styleId="Table">
    <w:name w:val="Table"/>
    <w:basedOn w:val="Header"/>
    <w:rsid w:val="002C67DF"/>
    <w:pPr>
      <w:spacing w:before="0" w:after="0" w:line="240" w:lineRule="auto"/>
      <w:jc w:val="left"/>
    </w:pPr>
    <w:rPr>
      <w:rFonts w:ascii="Arial" w:eastAsia="Times New Roman" w:hAnsi="Arial" w:cs="Arial"/>
      <w:b/>
      <w:bCs/>
      <w:color w:val="auto"/>
      <w:sz w:val="22"/>
      <w:lang w:val="x-none" w:eastAsia="x-none"/>
    </w:rPr>
  </w:style>
  <w:style w:type="paragraph" w:styleId="EndnoteText">
    <w:name w:val="endnote text"/>
    <w:basedOn w:val="Normal"/>
    <w:link w:val="EndnoteTextChar"/>
    <w:autoRedefine/>
    <w:semiHidden/>
    <w:qFormat/>
    <w:rsid w:val="00094517"/>
    <w:pPr>
      <w:keepNext/>
      <w:keepLines/>
      <w:adjustRightInd w:val="0"/>
      <w:spacing w:before="40" w:after="40" w:line="240" w:lineRule="auto"/>
    </w:pPr>
    <w:rPr>
      <w:rFonts w:eastAsia="Times New Roman" w:cs="Times New Roman"/>
      <w:sz w:val="20"/>
      <w:szCs w:val="20"/>
      <w:lang w:val="x-none" w:eastAsia="x-none"/>
    </w:rPr>
  </w:style>
  <w:style w:type="character" w:customStyle="1" w:styleId="EndnoteTextChar">
    <w:name w:val="Endnote Text Char"/>
    <w:basedOn w:val="DefaultParagraphFont"/>
    <w:link w:val="EndnoteText"/>
    <w:rsid w:val="00094517"/>
    <w:rPr>
      <w:rFonts w:ascii="Calibri Light" w:eastAsia="Times New Roman" w:hAnsi="Calibri Light" w:cs="Times New Roman"/>
      <w:sz w:val="20"/>
      <w:szCs w:val="20"/>
      <w:lang w:val="x-none" w:eastAsia="x-none"/>
    </w:rPr>
  </w:style>
  <w:style w:type="character" w:styleId="FollowedHyperlink">
    <w:name w:val="FollowedHyperlink"/>
    <w:basedOn w:val="DefaultParagraphFont"/>
    <w:uiPriority w:val="99"/>
    <w:semiHidden/>
    <w:unhideWhenUsed/>
    <w:rsid w:val="00195B03"/>
    <w:rPr>
      <w:color w:val="71903D" w:themeColor="followedHyperlink"/>
      <w:u w:val="single"/>
    </w:rPr>
  </w:style>
  <w:style w:type="table" w:styleId="TableContemporary">
    <w:name w:val="Table Contemporary"/>
    <w:basedOn w:val="TableNormal"/>
    <w:rsid w:val="00C82307"/>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GridTable1Light">
    <w:name w:val="Grid Table 1 Light"/>
    <w:basedOn w:val="TableNormal"/>
    <w:uiPriority w:val="46"/>
    <w:rsid w:val="005B7418"/>
    <w:tblPr>
      <w:tblStyleRowBandSize w:val="1"/>
      <w:tblStyleColBandSize w:val="1"/>
      <w:tblBorders>
        <w:top w:val="single" w:sz="4" w:space="0" w:color="A3A3A3" w:themeColor="text1" w:themeTint="66"/>
        <w:left w:val="single" w:sz="4" w:space="0" w:color="A3A3A3" w:themeColor="text1" w:themeTint="66"/>
        <w:bottom w:val="single" w:sz="4" w:space="0" w:color="A3A3A3" w:themeColor="text1" w:themeTint="66"/>
        <w:right w:val="single" w:sz="4" w:space="0" w:color="A3A3A3" w:themeColor="text1" w:themeTint="66"/>
        <w:insideH w:val="single" w:sz="4" w:space="0" w:color="A3A3A3" w:themeColor="text1" w:themeTint="66"/>
        <w:insideV w:val="single" w:sz="4" w:space="0" w:color="A3A3A3" w:themeColor="text1" w:themeTint="66"/>
      </w:tblBorders>
    </w:tblPr>
    <w:tblStylePr w:type="firstRow">
      <w:rPr>
        <w:b/>
        <w:bCs/>
      </w:rPr>
      <w:tblPr/>
      <w:tcPr>
        <w:tcBorders>
          <w:bottom w:val="single" w:sz="12" w:space="0" w:color="757575" w:themeColor="text1" w:themeTint="99"/>
        </w:tcBorders>
      </w:tcPr>
    </w:tblStylePr>
    <w:tblStylePr w:type="lastRow">
      <w:rPr>
        <w:b/>
        <w:bCs/>
      </w:rPr>
      <w:tblPr/>
      <w:tcPr>
        <w:tcBorders>
          <w:top w:val="double" w:sz="2" w:space="0" w:color="757575" w:themeColor="text1" w:themeTint="99"/>
        </w:tcBorders>
      </w:tcPr>
    </w:tblStylePr>
    <w:tblStylePr w:type="firstCol">
      <w:rPr>
        <w:b/>
        <w:bCs/>
      </w:rPr>
    </w:tblStylePr>
    <w:tblStylePr w:type="lastCol">
      <w:rPr>
        <w:b/>
        <w:bCs/>
      </w:rPr>
    </w:tblStylePr>
  </w:style>
  <w:style w:type="paragraph" w:customStyle="1" w:styleId="eTRMTextNote">
    <w:name w:val="eTRM Text Note"/>
    <w:basedOn w:val="TableFootnote"/>
    <w:next w:val="Normal"/>
    <w:qFormat/>
    <w:rsid w:val="00B1760F"/>
  </w:style>
  <w:style w:type="paragraph" w:customStyle="1" w:styleId="eTRMHeading1">
    <w:name w:val="eTRM Heading 1"/>
    <w:basedOn w:val="Normal"/>
    <w:link w:val="eTRMHeading1Char"/>
    <w:autoRedefine/>
    <w:qFormat/>
    <w:rsid w:val="00DC272E"/>
    <w:pPr>
      <w:keepNext/>
      <w:keepLines/>
      <w:spacing w:line="320" w:lineRule="exact"/>
      <w:contextualSpacing/>
      <w:jc w:val="center"/>
      <w:outlineLvl w:val="0"/>
    </w:pPr>
    <w:rPr>
      <w:rFonts w:ascii="Calibri" w:eastAsiaTheme="majorEastAsia" w:hAnsi="Calibri" w:cstheme="majorBidi"/>
      <w:b/>
      <w:caps/>
      <w:color w:val="FFFFFF" w:themeColor="background1"/>
      <w:spacing w:val="60"/>
      <w:sz w:val="28"/>
      <w:szCs w:val="40"/>
    </w:rPr>
  </w:style>
  <w:style w:type="character" w:customStyle="1" w:styleId="eTRMHeading1Char">
    <w:name w:val="eTRM Heading 1 Char"/>
    <w:basedOn w:val="DefaultParagraphFont"/>
    <w:link w:val="eTRMHeading1"/>
    <w:rsid w:val="00DC272E"/>
    <w:rPr>
      <w:rFonts w:ascii="Calibri" w:eastAsiaTheme="majorEastAsia" w:hAnsi="Calibri" w:cstheme="majorBidi"/>
      <w:b/>
      <w:caps/>
      <w:color w:val="FFFFFF" w:themeColor="background1"/>
      <w:spacing w:val="60"/>
      <w:sz w:val="28"/>
      <w:szCs w:val="40"/>
    </w:rPr>
  </w:style>
  <w:style w:type="paragraph" w:customStyle="1" w:styleId="eTRMHeading2">
    <w:name w:val="eTRM Heading 2"/>
    <w:basedOn w:val="Normal"/>
    <w:link w:val="eTRMHeading2Char"/>
    <w:autoRedefine/>
    <w:qFormat/>
    <w:rsid w:val="00DC272E"/>
    <w:pPr>
      <w:keepNext/>
      <w:keepLines/>
      <w:spacing w:line="360" w:lineRule="exact"/>
      <w:jc w:val="center"/>
      <w:outlineLvl w:val="1"/>
    </w:pPr>
    <w:rPr>
      <w:rFonts w:eastAsiaTheme="majorEastAsia" w:cstheme="majorBidi"/>
      <w:caps/>
      <w:color w:val="FFFFFF" w:themeColor="background1"/>
      <w:spacing w:val="60"/>
      <w:sz w:val="32"/>
      <w:szCs w:val="26"/>
    </w:rPr>
  </w:style>
  <w:style w:type="character" w:customStyle="1" w:styleId="eTRMHeading2Char">
    <w:name w:val="eTRM Heading 2 Char"/>
    <w:basedOn w:val="DefaultParagraphFont"/>
    <w:link w:val="eTRMHeading2"/>
    <w:rsid w:val="00DC272E"/>
    <w:rPr>
      <w:rFonts w:ascii="Calibri Light" w:eastAsiaTheme="majorEastAsia" w:hAnsi="Calibri Light" w:cstheme="majorBidi"/>
      <w:caps/>
      <w:color w:val="FFFFFF" w:themeColor="background1"/>
      <w:spacing w:val="60"/>
      <w:sz w:val="32"/>
      <w:szCs w:val="26"/>
    </w:rPr>
  </w:style>
  <w:style w:type="paragraph" w:customStyle="1" w:styleId="eTRMHeading3">
    <w:name w:val="eTRM Heading 3"/>
    <w:basedOn w:val="Heading3"/>
    <w:link w:val="eTRMHeading3Char"/>
    <w:autoRedefine/>
    <w:qFormat/>
    <w:rsid w:val="00277238"/>
    <w:pPr>
      <w:spacing w:line="300" w:lineRule="exact"/>
    </w:pPr>
    <w:rPr>
      <w:rFonts w:ascii="Calibri Light" w:hAnsi="Calibri Light"/>
      <w:caps/>
      <w:color w:val="CFAB7A"/>
      <w:sz w:val="24"/>
    </w:rPr>
  </w:style>
  <w:style w:type="character" w:customStyle="1" w:styleId="eTRMHeading3Char">
    <w:name w:val="eTRM Heading 3 Char"/>
    <w:basedOn w:val="DefaultParagraphFont"/>
    <w:link w:val="eTRMHeading3"/>
    <w:rsid w:val="00277238"/>
    <w:rPr>
      <w:rFonts w:ascii="Calibri Light" w:eastAsiaTheme="majorEastAsia" w:hAnsi="Calibri Light" w:cstheme="majorBidi"/>
      <w:caps/>
      <w:color w:val="CFAB7A"/>
      <w:w w:val="102"/>
      <w:szCs w:val="30"/>
    </w:rPr>
  </w:style>
  <w:style w:type="paragraph" w:customStyle="1" w:styleId="eTRMHeading4">
    <w:name w:val="eTRM Heading 4"/>
    <w:basedOn w:val="Normal"/>
    <w:link w:val="eTRMHeading4Char"/>
    <w:qFormat/>
    <w:rsid w:val="000110D9"/>
    <w:pPr>
      <w:keepNext/>
      <w:keepLines/>
      <w:spacing w:before="60" w:after="0" w:line="300" w:lineRule="exact"/>
      <w:outlineLvl w:val="3"/>
    </w:pPr>
    <w:rPr>
      <w:rFonts w:eastAsiaTheme="majorEastAsia" w:cstheme="majorBidi"/>
      <w:color w:val="CFAB7A"/>
      <w:sz w:val="24"/>
      <w:szCs w:val="22"/>
    </w:rPr>
  </w:style>
  <w:style w:type="character" w:customStyle="1" w:styleId="eTRMHeading4Char">
    <w:name w:val="eTRM Heading 4 Char"/>
    <w:basedOn w:val="DefaultParagraphFont"/>
    <w:link w:val="eTRMHeading4"/>
    <w:rsid w:val="000110D9"/>
    <w:rPr>
      <w:rFonts w:ascii="Calibri Light" w:eastAsiaTheme="majorEastAsia" w:hAnsi="Calibri Light" w:cstheme="majorBidi"/>
      <w:color w:val="CFAB7A"/>
      <w:szCs w:val="22"/>
    </w:rPr>
  </w:style>
  <w:style w:type="paragraph" w:customStyle="1" w:styleId="eTRMHeading5">
    <w:name w:val="eTRM Heading 5"/>
    <w:basedOn w:val="Normal"/>
    <w:next w:val="Normal"/>
    <w:qFormat/>
    <w:rsid w:val="00BE3B2E"/>
    <w:rPr>
      <w:i/>
      <w:color w:val="5F5F5F"/>
    </w:rPr>
  </w:style>
  <w:style w:type="paragraph" w:customStyle="1" w:styleId="eTRMFootnoteText">
    <w:name w:val="eTRM Footnote Text"/>
    <w:basedOn w:val="FootnoteText"/>
    <w:next w:val="Normal"/>
    <w:link w:val="eTRMFootnoteTextChar"/>
    <w:autoRedefine/>
    <w:qFormat/>
    <w:rsid w:val="002A2471"/>
    <w:pPr>
      <w:spacing w:before="20" w:after="20"/>
      <w:ind w:left="1350"/>
    </w:pPr>
  </w:style>
  <w:style w:type="character" w:customStyle="1" w:styleId="eTRMFootnoteTextChar">
    <w:name w:val="eTRM Footnote Text Char"/>
    <w:basedOn w:val="FootnoteTextChar"/>
    <w:link w:val="eTRMFootnoteText"/>
    <w:rsid w:val="002A2471"/>
    <w:rPr>
      <w:rFonts w:ascii="Calibri Light" w:hAnsi="Calibri Light"/>
      <w:sz w:val="18"/>
    </w:rPr>
  </w:style>
  <w:style w:type="paragraph" w:customStyle="1" w:styleId="eTRMTableFootnote">
    <w:name w:val="eTRM Table Footnote"/>
    <w:basedOn w:val="TableFootnote"/>
    <w:qFormat/>
    <w:rsid w:val="00A83458"/>
    <w:rPr>
      <w:color w:val="auto"/>
      <w:sz w:val="16"/>
    </w:rPr>
  </w:style>
  <w:style w:type="paragraph" w:customStyle="1" w:styleId="eTRMSub-bulletedText">
    <w:name w:val="eTRM Sub-bulleted Text"/>
    <w:basedOn w:val="Normal"/>
    <w:autoRedefine/>
    <w:qFormat/>
    <w:rsid w:val="0008108C"/>
    <w:pPr>
      <w:numPr>
        <w:ilvl w:val="1"/>
        <w:numId w:val="8"/>
      </w:numPr>
      <w:spacing w:before="0" w:after="20"/>
    </w:pPr>
  </w:style>
  <w:style w:type="character" w:styleId="CommentReference">
    <w:name w:val="annotation reference"/>
    <w:basedOn w:val="DefaultParagraphFont"/>
    <w:uiPriority w:val="99"/>
    <w:semiHidden/>
    <w:unhideWhenUsed/>
    <w:rsid w:val="00FC2D4E"/>
    <w:rPr>
      <w:sz w:val="18"/>
      <w:szCs w:val="18"/>
    </w:rPr>
  </w:style>
  <w:style w:type="paragraph" w:styleId="CommentText">
    <w:name w:val="annotation text"/>
    <w:basedOn w:val="Normal"/>
    <w:link w:val="CommentTextChar"/>
    <w:uiPriority w:val="99"/>
    <w:unhideWhenUsed/>
    <w:rsid w:val="00FC2D4E"/>
    <w:pPr>
      <w:spacing w:after="60" w:line="240" w:lineRule="auto"/>
    </w:pPr>
    <w:rPr>
      <w:sz w:val="24"/>
    </w:rPr>
  </w:style>
  <w:style w:type="character" w:customStyle="1" w:styleId="CommentTextChar">
    <w:name w:val="Comment Text Char"/>
    <w:basedOn w:val="DefaultParagraphFont"/>
    <w:link w:val="CommentText"/>
    <w:uiPriority w:val="99"/>
    <w:rsid w:val="00FC2D4E"/>
    <w:rPr>
      <w:rFonts w:ascii="Calibri Light" w:hAnsi="Calibri Light"/>
    </w:rPr>
  </w:style>
  <w:style w:type="paragraph" w:styleId="BalloonText">
    <w:name w:val="Balloon Text"/>
    <w:basedOn w:val="Normal"/>
    <w:link w:val="BalloonTextChar"/>
    <w:uiPriority w:val="99"/>
    <w:semiHidden/>
    <w:unhideWhenUsed/>
    <w:rsid w:val="00FC2D4E"/>
    <w:pPr>
      <w:spacing w:before="0"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C2D4E"/>
    <w:rPr>
      <w:rFonts w:ascii="Times New Roman" w:hAnsi="Times New Roman" w:cs="Times New Roman"/>
      <w:sz w:val="18"/>
      <w:szCs w:val="18"/>
    </w:rPr>
  </w:style>
  <w:style w:type="paragraph" w:styleId="DocumentMap">
    <w:name w:val="Document Map"/>
    <w:basedOn w:val="Normal"/>
    <w:link w:val="DocumentMapChar"/>
    <w:uiPriority w:val="99"/>
    <w:semiHidden/>
    <w:unhideWhenUsed/>
    <w:rsid w:val="00D37270"/>
    <w:pPr>
      <w:spacing w:before="0" w:after="0" w:line="240" w:lineRule="auto"/>
    </w:pPr>
    <w:rPr>
      <w:rFonts w:ascii="Times New Roman" w:hAnsi="Times New Roman" w:cs="Times New Roman"/>
      <w:sz w:val="24"/>
    </w:rPr>
  </w:style>
  <w:style w:type="character" w:customStyle="1" w:styleId="DocumentMapChar">
    <w:name w:val="Document Map Char"/>
    <w:basedOn w:val="DefaultParagraphFont"/>
    <w:link w:val="DocumentMap"/>
    <w:uiPriority w:val="99"/>
    <w:semiHidden/>
    <w:rsid w:val="00D37270"/>
    <w:rPr>
      <w:rFonts w:ascii="Times New Roman" w:hAnsi="Times New Roman" w:cs="Times New Roman"/>
    </w:rPr>
  </w:style>
  <w:style w:type="paragraph" w:styleId="CommentSubject">
    <w:name w:val="annotation subject"/>
    <w:basedOn w:val="CommentText"/>
    <w:next w:val="CommentText"/>
    <w:link w:val="CommentSubjectChar"/>
    <w:uiPriority w:val="99"/>
    <w:semiHidden/>
    <w:unhideWhenUsed/>
    <w:rsid w:val="00526526"/>
    <w:pPr>
      <w:spacing w:after="120"/>
    </w:pPr>
    <w:rPr>
      <w:b/>
      <w:bCs/>
      <w:sz w:val="20"/>
      <w:szCs w:val="20"/>
    </w:rPr>
  </w:style>
  <w:style w:type="character" w:customStyle="1" w:styleId="CommentSubjectChar">
    <w:name w:val="Comment Subject Char"/>
    <w:basedOn w:val="CommentTextChar"/>
    <w:link w:val="CommentSubject"/>
    <w:uiPriority w:val="99"/>
    <w:semiHidden/>
    <w:rsid w:val="00526526"/>
    <w:rPr>
      <w:rFonts w:ascii="Calibri Light" w:hAnsi="Calibri Light"/>
      <w:b/>
      <w:bCs/>
      <w:sz w:val="20"/>
      <w:szCs w:val="20"/>
    </w:rPr>
  </w:style>
  <w:style w:type="paragraph" w:customStyle="1" w:styleId="Normal2">
    <w:name w:val="Normal2"/>
    <w:basedOn w:val="Normal"/>
    <w:next w:val="pF"/>
    <w:rsid w:val="00BF4823"/>
    <w:pPr>
      <w:spacing w:before="0" w:after="0" w:line="280" w:lineRule="atLeast"/>
    </w:pPr>
    <w:rPr>
      <w:rFonts w:ascii="Times New Roman" w:eastAsia="Times New Roman" w:hAnsi="Times New Roman" w:cs="Times New Roman"/>
      <w:sz w:val="24"/>
      <w:szCs w:val="20"/>
    </w:rPr>
  </w:style>
  <w:style w:type="paragraph" w:customStyle="1" w:styleId="pF">
    <w:name w:val="pF"/>
    <w:next w:val="Normal2"/>
    <w:rsid w:val="00BF4823"/>
    <w:pPr>
      <w:spacing w:line="320" w:lineRule="atLeast"/>
    </w:pPr>
    <w:rPr>
      <w:rFonts w:ascii="Times New Roman" w:eastAsia="Times New Roman" w:hAnsi="Times New Roman" w:cs="Times New Roman"/>
      <w:szCs w:val="20"/>
    </w:rPr>
  </w:style>
  <w:style w:type="paragraph" w:customStyle="1" w:styleId="pB">
    <w:name w:val="pB"/>
    <w:basedOn w:val="Normal"/>
    <w:next w:val="Normal"/>
    <w:rsid w:val="00BF4823"/>
    <w:pPr>
      <w:tabs>
        <w:tab w:val="left" w:pos="720"/>
        <w:tab w:val="left" w:pos="1080"/>
      </w:tabs>
      <w:spacing w:before="0" w:after="0" w:line="280" w:lineRule="atLeast"/>
      <w:ind w:left="720" w:right="288" w:hanging="432"/>
    </w:pPr>
    <w:rPr>
      <w:rFonts w:ascii="Times New Roman" w:eastAsia="Times New Roman" w:hAnsi="Times New Roman" w:cs="Times New Roman"/>
      <w:sz w:val="24"/>
      <w:szCs w:val="20"/>
    </w:rPr>
  </w:style>
  <w:style w:type="character" w:styleId="Emphasis">
    <w:name w:val="Emphasis"/>
    <w:qFormat/>
    <w:rsid w:val="00492543"/>
    <w:rPr>
      <w:i/>
      <w:iCs/>
    </w:rPr>
  </w:style>
  <w:style w:type="character" w:styleId="Strong">
    <w:name w:val="Strong"/>
    <w:basedOn w:val="DefaultParagraphFont"/>
    <w:uiPriority w:val="22"/>
    <w:qFormat/>
    <w:rsid w:val="002E05A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881617">
      <w:bodyDiv w:val="1"/>
      <w:marLeft w:val="0"/>
      <w:marRight w:val="0"/>
      <w:marTop w:val="0"/>
      <w:marBottom w:val="0"/>
      <w:divBdr>
        <w:top w:val="none" w:sz="0" w:space="0" w:color="auto"/>
        <w:left w:val="none" w:sz="0" w:space="0" w:color="auto"/>
        <w:bottom w:val="none" w:sz="0" w:space="0" w:color="auto"/>
        <w:right w:val="none" w:sz="0" w:space="0" w:color="auto"/>
      </w:divBdr>
      <w:divsChild>
        <w:div w:id="82878841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40327483">
              <w:marLeft w:val="0"/>
              <w:marRight w:val="0"/>
              <w:marTop w:val="0"/>
              <w:marBottom w:val="0"/>
              <w:divBdr>
                <w:top w:val="none" w:sz="0" w:space="0" w:color="auto"/>
                <w:left w:val="none" w:sz="0" w:space="0" w:color="auto"/>
                <w:bottom w:val="none" w:sz="0" w:space="0" w:color="auto"/>
                <w:right w:val="none" w:sz="0" w:space="0" w:color="auto"/>
              </w:divBdr>
              <w:divsChild>
                <w:div w:id="150158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6295993">
      <w:bodyDiv w:val="1"/>
      <w:marLeft w:val="0"/>
      <w:marRight w:val="0"/>
      <w:marTop w:val="0"/>
      <w:marBottom w:val="0"/>
      <w:divBdr>
        <w:top w:val="none" w:sz="0" w:space="0" w:color="auto"/>
        <w:left w:val="none" w:sz="0" w:space="0" w:color="auto"/>
        <w:bottom w:val="none" w:sz="0" w:space="0" w:color="auto"/>
        <w:right w:val="none" w:sz="0" w:space="0" w:color="auto"/>
      </w:divBdr>
    </w:div>
    <w:div w:id="519201665">
      <w:bodyDiv w:val="1"/>
      <w:marLeft w:val="0"/>
      <w:marRight w:val="0"/>
      <w:marTop w:val="0"/>
      <w:marBottom w:val="0"/>
      <w:divBdr>
        <w:top w:val="none" w:sz="0" w:space="0" w:color="auto"/>
        <w:left w:val="none" w:sz="0" w:space="0" w:color="auto"/>
        <w:bottom w:val="none" w:sz="0" w:space="0" w:color="auto"/>
        <w:right w:val="none" w:sz="0" w:space="0" w:color="auto"/>
      </w:divBdr>
    </w:div>
    <w:div w:id="1133906862">
      <w:bodyDiv w:val="1"/>
      <w:marLeft w:val="0"/>
      <w:marRight w:val="0"/>
      <w:marTop w:val="0"/>
      <w:marBottom w:val="0"/>
      <w:divBdr>
        <w:top w:val="none" w:sz="0" w:space="0" w:color="auto"/>
        <w:left w:val="none" w:sz="0" w:space="0" w:color="auto"/>
        <w:bottom w:val="none" w:sz="0" w:space="0" w:color="auto"/>
        <w:right w:val="none" w:sz="0" w:space="0" w:color="auto"/>
      </w:divBdr>
      <w:divsChild>
        <w:div w:id="159594199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72993008">
              <w:marLeft w:val="0"/>
              <w:marRight w:val="0"/>
              <w:marTop w:val="0"/>
              <w:marBottom w:val="0"/>
              <w:divBdr>
                <w:top w:val="none" w:sz="0" w:space="0" w:color="auto"/>
                <w:left w:val="none" w:sz="0" w:space="0" w:color="auto"/>
                <w:bottom w:val="none" w:sz="0" w:space="0" w:color="auto"/>
                <w:right w:val="none" w:sz="0" w:space="0" w:color="auto"/>
              </w:divBdr>
              <w:divsChild>
                <w:div w:id="16281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603452">
      <w:bodyDiv w:val="1"/>
      <w:marLeft w:val="0"/>
      <w:marRight w:val="0"/>
      <w:marTop w:val="0"/>
      <w:marBottom w:val="0"/>
      <w:divBdr>
        <w:top w:val="none" w:sz="0" w:space="0" w:color="auto"/>
        <w:left w:val="none" w:sz="0" w:space="0" w:color="auto"/>
        <w:bottom w:val="none" w:sz="0" w:space="0" w:color="auto"/>
        <w:right w:val="none" w:sz="0" w:space="0" w:color="auto"/>
      </w:divBdr>
    </w:div>
    <w:div w:id="1696228660">
      <w:bodyDiv w:val="1"/>
      <w:marLeft w:val="0"/>
      <w:marRight w:val="0"/>
      <w:marTop w:val="0"/>
      <w:marBottom w:val="0"/>
      <w:divBdr>
        <w:top w:val="none" w:sz="0" w:space="0" w:color="auto"/>
        <w:left w:val="none" w:sz="0" w:space="0" w:color="auto"/>
        <w:bottom w:val="none" w:sz="0" w:space="0" w:color="auto"/>
        <w:right w:val="none" w:sz="0" w:space="0" w:color="auto"/>
      </w:divBdr>
    </w:div>
    <w:div w:id="213968624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footnotes.xml.rels><?xml version="1.0" encoding="UTF-8" standalone="yes"?>
<Relationships xmlns="http://schemas.openxmlformats.org/package/2006/relationships"><Relationship Id="rId1" Type="http://schemas.openxmlformats.org/officeDocument/2006/relationships/hyperlink" Target="https://fishnick.com/cecplug/"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yada\AppData\Local\Microsoft\Windows\INetCache\Content.Outlook\194L9PW2\2.01%20Comm%20Convection%20Oven%20Text%20Consolidation.dotx" TargetMode="External"/></Relationships>
</file>

<file path=word/theme/theme1.xml><?xml version="1.0" encoding="utf-8"?>
<a:theme xmlns:a="http://schemas.openxmlformats.org/drawingml/2006/main" name="EMI Theme 2.">
  <a:themeElements>
    <a:clrScheme name="EMI Colors">
      <a:dk1>
        <a:srgbClr val="191919"/>
      </a:dk1>
      <a:lt1>
        <a:sysClr val="window" lastClr="FFFFFF"/>
      </a:lt1>
      <a:dk2>
        <a:srgbClr val="ECECEF"/>
      </a:dk2>
      <a:lt2>
        <a:srgbClr val="344D6D"/>
      </a:lt2>
      <a:accent1>
        <a:srgbClr val="FF6D2E"/>
      </a:accent1>
      <a:accent2>
        <a:srgbClr val="4372B9"/>
      </a:accent2>
      <a:accent3>
        <a:srgbClr val="808080"/>
      </a:accent3>
      <a:accent4>
        <a:srgbClr val="5BA0D7"/>
      </a:accent4>
      <a:accent5>
        <a:srgbClr val="F19F2A"/>
      </a:accent5>
      <a:accent6>
        <a:srgbClr val="6FCCDC"/>
      </a:accent6>
      <a:hlink>
        <a:srgbClr val="F4CE25"/>
      </a:hlink>
      <a:folHlink>
        <a:srgbClr val="71903D"/>
      </a:folHlink>
    </a:clrScheme>
    <a:fontScheme name="Office 2">
      <a:majorFont>
        <a:latin typeface="Proxima Nova Semibold"/>
        <a:ea typeface=""/>
        <a:cs typeface=""/>
        <a:font script="Jpan" typeface="ＭＳ 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roxima Nova Regular"/>
        <a:ea typeface=""/>
        <a:cs typeface=""/>
        <a:font script="Jpan" typeface="ＭＳ Ｐ明朝"/>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8DED26DBB77D14CBDD35401EA8BA69A" ma:contentTypeVersion="15" ma:contentTypeDescription="Create a new document." ma:contentTypeScope="" ma:versionID="0976f97a3b29f74753bbbefbc87baca2">
  <xsd:schema xmlns:xsd="http://www.w3.org/2001/XMLSchema" xmlns:xs="http://www.w3.org/2001/XMLSchema" xmlns:p="http://schemas.microsoft.com/office/2006/metadata/properties" xmlns:ns2="da71d01b-0173-42d4-bd9e-03574c50f54f" xmlns:ns3="870e7c11-ae1f-4d3d-a559-665563d266b8" targetNamespace="http://schemas.microsoft.com/office/2006/metadata/properties" ma:root="true" ma:fieldsID="3b655e9e4ca696ca463b952144b84b73" ns2:_="" ns3:_="">
    <xsd:import namespace="da71d01b-0173-42d4-bd9e-03574c50f54f"/>
    <xsd:import namespace="870e7c11-ae1f-4d3d-a559-665563d266b8"/>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EventHashCode" minOccurs="0"/>
                <xsd:element ref="ns3:MediaServiceGenerationTime" minOccurs="0"/>
                <xsd:element ref="ns3:Test_x0020_notes"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71d01b-0173-42d4-bd9e-03574c50f54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870e7c11-ae1f-4d3d-a559-665563d266b8"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AutoTags" ma:index="15" nillable="true" ma:displayName="MediaServiceAutoTags" ma:description="" ma:internalName="MediaServiceAutoTags" ma:readOnly="true">
      <xsd:simpleType>
        <xsd:restriction base="dms:Text"/>
      </xsd:simpleType>
    </xsd:element>
    <xsd:element name="MediaServiceLocation" ma:index="16" nillable="true" ma:displayName="MediaServiceLocation" ma:description="" ma:internalName="MediaServiceLocation"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Test_x0020_notes" ma:index="20" nillable="true" ma:displayName="Test notes" ma:internalName="Test_x0020_notes">
      <xsd:simpleType>
        <xsd:restriction base="dms:Note">
          <xsd:maxLength value="255"/>
        </xsd:restriction>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est_x0020_notes xmlns="870e7c11-ae1f-4d3d-a559-665563d266b8" xsi:nil="true"/>
  </documentManagement>
</p:properties>
</file>

<file path=customXml/itemProps1.xml><?xml version="1.0" encoding="utf-8"?>
<ds:datastoreItem xmlns:ds="http://schemas.openxmlformats.org/officeDocument/2006/customXml" ds:itemID="{1A8F81A1-399F-42C9-A45C-2CF3FE09DE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71d01b-0173-42d4-bd9e-03574c50f54f"/>
    <ds:schemaRef ds:uri="870e7c11-ae1f-4d3d-a559-665563d266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E8013E6-146D-4C6C-B54D-E75683F25F24}">
  <ds:schemaRefs>
    <ds:schemaRef ds:uri="http://schemas.microsoft.com/sharepoint/v3/contenttype/forms"/>
  </ds:schemaRefs>
</ds:datastoreItem>
</file>

<file path=customXml/itemProps3.xml><?xml version="1.0" encoding="utf-8"?>
<ds:datastoreItem xmlns:ds="http://schemas.openxmlformats.org/officeDocument/2006/customXml" ds:itemID="{1076B3A0-07C7-4C95-8BC7-4F8B6BB403E6}">
  <ds:schemaRefs>
    <ds:schemaRef ds:uri="http://schemas.openxmlformats.org/officeDocument/2006/bibliography"/>
  </ds:schemaRefs>
</ds:datastoreItem>
</file>

<file path=customXml/itemProps4.xml><?xml version="1.0" encoding="utf-8"?>
<ds:datastoreItem xmlns:ds="http://schemas.openxmlformats.org/officeDocument/2006/customXml" ds:itemID="{1A1D9DA3-2A3B-4505-A3AC-2E51EC313D40}">
  <ds:schemaRefs>
    <ds:schemaRef ds:uri="da71d01b-0173-42d4-bd9e-03574c50f54f"/>
    <ds:schemaRef ds:uri="http://purl.org/dc/terms/"/>
    <ds:schemaRef ds:uri="http://schemas.openxmlformats.org/package/2006/metadata/core-properties"/>
    <ds:schemaRef ds:uri="http://schemas.microsoft.com/office/2006/documentManagement/types"/>
    <ds:schemaRef ds:uri="870e7c11-ae1f-4d3d-a559-665563d266b8"/>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2.01 Comm Convection Oven Text Consolidation.dotx</Template>
  <TotalTime>30</TotalTime>
  <Pages>12</Pages>
  <Words>3351</Words>
  <Characters>19104</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Commercial Insultated Hot Food Holding Cabinet SWFS007-01</vt:lpstr>
    </vt:vector>
  </TitlesOfParts>
  <Manager/>
  <Company/>
  <LinksUpToDate>false</LinksUpToDate>
  <CharactersWithSpaces>22411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Commercial Insultated Hot Food Holding Cabinet SWFS007-01</dc:title>
  <dc:subject/>
  <dc:creator>Jennifer Holmes</dc:creator>
  <cp:keywords/>
  <dc:description/>
  <cp:lastModifiedBy>Jay Bhakta</cp:lastModifiedBy>
  <cp:revision>13</cp:revision>
  <cp:lastPrinted>2021-05-03T15:29:00Z</cp:lastPrinted>
  <dcterms:created xsi:type="dcterms:W3CDTF">2019-11-15T00:39:00Z</dcterms:created>
  <dcterms:modified xsi:type="dcterms:W3CDTF">2021-08-09T15:39:00Z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0x01010028DED26DBB77D14CBDD35401EA8BA69A</vt:lpwstr>
  </property>
</Properties>
</file>