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24270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9F7F61A" w:rsidR="00420467" w:rsidRDefault="0024270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4BA22FF4" w14:textId="68914A25" w:rsidR="000361B0" w:rsidRPr="000361B0" w:rsidRDefault="007820E3" w:rsidP="00C2126E">
            <w:pPr>
              <w:pStyle w:val="BodyText"/>
              <w:rPr>
                <w:color w:val="0000FF"/>
                <w:u w:val="single"/>
              </w:rPr>
            </w:pPr>
            <w:r>
              <w:t>Andres Marquez</w:t>
            </w:r>
            <w:r w:rsidR="00162088">
              <w:t xml:space="preserve"> (SCG) </w:t>
            </w:r>
            <w:hyperlink r:id="rId8" w:history="1">
              <w:r w:rsidRPr="009E0FE1">
                <w:rPr>
                  <w:rStyle w:val="Hyperlink"/>
                </w:rPr>
                <w:t>amarquez3@socalgas.com</w:t>
              </w:r>
            </w:hyperlink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9E9DEF6" w:rsidR="00A047C5" w:rsidRPr="00C24AB9" w:rsidRDefault="000361B0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Convection Oven</w:t>
            </w:r>
            <w:r w:rsidR="009B3AC7" w:rsidRPr="00C24AB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Commercial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5B944B8" w:rsidR="00A047C5" w:rsidRDefault="009B3AC7" w:rsidP="006B5B36">
            <w:pPr>
              <w:pStyle w:val="BodyText"/>
            </w:pPr>
            <w:r w:rsidRPr="009B3AC7">
              <w:t>SW</w:t>
            </w:r>
            <w:r w:rsidR="000361B0">
              <w:t>FS</w:t>
            </w:r>
            <w:r w:rsidRPr="009B3AC7">
              <w:t>0</w:t>
            </w:r>
            <w:r w:rsidR="000361B0">
              <w:t>0</w:t>
            </w:r>
            <w:r w:rsidRPr="009B3AC7">
              <w:t>1-0</w:t>
            </w:r>
            <w:r w:rsidR="000361B0">
              <w:t>2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14CDD6C2" w:rsidR="00A047C5" w:rsidRDefault="000361B0" w:rsidP="006B5B36">
            <w:pPr>
              <w:pStyle w:val="BodyText"/>
            </w:pPr>
            <w:r>
              <w:t>02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0529DFC" w:rsidR="007C6229" w:rsidRDefault="000361B0" w:rsidP="006B5B36">
            <w:pPr>
              <w:pStyle w:val="BodyText"/>
            </w:pPr>
            <w:r w:rsidRPr="009B3AC7">
              <w:t>SW</w:t>
            </w:r>
            <w:r>
              <w:t>FS</w:t>
            </w:r>
            <w:r w:rsidRPr="009B3AC7">
              <w:t>0</w:t>
            </w:r>
            <w:r>
              <w:t>0</w:t>
            </w:r>
            <w:r w:rsidRPr="009B3AC7">
              <w:t>1-0</w:t>
            </w:r>
            <w:r>
              <w:t>2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283D5E5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64B96BD9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62088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372C7A2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0D61D8">
                    <w:t xml:space="preserve"> 2019</w:t>
                  </w:r>
                </w:p>
              </w:tc>
              <w:tc>
                <w:tcPr>
                  <w:tcW w:w="1955" w:type="dxa"/>
                </w:tcPr>
                <w:p w14:paraId="041BF9C5" w14:textId="6DE09710" w:rsidR="009601F5" w:rsidRDefault="00C82740" w:rsidP="006B5B36">
                  <w:pPr>
                    <w:pStyle w:val="BodyText"/>
                  </w:pPr>
                  <w:r>
                    <w:t>PGE:</w:t>
                  </w:r>
                </w:p>
                <w:p w14:paraId="06BE3C1F" w14:textId="4281AECE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0D61D8">
                    <w:t xml:space="preserve"> </w:t>
                  </w:r>
                  <w:r w:rsidR="009601F5">
                    <w:t>TBD</w:t>
                  </w:r>
                </w:p>
                <w:p w14:paraId="66A743BB" w14:textId="77777777" w:rsidR="00DC1A5B" w:rsidRDefault="00DC1A5B" w:rsidP="006B5B36">
                  <w:pPr>
                    <w:pStyle w:val="BodyText"/>
                  </w:pPr>
                  <w:r>
                    <w:t>Electric:</w:t>
                  </w:r>
                  <w:r w:rsidR="009601F5">
                    <w:t xml:space="preserve"> TBD</w:t>
                  </w:r>
                </w:p>
                <w:p w14:paraId="48B0CBEA" w14:textId="5C103E51" w:rsidR="009601F5" w:rsidRDefault="009601F5" w:rsidP="006B5B36">
                  <w:pPr>
                    <w:pStyle w:val="BodyText"/>
                  </w:pPr>
                </w:p>
                <w:p w14:paraId="76338CDA" w14:textId="71AB5839" w:rsidR="00C82740" w:rsidRDefault="00C82740" w:rsidP="006B5B36">
                  <w:pPr>
                    <w:pStyle w:val="BodyText"/>
                  </w:pPr>
                  <w:r>
                    <w:t>SCE:</w:t>
                  </w:r>
                </w:p>
                <w:p w14:paraId="44919879" w14:textId="77777777" w:rsidR="009601F5" w:rsidRDefault="009601F5" w:rsidP="009601F5">
                  <w:pPr>
                    <w:pStyle w:val="BodyText"/>
                  </w:pPr>
                  <w:r>
                    <w:t>Gas: TBD</w:t>
                  </w:r>
                </w:p>
                <w:p w14:paraId="209339CB" w14:textId="77777777" w:rsidR="009601F5" w:rsidRDefault="009601F5" w:rsidP="009601F5">
                  <w:pPr>
                    <w:pStyle w:val="BodyText"/>
                  </w:pPr>
                  <w:r>
                    <w:t>Electric: TBD</w:t>
                  </w:r>
                </w:p>
                <w:p w14:paraId="3004D2B7" w14:textId="331CAE0E" w:rsidR="00C82740" w:rsidRDefault="00C82740" w:rsidP="00C82740">
                  <w:pPr>
                    <w:pStyle w:val="BodyText"/>
                  </w:pPr>
                  <w:r>
                    <w:lastRenderedPageBreak/>
                    <w:t>SCG:</w:t>
                  </w:r>
                </w:p>
                <w:p w14:paraId="44148B39" w14:textId="7520F61E" w:rsidR="00C82740" w:rsidRDefault="00C82740" w:rsidP="00C82740">
                  <w:pPr>
                    <w:pStyle w:val="BodyText"/>
                  </w:pPr>
                  <w:r>
                    <w:t xml:space="preserve">Gas: </w:t>
                  </w:r>
                  <w:r w:rsidR="00050A76" w:rsidRPr="008B5CB8">
                    <w:rPr>
                      <w:b/>
                    </w:rPr>
                    <w:t>0.42%</w:t>
                  </w:r>
                </w:p>
                <w:p w14:paraId="632DF441" w14:textId="09EA136E" w:rsidR="00C82740" w:rsidRDefault="00C82740" w:rsidP="00C82740">
                  <w:pPr>
                    <w:pStyle w:val="BodyText"/>
                  </w:pPr>
                  <w:r>
                    <w:t>Electric: N/A</w:t>
                  </w:r>
                </w:p>
                <w:p w14:paraId="2DDAEB4D" w14:textId="750046B0" w:rsidR="009601F5" w:rsidRDefault="009601F5" w:rsidP="006B5B36">
                  <w:pPr>
                    <w:pStyle w:val="BodyText"/>
                  </w:pPr>
                </w:p>
                <w:p w14:paraId="1BB5EA8E" w14:textId="3B588BCD" w:rsidR="00C82740" w:rsidRDefault="00C82740" w:rsidP="00C82740">
                  <w:pPr>
                    <w:pStyle w:val="BodyText"/>
                  </w:pPr>
                  <w:r>
                    <w:t>SDGE:</w:t>
                  </w:r>
                </w:p>
                <w:p w14:paraId="2CF40348" w14:textId="77777777" w:rsidR="00C82740" w:rsidRDefault="00C82740" w:rsidP="00C82740">
                  <w:pPr>
                    <w:pStyle w:val="BodyText"/>
                  </w:pPr>
                  <w:r>
                    <w:t>Gas: TBD</w:t>
                  </w:r>
                </w:p>
                <w:p w14:paraId="282EB5C1" w14:textId="77777777" w:rsidR="00C82740" w:rsidRDefault="00C82740" w:rsidP="00C82740">
                  <w:pPr>
                    <w:pStyle w:val="BodyText"/>
                  </w:pPr>
                  <w:r>
                    <w:t>Electric: TBD</w:t>
                  </w:r>
                </w:p>
                <w:p w14:paraId="7F8629A3" w14:textId="4B1CE06F" w:rsidR="009601F5" w:rsidRDefault="009601F5" w:rsidP="006B5B36">
                  <w:pPr>
                    <w:pStyle w:val="BodyText"/>
                  </w:pP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lastRenderedPageBreak/>
              <w:t>Notes:</w:t>
            </w:r>
          </w:p>
          <w:p w14:paraId="1288C65B" w14:textId="77777777" w:rsidR="007A63DE" w:rsidRDefault="007A63DE" w:rsidP="006B5B36">
            <w:pPr>
              <w:pStyle w:val="BodyText"/>
            </w:pPr>
          </w:p>
          <w:p w14:paraId="1E92073C" w14:textId="77777777" w:rsidR="00517146" w:rsidRDefault="00517146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613F6E29" w14:textId="77777777" w:rsidR="00050A76" w:rsidRDefault="00050A76" w:rsidP="00050A76">
                  <w:pPr>
                    <w:pStyle w:val="BodyText"/>
                  </w:pPr>
                  <w:r>
                    <w:t>PGE:</w:t>
                  </w:r>
                </w:p>
                <w:p w14:paraId="5971F9D4" w14:textId="77777777" w:rsidR="00050A76" w:rsidRDefault="00050A76" w:rsidP="00050A76">
                  <w:pPr>
                    <w:pStyle w:val="BodyText"/>
                  </w:pPr>
                  <w:r>
                    <w:t>Gas: TBD</w:t>
                  </w:r>
                </w:p>
                <w:p w14:paraId="048A192E" w14:textId="77777777" w:rsidR="00050A76" w:rsidRDefault="00050A76" w:rsidP="00050A76">
                  <w:pPr>
                    <w:pStyle w:val="BodyText"/>
                  </w:pPr>
                  <w:r>
                    <w:t>Electric: TBD</w:t>
                  </w:r>
                </w:p>
                <w:p w14:paraId="40F4A10C" w14:textId="77777777" w:rsidR="00050A76" w:rsidRDefault="00050A76" w:rsidP="00050A76">
                  <w:pPr>
                    <w:pStyle w:val="BodyText"/>
                  </w:pPr>
                </w:p>
                <w:p w14:paraId="03D33110" w14:textId="77777777" w:rsidR="00050A76" w:rsidRDefault="00050A76" w:rsidP="00050A76">
                  <w:pPr>
                    <w:pStyle w:val="BodyText"/>
                  </w:pPr>
                  <w:r>
                    <w:t>SCE:</w:t>
                  </w:r>
                </w:p>
                <w:p w14:paraId="580DF546" w14:textId="77777777" w:rsidR="00050A76" w:rsidRDefault="00050A76" w:rsidP="00050A76">
                  <w:pPr>
                    <w:pStyle w:val="BodyText"/>
                  </w:pPr>
                  <w:r>
                    <w:t>Gas: TBD</w:t>
                  </w:r>
                </w:p>
                <w:p w14:paraId="2A875CB1" w14:textId="77777777" w:rsidR="00050A76" w:rsidRDefault="00050A76" w:rsidP="00050A76">
                  <w:pPr>
                    <w:pStyle w:val="BodyText"/>
                  </w:pPr>
                  <w:r>
                    <w:t>Electric: TBD</w:t>
                  </w:r>
                </w:p>
                <w:p w14:paraId="25FBB91C" w14:textId="77777777" w:rsidR="00050A76" w:rsidRDefault="00050A76" w:rsidP="00050A76">
                  <w:pPr>
                    <w:pStyle w:val="BodyText"/>
                  </w:pPr>
                  <w:r>
                    <w:t>SCG:</w:t>
                  </w:r>
                </w:p>
                <w:p w14:paraId="44F93399" w14:textId="1220D03E" w:rsidR="00050A76" w:rsidRDefault="00050A76" w:rsidP="00050A76">
                  <w:pPr>
                    <w:pStyle w:val="BodyText"/>
                  </w:pPr>
                  <w:r>
                    <w:t xml:space="preserve">Gas: </w:t>
                  </w:r>
                  <w:r w:rsidR="00F30E54" w:rsidRPr="008B5CB8">
                    <w:rPr>
                      <w:b/>
                    </w:rPr>
                    <w:t>-</w:t>
                  </w:r>
                  <w:r w:rsidR="00C06572" w:rsidRPr="008B5CB8">
                    <w:rPr>
                      <w:b/>
                    </w:rPr>
                    <w:t>0</w:t>
                  </w:r>
                  <w:r w:rsidR="00F30E54" w:rsidRPr="008B5CB8">
                    <w:rPr>
                      <w:b/>
                    </w:rPr>
                    <w:t>.09</w:t>
                  </w:r>
                  <w:r w:rsidRPr="008B5CB8">
                    <w:rPr>
                      <w:b/>
                    </w:rPr>
                    <w:t>%</w:t>
                  </w:r>
                </w:p>
                <w:p w14:paraId="273D58EA" w14:textId="77777777" w:rsidR="00050A76" w:rsidRDefault="00050A76" w:rsidP="00050A76">
                  <w:pPr>
                    <w:pStyle w:val="BodyText"/>
                  </w:pPr>
                  <w:r>
                    <w:t>Electric: N/A</w:t>
                  </w:r>
                </w:p>
                <w:p w14:paraId="7788C4CC" w14:textId="77777777" w:rsidR="00050A76" w:rsidRDefault="00050A76" w:rsidP="00050A76">
                  <w:pPr>
                    <w:pStyle w:val="BodyText"/>
                  </w:pPr>
                </w:p>
                <w:p w14:paraId="54F2C45D" w14:textId="77777777" w:rsidR="00050A76" w:rsidRDefault="00050A76" w:rsidP="00050A76">
                  <w:pPr>
                    <w:pStyle w:val="BodyText"/>
                  </w:pPr>
                  <w:r>
                    <w:t>SDGE:</w:t>
                  </w:r>
                </w:p>
                <w:p w14:paraId="0064002D" w14:textId="77777777" w:rsidR="00050A76" w:rsidRDefault="00050A76" w:rsidP="00050A76">
                  <w:pPr>
                    <w:pStyle w:val="BodyText"/>
                  </w:pPr>
                  <w:r>
                    <w:t>Gas: TBD</w:t>
                  </w:r>
                </w:p>
                <w:p w14:paraId="067A226C" w14:textId="17677067" w:rsidR="00DC1A5B" w:rsidRDefault="00050A76" w:rsidP="00050A76">
                  <w:pPr>
                    <w:pStyle w:val="BodyText"/>
                  </w:pPr>
                  <w:r>
                    <w:t>Electric: TBD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lastRenderedPageBreak/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59288820" w:rsidR="00ED4A6C" w:rsidRDefault="00242707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5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57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7C42905F" w14:textId="311A184F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EDBD8BA" w:rsidR="00ED4A6C" w:rsidRDefault="00242707" w:rsidP="00ED4A6C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57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65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21D32DE3" w14:textId="3D48EEEA" w:rsidR="00ED4A6C" w:rsidRDefault="00421F5A" w:rsidP="00ED4A6C">
            <w:pPr>
              <w:pStyle w:val="BodyText"/>
            </w:pPr>
            <w:r>
              <w:t>Notes:</w:t>
            </w:r>
            <w:r w:rsidR="00DD54DD">
              <w:t xml:space="preserve"> </w:t>
            </w:r>
            <w:r w:rsidR="00DD54DD" w:rsidRPr="00DD54DD">
              <w:t xml:space="preserve">Food </w:t>
            </w:r>
            <w:proofErr w:type="spellStart"/>
            <w:r w:rsidR="00DD54DD" w:rsidRPr="00DD54DD">
              <w:t>Service_Ex</w:t>
            </w:r>
            <w:proofErr w:type="spellEnd"/>
            <w:r w:rsidR="00DD54DD" w:rsidRPr="00DD54DD">
              <w:t xml:space="preserve"> </w:t>
            </w:r>
            <w:proofErr w:type="spellStart"/>
            <w:r w:rsidR="00DD54DD" w:rsidRPr="00DD54DD">
              <w:t>AnteReview_Convection</w:t>
            </w:r>
            <w:proofErr w:type="spellEnd"/>
            <w:r w:rsidR="00DD54DD" w:rsidRPr="00DD54DD">
              <w:t xml:space="preserve"> Oven _01042019.pdf</w:t>
            </w: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217808ED" w:rsidR="0040312B" w:rsidRDefault="0024270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4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050A8D22" w:rsidR="0040312B" w:rsidRDefault="00242707" w:rsidP="006B5B36">
            <w:pPr>
              <w:pStyle w:val="BodyText"/>
            </w:pPr>
            <w:sdt>
              <w:sdtPr>
                <w:id w:val="-662932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54D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242707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615C0277" w:rsidR="00A047C5" w:rsidRDefault="00242707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42A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4E9991A" w:rsidR="0040312B" w:rsidRDefault="00242707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3B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</w:t>
            </w:r>
          </w:p>
          <w:p w14:paraId="5160E724" w14:textId="1EFE7C91" w:rsidR="0040312B" w:rsidRDefault="00242707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737BE3E" w14:textId="5EFA6A58" w:rsidR="0040312B" w:rsidRDefault="00242707" w:rsidP="00517146">
            <w:pPr>
              <w:pStyle w:val="BodyText"/>
            </w:pPr>
            <w:sdt>
              <w:sdtPr>
                <w:id w:val="4551396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23B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Industry Standard Practice Study</w:t>
            </w: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>Utilities must demonstrate how they have consulted with stakeholders in their workpaper submissions, this could include vendors, third party implementers, manufacturers, CalTF</w:t>
            </w:r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5B32E0EB" w:rsidR="00517146" w:rsidRDefault="00517146" w:rsidP="006B5B36">
            <w:pPr>
              <w:pStyle w:val="BodyText"/>
            </w:pPr>
            <w:r>
              <w:t>Notes:</w:t>
            </w:r>
            <w:r w:rsidR="008B5CB8">
              <w:t xml:space="preserve"> All PAs, CPUC staff/consultants, 3</w:t>
            </w:r>
            <w:r w:rsidR="008B5CB8" w:rsidRPr="008B5CB8">
              <w:rPr>
                <w:vertAlign w:val="superscript"/>
              </w:rPr>
              <w:t>rd</w:t>
            </w:r>
            <w:r w:rsidR="008B5CB8">
              <w:t xml:space="preserve"> party implementers, some customers, and other SMEs were notified about this foodservice workpaper update along the revision effort.</w:t>
            </w:r>
            <w:bookmarkStart w:id="2" w:name="_GoBack"/>
            <w:bookmarkEnd w:id="2"/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21D78804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AF351" w14:textId="77777777" w:rsidR="00242707" w:rsidRDefault="00242707">
      <w:r>
        <w:separator/>
      </w:r>
    </w:p>
  </w:endnote>
  <w:endnote w:type="continuationSeparator" w:id="0">
    <w:p w14:paraId="7BE80415" w14:textId="77777777" w:rsidR="00242707" w:rsidRDefault="00242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24270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922258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D8346" w14:textId="77777777" w:rsidR="00242707" w:rsidRDefault="00242707">
      <w:r>
        <w:separator/>
      </w:r>
    </w:p>
  </w:footnote>
  <w:footnote w:type="continuationSeparator" w:id="0">
    <w:p w14:paraId="0F0EAB0B" w14:textId="77777777" w:rsidR="00242707" w:rsidRDefault="002427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61B0"/>
    <w:rsid w:val="00040F3D"/>
    <w:rsid w:val="00050A7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2088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2707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20E3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042"/>
    <w:rsid w:val="008A5879"/>
    <w:rsid w:val="008B1281"/>
    <w:rsid w:val="008B5CB8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01F5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23BE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799D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06572"/>
    <w:rsid w:val="00C2126E"/>
    <w:rsid w:val="00C24AB9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2740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4DD"/>
    <w:rsid w:val="00DE3523"/>
    <w:rsid w:val="00DE42A5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0E54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E6FED-BD14-42A3-92E5-C7DD74B1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5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Paek, Chan U</cp:lastModifiedBy>
  <cp:revision>16</cp:revision>
  <cp:lastPrinted>2018-09-13T14:26:00Z</cp:lastPrinted>
  <dcterms:created xsi:type="dcterms:W3CDTF">2019-05-23T20:31:00Z</dcterms:created>
  <dcterms:modified xsi:type="dcterms:W3CDTF">2019-12-30T22:50:00Z</dcterms:modified>
</cp:coreProperties>
</file>