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809CE">
        <w:trPr>
          <w:cantSplit/>
          <w:trHeight w:hRule="exact" w:val="1800"/>
          <w:jc w:val="right"/>
        </w:trPr>
        <w:tc>
          <w:tcPr>
            <w:tcW w:w="9000" w:type="dxa"/>
            <w:shd w:val="clear" w:color="auto" w:fill="8DC63F"/>
            <w:vAlign w:val="center"/>
          </w:tcPr>
          <w:p w14:paraId="3EF67A49" w14:textId="5BF55368" w:rsidR="00BD221D" w:rsidRPr="00B809CE" w:rsidRDefault="000B2DA3" w:rsidP="00BD221D">
            <w:pPr>
              <w:pStyle w:val="eTRMHeading1"/>
              <w:jc w:val="center"/>
              <w:rPr>
                <w:sz w:val="28"/>
                <w:szCs w:val="36"/>
              </w:rPr>
            </w:pPr>
            <w:r>
              <w:rPr>
                <w:sz w:val="28"/>
                <w:szCs w:val="36"/>
              </w:rPr>
              <w:t>process heat</w:t>
            </w:r>
          </w:p>
          <w:p w14:paraId="401526A6" w14:textId="7D524BB9" w:rsidR="00BD221D" w:rsidRPr="00B809CE" w:rsidRDefault="00E47B64" w:rsidP="00B561EE">
            <w:pPr>
              <w:pStyle w:val="eTRMHeading2"/>
              <w:rPr>
                <w:color w:val="FFFFFF" w:themeColor="background1"/>
                <w:spacing w:val="60"/>
                <w:sz w:val="32"/>
                <w:szCs w:val="40"/>
              </w:rPr>
            </w:pPr>
            <w:r>
              <w:rPr>
                <w:color w:val="FFFFFF" w:themeColor="background1"/>
                <w:spacing w:val="60"/>
                <w:sz w:val="32"/>
                <w:szCs w:val="40"/>
              </w:rPr>
              <w:t xml:space="preserve">Steam </w:t>
            </w:r>
            <w:r w:rsidR="000B2DA3" w:rsidRPr="000B2DA3">
              <w:rPr>
                <w:color w:val="FFFFFF" w:themeColor="background1"/>
                <w:spacing w:val="60"/>
                <w:sz w:val="32"/>
                <w:szCs w:val="40"/>
              </w:rPr>
              <w:t>Boiler Economizer</w:t>
            </w:r>
            <w:r w:rsidR="007614EB" w:rsidRPr="00B809CE">
              <w:rPr>
                <w:color w:val="FFFFFF" w:themeColor="background1"/>
                <w:spacing w:val="60"/>
                <w:sz w:val="32"/>
                <w:szCs w:val="40"/>
              </w:rPr>
              <w:t xml:space="preserve">, </w:t>
            </w:r>
            <w:r w:rsidR="000B2DA3">
              <w:rPr>
                <w:color w:val="FFFFFF" w:themeColor="background1"/>
                <w:spacing w:val="60"/>
                <w:sz w:val="32"/>
                <w:szCs w:val="40"/>
              </w:rPr>
              <w:t>industrial</w:t>
            </w:r>
          </w:p>
          <w:p w14:paraId="10BE1877" w14:textId="1CE16DEE" w:rsidR="00B809CE" w:rsidRPr="00B809CE" w:rsidRDefault="00E47B64" w:rsidP="00B561EE">
            <w:pPr>
              <w:pStyle w:val="eTRMHeading2"/>
              <w:rPr>
                <w:color w:val="FFFFFF" w:themeColor="background1"/>
                <w:spacing w:val="0"/>
                <w:sz w:val="28"/>
                <w:szCs w:val="36"/>
              </w:rPr>
            </w:pPr>
            <w:r w:rsidRPr="00B809CE">
              <w:rPr>
                <w:color w:val="FFFFFF" w:themeColor="background1"/>
                <w:spacing w:val="0"/>
                <w:sz w:val="28"/>
                <w:szCs w:val="36"/>
              </w:rPr>
              <w:t>SW</w:t>
            </w:r>
            <w:r>
              <w:rPr>
                <w:color w:val="FFFFFF" w:themeColor="background1"/>
                <w:spacing w:val="0"/>
                <w:sz w:val="28"/>
                <w:szCs w:val="36"/>
              </w:rPr>
              <w:t>PR007</w:t>
            </w:r>
            <w:r w:rsidR="00B809CE" w:rsidRPr="00B809CE">
              <w:rPr>
                <w:color w:val="FFFFFF" w:themeColor="background1"/>
                <w:spacing w:val="0"/>
                <w:sz w:val="28"/>
                <w:szCs w:val="36"/>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47B5F1BD" w14:textId="327059E8" w:rsidR="00CA096C"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CA096C">
        <w:rPr>
          <w:noProof/>
        </w:rPr>
        <w:t>Measure Name</w:t>
      </w:r>
      <w:r w:rsidR="00CA096C">
        <w:rPr>
          <w:noProof/>
        </w:rPr>
        <w:tab/>
      </w:r>
      <w:r w:rsidR="00CA096C">
        <w:rPr>
          <w:noProof/>
        </w:rPr>
        <w:fldChar w:fldCharType="begin"/>
      </w:r>
      <w:r w:rsidR="00CA096C">
        <w:rPr>
          <w:noProof/>
        </w:rPr>
        <w:instrText xml:space="preserve"> PAGEREF _Toc18918796 \h </w:instrText>
      </w:r>
      <w:r w:rsidR="00CA096C">
        <w:rPr>
          <w:noProof/>
        </w:rPr>
      </w:r>
      <w:r w:rsidR="00CA096C">
        <w:rPr>
          <w:noProof/>
        </w:rPr>
        <w:fldChar w:fldCharType="separate"/>
      </w:r>
      <w:r w:rsidR="00E016F9">
        <w:rPr>
          <w:noProof/>
        </w:rPr>
        <w:t>2</w:t>
      </w:r>
      <w:r w:rsidR="00CA096C">
        <w:rPr>
          <w:noProof/>
        </w:rPr>
        <w:fldChar w:fldCharType="end"/>
      </w:r>
    </w:p>
    <w:p w14:paraId="2A07A891" w14:textId="7C922266" w:rsidR="00CA096C" w:rsidRDefault="00CA096C">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_Toc18918797 \h </w:instrText>
      </w:r>
      <w:r>
        <w:rPr>
          <w:noProof/>
        </w:rPr>
      </w:r>
      <w:r>
        <w:rPr>
          <w:noProof/>
        </w:rPr>
        <w:fldChar w:fldCharType="separate"/>
      </w:r>
      <w:r w:rsidR="00E016F9">
        <w:rPr>
          <w:noProof/>
        </w:rPr>
        <w:t>2</w:t>
      </w:r>
      <w:r>
        <w:rPr>
          <w:noProof/>
        </w:rPr>
        <w:fldChar w:fldCharType="end"/>
      </w:r>
    </w:p>
    <w:p w14:paraId="02DA9267" w14:textId="38A7DA1A" w:rsidR="00CA096C" w:rsidRDefault="00CA096C">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_Toc18918798 \h </w:instrText>
      </w:r>
      <w:r>
        <w:rPr>
          <w:noProof/>
        </w:rPr>
      </w:r>
      <w:r>
        <w:rPr>
          <w:noProof/>
        </w:rPr>
        <w:fldChar w:fldCharType="separate"/>
      </w:r>
      <w:r w:rsidR="00E016F9">
        <w:rPr>
          <w:noProof/>
        </w:rPr>
        <w:t>2</w:t>
      </w:r>
      <w:r>
        <w:rPr>
          <w:noProof/>
        </w:rPr>
        <w:fldChar w:fldCharType="end"/>
      </w:r>
    </w:p>
    <w:p w14:paraId="162F3716" w14:textId="788B82FA" w:rsidR="00CA096C" w:rsidRDefault="00CA096C">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_Toc18918799 \h </w:instrText>
      </w:r>
      <w:r>
        <w:rPr>
          <w:noProof/>
        </w:rPr>
      </w:r>
      <w:r>
        <w:rPr>
          <w:noProof/>
        </w:rPr>
        <w:fldChar w:fldCharType="separate"/>
      </w:r>
      <w:r w:rsidR="00E016F9">
        <w:rPr>
          <w:noProof/>
        </w:rPr>
        <w:t>6</w:t>
      </w:r>
      <w:r>
        <w:rPr>
          <w:noProof/>
        </w:rPr>
        <w:fldChar w:fldCharType="end"/>
      </w:r>
    </w:p>
    <w:p w14:paraId="2C610D47" w14:textId="19400B01" w:rsidR="00CA096C" w:rsidRDefault="00CA096C">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_Toc18918800 \h </w:instrText>
      </w:r>
      <w:r>
        <w:rPr>
          <w:noProof/>
        </w:rPr>
      </w:r>
      <w:r>
        <w:rPr>
          <w:noProof/>
        </w:rPr>
        <w:fldChar w:fldCharType="separate"/>
      </w:r>
      <w:r w:rsidR="00E016F9">
        <w:rPr>
          <w:noProof/>
        </w:rPr>
        <w:t>6</w:t>
      </w:r>
      <w:r>
        <w:rPr>
          <w:noProof/>
        </w:rPr>
        <w:fldChar w:fldCharType="end"/>
      </w:r>
    </w:p>
    <w:p w14:paraId="224735CF" w14:textId="2B5AF4E7" w:rsidR="00CA096C" w:rsidRDefault="00CA096C">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_Toc18918801 \h </w:instrText>
      </w:r>
      <w:r>
        <w:rPr>
          <w:noProof/>
        </w:rPr>
      </w:r>
      <w:r>
        <w:rPr>
          <w:noProof/>
        </w:rPr>
        <w:fldChar w:fldCharType="separate"/>
      </w:r>
      <w:r w:rsidR="00E016F9">
        <w:rPr>
          <w:noProof/>
        </w:rPr>
        <w:t>6</w:t>
      </w:r>
      <w:r>
        <w:rPr>
          <w:noProof/>
        </w:rPr>
        <w:fldChar w:fldCharType="end"/>
      </w:r>
    </w:p>
    <w:p w14:paraId="20E817F3" w14:textId="41F92629" w:rsidR="00CA096C" w:rsidRDefault="00CA096C">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_Toc18918802 \h </w:instrText>
      </w:r>
      <w:r>
        <w:rPr>
          <w:noProof/>
        </w:rPr>
      </w:r>
      <w:r>
        <w:rPr>
          <w:noProof/>
        </w:rPr>
        <w:fldChar w:fldCharType="separate"/>
      </w:r>
      <w:r w:rsidR="00E016F9">
        <w:rPr>
          <w:noProof/>
        </w:rPr>
        <w:t>6</w:t>
      </w:r>
      <w:r>
        <w:rPr>
          <w:noProof/>
        </w:rPr>
        <w:fldChar w:fldCharType="end"/>
      </w:r>
    </w:p>
    <w:p w14:paraId="02EB7F47" w14:textId="592B4895" w:rsidR="00CA096C" w:rsidRDefault="00CA096C">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_Toc18918803 \h </w:instrText>
      </w:r>
      <w:r>
        <w:rPr>
          <w:noProof/>
        </w:rPr>
      </w:r>
      <w:r>
        <w:rPr>
          <w:noProof/>
        </w:rPr>
        <w:fldChar w:fldCharType="separate"/>
      </w:r>
      <w:r w:rsidR="00E016F9">
        <w:rPr>
          <w:noProof/>
        </w:rPr>
        <w:t>6</w:t>
      </w:r>
      <w:r>
        <w:rPr>
          <w:noProof/>
        </w:rPr>
        <w:fldChar w:fldCharType="end"/>
      </w:r>
    </w:p>
    <w:p w14:paraId="1F7E6A89" w14:textId="5F85B45C" w:rsidR="00CA096C" w:rsidRDefault="00CA096C">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_Toc18918804 \h </w:instrText>
      </w:r>
      <w:r>
        <w:rPr>
          <w:noProof/>
        </w:rPr>
      </w:r>
      <w:r>
        <w:rPr>
          <w:noProof/>
        </w:rPr>
        <w:fldChar w:fldCharType="separate"/>
      </w:r>
      <w:r w:rsidR="00E016F9">
        <w:rPr>
          <w:noProof/>
        </w:rPr>
        <w:t>8</w:t>
      </w:r>
      <w:r>
        <w:rPr>
          <w:noProof/>
        </w:rPr>
        <w:fldChar w:fldCharType="end"/>
      </w:r>
    </w:p>
    <w:p w14:paraId="4FC9D5E6" w14:textId="69DFE67E" w:rsidR="00CA096C" w:rsidRDefault="00CA096C">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_Toc18918805 \h </w:instrText>
      </w:r>
      <w:r>
        <w:rPr>
          <w:noProof/>
        </w:rPr>
      </w:r>
      <w:r>
        <w:rPr>
          <w:noProof/>
        </w:rPr>
        <w:fldChar w:fldCharType="separate"/>
      </w:r>
      <w:r w:rsidR="00E016F9">
        <w:rPr>
          <w:noProof/>
        </w:rPr>
        <w:t>8</w:t>
      </w:r>
      <w:r>
        <w:rPr>
          <w:noProof/>
        </w:rPr>
        <w:fldChar w:fldCharType="end"/>
      </w:r>
    </w:p>
    <w:p w14:paraId="0D1FB804" w14:textId="363CF8B9" w:rsidR="00CA096C" w:rsidRDefault="00CA096C">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_Toc18918806 \h </w:instrText>
      </w:r>
      <w:r>
        <w:rPr>
          <w:noProof/>
        </w:rPr>
      </w:r>
      <w:r>
        <w:rPr>
          <w:noProof/>
        </w:rPr>
        <w:fldChar w:fldCharType="separate"/>
      </w:r>
      <w:r w:rsidR="00E016F9">
        <w:rPr>
          <w:noProof/>
        </w:rPr>
        <w:t>8</w:t>
      </w:r>
      <w:r>
        <w:rPr>
          <w:noProof/>
        </w:rPr>
        <w:fldChar w:fldCharType="end"/>
      </w:r>
    </w:p>
    <w:p w14:paraId="14E334AB" w14:textId="1B5BEDA9" w:rsidR="00CA096C" w:rsidRDefault="00CA096C">
      <w:pPr>
        <w:pStyle w:val="TOC3"/>
        <w:rPr>
          <w:rFonts w:asciiTheme="minorHAnsi" w:hAnsiTheme="minorHAnsi"/>
          <w:noProof/>
          <w:szCs w:val="22"/>
        </w:rPr>
      </w:pPr>
      <w:r>
        <w:rPr>
          <w:noProof/>
        </w:rPr>
        <w:t>Electric Savings (</w:t>
      </w:r>
      <w:r w:rsidRPr="00F37921">
        <w:rPr>
          <w:noProof/>
        </w:rPr>
        <w:t>kWh</w:t>
      </w:r>
      <w:r>
        <w:rPr>
          <w:noProof/>
        </w:rPr>
        <w:t>)</w:t>
      </w:r>
      <w:r>
        <w:rPr>
          <w:noProof/>
        </w:rPr>
        <w:tab/>
      </w:r>
      <w:r>
        <w:rPr>
          <w:noProof/>
        </w:rPr>
        <w:fldChar w:fldCharType="begin"/>
      </w:r>
      <w:r>
        <w:rPr>
          <w:noProof/>
        </w:rPr>
        <w:instrText xml:space="preserve"> PAGEREF _Toc18918807 \h </w:instrText>
      </w:r>
      <w:r>
        <w:rPr>
          <w:noProof/>
        </w:rPr>
      </w:r>
      <w:r>
        <w:rPr>
          <w:noProof/>
        </w:rPr>
        <w:fldChar w:fldCharType="separate"/>
      </w:r>
      <w:r w:rsidR="00E016F9">
        <w:rPr>
          <w:noProof/>
        </w:rPr>
        <w:t>8</w:t>
      </w:r>
      <w:r>
        <w:rPr>
          <w:noProof/>
        </w:rPr>
        <w:fldChar w:fldCharType="end"/>
      </w:r>
    </w:p>
    <w:p w14:paraId="6B6834F9" w14:textId="4B362698" w:rsidR="00CA096C" w:rsidRDefault="00CA096C">
      <w:pPr>
        <w:pStyle w:val="TOC3"/>
        <w:rPr>
          <w:rFonts w:asciiTheme="minorHAnsi" w:hAnsiTheme="minorHAnsi"/>
          <w:noProof/>
          <w:szCs w:val="22"/>
        </w:rPr>
      </w:pPr>
      <w:r>
        <w:rPr>
          <w:noProof/>
        </w:rPr>
        <w:t>Peak Electric Demand Reduction (</w:t>
      </w:r>
      <w:r w:rsidRPr="00F37921">
        <w:rPr>
          <w:noProof/>
        </w:rPr>
        <w:t>kW</w:t>
      </w:r>
      <w:r>
        <w:rPr>
          <w:noProof/>
        </w:rPr>
        <w:t>)</w:t>
      </w:r>
      <w:r>
        <w:rPr>
          <w:noProof/>
        </w:rPr>
        <w:tab/>
      </w:r>
      <w:r>
        <w:rPr>
          <w:noProof/>
        </w:rPr>
        <w:fldChar w:fldCharType="begin"/>
      </w:r>
      <w:r>
        <w:rPr>
          <w:noProof/>
        </w:rPr>
        <w:instrText xml:space="preserve"> PAGEREF _Toc18918808 \h </w:instrText>
      </w:r>
      <w:r>
        <w:rPr>
          <w:noProof/>
        </w:rPr>
      </w:r>
      <w:r>
        <w:rPr>
          <w:noProof/>
        </w:rPr>
        <w:fldChar w:fldCharType="separate"/>
      </w:r>
      <w:r w:rsidR="00E016F9">
        <w:rPr>
          <w:noProof/>
        </w:rPr>
        <w:t>8</w:t>
      </w:r>
      <w:r>
        <w:rPr>
          <w:noProof/>
        </w:rPr>
        <w:fldChar w:fldCharType="end"/>
      </w:r>
    </w:p>
    <w:p w14:paraId="17C51EC8" w14:textId="2352DA4B" w:rsidR="00CA096C" w:rsidRDefault="00CA096C">
      <w:pPr>
        <w:pStyle w:val="TOC3"/>
        <w:rPr>
          <w:rFonts w:asciiTheme="minorHAnsi" w:hAnsiTheme="minorHAnsi"/>
          <w:noProof/>
          <w:szCs w:val="22"/>
        </w:rPr>
      </w:pPr>
      <w:r>
        <w:rPr>
          <w:noProof/>
        </w:rPr>
        <w:t>Gas Savings (</w:t>
      </w:r>
      <w:r w:rsidRPr="00F37921">
        <w:rPr>
          <w:noProof/>
        </w:rPr>
        <w:t>Therms</w:t>
      </w:r>
      <w:r>
        <w:rPr>
          <w:noProof/>
        </w:rPr>
        <w:t>)</w:t>
      </w:r>
      <w:r>
        <w:rPr>
          <w:noProof/>
        </w:rPr>
        <w:tab/>
      </w:r>
      <w:r>
        <w:rPr>
          <w:noProof/>
        </w:rPr>
        <w:fldChar w:fldCharType="begin"/>
      </w:r>
      <w:r>
        <w:rPr>
          <w:noProof/>
        </w:rPr>
        <w:instrText xml:space="preserve"> PAGEREF _Toc18918809 \h </w:instrText>
      </w:r>
      <w:r>
        <w:rPr>
          <w:noProof/>
        </w:rPr>
      </w:r>
      <w:r>
        <w:rPr>
          <w:noProof/>
        </w:rPr>
        <w:fldChar w:fldCharType="separate"/>
      </w:r>
      <w:r w:rsidR="00E016F9">
        <w:rPr>
          <w:noProof/>
        </w:rPr>
        <w:t>9</w:t>
      </w:r>
      <w:r>
        <w:rPr>
          <w:noProof/>
        </w:rPr>
        <w:fldChar w:fldCharType="end"/>
      </w:r>
    </w:p>
    <w:p w14:paraId="003AAEE9" w14:textId="123CAE0C" w:rsidR="00CA096C" w:rsidRDefault="00CA096C">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_Toc18918810 \h </w:instrText>
      </w:r>
      <w:r>
        <w:rPr>
          <w:noProof/>
        </w:rPr>
      </w:r>
      <w:r>
        <w:rPr>
          <w:noProof/>
        </w:rPr>
        <w:fldChar w:fldCharType="separate"/>
      </w:r>
      <w:r w:rsidR="00E016F9">
        <w:rPr>
          <w:noProof/>
        </w:rPr>
        <w:t>17</w:t>
      </w:r>
      <w:r>
        <w:rPr>
          <w:noProof/>
        </w:rPr>
        <w:fldChar w:fldCharType="end"/>
      </w:r>
    </w:p>
    <w:p w14:paraId="6654C25C" w14:textId="08EF4731" w:rsidR="00CA096C" w:rsidRDefault="00CA096C">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_Toc18918811 \h </w:instrText>
      </w:r>
      <w:r>
        <w:rPr>
          <w:noProof/>
        </w:rPr>
      </w:r>
      <w:r>
        <w:rPr>
          <w:noProof/>
        </w:rPr>
        <w:fldChar w:fldCharType="separate"/>
      </w:r>
      <w:r w:rsidR="00E016F9">
        <w:rPr>
          <w:noProof/>
        </w:rPr>
        <w:t>18</w:t>
      </w:r>
      <w:r>
        <w:rPr>
          <w:noProof/>
        </w:rPr>
        <w:fldChar w:fldCharType="end"/>
      </w:r>
    </w:p>
    <w:p w14:paraId="5CB13995" w14:textId="0DA1C69C" w:rsidR="00CA096C" w:rsidRDefault="00CA096C">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_Toc18918812 \h </w:instrText>
      </w:r>
      <w:r>
        <w:rPr>
          <w:noProof/>
        </w:rPr>
      </w:r>
      <w:r>
        <w:rPr>
          <w:noProof/>
        </w:rPr>
        <w:fldChar w:fldCharType="separate"/>
      </w:r>
      <w:r w:rsidR="00E016F9">
        <w:rPr>
          <w:noProof/>
        </w:rPr>
        <w:t>18</w:t>
      </w:r>
      <w:r>
        <w:rPr>
          <w:noProof/>
        </w:rPr>
        <w:fldChar w:fldCharType="end"/>
      </w:r>
    </w:p>
    <w:p w14:paraId="15FB0284" w14:textId="2EB184FB" w:rsidR="00CA096C" w:rsidRDefault="00CA096C">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_Toc18918813 \h </w:instrText>
      </w:r>
      <w:r>
        <w:rPr>
          <w:noProof/>
        </w:rPr>
      </w:r>
      <w:r>
        <w:rPr>
          <w:noProof/>
        </w:rPr>
        <w:fldChar w:fldCharType="separate"/>
      </w:r>
      <w:r w:rsidR="00E016F9">
        <w:rPr>
          <w:noProof/>
        </w:rPr>
        <w:t>19</w:t>
      </w:r>
      <w:r>
        <w:rPr>
          <w:noProof/>
        </w:rPr>
        <w:fldChar w:fldCharType="end"/>
      </w:r>
    </w:p>
    <w:p w14:paraId="599C3F51" w14:textId="2963CA95" w:rsidR="00CA096C" w:rsidRDefault="00CA096C">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_Toc18918814 \h </w:instrText>
      </w:r>
      <w:r>
        <w:rPr>
          <w:noProof/>
        </w:rPr>
      </w:r>
      <w:r>
        <w:rPr>
          <w:noProof/>
        </w:rPr>
        <w:fldChar w:fldCharType="separate"/>
      </w:r>
      <w:r w:rsidR="00E016F9">
        <w:rPr>
          <w:noProof/>
        </w:rPr>
        <w:t>19</w:t>
      </w:r>
      <w:r>
        <w:rPr>
          <w:noProof/>
        </w:rPr>
        <w:fldChar w:fldCharType="end"/>
      </w:r>
    </w:p>
    <w:p w14:paraId="5A35FD8F" w14:textId="10E9715B" w:rsidR="00CA096C" w:rsidRDefault="00CA096C">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_Toc18918815 \h </w:instrText>
      </w:r>
      <w:r>
        <w:rPr>
          <w:noProof/>
        </w:rPr>
      </w:r>
      <w:r>
        <w:rPr>
          <w:noProof/>
        </w:rPr>
        <w:fldChar w:fldCharType="separate"/>
      </w:r>
      <w:r w:rsidR="00E016F9">
        <w:rPr>
          <w:noProof/>
        </w:rPr>
        <w:t>19</w:t>
      </w:r>
      <w:r>
        <w:rPr>
          <w:noProof/>
        </w:rPr>
        <w:fldChar w:fldCharType="end"/>
      </w:r>
    </w:p>
    <w:p w14:paraId="644D4FCF" w14:textId="4BFC4721" w:rsidR="00CA096C" w:rsidRDefault="00CA096C">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_Toc18918816 \h </w:instrText>
      </w:r>
      <w:r>
        <w:rPr>
          <w:noProof/>
        </w:rPr>
      </w:r>
      <w:r>
        <w:rPr>
          <w:noProof/>
        </w:rPr>
        <w:fldChar w:fldCharType="separate"/>
      </w:r>
      <w:r w:rsidR="00E016F9">
        <w:rPr>
          <w:noProof/>
        </w:rPr>
        <w:t>20</w:t>
      </w:r>
      <w:r>
        <w:rPr>
          <w:noProof/>
        </w:rPr>
        <w:fldChar w:fldCharType="end"/>
      </w:r>
    </w:p>
    <w:p w14:paraId="04FB9185" w14:textId="78B9C3DF" w:rsidR="00CA096C" w:rsidRDefault="00CA096C">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_Toc18918817 \h </w:instrText>
      </w:r>
      <w:r>
        <w:rPr>
          <w:noProof/>
        </w:rPr>
      </w:r>
      <w:r>
        <w:rPr>
          <w:noProof/>
        </w:rPr>
        <w:fldChar w:fldCharType="separate"/>
      </w:r>
      <w:r w:rsidR="00E016F9">
        <w:rPr>
          <w:noProof/>
        </w:rPr>
        <w:t>20</w:t>
      </w:r>
      <w:r>
        <w:rPr>
          <w:noProof/>
        </w:rPr>
        <w:fldChar w:fldCharType="end"/>
      </w:r>
    </w:p>
    <w:p w14:paraId="420A3C36" w14:textId="4AC7882D" w:rsidR="00CA096C" w:rsidRDefault="00CA096C">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_Toc18918818 \h </w:instrText>
      </w:r>
      <w:r>
        <w:rPr>
          <w:noProof/>
        </w:rPr>
      </w:r>
      <w:r>
        <w:rPr>
          <w:noProof/>
        </w:rPr>
        <w:fldChar w:fldCharType="separate"/>
      </w:r>
      <w:r w:rsidR="00E016F9">
        <w:rPr>
          <w:noProof/>
        </w:rPr>
        <w:t>20</w:t>
      </w:r>
      <w:r>
        <w:rPr>
          <w:noProof/>
        </w:rPr>
        <w:fldChar w:fldCharType="end"/>
      </w:r>
    </w:p>
    <w:p w14:paraId="1DB4B37E" w14:textId="5724AAFF" w:rsidR="00CA096C" w:rsidRDefault="00CA096C">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_Toc18918819 \h </w:instrText>
      </w:r>
      <w:r>
        <w:rPr>
          <w:noProof/>
        </w:rPr>
      </w:r>
      <w:r>
        <w:rPr>
          <w:noProof/>
        </w:rPr>
        <w:fldChar w:fldCharType="separate"/>
      </w:r>
      <w:r w:rsidR="00E016F9">
        <w:rPr>
          <w:noProof/>
        </w:rPr>
        <w:t>20</w:t>
      </w:r>
      <w:r>
        <w:rPr>
          <w:noProof/>
        </w:rPr>
        <w:fldChar w:fldCharType="end"/>
      </w:r>
    </w:p>
    <w:p w14:paraId="4C194BAF" w14:textId="38704FE6" w:rsidR="001C6C9B" w:rsidRPr="00D12B8C" w:rsidRDefault="001C6C9B" w:rsidP="00D12B8C">
      <w:r>
        <w:fldChar w:fldCharType="end"/>
      </w:r>
    </w:p>
    <w:p w14:paraId="7DD78D3A" w14:textId="77777777" w:rsidR="007E1F66" w:rsidRDefault="007E1F66" w:rsidP="00A15E1E">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58C5B205" w14:textId="6D20E7E8" w:rsidR="00887FDA" w:rsidRDefault="00887FDA"/>
    <w:p w14:paraId="39F3CABB" w14:textId="2BAA1E30" w:rsidR="00871123" w:rsidRPr="007E1F66" w:rsidRDefault="00871123" w:rsidP="007A3578">
      <w:pPr>
        <w:pStyle w:val="eTRMHeading3"/>
      </w:pPr>
      <w:bookmarkStart w:id="0" w:name="_Toc486490839"/>
      <w:bookmarkStart w:id="1" w:name="_Toc486580912"/>
      <w:bookmarkStart w:id="2" w:name="_Toc18918796"/>
      <w:r w:rsidRPr="007E1F66">
        <w:t>Measure Name</w:t>
      </w:r>
      <w:bookmarkEnd w:id="0"/>
      <w:bookmarkEnd w:id="1"/>
      <w:bookmarkEnd w:id="2"/>
    </w:p>
    <w:p w14:paraId="3B952704" w14:textId="0F430BD8" w:rsidR="00871123" w:rsidRDefault="005145E9" w:rsidP="00462BB6">
      <w:pPr>
        <w:spacing w:before="20" w:after="20" w:line="280" w:lineRule="exact"/>
      </w:pPr>
      <w:r>
        <w:t>Steam Boiler</w:t>
      </w:r>
      <w:r w:rsidR="000B2DA3" w:rsidRPr="000B2DA3">
        <w:t xml:space="preserve"> Economizer</w:t>
      </w:r>
      <w:r w:rsidR="007614EB">
        <w:t xml:space="preserve">, </w:t>
      </w:r>
      <w:r w:rsidR="000B2DA3">
        <w:t>Industrial</w:t>
      </w:r>
    </w:p>
    <w:p w14:paraId="4EAED972" w14:textId="77777777" w:rsidR="00871123" w:rsidRPr="00401C43" w:rsidRDefault="00871123" w:rsidP="00462BB6">
      <w:pPr>
        <w:spacing w:before="20" w:after="20" w:line="280" w:lineRule="exact"/>
      </w:pPr>
    </w:p>
    <w:p w14:paraId="6406A9D4" w14:textId="200CA9CF" w:rsidR="00871123" w:rsidRPr="00074E3E" w:rsidRDefault="00871123" w:rsidP="007A3578">
      <w:pPr>
        <w:pStyle w:val="eTRMHeading3"/>
      </w:pPr>
      <w:bookmarkStart w:id="3" w:name="_Toc486490840"/>
      <w:bookmarkStart w:id="4" w:name="_Toc486580913"/>
      <w:bookmarkStart w:id="5" w:name="_Toc18918797"/>
      <w:r>
        <w:t>Statewide Measure ID</w:t>
      </w:r>
      <w:bookmarkEnd w:id="3"/>
      <w:bookmarkEnd w:id="4"/>
      <w:bookmarkEnd w:id="5"/>
    </w:p>
    <w:p w14:paraId="6EAE2100" w14:textId="16A53097" w:rsidR="00871123" w:rsidRDefault="005145E9" w:rsidP="00B96E30">
      <w:r>
        <w:t>SWPR007</w:t>
      </w:r>
      <w:r w:rsidR="00B96E30">
        <w:t>-01</w:t>
      </w:r>
    </w:p>
    <w:p w14:paraId="2B553EA2" w14:textId="77777777" w:rsidR="00871123" w:rsidRPr="00462BB6" w:rsidRDefault="00871123" w:rsidP="00B96E30"/>
    <w:p w14:paraId="1143725C" w14:textId="1636EDA6" w:rsidR="00A242B0" w:rsidRPr="00154391" w:rsidRDefault="00E70CBD" w:rsidP="00A15E1E">
      <w:pPr>
        <w:pStyle w:val="eTRMHeading3"/>
      </w:pPr>
      <w:bookmarkStart w:id="6" w:name="_Toc486490847"/>
      <w:bookmarkStart w:id="7" w:name="_Toc486580918"/>
      <w:bookmarkStart w:id="8" w:name="_Toc18918798"/>
      <w:r w:rsidRPr="00154391">
        <w:t>Technology Summary</w:t>
      </w:r>
      <w:bookmarkEnd w:id="6"/>
      <w:bookmarkEnd w:id="7"/>
      <w:bookmarkEnd w:id="8"/>
      <w:r w:rsidRPr="00154391">
        <w:t xml:space="preserve"> </w:t>
      </w:r>
    </w:p>
    <w:p w14:paraId="2BD7BB31" w14:textId="5A45BC16" w:rsidR="000B2DA3" w:rsidRDefault="000B2DA3" w:rsidP="005474B0">
      <w:r w:rsidRPr="000B2DA3">
        <w:t xml:space="preserve">Installing a flue gas heat recovery system can make </w:t>
      </w:r>
      <w:r w:rsidR="005145E9">
        <w:t xml:space="preserve">a steam </w:t>
      </w:r>
      <w:r w:rsidRPr="000B2DA3">
        <w:t>boiler more efficient by capturing and re-using heat energy that would otherwise have escaped out of the flue or chimney. A boiler economizer reduces the boiler fuel requirements by transferring heat from the flue gas to incoming make-up water. Boiler flue gases are often rejected through the stack at temperatures of greater than 400</w:t>
      </w:r>
      <w:r w:rsidR="00097503">
        <w:t xml:space="preserve"> </w:t>
      </w:r>
      <w:r w:rsidRPr="000B2DA3">
        <w:t>°F. Generally, boiler efficiency can be increased by recovering waste heat, and often reduces fuel requirements by 5% to 10%. Other technical advantages are the reduction of greenhouse gas emissions (CO</w:t>
      </w:r>
      <w:r w:rsidRPr="006C15D9">
        <w:rPr>
          <w:vertAlign w:val="subscript"/>
        </w:rPr>
        <w:t>2</w:t>
      </w:r>
      <w:r w:rsidRPr="000B2DA3">
        <w:t xml:space="preserve"> &amp; NO</w:t>
      </w:r>
      <w:r w:rsidRPr="006C15D9">
        <w:rPr>
          <w:vertAlign w:val="subscript"/>
        </w:rPr>
        <w:t>x</w:t>
      </w:r>
      <w:r w:rsidRPr="000B2DA3">
        <w:t>) and rapid return on investment.</w:t>
      </w:r>
    </w:p>
    <w:p w14:paraId="38A2211F" w14:textId="0E578300" w:rsidR="005474B0" w:rsidRPr="000B2DA3" w:rsidRDefault="000B2DA3" w:rsidP="005D34D3">
      <w:pPr>
        <w:keepNext/>
        <w:keepLines/>
        <w:jc w:val="center"/>
        <w:rPr>
          <w:color w:val="C00000"/>
        </w:rPr>
      </w:pPr>
      <w:r>
        <w:rPr>
          <w:noProof/>
        </w:rPr>
        <w:drawing>
          <wp:inline distT="0" distB="0" distL="0" distR="0" wp14:anchorId="44755B3E" wp14:editId="21283B83">
            <wp:extent cx="4206240" cy="347181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extLst>
                        <a:ext uri="{28A0092B-C50C-407E-A947-70E740481C1C}">
                          <a14:useLocalDpi xmlns:a14="http://schemas.microsoft.com/office/drawing/2010/main" val="0"/>
                        </a:ext>
                      </a:extLst>
                    </a:blip>
                    <a:stretch>
                      <a:fillRect/>
                    </a:stretch>
                  </pic:blipFill>
                  <pic:spPr>
                    <a:xfrm>
                      <a:off x="0" y="0"/>
                      <a:ext cx="4206240" cy="3471816"/>
                    </a:xfrm>
                    <a:prstGeom prst="rect">
                      <a:avLst/>
                    </a:prstGeom>
                  </pic:spPr>
                </pic:pic>
              </a:graphicData>
            </a:graphic>
          </wp:inline>
        </w:drawing>
      </w:r>
    </w:p>
    <w:p w14:paraId="7147018A" w14:textId="7AB7F4A3" w:rsidR="00C7646E" w:rsidRPr="005D34D3" w:rsidRDefault="000B2DA3" w:rsidP="00A42921">
      <w:pPr>
        <w:pStyle w:val="FigureCaption"/>
        <w:rPr>
          <w:rFonts w:asciiTheme="minorHAnsi" w:hAnsiTheme="minorHAnsi"/>
        </w:rPr>
      </w:pPr>
      <w:bookmarkStart w:id="9" w:name="_Toc18495737"/>
      <w:r w:rsidRPr="005D34D3">
        <w:t>Two-Stage Heat Recovery System</w:t>
      </w:r>
      <w:r w:rsidR="005D34D3">
        <w:rPr>
          <w:rStyle w:val="FootnoteReference"/>
          <w:i/>
          <w:iCs/>
          <w:szCs w:val="20"/>
        </w:rPr>
        <w:footnoteReference w:id="1"/>
      </w:r>
      <w:bookmarkEnd w:id="9"/>
    </w:p>
    <w:p w14:paraId="03C96596" w14:textId="77777777" w:rsidR="00097503" w:rsidRDefault="00097503" w:rsidP="000B2DA3"/>
    <w:p w14:paraId="5F93F2E8" w14:textId="3EB7F4EE" w:rsidR="00E23C84" w:rsidRDefault="000B2DA3" w:rsidP="00E23C84">
      <w:r>
        <w:lastRenderedPageBreak/>
        <w:t xml:space="preserve">A typical economizer will have a series of finned tubes contained within and arranged to maximize energy transfer between the cold process fluid and the flue gas. While conventional economizers can significantly reduce the flue gas temperature of a heating unit, this temperature is still significantly above the dew point of the water in the flue gas (a combustion product). A decrease of flue gas temperature across </w:t>
      </w:r>
      <w:r w:rsidR="00E23C84">
        <w:t xml:space="preserve">a single-stage </w:t>
      </w:r>
      <w:r>
        <w:t>economizer of 40</w:t>
      </w:r>
      <w:r w:rsidR="00097503">
        <w:t xml:space="preserve"> </w:t>
      </w:r>
      <w:r>
        <w:t>°F results in an increase of boiler efficiency of approximately 1%,</w:t>
      </w:r>
      <w:r w:rsidR="005D34D3">
        <w:t xml:space="preserve"> according to the U.S. Department of Energy (</w:t>
      </w:r>
      <w:r>
        <w:t>DOE</w:t>
      </w:r>
      <w:r w:rsidR="005D34D3">
        <w:t>)</w:t>
      </w:r>
      <w:r w:rsidR="00097503">
        <w:t>.</w:t>
      </w:r>
      <w:r w:rsidR="00A307DE">
        <w:rPr>
          <w:rStyle w:val="FootnoteReference"/>
        </w:rPr>
        <w:footnoteReference w:id="2"/>
      </w:r>
      <w:r>
        <w:t xml:space="preserve"> </w:t>
      </w:r>
      <w:r w:rsidR="00E23C84" w:rsidRPr="00123F32">
        <w:t>By recovering waste heat, an economizer can often reduce fuel requirements by 5% to 10%. A dual stage unit increases recoverable waste heat over a single stage unit by cooling the flue gas below its dew point, recovering both sensible and latent heat from the flue gas and flue gas water vapor, respectively.</w:t>
      </w:r>
    </w:p>
    <w:p w14:paraId="75B6EB95" w14:textId="323C1CB0" w:rsidR="00DB7B8C" w:rsidRDefault="000B2DA3" w:rsidP="00E23C84">
      <w:r>
        <w:t xml:space="preserve">The minimum flue gas exit temperature for a </w:t>
      </w:r>
      <w:r w:rsidRPr="00A42921">
        <w:rPr>
          <w:i/>
          <w:iCs/>
        </w:rPr>
        <w:t>non-condensing economizer</w:t>
      </w:r>
      <w:r>
        <w:t xml:space="preserve"> is approximately </w:t>
      </w:r>
      <w:r w:rsidR="00036A05">
        <w:t>30</w:t>
      </w:r>
      <w:r>
        <w:t xml:space="preserve">0°F to prevent condensation (standard noncondensing economizers are not designed to withstand the carbonic acid in condensed water vapor), as shown in the brown arrows in </w:t>
      </w:r>
      <w:r w:rsidR="005D34D3">
        <w:t>the figure above</w:t>
      </w:r>
      <w:r>
        <w:t>.</w:t>
      </w:r>
      <w:r w:rsidR="00A42921">
        <w:t xml:space="preserve"> </w:t>
      </w:r>
      <w:r w:rsidR="00E23C84">
        <w:t>According to the U.S. DOE,</w:t>
      </w:r>
      <w:r w:rsidR="00E23C84" w:rsidRPr="00CE460D">
        <w:t xml:space="preserve"> </w:t>
      </w:r>
      <w:r w:rsidR="00E23C84">
        <w:t>“</w:t>
      </w:r>
      <w:r w:rsidR="00E23C84" w:rsidRPr="00CE460D">
        <w:t xml:space="preserve">An </w:t>
      </w:r>
      <w:r w:rsidR="00E23C84" w:rsidRPr="00CE460D">
        <w:rPr>
          <w:i/>
        </w:rPr>
        <w:t>indirect contact</w:t>
      </w:r>
      <w:r w:rsidR="00E23C84" w:rsidRPr="00CE460D">
        <w:t xml:space="preserve"> condensing economizer </w:t>
      </w:r>
      <w:r w:rsidR="00E23C84">
        <w:t xml:space="preserve">… </w:t>
      </w:r>
      <w:r w:rsidR="00E23C84" w:rsidRPr="00CE460D">
        <w:t>removes heat from hot flue gases by passing them through one or more shell-and-tube or tubular heat exchangers. This economizer can heat fluids to a temperature of 200</w:t>
      </w:r>
      <w:r w:rsidR="00E23C84">
        <w:t xml:space="preserve"> </w:t>
      </w:r>
      <w:r w:rsidR="00E23C84" w:rsidRPr="00CE460D">
        <w:t>°F while achieving exit gas temperatures as low as 75</w:t>
      </w:r>
      <w:r w:rsidR="00E23C84">
        <w:t xml:space="preserve"> </w:t>
      </w:r>
      <w:r w:rsidR="00E23C84" w:rsidRPr="00CE460D">
        <w:t>°F.</w:t>
      </w:r>
      <w:r w:rsidR="00E23C84">
        <w:t>”</w:t>
      </w:r>
      <w:r w:rsidR="00E23C84" w:rsidRPr="00962472">
        <w:rPr>
          <w:rStyle w:val="FootnoteReference"/>
        </w:rPr>
        <w:t xml:space="preserve"> </w:t>
      </w:r>
      <w:r w:rsidR="00E23C84">
        <w:rPr>
          <w:rStyle w:val="FootnoteReference"/>
        </w:rPr>
        <w:footnoteReference w:id="3"/>
      </w:r>
    </w:p>
    <w:p w14:paraId="3D5013E8" w14:textId="77777777" w:rsidR="00DB7B8C" w:rsidRDefault="00DB7B8C" w:rsidP="00E23C84"/>
    <w:p w14:paraId="284F0415" w14:textId="10AA3E27" w:rsidR="00DB7B8C" w:rsidRDefault="00DB7B8C" w:rsidP="00E8225A">
      <w:pPr>
        <w:jc w:val="center"/>
      </w:pPr>
      <w:r>
        <w:rPr>
          <w:noProof/>
        </w:rPr>
        <w:drawing>
          <wp:inline distT="0" distB="0" distL="0" distR="0" wp14:anchorId="6E1F1D2E" wp14:editId="5542D4F9">
            <wp:extent cx="3653292" cy="2504046"/>
            <wp:effectExtent l="0" t="0" r="4445" b="0"/>
            <wp:docPr id="2" name="Picture 2"/>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53644" cy="2504287"/>
                    </a:xfrm>
                    <a:prstGeom prst="rect">
                      <a:avLst/>
                    </a:prstGeom>
                  </pic:spPr>
                </pic:pic>
              </a:graphicData>
            </a:graphic>
          </wp:inline>
        </w:drawing>
      </w:r>
    </w:p>
    <w:p w14:paraId="62D9A596" w14:textId="77777777" w:rsidR="00DB7B8C" w:rsidRDefault="00DB7B8C" w:rsidP="00E23C84"/>
    <w:p w14:paraId="55D2A807" w14:textId="2348BC2C" w:rsidR="000B2DA3" w:rsidRDefault="000B2DA3" w:rsidP="000B2DA3">
      <w:r>
        <w:t xml:space="preserve">Like a conventional economizer, the </w:t>
      </w:r>
      <w:r w:rsidRPr="00A42921">
        <w:rPr>
          <w:i/>
          <w:iCs/>
        </w:rPr>
        <w:t>condensing economizer</w:t>
      </w:r>
      <w:r>
        <w:t xml:space="preserve"> will reduce steam boiler fuel requirements by transferring heat from the flue gas to the boiler feedwater. However, this unit improves potential waste heat recovery, as it can cool the flue gas below the water vapor dew point and condense it – recovering both sensible heat and latent heat from the water in the flue gas (The dew point is the temperature at which the water vapor in the flue gas begins to condense in a constant pressure process). This t</w:t>
      </w:r>
      <w:r>
        <w:rPr>
          <w:rFonts w:hint="eastAsia"/>
        </w:rPr>
        <w:t>ype of unit is generally limited to processes that have large make</w:t>
      </w:r>
      <w:r>
        <w:rPr>
          <w:rFonts w:hint="eastAsia"/>
        </w:rPr>
        <w:t>‐</w:t>
      </w:r>
      <w:r>
        <w:rPr>
          <w:rFonts w:hint="eastAsia"/>
        </w:rPr>
        <w:t xml:space="preserve">up water or cold process fluid flow rates due to the amount of heat that must be absorbed by the liquid to condense water (as shown in </w:t>
      </w:r>
      <w:r>
        <w:rPr>
          <w:rFonts w:hint="eastAsia"/>
        </w:rPr>
        <w:lastRenderedPageBreak/>
        <w:t xml:space="preserve">the blue arrows in </w:t>
      </w:r>
      <w:r w:rsidR="00E23C84">
        <w:t>the figure above</w:t>
      </w:r>
      <w:r>
        <w:rPr>
          <w:rFonts w:hint="eastAsia"/>
        </w:rPr>
        <w:t>). A condensing economi</w:t>
      </w:r>
      <w:r>
        <w:t>zer can increase overall heat recovery and steam system efficiency by up to 10% by reducing the flue gas temperature below its water vapor dew point temp., resulting in improved effectiveness of waste heat recovery (Water vapor content in the natural-gas combustion product is about 11% by weight).  However, the liquid water (or condensate) produced by this process is acidic and must be neutralized to the local code requirement for safely and sanitary drain disposal.</w:t>
      </w:r>
    </w:p>
    <w:p w14:paraId="6A9CB905" w14:textId="03A01B65" w:rsidR="000B2DA3" w:rsidRDefault="000B2DA3" w:rsidP="00123F32">
      <w:r>
        <w:t xml:space="preserve">The savings potential is based on the existing stack temperature, the volume of make-up or hot water needed, and the hours of operation. According to </w:t>
      </w:r>
      <w:r w:rsidR="005D34D3">
        <w:t xml:space="preserve">a U.S. </w:t>
      </w:r>
      <w:r>
        <w:t xml:space="preserve">DOE </w:t>
      </w:r>
      <w:r w:rsidR="00FC0D06">
        <w:t xml:space="preserve">and </w:t>
      </w:r>
      <w:r w:rsidR="00FC0D06" w:rsidRPr="00FC0D06">
        <w:t xml:space="preserve">Enbridge Gas Distribution Inc. </w:t>
      </w:r>
      <w:r w:rsidR="00FC0D06">
        <w:t>presentation on boiler economizer heat recovery</w:t>
      </w:r>
      <w:r w:rsidR="00097503">
        <w:t>,</w:t>
      </w:r>
      <w:r w:rsidR="005D34D3" w:rsidDel="005D34D3">
        <w:rPr>
          <w:rStyle w:val="EndnoteReference"/>
        </w:rPr>
        <w:t xml:space="preserve"> </w:t>
      </w:r>
      <w:r w:rsidR="00FC0D06">
        <w:t xml:space="preserve"> </w:t>
      </w:r>
      <w:r>
        <w:t xml:space="preserve">“The economizer reclaims both sensible heat from the flue gas and latent heat by condensing flue gas water vapor </w:t>
      </w:r>
      <w:r w:rsidR="00E23C84">
        <w:t>..</w:t>
      </w:r>
      <w:r>
        <w:t>.”</w:t>
      </w:r>
      <w:r w:rsidR="005D34D3">
        <w:rPr>
          <w:rStyle w:val="FootnoteReference"/>
        </w:rPr>
        <w:footnoteReference w:id="4"/>
      </w:r>
      <w:r>
        <w:t xml:space="preserve">  </w:t>
      </w:r>
    </w:p>
    <w:p w14:paraId="37BD7320" w14:textId="11016A8B" w:rsidR="005D34D3" w:rsidRDefault="005D34D3" w:rsidP="00A42921">
      <w:pPr>
        <w:pStyle w:val="Caption"/>
      </w:pPr>
      <w:r>
        <w:t>Boiler Efficiency of Condensing Economizers</w:t>
      </w:r>
      <w:r w:rsidR="00962472">
        <w:rPr>
          <w:rStyle w:val="FootnoteReference"/>
        </w:rPr>
        <w:footnoteReference w:id="5"/>
      </w:r>
    </w:p>
    <w:tbl>
      <w:tblPr>
        <w:tblStyle w:val="TableGrid"/>
        <w:tblW w:w="743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16"/>
        <w:gridCol w:w="2160"/>
        <w:gridCol w:w="2160"/>
      </w:tblGrid>
      <w:tr w:rsidR="005D34D3" w:rsidRPr="001C5264" w14:paraId="13100245" w14:textId="77777777" w:rsidTr="00E8225A">
        <w:tc>
          <w:tcPr>
            <w:tcW w:w="3116" w:type="dxa"/>
            <w:shd w:val="clear" w:color="auto" w:fill="F2F2F2" w:themeFill="background1" w:themeFillShade="F2"/>
            <w:vAlign w:val="bottom"/>
          </w:tcPr>
          <w:p w14:paraId="28BB028A" w14:textId="49A36B3B" w:rsidR="005D34D3" w:rsidRPr="001C5264" w:rsidRDefault="005D34D3" w:rsidP="00962472">
            <w:pPr>
              <w:keepNext/>
              <w:keepLines/>
              <w:spacing w:before="0" w:after="0"/>
              <w:jc w:val="center"/>
              <w:rPr>
                <w:b/>
                <w:bCs/>
                <w:sz w:val="20"/>
                <w:szCs w:val="22"/>
              </w:rPr>
            </w:pPr>
            <w:r w:rsidRPr="001C5264">
              <w:rPr>
                <w:b/>
                <w:bCs/>
                <w:sz w:val="20"/>
                <w:szCs w:val="22"/>
              </w:rPr>
              <w:t>System</w:t>
            </w:r>
          </w:p>
        </w:tc>
        <w:tc>
          <w:tcPr>
            <w:tcW w:w="2160" w:type="dxa"/>
            <w:shd w:val="clear" w:color="auto" w:fill="F2F2F2" w:themeFill="background1" w:themeFillShade="F2"/>
            <w:vAlign w:val="bottom"/>
          </w:tcPr>
          <w:p w14:paraId="295D2128" w14:textId="2D86CC2B" w:rsidR="005D34D3" w:rsidRPr="001C5264" w:rsidRDefault="005D34D3" w:rsidP="00962472">
            <w:pPr>
              <w:keepNext/>
              <w:keepLines/>
              <w:spacing w:before="0" w:after="0"/>
              <w:jc w:val="center"/>
              <w:rPr>
                <w:b/>
                <w:bCs/>
                <w:sz w:val="20"/>
                <w:szCs w:val="22"/>
              </w:rPr>
            </w:pPr>
            <w:r w:rsidRPr="001C5264">
              <w:rPr>
                <w:b/>
                <w:bCs/>
                <w:sz w:val="20"/>
                <w:szCs w:val="22"/>
              </w:rPr>
              <w:t xml:space="preserve">Combustion Efficiency </w:t>
            </w:r>
            <w:r w:rsidR="001C5264">
              <w:rPr>
                <w:b/>
                <w:bCs/>
                <w:sz w:val="20"/>
                <w:szCs w:val="22"/>
              </w:rPr>
              <w:br/>
            </w:r>
            <w:r w:rsidRPr="001C5264">
              <w:rPr>
                <w:b/>
                <w:bCs/>
                <w:sz w:val="20"/>
                <w:szCs w:val="22"/>
              </w:rPr>
              <w:t>@ 4% Excess O</w:t>
            </w:r>
            <w:r w:rsidRPr="001C5264">
              <w:rPr>
                <w:b/>
                <w:bCs/>
                <w:sz w:val="20"/>
                <w:szCs w:val="22"/>
                <w:vertAlign w:val="superscript"/>
              </w:rPr>
              <w:t>2</w:t>
            </w:r>
            <w:r w:rsidRPr="001C5264">
              <w:rPr>
                <w:b/>
                <w:bCs/>
                <w:sz w:val="20"/>
                <w:szCs w:val="22"/>
              </w:rPr>
              <w:t xml:space="preserve"> (%)</w:t>
            </w:r>
          </w:p>
        </w:tc>
        <w:tc>
          <w:tcPr>
            <w:tcW w:w="2160" w:type="dxa"/>
            <w:shd w:val="clear" w:color="auto" w:fill="F2F2F2" w:themeFill="background1" w:themeFillShade="F2"/>
            <w:vAlign w:val="bottom"/>
          </w:tcPr>
          <w:p w14:paraId="74CDB7C5" w14:textId="3944705B" w:rsidR="005D34D3" w:rsidRPr="001C5264" w:rsidRDefault="005D34D3" w:rsidP="00962472">
            <w:pPr>
              <w:keepNext/>
              <w:keepLines/>
              <w:spacing w:before="0" w:after="0"/>
              <w:jc w:val="center"/>
              <w:rPr>
                <w:b/>
                <w:bCs/>
                <w:sz w:val="20"/>
                <w:szCs w:val="22"/>
              </w:rPr>
            </w:pPr>
            <w:r w:rsidRPr="001C5264">
              <w:rPr>
                <w:b/>
                <w:bCs/>
                <w:sz w:val="20"/>
                <w:szCs w:val="22"/>
              </w:rPr>
              <w:t xml:space="preserve">Stack Gas </w:t>
            </w:r>
            <w:r w:rsidR="001C5264">
              <w:rPr>
                <w:b/>
                <w:bCs/>
                <w:sz w:val="20"/>
                <w:szCs w:val="22"/>
              </w:rPr>
              <w:br/>
            </w:r>
            <w:r w:rsidRPr="001C5264">
              <w:rPr>
                <w:b/>
                <w:bCs/>
                <w:sz w:val="20"/>
                <w:szCs w:val="22"/>
              </w:rPr>
              <w:t>Temperature (</w:t>
            </w:r>
            <w:r w:rsidRPr="001C5264">
              <w:rPr>
                <w:rFonts w:cs="Calibri Light"/>
                <w:b/>
                <w:bCs/>
                <w:sz w:val="20"/>
                <w:szCs w:val="22"/>
              </w:rPr>
              <w:t>°</w:t>
            </w:r>
            <w:r w:rsidRPr="001C5264">
              <w:rPr>
                <w:b/>
                <w:bCs/>
                <w:sz w:val="20"/>
                <w:szCs w:val="22"/>
              </w:rPr>
              <w:t>F)</w:t>
            </w:r>
          </w:p>
        </w:tc>
      </w:tr>
      <w:tr w:rsidR="005D34D3" w:rsidRPr="001C5264" w14:paraId="1BB1561D" w14:textId="77777777" w:rsidTr="001C5264">
        <w:trPr>
          <w:trHeight w:val="485"/>
        </w:trPr>
        <w:tc>
          <w:tcPr>
            <w:tcW w:w="3116" w:type="dxa"/>
            <w:vAlign w:val="center"/>
          </w:tcPr>
          <w:p w14:paraId="6833D4B9" w14:textId="6AD7C43C" w:rsidR="005D34D3" w:rsidRPr="001C5264" w:rsidRDefault="001C5264" w:rsidP="00962472">
            <w:pPr>
              <w:keepNext/>
              <w:keepLines/>
              <w:spacing w:before="0" w:after="0"/>
              <w:rPr>
                <w:sz w:val="20"/>
                <w:szCs w:val="22"/>
              </w:rPr>
            </w:pPr>
            <w:r>
              <w:rPr>
                <w:sz w:val="20"/>
                <w:szCs w:val="22"/>
              </w:rPr>
              <w:t>Boiler</w:t>
            </w:r>
          </w:p>
        </w:tc>
        <w:tc>
          <w:tcPr>
            <w:tcW w:w="2160" w:type="dxa"/>
            <w:vAlign w:val="center"/>
          </w:tcPr>
          <w:p w14:paraId="2774BE3C" w14:textId="4705D6CE" w:rsidR="005D34D3" w:rsidRPr="001C5264" w:rsidRDefault="001C5264" w:rsidP="00962472">
            <w:pPr>
              <w:keepNext/>
              <w:keepLines/>
              <w:spacing w:before="0" w:after="0"/>
              <w:jc w:val="center"/>
              <w:rPr>
                <w:sz w:val="20"/>
                <w:szCs w:val="22"/>
              </w:rPr>
            </w:pPr>
            <w:r>
              <w:rPr>
                <w:sz w:val="20"/>
                <w:szCs w:val="22"/>
              </w:rPr>
              <w:t>78 to 83%</w:t>
            </w:r>
          </w:p>
        </w:tc>
        <w:tc>
          <w:tcPr>
            <w:tcW w:w="2160" w:type="dxa"/>
            <w:vAlign w:val="center"/>
          </w:tcPr>
          <w:p w14:paraId="44B2D565" w14:textId="3D68EF21" w:rsidR="005D34D3" w:rsidRPr="001C5264" w:rsidRDefault="001C5264" w:rsidP="00962472">
            <w:pPr>
              <w:keepNext/>
              <w:keepLines/>
              <w:spacing w:before="0" w:after="0"/>
              <w:jc w:val="center"/>
              <w:rPr>
                <w:sz w:val="20"/>
                <w:szCs w:val="22"/>
              </w:rPr>
            </w:pPr>
            <w:r>
              <w:rPr>
                <w:sz w:val="20"/>
                <w:szCs w:val="22"/>
              </w:rPr>
              <w:t xml:space="preserve">350 to </w:t>
            </w:r>
            <w:r w:rsidRPr="001C5264">
              <w:rPr>
                <w:sz w:val="20"/>
                <w:szCs w:val="22"/>
              </w:rPr>
              <w:t xml:space="preserve">550 </w:t>
            </w:r>
            <w:r w:rsidRPr="001C5264">
              <w:rPr>
                <w:rFonts w:cs="Calibri Light"/>
                <w:sz w:val="20"/>
                <w:szCs w:val="22"/>
              </w:rPr>
              <w:t>°</w:t>
            </w:r>
            <w:r w:rsidRPr="001C5264">
              <w:rPr>
                <w:sz w:val="20"/>
                <w:szCs w:val="22"/>
              </w:rPr>
              <w:t>F</w:t>
            </w:r>
          </w:p>
        </w:tc>
      </w:tr>
      <w:tr w:rsidR="005D34D3" w:rsidRPr="001C5264" w14:paraId="3D95D8F1" w14:textId="77777777" w:rsidTr="001C5264">
        <w:tc>
          <w:tcPr>
            <w:tcW w:w="3116" w:type="dxa"/>
          </w:tcPr>
          <w:p w14:paraId="7D4168E1" w14:textId="6D5E9EC5" w:rsidR="005D34D3" w:rsidRPr="001C5264" w:rsidRDefault="001C5264" w:rsidP="00962472">
            <w:pPr>
              <w:pStyle w:val="ListParagraph"/>
              <w:keepNext/>
              <w:keepLines/>
              <w:numPr>
                <w:ilvl w:val="0"/>
                <w:numId w:val="37"/>
              </w:numPr>
              <w:spacing w:before="0" w:after="0"/>
              <w:ind w:left="249" w:hanging="249"/>
              <w:rPr>
                <w:sz w:val="20"/>
                <w:szCs w:val="22"/>
              </w:rPr>
            </w:pPr>
            <w:r>
              <w:rPr>
                <w:sz w:val="20"/>
                <w:szCs w:val="22"/>
              </w:rPr>
              <w:t>With Feedwater (FW) Economizer</w:t>
            </w:r>
          </w:p>
        </w:tc>
        <w:tc>
          <w:tcPr>
            <w:tcW w:w="2160" w:type="dxa"/>
            <w:vAlign w:val="center"/>
          </w:tcPr>
          <w:p w14:paraId="5161717B" w14:textId="2444CDD9" w:rsidR="005D34D3" w:rsidRPr="001C5264" w:rsidRDefault="001C5264" w:rsidP="00962472">
            <w:pPr>
              <w:keepNext/>
              <w:keepLines/>
              <w:spacing w:before="0" w:after="0"/>
              <w:jc w:val="center"/>
              <w:rPr>
                <w:sz w:val="20"/>
                <w:szCs w:val="22"/>
              </w:rPr>
            </w:pPr>
            <w:r>
              <w:rPr>
                <w:sz w:val="20"/>
                <w:szCs w:val="22"/>
              </w:rPr>
              <w:t>84 to 86%</w:t>
            </w:r>
          </w:p>
        </w:tc>
        <w:tc>
          <w:tcPr>
            <w:tcW w:w="2160" w:type="dxa"/>
            <w:vAlign w:val="center"/>
          </w:tcPr>
          <w:p w14:paraId="224B4B56" w14:textId="7967AFFC" w:rsidR="005D34D3" w:rsidRPr="001C5264" w:rsidRDefault="001C5264" w:rsidP="00962472">
            <w:pPr>
              <w:keepNext/>
              <w:keepLines/>
              <w:spacing w:before="0" w:after="0"/>
              <w:jc w:val="center"/>
              <w:rPr>
                <w:sz w:val="20"/>
                <w:szCs w:val="22"/>
              </w:rPr>
            </w:pPr>
            <w:r>
              <w:rPr>
                <w:sz w:val="20"/>
                <w:szCs w:val="22"/>
              </w:rPr>
              <w:t xml:space="preserve">250 to 300 </w:t>
            </w:r>
            <w:r w:rsidRPr="001C5264">
              <w:rPr>
                <w:rFonts w:cs="Calibri Light"/>
                <w:sz w:val="20"/>
                <w:szCs w:val="22"/>
              </w:rPr>
              <w:t>°</w:t>
            </w:r>
            <w:r w:rsidRPr="001C5264">
              <w:rPr>
                <w:sz w:val="20"/>
                <w:szCs w:val="22"/>
              </w:rPr>
              <w:t>F</w:t>
            </w:r>
          </w:p>
        </w:tc>
      </w:tr>
      <w:tr w:rsidR="005D34D3" w:rsidRPr="001C5264" w14:paraId="20A8FEC9" w14:textId="77777777" w:rsidTr="001C5264">
        <w:tc>
          <w:tcPr>
            <w:tcW w:w="3116" w:type="dxa"/>
          </w:tcPr>
          <w:p w14:paraId="38B05FF5" w14:textId="1A9785FB" w:rsidR="005D34D3" w:rsidRPr="001C5264" w:rsidRDefault="001C5264" w:rsidP="00962472">
            <w:pPr>
              <w:pStyle w:val="ListParagraph"/>
              <w:keepNext/>
              <w:keepLines/>
              <w:numPr>
                <w:ilvl w:val="0"/>
                <w:numId w:val="37"/>
              </w:numPr>
              <w:spacing w:before="0" w:after="0"/>
              <w:ind w:left="249" w:hanging="249"/>
              <w:rPr>
                <w:sz w:val="20"/>
                <w:szCs w:val="22"/>
              </w:rPr>
            </w:pPr>
            <w:r>
              <w:rPr>
                <w:sz w:val="20"/>
                <w:szCs w:val="22"/>
              </w:rPr>
              <w:t>With FW and Condensing Economizer</w:t>
            </w:r>
          </w:p>
        </w:tc>
        <w:tc>
          <w:tcPr>
            <w:tcW w:w="2160" w:type="dxa"/>
            <w:vAlign w:val="center"/>
          </w:tcPr>
          <w:p w14:paraId="615DFBA4" w14:textId="4896EE65" w:rsidR="005D34D3" w:rsidRPr="001C5264" w:rsidRDefault="001C5264" w:rsidP="00962472">
            <w:pPr>
              <w:keepNext/>
              <w:keepLines/>
              <w:spacing w:before="0" w:after="0"/>
              <w:jc w:val="center"/>
              <w:rPr>
                <w:sz w:val="20"/>
                <w:szCs w:val="22"/>
              </w:rPr>
            </w:pPr>
            <w:r>
              <w:rPr>
                <w:sz w:val="20"/>
                <w:szCs w:val="22"/>
              </w:rPr>
              <w:t>92 to 95%</w:t>
            </w:r>
          </w:p>
        </w:tc>
        <w:tc>
          <w:tcPr>
            <w:tcW w:w="2160" w:type="dxa"/>
            <w:vAlign w:val="center"/>
          </w:tcPr>
          <w:p w14:paraId="6D8BA0E9" w14:textId="36982141" w:rsidR="005D34D3" w:rsidRPr="001C5264" w:rsidRDefault="001C5264" w:rsidP="00962472">
            <w:pPr>
              <w:keepNext/>
              <w:keepLines/>
              <w:spacing w:before="0" w:after="0"/>
              <w:jc w:val="center"/>
              <w:rPr>
                <w:sz w:val="20"/>
                <w:szCs w:val="22"/>
              </w:rPr>
            </w:pPr>
            <w:r>
              <w:rPr>
                <w:sz w:val="20"/>
                <w:szCs w:val="22"/>
              </w:rPr>
              <w:t xml:space="preserve">75 – 150 </w:t>
            </w:r>
            <w:r w:rsidRPr="001C5264">
              <w:rPr>
                <w:rFonts w:cs="Calibri Light"/>
                <w:sz w:val="20"/>
                <w:szCs w:val="22"/>
              </w:rPr>
              <w:t>°</w:t>
            </w:r>
            <w:r w:rsidRPr="001C5264">
              <w:rPr>
                <w:sz w:val="20"/>
                <w:szCs w:val="22"/>
              </w:rPr>
              <w:t>F</w:t>
            </w:r>
          </w:p>
        </w:tc>
      </w:tr>
    </w:tbl>
    <w:p w14:paraId="0B59A232" w14:textId="77777777" w:rsidR="005D34D3" w:rsidRDefault="005D34D3" w:rsidP="00123F32"/>
    <w:p w14:paraId="66020569" w14:textId="329D63F3" w:rsidR="00D27A10" w:rsidRDefault="00D27A10" w:rsidP="00A9062A">
      <w:pPr>
        <w:tabs>
          <w:tab w:val="left" w:pos="1594"/>
        </w:tabs>
        <w:rPr>
          <w:rFonts w:eastAsiaTheme="minorHAnsi" w:cs="Calibri Light"/>
          <w:color w:val="000000"/>
          <w:szCs w:val="22"/>
        </w:rPr>
      </w:pPr>
      <w:bookmarkStart w:id="10" w:name="_Toc486490848"/>
      <w:bookmarkStart w:id="11" w:name="_Toc486580919"/>
      <w:r w:rsidRPr="00D27A10">
        <w:rPr>
          <w:rFonts w:eastAsiaTheme="minorHAnsi" w:cs="Calibri Light"/>
          <w:color w:val="000000"/>
          <w:szCs w:val="22"/>
        </w:rPr>
        <w:t xml:space="preserve">The total heat recovered by the make-up water also depends on its flow rate (gpm or lb/hr) and the conditions of the flue gas leaving the economizer, as </w:t>
      </w:r>
      <w:r w:rsidR="00FD1785">
        <w:rPr>
          <w:rFonts w:eastAsiaTheme="minorHAnsi" w:cs="Calibri Light"/>
          <w:color w:val="000000"/>
          <w:szCs w:val="22"/>
        </w:rPr>
        <w:t>presented</w:t>
      </w:r>
      <w:r w:rsidR="00A9062A">
        <w:rPr>
          <w:rFonts w:eastAsiaTheme="minorHAnsi" w:cs="Calibri Light"/>
          <w:color w:val="000000"/>
          <w:szCs w:val="22"/>
        </w:rPr>
        <w:t xml:space="preserve"> </w:t>
      </w:r>
      <w:r w:rsidR="00A9062A" w:rsidRPr="00A9062A">
        <w:rPr>
          <w:rFonts w:eastAsiaTheme="minorHAnsi" w:cs="Calibri Light"/>
          <w:color w:val="000000"/>
          <w:szCs w:val="22"/>
        </w:rPr>
        <w:t>by Aqeel Zaidi, P.Eng</w:t>
      </w:r>
      <w:r w:rsidR="00A9062A">
        <w:rPr>
          <w:rFonts w:eastAsiaTheme="minorHAnsi" w:cs="Calibri Light"/>
          <w:color w:val="000000"/>
          <w:szCs w:val="22"/>
        </w:rPr>
        <w:t>.</w:t>
      </w:r>
      <w:r w:rsidR="00A9062A" w:rsidRPr="00A9062A">
        <w:rPr>
          <w:rFonts w:eastAsiaTheme="minorHAnsi" w:cs="Calibri Light"/>
          <w:color w:val="000000"/>
          <w:szCs w:val="22"/>
        </w:rPr>
        <w:t>,</w:t>
      </w:r>
      <w:r w:rsidR="00FD1785">
        <w:t xml:space="preserve"> of </w:t>
      </w:r>
      <w:r w:rsidR="00FD1785" w:rsidRPr="00FD1785">
        <w:rPr>
          <w:rFonts w:eastAsiaTheme="minorHAnsi" w:cs="Calibri Light"/>
          <w:color w:val="000000"/>
          <w:szCs w:val="22"/>
        </w:rPr>
        <w:t>Enbridge Gas Distribution Inc.</w:t>
      </w:r>
      <w:r w:rsidR="00FD1785">
        <w:rPr>
          <w:rStyle w:val="FootnoteReference"/>
          <w:rFonts w:eastAsiaTheme="minorHAnsi" w:cs="Calibri Light"/>
          <w:color w:val="000000"/>
          <w:szCs w:val="22"/>
        </w:rPr>
        <w:footnoteReference w:id="6"/>
      </w:r>
      <w:r w:rsidR="00A9062A">
        <w:rPr>
          <w:rFonts w:eastAsiaTheme="minorHAnsi" w:cs="Calibri Light"/>
          <w:color w:val="000000"/>
          <w:szCs w:val="22"/>
        </w:rPr>
        <w:t xml:space="preserve"> </w:t>
      </w:r>
      <w:r w:rsidR="00962472">
        <w:rPr>
          <w:rFonts w:eastAsiaTheme="minorHAnsi" w:cs="Calibri Light"/>
          <w:color w:val="000000"/>
          <w:szCs w:val="22"/>
        </w:rPr>
        <w:t>The figure below</w:t>
      </w:r>
      <w:r w:rsidRPr="00D27A10">
        <w:rPr>
          <w:rFonts w:eastAsiaTheme="minorHAnsi" w:cs="Calibri Light"/>
          <w:color w:val="000000"/>
          <w:szCs w:val="22"/>
        </w:rPr>
        <w:t xml:space="preserve"> shows the available heat in the stack at different exhaust temperatures</w:t>
      </w:r>
      <w:r w:rsidR="00DA10C0">
        <w:rPr>
          <w:rFonts w:eastAsiaTheme="minorHAnsi" w:cs="Calibri Light"/>
          <w:color w:val="000000"/>
          <w:szCs w:val="22"/>
        </w:rPr>
        <w:t>, as presented by the steam plant conditions in the DOE Steam Tip Sheet#26A example.</w:t>
      </w:r>
    </w:p>
    <w:p w14:paraId="225083EC" w14:textId="77777777" w:rsidR="00826F42" w:rsidRDefault="00826F42" w:rsidP="00A9062A">
      <w:pPr>
        <w:tabs>
          <w:tab w:val="left" w:pos="1594"/>
        </w:tabs>
        <w:rPr>
          <w:rFonts w:eastAsiaTheme="minorHAnsi" w:cs="Calibri Light"/>
          <w:color w:val="000000"/>
          <w:szCs w:val="22"/>
        </w:rPr>
      </w:pPr>
    </w:p>
    <w:p w14:paraId="7FE81A74" w14:textId="2C91AA79" w:rsidR="000C6F53" w:rsidRPr="00676F30" w:rsidRDefault="00D27A10" w:rsidP="006858E7">
      <w:pPr>
        <w:tabs>
          <w:tab w:val="left" w:pos="1594"/>
        </w:tabs>
        <w:jc w:val="center"/>
        <w:rPr>
          <w:rFonts w:eastAsiaTheme="minorHAnsi" w:cs="Calibri Light"/>
          <w:color w:val="000000"/>
          <w:szCs w:val="22"/>
        </w:rPr>
      </w:pPr>
      <w:r>
        <w:rPr>
          <w:noProof/>
        </w:rPr>
        <w:lastRenderedPageBreak/>
        <w:drawing>
          <wp:inline distT="0" distB="0" distL="0" distR="0" wp14:anchorId="4F61F042" wp14:editId="0D895A27">
            <wp:extent cx="3657600" cy="220370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57600" cy="2203704"/>
                    </a:xfrm>
                    <a:prstGeom prst="rect">
                      <a:avLst/>
                    </a:prstGeom>
                  </pic:spPr>
                </pic:pic>
              </a:graphicData>
            </a:graphic>
          </wp:inline>
        </w:drawing>
      </w:r>
    </w:p>
    <w:p w14:paraId="490A9E95" w14:textId="019672C6" w:rsidR="00D27A10" w:rsidRDefault="00D27A10" w:rsidP="00A42921">
      <w:pPr>
        <w:pStyle w:val="FigureCaption"/>
      </w:pPr>
    </w:p>
    <w:p w14:paraId="4047D73C" w14:textId="130A19BE" w:rsidR="00676F30" w:rsidRDefault="00D27A10" w:rsidP="00A42921">
      <w:pPr>
        <w:pStyle w:val="FigureCaption"/>
      </w:pPr>
      <w:r>
        <w:t>Energy Available from a 100,000 lb/hr Natural Gas-Fired Steam Boiler (MMBtu/hr</w:t>
      </w:r>
      <w:r w:rsidR="00097503">
        <w:rPr>
          <w:rStyle w:val="FootnoteReference"/>
        </w:rPr>
        <w:footnoteReference w:id="7"/>
      </w:r>
    </w:p>
    <w:p w14:paraId="2E15C083" w14:textId="77777777" w:rsidR="00097503" w:rsidRDefault="00097503" w:rsidP="00D27A10"/>
    <w:p w14:paraId="684896A7" w14:textId="6EA37882" w:rsidR="00D27A10" w:rsidRDefault="00962472" w:rsidP="00D27A10">
      <w:r>
        <w:t>The figure below</w:t>
      </w:r>
      <w:r w:rsidR="00D27A10" w:rsidRPr="00D27A10">
        <w:t xml:space="preserve"> define</w:t>
      </w:r>
      <w:r w:rsidR="00C24812">
        <w:t>s</w:t>
      </w:r>
      <w:r w:rsidR="00D27A10" w:rsidRPr="00D27A10">
        <w:t xml:space="preserve"> </w:t>
      </w:r>
      <w:r w:rsidR="00C24812">
        <w:t>the</w:t>
      </w:r>
      <w:r w:rsidR="00D27A10" w:rsidRPr="00D27A10">
        <w:t xml:space="preserve"> ratio of the actual heat transfer rate from the hot </w:t>
      </w:r>
      <w:r w:rsidR="00C24812">
        <w:t>exhaust flue stack</w:t>
      </w:r>
      <w:r w:rsidR="00D27A10" w:rsidRPr="00D27A10">
        <w:t xml:space="preserve"> to the cold </w:t>
      </w:r>
      <w:r w:rsidR="00C24812">
        <w:t>makeup water</w:t>
      </w:r>
      <w:r w:rsidR="00E370A2">
        <w:t>, based on the later flow rate percentage</w:t>
      </w:r>
      <w:r w:rsidR="00DA10C0">
        <w:t>, as stated in the DOE example.</w:t>
      </w:r>
    </w:p>
    <w:p w14:paraId="05F809A5" w14:textId="6DE28029" w:rsidR="00D27A10" w:rsidRPr="00D27A10" w:rsidRDefault="00D27A10" w:rsidP="00E47B64">
      <w:pPr>
        <w:keepNext/>
        <w:keepLines/>
        <w:jc w:val="center"/>
      </w:pPr>
      <w:r>
        <w:rPr>
          <w:noProof/>
        </w:rPr>
        <w:drawing>
          <wp:inline distT="0" distB="0" distL="0" distR="0" wp14:anchorId="255B9E48" wp14:editId="4B7C2505">
            <wp:extent cx="3657600" cy="244710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657600" cy="2447108"/>
                    </a:xfrm>
                    <a:prstGeom prst="rect">
                      <a:avLst/>
                    </a:prstGeom>
                  </pic:spPr>
                </pic:pic>
              </a:graphicData>
            </a:graphic>
          </wp:inline>
        </w:drawing>
      </w:r>
    </w:p>
    <w:p w14:paraId="6174CA9E" w14:textId="4B7C83F3" w:rsidR="00B87CF4" w:rsidRPr="00853EF9" w:rsidRDefault="00D27A10" w:rsidP="00A42921">
      <w:pPr>
        <w:pStyle w:val="FigureCaption"/>
      </w:pPr>
      <w:bookmarkStart w:id="12" w:name="_Toc526750478"/>
      <w:r w:rsidRPr="009D57DE">
        <w:t>Recovery Heat Depends on Heat Sink Size</w:t>
      </w:r>
      <w:bookmarkEnd w:id="12"/>
      <w:r w:rsidR="00097503">
        <w:rPr>
          <w:rStyle w:val="FootnoteReference"/>
        </w:rPr>
        <w:footnoteReference w:id="8"/>
      </w:r>
    </w:p>
    <w:p w14:paraId="78BA5D91" w14:textId="77777777" w:rsidR="00923805" w:rsidRDefault="00923805" w:rsidP="00A42921"/>
    <w:p w14:paraId="5AF18021" w14:textId="08BA48B0" w:rsidR="007D230B" w:rsidRDefault="007D230B" w:rsidP="00A15E1E">
      <w:pPr>
        <w:pStyle w:val="eTRMHeading3"/>
      </w:pPr>
      <w:bookmarkStart w:id="13" w:name="_Toc18918799"/>
      <w:r w:rsidRPr="004B06E3">
        <w:lastRenderedPageBreak/>
        <w:t>Measure Case Description</w:t>
      </w:r>
      <w:bookmarkEnd w:id="10"/>
      <w:bookmarkEnd w:id="11"/>
      <w:bookmarkEnd w:id="13"/>
    </w:p>
    <w:p w14:paraId="167CDDCF" w14:textId="325466BA" w:rsidR="00923805" w:rsidRPr="004B06E3" w:rsidRDefault="00FF5838" w:rsidP="00A42921">
      <w:r>
        <w:t xml:space="preserve">The measure case is defined as a process boiler that is retrofit with either a feedwater or condensing economizer. </w:t>
      </w:r>
    </w:p>
    <w:p w14:paraId="01EEDB25" w14:textId="1CFE9D53" w:rsidR="00B809CE" w:rsidRPr="006858E7" w:rsidRDefault="00B809CE" w:rsidP="00A42921">
      <w:pPr>
        <w:pStyle w:val="Caption"/>
      </w:pPr>
      <w:r w:rsidRPr="006858E7">
        <w:t>Measure Offerings</w:t>
      </w:r>
    </w:p>
    <w:tbl>
      <w:tblPr>
        <w:tblW w:w="73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95"/>
        <w:gridCol w:w="5580"/>
      </w:tblGrid>
      <w:tr w:rsidR="00B809CE" w:rsidRPr="00923805" w14:paraId="7EA6426B" w14:textId="77777777" w:rsidTr="00B809CE">
        <w:trPr>
          <w:trHeight w:val="290"/>
        </w:trPr>
        <w:tc>
          <w:tcPr>
            <w:tcW w:w="1795" w:type="dxa"/>
            <w:shd w:val="clear" w:color="auto" w:fill="F2F2F2" w:themeFill="background1" w:themeFillShade="F2"/>
            <w:noWrap/>
            <w:vAlign w:val="bottom"/>
            <w:hideMark/>
          </w:tcPr>
          <w:p w14:paraId="4359CF44" w14:textId="77777777" w:rsidR="00B809CE" w:rsidRPr="00A81431" w:rsidRDefault="00B809CE" w:rsidP="00B809CE">
            <w:pPr>
              <w:spacing w:before="0" w:after="0" w:line="240" w:lineRule="auto"/>
              <w:jc w:val="center"/>
              <w:rPr>
                <w:rFonts w:eastAsia="Times New Roman" w:cs="Calibri Light"/>
                <w:b/>
                <w:bCs/>
                <w:color w:val="000000"/>
                <w:sz w:val="20"/>
                <w:szCs w:val="20"/>
              </w:rPr>
            </w:pPr>
            <w:r w:rsidRPr="00A81431">
              <w:rPr>
                <w:rFonts w:eastAsia="Times New Roman" w:cs="Calibri Light"/>
                <w:b/>
                <w:bCs/>
                <w:color w:val="000000"/>
                <w:sz w:val="20"/>
                <w:szCs w:val="20"/>
              </w:rPr>
              <w:t>Statewide Measure Offering ID</w:t>
            </w:r>
          </w:p>
        </w:tc>
        <w:tc>
          <w:tcPr>
            <w:tcW w:w="5580" w:type="dxa"/>
            <w:shd w:val="clear" w:color="auto" w:fill="F2F2F2" w:themeFill="background1" w:themeFillShade="F2"/>
            <w:vAlign w:val="bottom"/>
          </w:tcPr>
          <w:p w14:paraId="67713FB7" w14:textId="77777777" w:rsidR="00B809CE" w:rsidRPr="00A81431" w:rsidRDefault="00B809CE" w:rsidP="00B809CE">
            <w:pPr>
              <w:spacing w:before="0" w:after="0" w:line="240" w:lineRule="auto"/>
              <w:jc w:val="center"/>
              <w:rPr>
                <w:rFonts w:eastAsia="Times New Roman" w:cs="Calibri Light"/>
                <w:b/>
                <w:bCs/>
                <w:color w:val="000000"/>
                <w:sz w:val="20"/>
                <w:szCs w:val="20"/>
              </w:rPr>
            </w:pPr>
            <w:r w:rsidRPr="00A81431">
              <w:rPr>
                <w:rFonts w:cs="Calibri Light"/>
                <w:b/>
                <w:bCs/>
                <w:color w:val="000000"/>
                <w:sz w:val="20"/>
                <w:szCs w:val="20"/>
              </w:rPr>
              <w:t>Measure Offering Description</w:t>
            </w:r>
          </w:p>
        </w:tc>
      </w:tr>
      <w:tr w:rsidR="005F26F0" w:rsidRPr="00923805" w14:paraId="5729EDFF" w14:textId="77777777" w:rsidTr="00A42921">
        <w:trPr>
          <w:trHeight w:val="290"/>
        </w:trPr>
        <w:tc>
          <w:tcPr>
            <w:tcW w:w="1795" w:type="dxa"/>
            <w:shd w:val="clear" w:color="auto" w:fill="auto"/>
            <w:noWrap/>
            <w:vAlign w:val="center"/>
          </w:tcPr>
          <w:p w14:paraId="4B4EF523" w14:textId="1443DEF4" w:rsidR="005F26F0" w:rsidRPr="00A81431" w:rsidRDefault="005F26F0" w:rsidP="005F26F0">
            <w:pPr>
              <w:spacing w:before="0" w:after="0" w:line="240" w:lineRule="auto"/>
              <w:rPr>
                <w:rFonts w:eastAsia="Times New Roman" w:cs="Calibri Light"/>
                <w:color w:val="000000"/>
                <w:sz w:val="20"/>
                <w:szCs w:val="20"/>
              </w:rPr>
            </w:pPr>
            <w:r w:rsidRPr="00A81431">
              <w:rPr>
                <w:rFonts w:eastAsia="Times New Roman" w:cs="Calibri Light"/>
                <w:color w:val="000000"/>
                <w:sz w:val="20"/>
                <w:szCs w:val="20"/>
              </w:rPr>
              <w:t>A</w:t>
            </w:r>
          </w:p>
        </w:tc>
        <w:tc>
          <w:tcPr>
            <w:tcW w:w="5580" w:type="dxa"/>
            <w:vAlign w:val="bottom"/>
          </w:tcPr>
          <w:p w14:paraId="2F1F19B5" w14:textId="5AAABC56" w:rsidR="005F26F0" w:rsidRPr="00A81431" w:rsidRDefault="005F26F0" w:rsidP="005F26F0">
            <w:pPr>
              <w:spacing w:before="0" w:after="0" w:line="240" w:lineRule="auto"/>
              <w:rPr>
                <w:rFonts w:eastAsia="Times New Roman" w:cs="Calibri Light"/>
                <w:color w:val="000000"/>
                <w:sz w:val="20"/>
                <w:szCs w:val="20"/>
              </w:rPr>
            </w:pPr>
            <w:r w:rsidRPr="00A42921">
              <w:rPr>
                <w:rFonts w:cs="Calibri Light"/>
                <w:color w:val="000000"/>
                <w:sz w:val="20"/>
                <w:szCs w:val="20"/>
              </w:rPr>
              <w:t>Process Boilers, Feedwater Economizer, 8</w:t>
            </w:r>
            <w:r w:rsidR="003B7027">
              <w:rPr>
                <w:rFonts w:cs="Calibri Light"/>
                <w:color w:val="000000"/>
                <w:sz w:val="20"/>
                <w:szCs w:val="20"/>
              </w:rPr>
              <w:t>1.4</w:t>
            </w:r>
            <w:r w:rsidRPr="00A42921">
              <w:rPr>
                <w:rFonts w:cs="Calibri Light"/>
                <w:color w:val="000000"/>
                <w:sz w:val="20"/>
                <w:szCs w:val="20"/>
              </w:rPr>
              <w:t xml:space="preserve">% </w:t>
            </w:r>
            <w:r w:rsidR="00DA10C0">
              <w:rPr>
                <w:rFonts w:cs="Calibri Light"/>
                <w:color w:val="000000"/>
                <w:sz w:val="20"/>
                <w:szCs w:val="20"/>
              </w:rPr>
              <w:t>T</w:t>
            </w:r>
            <w:r w:rsidRPr="00A42921">
              <w:rPr>
                <w:rFonts w:cs="Calibri Light"/>
                <w:color w:val="000000"/>
                <w:sz w:val="20"/>
                <w:szCs w:val="20"/>
              </w:rPr>
              <w:t>E</w:t>
            </w:r>
          </w:p>
        </w:tc>
      </w:tr>
      <w:tr w:rsidR="005F26F0" w:rsidRPr="00923805" w14:paraId="44E15409" w14:textId="77777777" w:rsidTr="00A42921">
        <w:trPr>
          <w:trHeight w:val="290"/>
        </w:trPr>
        <w:tc>
          <w:tcPr>
            <w:tcW w:w="1795" w:type="dxa"/>
            <w:shd w:val="clear" w:color="auto" w:fill="auto"/>
            <w:noWrap/>
            <w:vAlign w:val="center"/>
          </w:tcPr>
          <w:p w14:paraId="336A458B" w14:textId="0B478828" w:rsidR="005F26F0" w:rsidRPr="00A81431" w:rsidRDefault="005F26F0" w:rsidP="005F26F0">
            <w:pPr>
              <w:spacing w:before="0" w:after="0" w:line="240" w:lineRule="auto"/>
              <w:rPr>
                <w:rFonts w:eastAsia="Times New Roman" w:cs="Calibri Light"/>
                <w:color w:val="000000"/>
                <w:sz w:val="20"/>
                <w:szCs w:val="20"/>
              </w:rPr>
            </w:pPr>
            <w:r w:rsidRPr="00A81431">
              <w:rPr>
                <w:rFonts w:eastAsia="Times New Roman" w:cs="Calibri Light"/>
                <w:color w:val="000000"/>
                <w:sz w:val="20"/>
                <w:szCs w:val="20"/>
              </w:rPr>
              <w:t>B</w:t>
            </w:r>
          </w:p>
        </w:tc>
        <w:tc>
          <w:tcPr>
            <w:tcW w:w="5580" w:type="dxa"/>
            <w:vAlign w:val="bottom"/>
          </w:tcPr>
          <w:p w14:paraId="0EFAC196" w14:textId="46205E80" w:rsidR="005F26F0" w:rsidRPr="00A81431" w:rsidRDefault="005F26F0" w:rsidP="005F26F0">
            <w:pPr>
              <w:spacing w:before="0" w:after="0" w:line="240" w:lineRule="auto"/>
              <w:rPr>
                <w:rFonts w:eastAsia="Times New Roman" w:cs="Calibri Light"/>
                <w:color w:val="000000"/>
                <w:sz w:val="20"/>
                <w:szCs w:val="20"/>
              </w:rPr>
            </w:pPr>
            <w:r w:rsidRPr="00A42921">
              <w:rPr>
                <w:rFonts w:cs="Calibri Light"/>
                <w:color w:val="000000"/>
                <w:sz w:val="20"/>
                <w:szCs w:val="20"/>
              </w:rPr>
              <w:t>Process Boilers, Condensing Economizer, 87.</w:t>
            </w:r>
            <w:r w:rsidR="003B7027">
              <w:rPr>
                <w:rFonts w:cs="Calibri Light"/>
                <w:color w:val="000000"/>
                <w:sz w:val="20"/>
                <w:szCs w:val="20"/>
              </w:rPr>
              <w:t>2</w:t>
            </w:r>
            <w:r w:rsidRPr="00A42921">
              <w:rPr>
                <w:rFonts w:cs="Calibri Light"/>
                <w:color w:val="000000"/>
                <w:sz w:val="20"/>
                <w:szCs w:val="20"/>
              </w:rPr>
              <w:t xml:space="preserve">% </w:t>
            </w:r>
            <w:r w:rsidR="00DA10C0">
              <w:rPr>
                <w:rFonts w:cs="Calibri Light"/>
                <w:color w:val="000000"/>
                <w:sz w:val="20"/>
                <w:szCs w:val="20"/>
              </w:rPr>
              <w:t>T</w:t>
            </w:r>
            <w:r w:rsidRPr="00A42921">
              <w:rPr>
                <w:rFonts w:cs="Calibri Light"/>
                <w:color w:val="000000"/>
                <w:sz w:val="20"/>
                <w:szCs w:val="20"/>
              </w:rPr>
              <w:t>E</w:t>
            </w:r>
          </w:p>
        </w:tc>
      </w:tr>
    </w:tbl>
    <w:p w14:paraId="5BD51F9D" w14:textId="77777777" w:rsidR="00E11A66" w:rsidRDefault="00E11A66" w:rsidP="002942B0"/>
    <w:p w14:paraId="3A192C27" w14:textId="03B0E6CD" w:rsidR="00E11A66" w:rsidRDefault="00E70CBD" w:rsidP="00A15E1E">
      <w:pPr>
        <w:pStyle w:val="eTRMHeading3"/>
      </w:pPr>
      <w:bookmarkStart w:id="14" w:name="_Toc486490849"/>
      <w:bookmarkStart w:id="15" w:name="_Toc486580920"/>
      <w:bookmarkStart w:id="16" w:name="_Toc18918800"/>
      <w:r w:rsidRPr="004B06E3">
        <w:t>Base Case Description</w:t>
      </w:r>
      <w:bookmarkEnd w:id="14"/>
      <w:bookmarkEnd w:id="15"/>
      <w:bookmarkEnd w:id="16"/>
      <w:r w:rsidRPr="00171BB8">
        <w:t xml:space="preserve"> </w:t>
      </w:r>
    </w:p>
    <w:p w14:paraId="03E343E7" w14:textId="41ACC726" w:rsidR="005C7A2F" w:rsidRDefault="00C70F29" w:rsidP="002942B0">
      <w:r>
        <w:t xml:space="preserve">The base case is </w:t>
      </w:r>
      <w:r w:rsidR="00B809CE">
        <w:t xml:space="preserve">defined as </w:t>
      </w:r>
      <w:r>
        <w:t xml:space="preserve">a gas-fired </w:t>
      </w:r>
      <w:r w:rsidR="00123F32">
        <w:t>steam</w:t>
      </w:r>
      <w:r>
        <w:t xml:space="preserve"> boiler </w:t>
      </w:r>
      <w:r w:rsidR="00B809CE">
        <w:t xml:space="preserve">that </w:t>
      </w:r>
      <w:r>
        <w:t xml:space="preserve">operates with no </w:t>
      </w:r>
      <w:r w:rsidR="00123F32">
        <w:t>flue stack heat recovery system</w:t>
      </w:r>
      <w:r>
        <w:t>.</w:t>
      </w:r>
    </w:p>
    <w:p w14:paraId="44066D9B" w14:textId="77777777" w:rsidR="00DB6C19" w:rsidRPr="00A7055A" w:rsidRDefault="00DB6C19" w:rsidP="002942B0">
      <w:pPr>
        <w:rPr>
          <w:szCs w:val="22"/>
        </w:rPr>
      </w:pPr>
    </w:p>
    <w:p w14:paraId="7D9DA4A6" w14:textId="7AC368AD" w:rsidR="007D230B" w:rsidRPr="00171BB8" w:rsidRDefault="007D230B" w:rsidP="00A15E1E">
      <w:pPr>
        <w:pStyle w:val="eTRMHeading3"/>
      </w:pPr>
      <w:bookmarkStart w:id="17" w:name="_Toc486490850"/>
      <w:bookmarkStart w:id="18" w:name="_Toc486580921"/>
      <w:bookmarkStart w:id="19" w:name="_Toc18918801"/>
      <w:r w:rsidRPr="004B06E3">
        <w:t>Code Requirements</w:t>
      </w:r>
      <w:bookmarkEnd w:id="17"/>
      <w:bookmarkEnd w:id="18"/>
      <w:bookmarkEnd w:id="19"/>
    </w:p>
    <w:p w14:paraId="22BEAB52" w14:textId="1717854E" w:rsidR="00F636D5" w:rsidRDefault="00F636D5" w:rsidP="00F636D5">
      <w:r>
        <w:t>The minimum efficiency of a process steam boiler is stipulated in the California Appliance Efficiency Regulations (Title 20) and the Building Energy Efficiency Standards (Title 24).</w:t>
      </w:r>
      <w:r>
        <w:rPr>
          <w:rStyle w:val="FootnoteReference"/>
        </w:rPr>
        <w:footnoteReference w:id="9"/>
      </w:r>
    </w:p>
    <w:p w14:paraId="7E96141F" w14:textId="1E845B26" w:rsidR="00FD2C54" w:rsidRDefault="00FD2C54" w:rsidP="00A42921">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55"/>
        <w:gridCol w:w="2790"/>
        <w:gridCol w:w="1890"/>
      </w:tblGrid>
      <w:tr w:rsidR="00FC77BB" w:rsidRPr="00154391" w14:paraId="4623D54B" w14:textId="689B6080" w:rsidTr="00A42921">
        <w:trPr>
          <w:cantSplit/>
          <w:trHeight w:val="20"/>
        </w:trPr>
        <w:tc>
          <w:tcPr>
            <w:tcW w:w="485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279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189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D26F0" w:rsidRPr="00B809CE" w14:paraId="782F7264" w14:textId="345CFA23" w:rsidTr="00A42921">
        <w:trPr>
          <w:cantSplit/>
          <w:trHeight w:val="20"/>
        </w:trPr>
        <w:tc>
          <w:tcPr>
            <w:tcW w:w="4855" w:type="dxa"/>
            <w:shd w:val="clear" w:color="auto" w:fill="auto"/>
          </w:tcPr>
          <w:p w14:paraId="67BA833F" w14:textId="48D7863E" w:rsidR="00FD26F0" w:rsidRPr="00B809CE" w:rsidRDefault="00FD26F0" w:rsidP="00FD26F0">
            <w:pPr>
              <w:keepNext/>
              <w:keepLines/>
              <w:spacing w:before="20" w:after="20"/>
              <w:rPr>
                <w:sz w:val="20"/>
                <w:szCs w:val="20"/>
              </w:rPr>
            </w:pPr>
            <w:r w:rsidRPr="00653B06">
              <w:rPr>
                <w:sz w:val="20"/>
                <w:szCs w:val="20"/>
              </w:rPr>
              <w:t xml:space="preserve">CA Appliance Efficiency Regulations – Title 20 </w:t>
            </w:r>
            <w:r>
              <w:rPr>
                <w:sz w:val="20"/>
                <w:szCs w:val="20"/>
              </w:rPr>
              <w:t>(</w:t>
            </w:r>
            <w:r w:rsidR="00F636D5">
              <w:rPr>
                <w:sz w:val="20"/>
                <w:szCs w:val="20"/>
              </w:rPr>
              <w:t>2019</w:t>
            </w:r>
            <w:r>
              <w:rPr>
                <w:sz w:val="20"/>
                <w:szCs w:val="20"/>
              </w:rPr>
              <w:t>)</w:t>
            </w:r>
          </w:p>
        </w:tc>
        <w:tc>
          <w:tcPr>
            <w:tcW w:w="2790" w:type="dxa"/>
            <w:shd w:val="clear" w:color="auto" w:fill="auto"/>
            <w:vAlign w:val="center"/>
          </w:tcPr>
          <w:p w14:paraId="794A0264" w14:textId="0F45D211" w:rsidR="00FD26F0" w:rsidRPr="00B809CE" w:rsidRDefault="00F636D5" w:rsidP="00FD26F0">
            <w:pPr>
              <w:keepNext/>
              <w:keepLines/>
              <w:spacing w:before="20" w:after="20"/>
              <w:rPr>
                <w:rFonts w:cs="Calibri Light"/>
                <w:sz w:val="20"/>
                <w:szCs w:val="20"/>
              </w:rPr>
            </w:pPr>
            <w:r>
              <w:rPr>
                <w:rFonts w:cstheme="minorHAnsi"/>
                <w:sz w:val="20"/>
                <w:szCs w:val="20"/>
              </w:rPr>
              <w:t>1605</w:t>
            </w:r>
            <w:r w:rsidR="00FD26F0" w:rsidRPr="00B809CE">
              <w:rPr>
                <w:rFonts w:cstheme="minorHAnsi"/>
                <w:sz w:val="20"/>
                <w:szCs w:val="20"/>
              </w:rPr>
              <w:t>.</w:t>
            </w:r>
            <w:r>
              <w:rPr>
                <w:rFonts w:cstheme="minorHAnsi"/>
                <w:sz w:val="20"/>
                <w:szCs w:val="20"/>
              </w:rPr>
              <w:t>1</w:t>
            </w:r>
          </w:p>
        </w:tc>
        <w:tc>
          <w:tcPr>
            <w:tcW w:w="1890" w:type="dxa"/>
            <w:shd w:val="clear" w:color="auto" w:fill="auto"/>
            <w:vAlign w:val="center"/>
          </w:tcPr>
          <w:p w14:paraId="274AB5DC" w14:textId="5B1FDC12" w:rsidR="00FD26F0" w:rsidRPr="00B809CE" w:rsidRDefault="00097503" w:rsidP="00FD26F0">
            <w:pPr>
              <w:keepNext/>
              <w:keepLines/>
              <w:spacing w:before="20" w:after="20"/>
              <w:rPr>
                <w:sz w:val="20"/>
                <w:szCs w:val="20"/>
              </w:rPr>
            </w:pPr>
            <w:r>
              <w:rPr>
                <w:sz w:val="20"/>
                <w:szCs w:val="20"/>
              </w:rPr>
              <w:t>n/a</w:t>
            </w:r>
          </w:p>
        </w:tc>
      </w:tr>
      <w:tr w:rsidR="00FD26F0" w:rsidRPr="00B809CE" w14:paraId="1238F946" w14:textId="64CC1E4E" w:rsidTr="00A42921">
        <w:trPr>
          <w:cantSplit/>
          <w:trHeight w:val="20"/>
        </w:trPr>
        <w:tc>
          <w:tcPr>
            <w:tcW w:w="4855" w:type="dxa"/>
            <w:shd w:val="clear" w:color="auto" w:fill="auto"/>
          </w:tcPr>
          <w:p w14:paraId="4F444C61" w14:textId="6B3EB954" w:rsidR="00FD26F0" w:rsidRPr="00B809CE" w:rsidRDefault="00FD26F0" w:rsidP="00FD26F0">
            <w:pPr>
              <w:keepNext/>
              <w:keepLines/>
              <w:spacing w:before="20" w:after="20"/>
              <w:rPr>
                <w:sz w:val="20"/>
                <w:szCs w:val="20"/>
              </w:rPr>
            </w:pPr>
            <w:r w:rsidRPr="00653B06">
              <w:rPr>
                <w:sz w:val="20"/>
                <w:szCs w:val="20"/>
              </w:rPr>
              <w:t>CA Building Energy Efficiency Standards – Title 24 (</w:t>
            </w:r>
            <w:r w:rsidR="00F636D5">
              <w:rPr>
                <w:sz w:val="20"/>
                <w:szCs w:val="20"/>
              </w:rPr>
              <w:t>2019</w:t>
            </w:r>
            <w:r w:rsidRPr="00653B06">
              <w:rPr>
                <w:sz w:val="20"/>
                <w:szCs w:val="20"/>
              </w:rPr>
              <w:t>)</w:t>
            </w:r>
          </w:p>
        </w:tc>
        <w:tc>
          <w:tcPr>
            <w:tcW w:w="2790" w:type="dxa"/>
            <w:shd w:val="clear" w:color="auto" w:fill="auto"/>
            <w:vAlign w:val="center"/>
          </w:tcPr>
          <w:p w14:paraId="0A330E5E" w14:textId="6058BE9B" w:rsidR="00FD26F0" w:rsidRPr="00B809CE" w:rsidRDefault="00F636D5" w:rsidP="00FD26F0">
            <w:pPr>
              <w:keepNext/>
              <w:keepLines/>
              <w:spacing w:before="20" w:after="20"/>
              <w:rPr>
                <w:rFonts w:cs="Calibri Light"/>
                <w:sz w:val="20"/>
                <w:szCs w:val="20"/>
              </w:rPr>
            </w:pPr>
            <w:r>
              <w:rPr>
                <w:rFonts w:cstheme="minorHAnsi"/>
                <w:sz w:val="20"/>
                <w:szCs w:val="20"/>
              </w:rPr>
              <w:t xml:space="preserve">110.2 </w:t>
            </w:r>
          </w:p>
        </w:tc>
        <w:tc>
          <w:tcPr>
            <w:tcW w:w="1890" w:type="dxa"/>
            <w:shd w:val="clear" w:color="auto" w:fill="auto"/>
            <w:vAlign w:val="center"/>
          </w:tcPr>
          <w:p w14:paraId="63BAD98E" w14:textId="1C8DDCB1" w:rsidR="00FD26F0" w:rsidRPr="00B809CE" w:rsidRDefault="00097503" w:rsidP="00FD26F0">
            <w:pPr>
              <w:keepNext/>
              <w:keepLines/>
              <w:spacing w:before="20" w:after="20"/>
              <w:rPr>
                <w:sz w:val="20"/>
                <w:szCs w:val="20"/>
              </w:rPr>
            </w:pPr>
            <w:r>
              <w:rPr>
                <w:sz w:val="20"/>
                <w:szCs w:val="20"/>
              </w:rPr>
              <w:t>n/a</w:t>
            </w:r>
          </w:p>
        </w:tc>
      </w:tr>
      <w:tr w:rsidR="00FD26F0" w:rsidRPr="00B809CE" w14:paraId="23FB50B6" w14:textId="5078B94B" w:rsidTr="00A42921">
        <w:trPr>
          <w:cantSplit/>
          <w:trHeight w:val="20"/>
        </w:trPr>
        <w:tc>
          <w:tcPr>
            <w:tcW w:w="4855" w:type="dxa"/>
            <w:shd w:val="clear" w:color="auto" w:fill="auto"/>
          </w:tcPr>
          <w:p w14:paraId="2EBFC05B" w14:textId="089FE7D3" w:rsidR="00FD26F0" w:rsidRPr="00B809CE" w:rsidRDefault="00FD26F0" w:rsidP="00FD26F0">
            <w:pPr>
              <w:keepNext/>
              <w:keepLines/>
              <w:spacing w:before="20" w:after="20"/>
              <w:rPr>
                <w:sz w:val="20"/>
                <w:szCs w:val="20"/>
              </w:rPr>
            </w:pPr>
            <w:r w:rsidRPr="00653B06">
              <w:rPr>
                <w:sz w:val="20"/>
                <w:szCs w:val="20"/>
              </w:rPr>
              <w:t>Federal Standards</w:t>
            </w:r>
          </w:p>
        </w:tc>
        <w:tc>
          <w:tcPr>
            <w:tcW w:w="2790" w:type="dxa"/>
            <w:shd w:val="clear" w:color="auto" w:fill="auto"/>
            <w:vAlign w:val="center"/>
          </w:tcPr>
          <w:p w14:paraId="0D43394E" w14:textId="4DF6FBE2" w:rsidR="00FD26F0" w:rsidRPr="00B809CE" w:rsidRDefault="00FD26F0" w:rsidP="00FD26F0">
            <w:pPr>
              <w:keepNext/>
              <w:keepLines/>
              <w:spacing w:before="20" w:after="20"/>
              <w:rPr>
                <w:rFonts w:cs="Calibri Light"/>
                <w:sz w:val="20"/>
                <w:szCs w:val="20"/>
              </w:rPr>
            </w:pPr>
            <w:r w:rsidRPr="00B809CE">
              <w:rPr>
                <w:rFonts w:cs="Calibri Light"/>
                <w:sz w:val="20"/>
                <w:szCs w:val="20"/>
              </w:rPr>
              <w:t>None.</w:t>
            </w:r>
          </w:p>
        </w:tc>
        <w:tc>
          <w:tcPr>
            <w:tcW w:w="1890" w:type="dxa"/>
            <w:shd w:val="clear" w:color="auto" w:fill="auto"/>
            <w:vAlign w:val="center"/>
          </w:tcPr>
          <w:p w14:paraId="66FA1B6F" w14:textId="2A6B7E22" w:rsidR="00FD26F0" w:rsidRPr="00B809CE" w:rsidRDefault="00097503" w:rsidP="00FD26F0">
            <w:pPr>
              <w:keepNext/>
              <w:keepLines/>
              <w:spacing w:before="20" w:after="20"/>
              <w:rPr>
                <w:sz w:val="20"/>
                <w:szCs w:val="20"/>
              </w:rPr>
            </w:pPr>
            <w:r>
              <w:rPr>
                <w:sz w:val="20"/>
                <w:szCs w:val="20"/>
              </w:rPr>
              <w:t>n/a</w:t>
            </w:r>
          </w:p>
        </w:tc>
      </w:tr>
    </w:tbl>
    <w:p w14:paraId="05B6327D" w14:textId="77777777" w:rsidR="00FD26F0" w:rsidRDefault="00FD26F0" w:rsidP="0011498C"/>
    <w:p w14:paraId="1EE16D20" w14:textId="52E09760" w:rsidR="007D230B" w:rsidRPr="00171BB8" w:rsidRDefault="007D230B" w:rsidP="00A15E1E">
      <w:pPr>
        <w:pStyle w:val="eTRMHeading3"/>
      </w:pPr>
      <w:bookmarkStart w:id="20" w:name="_Toc486490851"/>
      <w:bookmarkStart w:id="21" w:name="_Toc486580922"/>
      <w:bookmarkStart w:id="22" w:name="_Toc18918802"/>
      <w:r w:rsidRPr="00A83458">
        <w:t>Normalizing</w:t>
      </w:r>
      <w:r w:rsidRPr="00171BB8">
        <w:t xml:space="preserve"> Unit</w:t>
      </w:r>
      <w:bookmarkEnd w:id="20"/>
      <w:bookmarkEnd w:id="21"/>
      <w:bookmarkEnd w:id="22"/>
    </w:p>
    <w:p w14:paraId="0115BB45" w14:textId="261B3BB4" w:rsidR="009C31A4" w:rsidRDefault="00334B50" w:rsidP="00486585">
      <w:r w:rsidRPr="00334B50">
        <w:t>None</w:t>
      </w:r>
    </w:p>
    <w:p w14:paraId="3E37BE24" w14:textId="77777777" w:rsidR="009F1E20" w:rsidRPr="007D230B" w:rsidRDefault="009F1E20" w:rsidP="00486585"/>
    <w:p w14:paraId="2F4904E6" w14:textId="77777777" w:rsidR="007D230B" w:rsidRPr="004B06E3" w:rsidRDefault="007D230B" w:rsidP="00A15E1E">
      <w:pPr>
        <w:pStyle w:val="eTRMHeading3"/>
      </w:pPr>
      <w:bookmarkStart w:id="23" w:name="_Toc486490852"/>
      <w:bookmarkStart w:id="24" w:name="_Toc486580923"/>
      <w:bookmarkStart w:id="25" w:name="_Toc18918803"/>
      <w:bookmarkStart w:id="26" w:name="_Hlk515365299"/>
      <w:bookmarkStart w:id="27" w:name="_Hlk515878271"/>
      <w:r w:rsidRPr="004B06E3">
        <w:t>Program Requirements</w:t>
      </w:r>
      <w:bookmarkEnd w:id="23"/>
      <w:bookmarkEnd w:id="24"/>
      <w:bookmarkEnd w:id="25"/>
      <w:r w:rsidRPr="004B06E3">
        <w:t xml:space="preserve"> </w:t>
      </w:r>
    </w:p>
    <w:p w14:paraId="0D23D0BE" w14:textId="77777777" w:rsidR="00097503" w:rsidRDefault="00097503" w:rsidP="00097503">
      <w:pPr>
        <w:pStyle w:val="eTRMHeading5"/>
      </w:pPr>
      <w:bookmarkStart w:id="28" w:name="_Hlk516047641"/>
      <w:bookmarkEnd w:id="26"/>
      <w:r>
        <w:t>Measure Implementation Eligibility</w:t>
      </w:r>
    </w:p>
    <w:p w14:paraId="320BD0E1" w14:textId="77777777" w:rsidR="00097503" w:rsidRDefault="00097503" w:rsidP="00097503">
      <w:bookmarkStart w:id="29" w:name="_Hlk527543844"/>
      <w:r>
        <w:t xml:space="preserve">All combinations of measure application type, delivery type, and sector that are established for this measure are specified below. Measure application type is a categorization based on the circumstances </w:t>
      </w:r>
      <w:r>
        <w:lastRenderedPageBreak/>
        <w:t>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p w14:paraId="0A592900" w14:textId="77777777" w:rsidR="00097503" w:rsidRDefault="00097503" w:rsidP="00097503">
      <w:pPr>
        <w:rPr>
          <w:i/>
        </w:rPr>
      </w:pPr>
      <w:r>
        <w:rPr>
          <w:i/>
        </w:rPr>
        <w:t>Note that some of the implementation combinations below may not be allowed for some measure offerings by all program administrators.</w:t>
      </w:r>
    </w:p>
    <w:p w14:paraId="4C20D576" w14:textId="52D6E4AD" w:rsidR="001B426F" w:rsidRDefault="001B426F" w:rsidP="00A42921">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FD26F0" w:rsidRPr="00A47168" w14:paraId="40946250" w14:textId="77777777" w:rsidTr="00FD26F0">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FD26F0" w:rsidRPr="00A47168" w:rsidRDefault="00FD26F0"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324F2D22" w:rsidR="00FD26F0" w:rsidRPr="00A47168" w:rsidRDefault="00FD26F0"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FD26F0" w:rsidRPr="00A47168" w:rsidRDefault="00FD26F0" w:rsidP="001B426F">
            <w:pPr>
              <w:keepNext/>
              <w:spacing w:before="0" w:after="0"/>
              <w:rPr>
                <w:b/>
                <w:bCs/>
                <w:sz w:val="20"/>
              </w:rPr>
            </w:pPr>
            <w:r w:rsidRPr="00A47168">
              <w:rPr>
                <w:b/>
                <w:bCs/>
                <w:sz w:val="20"/>
              </w:rPr>
              <w:t>Sector</w:t>
            </w:r>
          </w:p>
        </w:tc>
      </w:tr>
      <w:tr w:rsidR="00FD26F0" w:rsidRPr="00FD26F0" w14:paraId="5D22EDDB" w14:textId="77777777" w:rsidTr="00FD26F0">
        <w:trPr>
          <w:trHeight w:val="290"/>
        </w:trPr>
        <w:tc>
          <w:tcPr>
            <w:tcW w:w="3024" w:type="dxa"/>
            <w:noWrap/>
            <w:tcMar>
              <w:top w:w="0" w:type="dxa"/>
              <w:left w:w="108" w:type="dxa"/>
              <w:bottom w:w="0" w:type="dxa"/>
              <w:right w:w="108" w:type="dxa"/>
            </w:tcMar>
            <w:vAlign w:val="bottom"/>
          </w:tcPr>
          <w:p w14:paraId="67C06326" w14:textId="7B7D8946" w:rsidR="00FD26F0" w:rsidRPr="00FD26F0" w:rsidRDefault="00FD26F0" w:rsidP="00FD26F0">
            <w:pPr>
              <w:keepNext/>
              <w:spacing w:before="0" w:after="0"/>
              <w:rPr>
                <w:rFonts w:cs="Calibri Light"/>
                <w:color w:val="000000"/>
                <w:sz w:val="20"/>
                <w:szCs w:val="20"/>
              </w:rPr>
            </w:pPr>
            <w:r w:rsidRPr="00FD26F0">
              <w:rPr>
                <w:rFonts w:cs="Calibri Light"/>
                <w:color w:val="000000"/>
                <w:sz w:val="20"/>
                <w:szCs w:val="20"/>
              </w:rPr>
              <w:t>Add-on equipment</w:t>
            </w:r>
          </w:p>
        </w:tc>
        <w:tc>
          <w:tcPr>
            <w:tcW w:w="3024" w:type="dxa"/>
            <w:noWrap/>
            <w:tcMar>
              <w:top w:w="0" w:type="dxa"/>
              <w:left w:w="108" w:type="dxa"/>
              <w:bottom w:w="0" w:type="dxa"/>
              <w:right w:w="108" w:type="dxa"/>
            </w:tcMar>
            <w:vAlign w:val="bottom"/>
          </w:tcPr>
          <w:p w14:paraId="5AA899A5" w14:textId="5E775847" w:rsidR="00FD26F0" w:rsidRPr="00FD26F0" w:rsidRDefault="00FD26F0" w:rsidP="00FD26F0">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111B3DEA" w14:textId="4FB04679" w:rsidR="00FD26F0" w:rsidRPr="00FD26F0" w:rsidRDefault="00F10FC8" w:rsidP="00FD26F0">
            <w:pPr>
              <w:keepNext/>
              <w:spacing w:before="0" w:after="0"/>
              <w:rPr>
                <w:rFonts w:cs="Calibri Light"/>
                <w:color w:val="000000"/>
                <w:sz w:val="20"/>
                <w:szCs w:val="20"/>
              </w:rPr>
            </w:pPr>
            <w:r>
              <w:rPr>
                <w:rFonts w:cs="Calibri Light"/>
                <w:color w:val="000000"/>
                <w:sz w:val="20"/>
                <w:szCs w:val="20"/>
              </w:rPr>
              <w:t>Com</w:t>
            </w:r>
          </w:p>
        </w:tc>
      </w:tr>
      <w:tr w:rsidR="000B7D58" w:rsidRPr="00FD26F0" w14:paraId="335E7D93" w14:textId="77777777" w:rsidTr="00FD26F0">
        <w:trPr>
          <w:trHeight w:val="290"/>
        </w:trPr>
        <w:tc>
          <w:tcPr>
            <w:tcW w:w="3024" w:type="dxa"/>
            <w:noWrap/>
            <w:tcMar>
              <w:top w:w="0" w:type="dxa"/>
              <w:left w:w="108" w:type="dxa"/>
              <w:bottom w:w="0" w:type="dxa"/>
              <w:right w:w="108" w:type="dxa"/>
            </w:tcMar>
            <w:vAlign w:val="bottom"/>
          </w:tcPr>
          <w:p w14:paraId="3C92E6B5" w14:textId="6F367F01" w:rsidR="000B7D58" w:rsidRPr="00FD26F0" w:rsidRDefault="000B7D58" w:rsidP="000B7D58">
            <w:pPr>
              <w:keepNext/>
              <w:spacing w:before="0" w:after="0"/>
              <w:rPr>
                <w:rFonts w:cs="Calibri Light"/>
                <w:color w:val="000000"/>
                <w:sz w:val="20"/>
                <w:szCs w:val="20"/>
              </w:rPr>
            </w:pPr>
            <w:r w:rsidRPr="00FD26F0">
              <w:rPr>
                <w:rFonts w:cs="Calibri Light"/>
                <w:color w:val="000000"/>
                <w:sz w:val="20"/>
                <w:szCs w:val="20"/>
              </w:rPr>
              <w:t>Add-on equipment</w:t>
            </w:r>
          </w:p>
        </w:tc>
        <w:tc>
          <w:tcPr>
            <w:tcW w:w="3024" w:type="dxa"/>
            <w:noWrap/>
            <w:tcMar>
              <w:top w:w="0" w:type="dxa"/>
              <w:left w:w="108" w:type="dxa"/>
              <w:bottom w:w="0" w:type="dxa"/>
              <w:right w:w="108" w:type="dxa"/>
            </w:tcMar>
            <w:vAlign w:val="bottom"/>
          </w:tcPr>
          <w:p w14:paraId="6AA97F20" w14:textId="18B34932" w:rsidR="000B7D58" w:rsidRPr="00FD26F0" w:rsidRDefault="000B7D58" w:rsidP="000B7D58">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037ED282" w14:textId="656120A3" w:rsidR="000B7D58" w:rsidRDefault="000B7D58" w:rsidP="000B7D58">
            <w:pPr>
              <w:keepNext/>
              <w:spacing w:before="0" w:after="0"/>
              <w:rPr>
                <w:rFonts w:cs="Calibri Light"/>
                <w:color w:val="000000"/>
                <w:sz w:val="20"/>
                <w:szCs w:val="20"/>
              </w:rPr>
            </w:pPr>
            <w:r>
              <w:rPr>
                <w:rFonts w:cs="Calibri Light"/>
                <w:color w:val="000000"/>
                <w:sz w:val="20"/>
                <w:szCs w:val="20"/>
              </w:rPr>
              <w:t>Ind</w:t>
            </w:r>
          </w:p>
        </w:tc>
      </w:tr>
      <w:tr w:rsidR="002456B2" w:rsidRPr="00FD26F0" w14:paraId="0FB1EB30" w14:textId="77777777" w:rsidTr="00FD26F0">
        <w:trPr>
          <w:trHeight w:val="290"/>
        </w:trPr>
        <w:tc>
          <w:tcPr>
            <w:tcW w:w="3024" w:type="dxa"/>
            <w:noWrap/>
            <w:tcMar>
              <w:top w:w="0" w:type="dxa"/>
              <w:left w:w="108" w:type="dxa"/>
              <w:bottom w:w="0" w:type="dxa"/>
              <w:right w:w="108" w:type="dxa"/>
            </w:tcMar>
            <w:vAlign w:val="bottom"/>
          </w:tcPr>
          <w:p w14:paraId="634380DE" w14:textId="2AD3943C" w:rsidR="002456B2" w:rsidRPr="00FD26F0" w:rsidRDefault="002456B2" w:rsidP="002456B2">
            <w:pPr>
              <w:keepNext/>
              <w:spacing w:before="0" w:after="0"/>
              <w:rPr>
                <w:rFonts w:cs="Calibri Light"/>
                <w:color w:val="000000"/>
                <w:sz w:val="20"/>
                <w:szCs w:val="20"/>
              </w:rPr>
            </w:pPr>
            <w:r w:rsidRPr="00FD26F0">
              <w:rPr>
                <w:rFonts w:cs="Calibri Light"/>
                <w:color w:val="000000"/>
                <w:sz w:val="20"/>
                <w:szCs w:val="20"/>
              </w:rPr>
              <w:t>Add-on equipment</w:t>
            </w:r>
          </w:p>
        </w:tc>
        <w:tc>
          <w:tcPr>
            <w:tcW w:w="3024" w:type="dxa"/>
            <w:noWrap/>
            <w:tcMar>
              <w:top w:w="0" w:type="dxa"/>
              <w:left w:w="108" w:type="dxa"/>
              <w:bottom w:w="0" w:type="dxa"/>
              <w:right w:w="108" w:type="dxa"/>
            </w:tcMar>
            <w:vAlign w:val="bottom"/>
          </w:tcPr>
          <w:p w14:paraId="2FB3B39E" w14:textId="11EA8277" w:rsidR="002456B2" w:rsidRPr="00FD26F0" w:rsidRDefault="002456B2" w:rsidP="002456B2">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1BFE8E9D" w14:textId="004427AA" w:rsidR="002456B2" w:rsidRDefault="002456B2" w:rsidP="002456B2">
            <w:pPr>
              <w:keepNext/>
              <w:spacing w:before="0" w:after="0"/>
              <w:rPr>
                <w:rFonts w:cs="Calibri Light"/>
                <w:color w:val="000000"/>
                <w:sz w:val="20"/>
                <w:szCs w:val="20"/>
              </w:rPr>
            </w:pPr>
            <w:r>
              <w:rPr>
                <w:rFonts w:cs="Calibri Light"/>
                <w:color w:val="000000"/>
                <w:sz w:val="20"/>
                <w:szCs w:val="20"/>
              </w:rPr>
              <w:t>Ag</w:t>
            </w:r>
          </w:p>
        </w:tc>
      </w:tr>
      <w:tr w:rsidR="005433AB" w:rsidRPr="00FD26F0" w14:paraId="65058C03" w14:textId="77777777" w:rsidTr="00991F53">
        <w:trPr>
          <w:trHeight w:val="290"/>
        </w:trPr>
        <w:tc>
          <w:tcPr>
            <w:tcW w:w="3024" w:type="dxa"/>
            <w:noWrap/>
            <w:tcMar>
              <w:top w:w="0" w:type="dxa"/>
              <w:left w:w="108" w:type="dxa"/>
              <w:bottom w:w="0" w:type="dxa"/>
              <w:right w:w="108" w:type="dxa"/>
            </w:tcMar>
            <w:vAlign w:val="bottom"/>
          </w:tcPr>
          <w:p w14:paraId="577A8503" w14:textId="6B4224A9" w:rsidR="005433AB" w:rsidRPr="00FD26F0" w:rsidRDefault="005433AB" w:rsidP="00991F53">
            <w:pPr>
              <w:keepNext/>
              <w:spacing w:before="0" w:after="0"/>
              <w:rPr>
                <w:rFonts w:cs="Calibri Light"/>
                <w:color w:val="000000"/>
                <w:sz w:val="20"/>
                <w:szCs w:val="20"/>
              </w:rPr>
            </w:pPr>
            <w:r>
              <w:rPr>
                <w:rFonts w:cs="Calibri Light"/>
                <w:color w:val="000000"/>
                <w:sz w:val="20"/>
                <w:szCs w:val="20"/>
              </w:rPr>
              <w:t>New Construction</w:t>
            </w:r>
          </w:p>
        </w:tc>
        <w:tc>
          <w:tcPr>
            <w:tcW w:w="3024" w:type="dxa"/>
            <w:noWrap/>
            <w:tcMar>
              <w:top w:w="0" w:type="dxa"/>
              <w:left w:w="108" w:type="dxa"/>
              <w:bottom w:w="0" w:type="dxa"/>
              <w:right w:w="108" w:type="dxa"/>
            </w:tcMar>
            <w:vAlign w:val="bottom"/>
          </w:tcPr>
          <w:p w14:paraId="124DA965" w14:textId="77777777" w:rsidR="005433AB" w:rsidRPr="00FD26F0" w:rsidRDefault="005433AB" w:rsidP="00991F53">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48685159" w14:textId="77777777" w:rsidR="005433AB" w:rsidRPr="00FD26F0" w:rsidRDefault="005433AB" w:rsidP="00991F53">
            <w:pPr>
              <w:keepNext/>
              <w:spacing w:before="0" w:after="0"/>
              <w:rPr>
                <w:rFonts w:cs="Calibri Light"/>
                <w:color w:val="000000"/>
                <w:sz w:val="20"/>
                <w:szCs w:val="20"/>
              </w:rPr>
            </w:pPr>
            <w:r>
              <w:rPr>
                <w:rFonts w:cs="Calibri Light"/>
                <w:color w:val="000000"/>
                <w:sz w:val="20"/>
                <w:szCs w:val="20"/>
              </w:rPr>
              <w:t>Com</w:t>
            </w:r>
          </w:p>
        </w:tc>
      </w:tr>
      <w:tr w:rsidR="005433AB" w:rsidRPr="00FD26F0" w14:paraId="49C5AC1F" w14:textId="77777777" w:rsidTr="00991F53">
        <w:trPr>
          <w:trHeight w:val="290"/>
        </w:trPr>
        <w:tc>
          <w:tcPr>
            <w:tcW w:w="3024" w:type="dxa"/>
            <w:noWrap/>
            <w:tcMar>
              <w:top w:w="0" w:type="dxa"/>
              <w:left w:w="108" w:type="dxa"/>
              <w:bottom w:w="0" w:type="dxa"/>
              <w:right w:w="108" w:type="dxa"/>
            </w:tcMar>
            <w:vAlign w:val="bottom"/>
          </w:tcPr>
          <w:p w14:paraId="20D93046" w14:textId="741DB904" w:rsidR="005433AB" w:rsidRPr="00FD26F0" w:rsidRDefault="005433AB" w:rsidP="00991F53">
            <w:pPr>
              <w:keepNext/>
              <w:spacing w:before="0" w:after="0"/>
              <w:rPr>
                <w:rFonts w:cs="Calibri Light"/>
                <w:color w:val="000000"/>
                <w:sz w:val="20"/>
                <w:szCs w:val="20"/>
              </w:rPr>
            </w:pPr>
            <w:r>
              <w:rPr>
                <w:rFonts w:cs="Calibri Light"/>
                <w:color w:val="000000"/>
                <w:sz w:val="20"/>
                <w:szCs w:val="20"/>
              </w:rPr>
              <w:t>New Construction</w:t>
            </w:r>
          </w:p>
        </w:tc>
        <w:tc>
          <w:tcPr>
            <w:tcW w:w="3024" w:type="dxa"/>
            <w:noWrap/>
            <w:tcMar>
              <w:top w:w="0" w:type="dxa"/>
              <w:left w:w="108" w:type="dxa"/>
              <w:bottom w:w="0" w:type="dxa"/>
              <w:right w:w="108" w:type="dxa"/>
            </w:tcMar>
            <w:vAlign w:val="bottom"/>
          </w:tcPr>
          <w:p w14:paraId="471DB775" w14:textId="77777777" w:rsidR="005433AB" w:rsidRPr="00FD26F0" w:rsidRDefault="005433AB" w:rsidP="00991F53">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5A13EF06" w14:textId="77777777" w:rsidR="005433AB" w:rsidRDefault="005433AB" w:rsidP="00991F53">
            <w:pPr>
              <w:keepNext/>
              <w:spacing w:before="0" w:after="0"/>
              <w:rPr>
                <w:rFonts w:cs="Calibri Light"/>
                <w:color w:val="000000"/>
                <w:sz w:val="20"/>
                <w:szCs w:val="20"/>
              </w:rPr>
            </w:pPr>
            <w:r>
              <w:rPr>
                <w:rFonts w:cs="Calibri Light"/>
                <w:color w:val="000000"/>
                <w:sz w:val="20"/>
                <w:szCs w:val="20"/>
              </w:rPr>
              <w:t>Ind</w:t>
            </w:r>
          </w:p>
        </w:tc>
      </w:tr>
      <w:tr w:rsidR="005433AB" w:rsidRPr="00FD26F0" w14:paraId="60622D64" w14:textId="77777777" w:rsidTr="00991F53">
        <w:trPr>
          <w:trHeight w:val="290"/>
        </w:trPr>
        <w:tc>
          <w:tcPr>
            <w:tcW w:w="3024" w:type="dxa"/>
            <w:noWrap/>
            <w:tcMar>
              <w:top w:w="0" w:type="dxa"/>
              <w:left w:w="108" w:type="dxa"/>
              <w:bottom w:w="0" w:type="dxa"/>
              <w:right w:w="108" w:type="dxa"/>
            </w:tcMar>
            <w:vAlign w:val="bottom"/>
          </w:tcPr>
          <w:p w14:paraId="3F68ED2A" w14:textId="110BD591" w:rsidR="005433AB" w:rsidRPr="00FD26F0" w:rsidRDefault="005433AB" w:rsidP="00991F53">
            <w:pPr>
              <w:keepNext/>
              <w:spacing w:before="0" w:after="0"/>
              <w:rPr>
                <w:rFonts w:cs="Calibri Light"/>
                <w:color w:val="000000"/>
                <w:sz w:val="20"/>
                <w:szCs w:val="20"/>
              </w:rPr>
            </w:pPr>
            <w:r>
              <w:rPr>
                <w:rFonts w:cs="Calibri Light"/>
                <w:color w:val="000000"/>
                <w:sz w:val="20"/>
                <w:szCs w:val="20"/>
              </w:rPr>
              <w:t>New Construction</w:t>
            </w:r>
          </w:p>
        </w:tc>
        <w:tc>
          <w:tcPr>
            <w:tcW w:w="3024" w:type="dxa"/>
            <w:noWrap/>
            <w:tcMar>
              <w:top w:w="0" w:type="dxa"/>
              <w:left w:w="108" w:type="dxa"/>
              <w:bottom w:w="0" w:type="dxa"/>
              <w:right w:w="108" w:type="dxa"/>
            </w:tcMar>
            <w:vAlign w:val="bottom"/>
          </w:tcPr>
          <w:p w14:paraId="375F3E2C" w14:textId="77777777" w:rsidR="005433AB" w:rsidRPr="00FD26F0" w:rsidRDefault="005433AB" w:rsidP="00991F53">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5BE0F6A0" w14:textId="77777777" w:rsidR="005433AB" w:rsidRDefault="005433AB" w:rsidP="00991F53">
            <w:pPr>
              <w:keepNext/>
              <w:spacing w:before="0" w:after="0"/>
              <w:rPr>
                <w:rFonts w:cs="Calibri Light"/>
                <w:color w:val="000000"/>
                <w:sz w:val="20"/>
                <w:szCs w:val="20"/>
              </w:rPr>
            </w:pPr>
            <w:r>
              <w:rPr>
                <w:rFonts w:cs="Calibri Light"/>
                <w:color w:val="000000"/>
                <w:sz w:val="20"/>
                <w:szCs w:val="20"/>
              </w:rPr>
              <w:t>Ag</w:t>
            </w:r>
          </w:p>
        </w:tc>
      </w:tr>
    </w:tbl>
    <w:p w14:paraId="73035A5C" w14:textId="2FDFC7B8" w:rsidR="001B426F" w:rsidRDefault="001B426F" w:rsidP="001B426F"/>
    <w:bookmarkEnd w:id="27"/>
    <w:bookmarkEnd w:id="28"/>
    <w:p w14:paraId="50711562" w14:textId="7FC0875E" w:rsidR="00AA46AF" w:rsidRDefault="00196649" w:rsidP="00154391">
      <w:pPr>
        <w:pStyle w:val="eTRMHeading5"/>
      </w:pPr>
      <w:r>
        <w:t>Eligible Products</w:t>
      </w:r>
    </w:p>
    <w:p w14:paraId="215D4726" w14:textId="388C7C9B" w:rsidR="00097503" w:rsidRDefault="00097503" w:rsidP="00E8225A">
      <w:r w:rsidRPr="004326C6">
        <w:t xml:space="preserve">This measure is applicable to </w:t>
      </w:r>
      <w:r>
        <w:t>steam</w:t>
      </w:r>
      <w:r w:rsidRPr="004326C6">
        <w:t xml:space="preserve"> boiler</w:t>
      </w:r>
      <w:r>
        <w:t>s only</w:t>
      </w:r>
      <w:r w:rsidR="00FF5838">
        <w:t>.</w:t>
      </w:r>
    </w:p>
    <w:p w14:paraId="127F47E3" w14:textId="08BAF77B" w:rsidR="00097503" w:rsidRDefault="00FF5838" w:rsidP="00E8225A">
      <w:r>
        <w:t>The s</w:t>
      </w:r>
      <w:r w:rsidR="00097503">
        <w:t>team</w:t>
      </w:r>
      <w:r>
        <w:t xml:space="preserve"> b</w:t>
      </w:r>
      <w:r w:rsidR="00097503">
        <w:t xml:space="preserve">oiler </w:t>
      </w:r>
      <w:r w:rsidR="00097503" w:rsidRPr="00431D87">
        <w:t>must have an input rating ≤</w:t>
      </w:r>
      <w:r w:rsidR="00097503">
        <w:t xml:space="preserve"> 20 million Btu/hr</w:t>
      </w:r>
      <w:r>
        <w:t>.</w:t>
      </w:r>
    </w:p>
    <w:p w14:paraId="37F58317" w14:textId="4D51D03A" w:rsidR="00097503" w:rsidRPr="007918E9" w:rsidRDefault="00FF5838" w:rsidP="00E8225A">
      <w:r>
        <w:t>The b</w:t>
      </w:r>
      <w:r w:rsidR="00097503">
        <w:t xml:space="preserve">oiler </w:t>
      </w:r>
      <w:r w:rsidR="00097503" w:rsidRPr="003A3A92">
        <w:t>m</w:t>
      </w:r>
      <w:r w:rsidR="007C2279">
        <w:t>anufacturer</w:t>
      </w:r>
      <w:r w:rsidR="00097503">
        <w:t>,</w:t>
      </w:r>
      <w:r w:rsidR="00097503" w:rsidRPr="003A3A92">
        <w:t xml:space="preserve"> model</w:t>
      </w:r>
      <w:r>
        <w:t>,</w:t>
      </w:r>
      <w:r w:rsidR="00097503" w:rsidRPr="003A3A92">
        <w:t xml:space="preserve"> and spec sheet</w:t>
      </w:r>
      <w:r w:rsidR="00097503">
        <w:t xml:space="preserve"> should be submitted for verification</w:t>
      </w:r>
      <w:r>
        <w:t>.</w:t>
      </w:r>
    </w:p>
    <w:p w14:paraId="60B2E8F6" w14:textId="70B2CFDC" w:rsidR="00097503" w:rsidRDefault="00097503" w:rsidP="00E8225A">
      <w:r w:rsidRPr="007918E9">
        <w:t>For</w:t>
      </w:r>
      <w:r w:rsidR="00FF5838">
        <w:t xml:space="preserve"> a</w:t>
      </w:r>
      <w:r w:rsidRPr="007918E9">
        <w:t xml:space="preserve"> </w:t>
      </w:r>
      <w:r w:rsidR="00FF5838">
        <w:t>d</w:t>
      </w:r>
      <w:r w:rsidRPr="007918E9">
        <w:t>ual-</w:t>
      </w:r>
      <w:r w:rsidR="00FF5838">
        <w:t>s</w:t>
      </w:r>
      <w:r w:rsidRPr="007918E9">
        <w:t xml:space="preserve">tage economizer: </w:t>
      </w:r>
    </w:p>
    <w:p w14:paraId="4AA01CE1" w14:textId="16DD1972" w:rsidR="00097503" w:rsidRPr="00F10FC8" w:rsidRDefault="00FF5838" w:rsidP="00E8225A">
      <w:pPr>
        <w:pStyle w:val="eTRMBulletedText"/>
      </w:pPr>
      <w:r>
        <w:t>The d</w:t>
      </w:r>
      <w:r w:rsidR="00097503" w:rsidRPr="00F10FC8">
        <w:t>isposal of combustion condensate must meet local codes regarding sanitary drain or storm sewer</w:t>
      </w:r>
      <w:r>
        <w:t>.</w:t>
      </w:r>
    </w:p>
    <w:p w14:paraId="7B80B2B6" w14:textId="3B25DAE5" w:rsidR="00097503" w:rsidRDefault="00097503" w:rsidP="00E8225A">
      <w:pPr>
        <w:pStyle w:val="eTRMBulletedText"/>
      </w:pPr>
      <w:r w:rsidRPr="00F10FC8">
        <w:t>Some application</w:t>
      </w:r>
      <w:r w:rsidR="00FF5838">
        <w:t>s</w:t>
      </w:r>
      <w:r w:rsidRPr="00F10FC8">
        <w:t xml:space="preserve"> may require </w:t>
      </w:r>
      <w:r w:rsidR="00FF5838">
        <w:t xml:space="preserve">a </w:t>
      </w:r>
      <w:r w:rsidRPr="00F10FC8">
        <w:t>neutralizer for the acidic combustion condensate.</w:t>
      </w:r>
    </w:p>
    <w:p w14:paraId="63DDD7AA" w14:textId="72F46FAA" w:rsidR="00456294" w:rsidRDefault="00E15A7A" w:rsidP="00853EF9">
      <w:r>
        <w:t xml:space="preserve">There </w:t>
      </w:r>
      <w:r w:rsidR="00BC3190">
        <w:t>are</w:t>
      </w:r>
      <w:r>
        <w:t xml:space="preserve"> no </w:t>
      </w:r>
      <w:r w:rsidRPr="00E15A7A">
        <w:t xml:space="preserve">boiler efficiency eligibility requirements for the measure, for both single stage and two stage </w:t>
      </w:r>
      <w:r w:rsidR="00BC3190">
        <w:t>economizers</w:t>
      </w:r>
      <w:r>
        <w:t>. The</w:t>
      </w:r>
      <w:r w:rsidRPr="00D157E8">
        <w:t xml:space="preserve"> efficiency gains </w:t>
      </w:r>
      <w:r w:rsidR="00FF5838">
        <w:t>were</w:t>
      </w:r>
      <w:r w:rsidR="00FF5838" w:rsidRPr="00D157E8">
        <w:t xml:space="preserve"> </w:t>
      </w:r>
      <w:r w:rsidRPr="00D157E8">
        <w:t>average</w:t>
      </w:r>
      <w:r>
        <w:t>d</w:t>
      </w:r>
      <w:r w:rsidRPr="00D157E8">
        <w:t xml:space="preserve"> </w:t>
      </w:r>
      <w:r>
        <w:t>from</w:t>
      </w:r>
      <w:r w:rsidRPr="00D157E8">
        <w:t xml:space="preserve"> </w:t>
      </w:r>
      <w:r w:rsidR="0069423D">
        <w:t xml:space="preserve">past custom </w:t>
      </w:r>
      <w:r w:rsidR="00BC3190" w:rsidRPr="00D157E8">
        <w:t>projects</w:t>
      </w:r>
      <w:r w:rsidR="00BC3190">
        <w:t xml:space="preserve"> and</w:t>
      </w:r>
      <w:r w:rsidRPr="00D157E8">
        <w:t xml:space="preserve"> meeting these efficiencies </w:t>
      </w:r>
      <w:r w:rsidR="00853EF9">
        <w:t xml:space="preserve">(estimated improvement at 2% and </w:t>
      </w:r>
      <w:r w:rsidR="007C2279">
        <w:t>8</w:t>
      </w:r>
      <w:r w:rsidR="00853EF9">
        <w:t xml:space="preserve">% for single and dual stage economizer, respectively) </w:t>
      </w:r>
      <w:r w:rsidRPr="00D157E8">
        <w:t>is not a requirement for rebate</w:t>
      </w:r>
      <w:r>
        <w:t>.</w:t>
      </w:r>
    </w:p>
    <w:p w14:paraId="7224278A" w14:textId="77777777" w:rsidR="00F10FC8" w:rsidRDefault="00F10FC8" w:rsidP="00F10FC8"/>
    <w:p w14:paraId="7CE938DA" w14:textId="2434378C" w:rsidR="007B6A74" w:rsidRPr="00401C43" w:rsidRDefault="007B6A74" w:rsidP="00401C43">
      <w:pPr>
        <w:pStyle w:val="eTRMHeading5"/>
      </w:pPr>
      <w:r w:rsidRPr="00401C43">
        <w:t>Eligible Building Types</w:t>
      </w:r>
      <w:r w:rsidR="00E57AAD">
        <w:t xml:space="preserve"> and Vintages</w:t>
      </w:r>
    </w:p>
    <w:p w14:paraId="7AA25502" w14:textId="11E56CDE" w:rsidR="00571D95" w:rsidRDefault="009F1E20" w:rsidP="009F1E20">
      <w:pPr>
        <w:tabs>
          <w:tab w:val="left" w:pos="930"/>
        </w:tabs>
      </w:pPr>
      <w:r>
        <w:t xml:space="preserve">This measure is applicable for any existing </w:t>
      </w:r>
      <w:r w:rsidR="00BC1088">
        <w:t xml:space="preserve">or new </w:t>
      </w:r>
      <w:r w:rsidR="00F10FC8">
        <w:t>commercial</w:t>
      </w:r>
      <w:r w:rsidR="006C15D9">
        <w:t>,</w:t>
      </w:r>
      <w:r w:rsidR="00F10FC8">
        <w:t xml:space="preserve"> industrial</w:t>
      </w:r>
      <w:r w:rsidR="006C15D9">
        <w:t>, or agricultural</w:t>
      </w:r>
      <w:r w:rsidR="00202FFF">
        <w:t xml:space="preserve"> </w:t>
      </w:r>
      <w:r>
        <w:t>building</w:t>
      </w:r>
      <w:r w:rsidR="00202FFF">
        <w:t>.</w:t>
      </w:r>
    </w:p>
    <w:p w14:paraId="5719D3B2" w14:textId="77777777" w:rsidR="00BC2D7E" w:rsidRDefault="00BC2D7E" w:rsidP="00A42921">
      <w:r>
        <w:t xml:space="preserve">The evaluation of this measure showed that the following conditions provide good candidates for an economizer retrofit: </w:t>
      </w:r>
    </w:p>
    <w:p w14:paraId="14DB4509" w14:textId="56151A89" w:rsidR="00BC2D7E" w:rsidRPr="00A81431" w:rsidRDefault="00BC2D7E" w:rsidP="00A42921">
      <w:pPr>
        <w:pStyle w:val="eTRMBulletedText"/>
      </w:pPr>
      <w:r w:rsidRPr="00A81431">
        <w:t>Steam boilers that exceed 100 boiler horsepower (&gt; 3.3 Million Btu</w:t>
      </w:r>
      <w:r w:rsidR="00B91051" w:rsidRPr="00A81431">
        <w:t>/</w:t>
      </w:r>
      <w:r w:rsidRPr="00A81431">
        <w:t>h</w:t>
      </w:r>
      <w:r w:rsidR="00B91051" w:rsidRPr="00A81431">
        <w:t>r</w:t>
      </w:r>
      <w:r w:rsidRPr="00A81431">
        <w:t>)</w:t>
      </w:r>
    </w:p>
    <w:p w14:paraId="3AF416ED" w14:textId="02A7DE8D" w:rsidR="00BC2D7E" w:rsidRPr="00A81431" w:rsidRDefault="00BC2D7E" w:rsidP="00A42921">
      <w:pPr>
        <w:pStyle w:val="eTRMBulletedText"/>
      </w:pPr>
      <w:r w:rsidRPr="00A81431">
        <w:t>Steam boiler exiting stack temperature at greater than 400</w:t>
      </w:r>
      <w:r w:rsidR="00B91051" w:rsidRPr="00A81431">
        <w:t xml:space="preserve"> </w:t>
      </w:r>
      <w:r w:rsidRPr="00A81431">
        <w:t>°F</w:t>
      </w:r>
    </w:p>
    <w:p w14:paraId="412065D4" w14:textId="77777777" w:rsidR="00BC2D7E" w:rsidRPr="00A81431" w:rsidRDefault="00BC2D7E" w:rsidP="00A42921">
      <w:pPr>
        <w:pStyle w:val="eTRMBulletedText"/>
      </w:pPr>
      <w:r w:rsidRPr="00A81431">
        <w:t xml:space="preserve">Operating at steam pressures of 75 psig or above </w:t>
      </w:r>
    </w:p>
    <w:p w14:paraId="12EF46CB" w14:textId="6E88D1D0" w:rsidR="00BC2D7E" w:rsidRPr="00A81431" w:rsidRDefault="00BC2D7E" w:rsidP="00A42921">
      <w:pPr>
        <w:pStyle w:val="eTRMBulletedText"/>
      </w:pPr>
      <w:r w:rsidRPr="00A81431">
        <w:t xml:space="preserve">Boiler </w:t>
      </w:r>
      <w:r w:rsidR="00B91051" w:rsidRPr="00A81431">
        <w:t>l</w:t>
      </w:r>
      <w:r w:rsidRPr="00A81431">
        <w:t xml:space="preserve">oad </w:t>
      </w:r>
      <w:r w:rsidR="00B91051" w:rsidRPr="00A81431">
        <w:t>f</w:t>
      </w:r>
      <w:r w:rsidRPr="00A81431">
        <w:t xml:space="preserve">actor of </w:t>
      </w:r>
      <w:r w:rsidR="00B91051" w:rsidRPr="00A81431">
        <w:t>at least</w:t>
      </w:r>
      <w:r w:rsidRPr="00A81431">
        <w:t xml:space="preserve"> 40%</w:t>
      </w:r>
    </w:p>
    <w:p w14:paraId="007B85E2" w14:textId="11E5FA32" w:rsidR="00BC2D7E" w:rsidRPr="00A81431" w:rsidRDefault="00BC2D7E" w:rsidP="00A42921">
      <w:pPr>
        <w:pStyle w:val="eTRMBulletedText"/>
      </w:pPr>
      <w:r w:rsidRPr="00A81431">
        <w:t>Average temperature of the exiting flue stack from the economizer must be below 200</w:t>
      </w:r>
      <w:r w:rsidR="00B91051" w:rsidRPr="00A81431">
        <w:t xml:space="preserve"> </w:t>
      </w:r>
      <w:r w:rsidRPr="00A81431">
        <w:t>°F to cause water vapor condensation in dual-stage economizer</w:t>
      </w:r>
    </w:p>
    <w:p w14:paraId="1DCBE20E" w14:textId="77777777" w:rsidR="00BC2D7E" w:rsidRPr="00A81431" w:rsidRDefault="00BC2D7E" w:rsidP="00A42921">
      <w:pPr>
        <w:pStyle w:val="eTRMBulletedText"/>
      </w:pPr>
      <w:r w:rsidRPr="00A81431">
        <w:lastRenderedPageBreak/>
        <w:t>Minimum 50% make-up water for dual-stage economizer</w:t>
      </w:r>
    </w:p>
    <w:p w14:paraId="2348A2F4" w14:textId="3779A3EB" w:rsidR="009F1E20" w:rsidRDefault="009F1E20" w:rsidP="009F1E20">
      <w:pPr>
        <w:tabs>
          <w:tab w:val="left" w:pos="930"/>
        </w:tabs>
      </w:pPr>
    </w:p>
    <w:p w14:paraId="17EBC5A7" w14:textId="3DD9281D" w:rsidR="00D34B56" w:rsidRPr="00FD1785" w:rsidRDefault="00E8225A" w:rsidP="00D34B56">
      <w:pPr>
        <w:spacing w:after="0"/>
        <w:rPr>
          <w:rFonts w:eastAsiaTheme="minorHAnsi"/>
          <w:b/>
          <w:sz w:val="24"/>
        </w:rPr>
      </w:pPr>
      <w:r>
        <w:t>This measure is most applicable for the i</w:t>
      </w:r>
      <w:r w:rsidRPr="00A44ADD">
        <w:t xml:space="preserve">ndustrial </w:t>
      </w:r>
      <w:r w:rsidR="006C15D9">
        <w:t>facilities</w:t>
      </w:r>
      <w:r>
        <w:t xml:space="preserve"> </w:t>
      </w:r>
      <w:r w:rsidRPr="00A44ADD">
        <w:t>(NAICS code 31-33)</w:t>
      </w:r>
      <w:r w:rsidR="007C2279">
        <w:t xml:space="preserve"> </w:t>
      </w:r>
      <w:r>
        <w:t xml:space="preserve">but could also be applicable for </w:t>
      </w:r>
      <w:r w:rsidRPr="00E8225A">
        <w:t>a</w:t>
      </w:r>
      <w:r w:rsidRPr="006C15D9">
        <w:t>gricultural</w:t>
      </w:r>
      <w:r w:rsidRPr="00A44ADD">
        <w:t xml:space="preserve"> (NAICS Code 11), </w:t>
      </w:r>
      <w:r>
        <w:t>o</w:t>
      </w:r>
      <w:r w:rsidRPr="00A44ADD">
        <w:t xml:space="preserve">il and </w:t>
      </w:r>
      <w:r>
        <w:t>g</w:t>
      </w:r>
      <w:r w:rsidRPr="00A44ADD">
        <w:t xml:space="preserve">as </w:t>
      </w:r>
      <w:r>
        <w:t>e</w:t>
      </w:r>
      <w:r w:rsidRPr="00A44ADD">
        <w:t xml:space="preserve">xtraction (NAICS Code 21) and </w:t>
      </w:r>
      <w:r>
        <w:t>d</w:t>
      </w:r>
      <w:r w:rsidRPr="00A44ADD">
        <w:t>ry</w:t>
      </w:r>
      <w:r>
        <w:t xml:space="preserve"> c</w:t>
      </w:r>
      <w:r w:rsidRPr="00A44ADD">
        <w:t>leaning/</w:t>
      </w:r>
      <w:r>
        <w:t>l</w:t>
      </w:r>
      <w:r w:rsidRPr="00A44ADD">
        <w:t>aundry services (NAICS Code 8123).</w:t>
      </w:r>
      <w:r>
        <w:t xml:space="preserve"> </w:t>
      </w:r>
      <w:r w:rsidR="00D34B56" w:rsidRPr="00676F30">
        <w:t>Among the best candidates for heat recovery systems are the following industries:</w:t>
      </w:r>
    </w:p>
    <w:p w14:paraId="4B0A576E" w14:textId="77777777" w:rsidR="00D34B56" w:rsidRPr="00676F30" w:rsidRDefault="00D34B56" w:rsidP="00A42921">
      <w:pPr>
        <w:pStyle w:val="eTRMBulletedText"/>
      </w:pPr>
      <w:r w:rsidRPr="00676F30">
        <w:t>Textile, commercial laundries</w:t>
      </w:r>
    </w:p>
    <w:p w14:paraId="66C906E7" w14:textId="77777777" w:rsidR="00D34B56" w:rsidRPr="00676F30" w:rsidRDefault="00D34B56" w:rsidP="00A42921">
      <w:pPr>
        <w:pStyle w:val="eTRMBulletedText"/>
      </w:pPr>
      <w:r w:rsidRPr="00676F30">
        <w:t>Food and beverage</w:t>
      </w:r>
    </w:p>
    <w:p w14:paraId="491AB3FE" w14:textId="77777777" w:rsidR="00D34B56" w:rsidRPr="00676F30" w:rsidRDefault="00D34B56" w:rsidP="00A42921">
      <w:pPr>
        <w:pStyle w:val="eTRMBulletedText"/>
      </w:pPr>
      <w:r w:rsidRPr="00676F30">
        <w:t>Breweries</w:t>
      </w:r>
    </w:p>
    <w:p w14:paraId="2077FC94" w14:textId="77777777" w:rsidR="00D34B56" w:rsidRPr="00676F30" w:rsidRDefault="00D34B56" w:rsidP="00A42921">
      <w:pPr>
        <w:pStyle w:val="eTRMBulletedText"/>
      </w:pPr>
      <w:r w:rsidRPr="00676F30">
        <w:t xml:space="preserve">Pulp and </w:t>
      </w:r>
      <w:r>
        <w:t>p</w:t>
      </w:r>
      <w:r w:rsidRPr="00676F30">
        <w:t xml:space="preserve">aper </w:t>
      </w:r>
      <w:r>
        <w:t>m</w:t>
      </w:r>
      <w:r w:rsidRPr="00676F30">
        <w:t>ills</w:t>
      </w:r>
    </w:p>
    <w:p w14:paraId="3621836C" w14:textId="77777777" w:rsidR="00D34B56" w:rsidRPr="00676F30" w:rsidRDefault="00D34B56" w:rsidP="00A42921">
      <w:pPr>
        <w:pStyle w:val="eTRMBulletedText"/>
      </w:pPr>
      <w:r w:rsidRPr="00676F30">
        <w:t xml:space="preserve">Chemical </w:t>
      </w:r>
      <w:r>
        <w:t>m</w:t>
      </w:r>
      <w:r w:rsidRPr="00676F30">
        <w:t xml:space="preserve">anufacturing </w:t>
      </w:r>
    </w:p>
    <w:p w14:paraId="3EBB8EEA" w14:textId="77777777" w:rsidR="00D34B56" w:rsidRPr="00676F30" w:rsidRDefault="00D34B56" w:rsidP="00A42921">
      <w:pPr>
        <w:pStyle w:val="eTRMBulletedText"/>
      </w:pPr>
      <w:r w:rsidRPr="00676F30">
        <w:t xml:space="preserve">Petroleum </w:t>
      </w:r>
      <w:r>
        <w:t>r</w:t>
      </w:r>
      <w:r w:rsidRPr="00676F30">
        <w:t xml:space="preserve">efining </w:t>
      </w:r>
      <w:r>
        <w:t>i</w:t>
      </w:r>
      <w:r w:rsidRPr="00676F30">
        <w:t>ndustries</w:t>
      </w:r>
    </w:p>
    <w:p w14:paraId="3C668831" w14:textId="77777777" w:rsidR="00D34B56" w:rsidRPr="00676F30" w:rsidRDefault="00D34B56" w:rsidP="00A42921">
      <w:pPr>
        <w:pStyle w:val="eTRMBulletedText"/>
      </w:pPr>
      <w:r w:rsidRPr="00676F30">
        <w:t>District heating</w:t>
      </w:r>
    </w:p>
    <w:p w14:paraId="448389D4" w14:textId="77777777" w:rsidR="00D34B56" w:rsidRPr="00676F30" w:rsidRDefault="00D34B56" w:rsidP="00A42921">
      <w:pPr>
        <w:pStyle w:val="eTRMBulletedText"/>
      </w:pPr>
      <w:r w:rsidRPr="00676F30">
        <w:t>Large hospitals</w:t>
      </w:r>
    </w:p>
    <w:p w14:paraId="054B758B" w14:textId="77777777" w:rsidR="00D34B56" w:rsidRDefault="00D34B56" w:rsidP="00A42921">
      <w:pPr>
        <w:pStyle w:val="eTRMBulletedText"/>
      </w:pPr>
      <w:r w:rsidRPr="00676F30">
        <w:t>Greenhouses</w:t>
      </w:r>
    </w:p>
    <w:p w14:paraId="50924EF4" w14:textId="77777777" w:rsidR="00D34B56" w:rsidRPr="00571D95" w:rsidRDefault="00D34B56" w:rsidP="009F1E20">
      <w:pPr>
        <w:tabs>
          <w:tab w:val="left" w:pos="930"/>
        </w:tabs>
      </w:pPr>
    </w:p>
    <w:p w14:paraId="1A3705F3" w14:textId="4BC0985D" w:rsidR="007B6A74" w:rsidRPr="004B06E3" w:rsidRDefault="00196649" w:rsidP="00C7646E">
      <w:pPr>
        <w:pStyle w:val="eTRMHeading5"/>
        <w:keepNext/>
        <w:keepLines/>
      </w:pPr>
      <w:r>
        <w:t>Eligible Climate Zones</w:t>
      </w:r>
    </w:p>
    <w:p w14:paraId="4A9FD22A" w14:textId="0026FBEE" w:rsidR="004B6780" w:rsidRPr="006660BE" w:rsidRDefault="0018793D" w:rsidP="00C7646E">
      <w:pPr>
        <w:keepNext/>
        <w:keepLines/>
        <w:rPr>
          <w:rFonts w:cs="Calibri Light"/>
        </w:rPr>
      </w:pPr>
      <w:r>
        <w:rPr>
          <w:rFonts w:cs="Calibri Light"/>
        </w:rPr>
        <w:t>This measure is</w:t>
      </w:r>
      <w:r w:rsidR="006660BE" w:rsidRPr="009511FA">
        <w:rPr>
          <w:rFonts w:cs="Calibri Light"/>
        </w:rPr>
        <w:t xml:space="preserve"> </w:t>
      </w:r>
      <w:r w:rsidR="004B6780" w:rsidRPr="009511FA">
        <w:rPr>
          <w:rFonts w:cs="Calibri Light"/>
        </w:rPr>
        <w:t xml:space="preserve">applicable </w:t>
      </w:r>
      <w:r w:rsidR="009F1E20" w:rsidRPr="009511FA">
        <w:rPr>
          <w:rFonts w:cs="Calibri Light"/>
        </w:rPr>
        <w:t>in</w:t>
      </w:r>
      <w:r w:rsidR="004B6780" w:rsidRPr="009511FA">
        <w:rPr>
          <w:rFonts w:cs="Calibri Light"/>
        </w:rPr>
        <w:t xml:space="preserve"> </w:t>
      </w:r>
      <w:r w:rsidR="00BE7DE8" w:rsidRPr="009511FA">
        <w:rPr>
          <w:rFonts w:cs="Calibri Light"/>
        </w:rPr>
        <w:t>any</w:t>
      </w:r>
      <w:r w:rsidR="004B6780" w:rsidRPr="009511FA">
        <w:rPr>
          <w:rFonts w:cs="Calibri Light"/>
        </w:rPr>
        <w:t xml:space="preserve"> California climate zone.</w:t>
      </w:r>
      <w:r w:rsidR="006660BE" w:rsidRPr="009511FA">
        <w:rPr>
          <w:rFonts w:cs="Calibri Light"/>
        </w:rPr>
        <w:t xml:space="preserve"> </w:t>
      </w:r>
    </w:p>
    <w:p w14:paraId="34FF761D" w14:textId="77777777" w:rsidR="006C41AD" w:rsidRPr="004B06E3" w:rsidRDefault="006C41AD" w:rsidP="004B06E3"/>
    <w:p w14:paraId="47630D60" w14:textId="68DC0282" w:rsidR="007D230B" w:rsidRPr="004B06E3" w:rsidRDefault="007D230B" w:rsidP="00A15E1E">
      <w:pPr>
        <w:pStyle w:val="eTRMHeading3"/>
      </w:pPr>
      <w:bookmarkStart w:id="30" w:name="_Toc486490853"/>
      <w:bookmarkStart w:id="31" w:name="_Toc486580924"/>
      <w:bookmarkStart w:id="32" w:name="_Toc18918804"/>
      <w:r w:rsidRPr="004B06E3">
        <w:t>Program Exclusions</w:t>
      </w:r>
      <w:bookmarkEnd w:id="30"/>
      <w:bookmarkEnd w:id="31"/>
      <w:bookmarkEnd w:id="32"/>
      <w:r w:rsidRPr="004B06E3">
        <w:t xml:space="preserve"> </w:t>
      </w:r>
    </w:p>
    <w:p w14:paraId="29F82538" w14:textId="2A5D8277" w:rsidR="00FD26F0" w:rsidRPr="006F005E" w:rsidRDefault="00F10FC8" w:rsidP="00FD26F0">
      <w:r>
        <w:t xml:space="preserve">Hot water </w:t>
      </w:r>
      <w:r w:rsidR="00FD26F0">
        <w:t>b</w:t>
      </w:r>
      <w:r w:rsidR="00FD26F0" w:rsidRPr="002577E0">
        <w:t>oiler</w:t>
      </w:r>
      <w:r>
        <w:t xml:space="preserve">s are </w:t>
      </w:r>
      <w:r w:rsidR="00FD26F0" w:rsidRPr="002577E0">
        <w:t>not eligible.</w:t>
      </w:r>
    </w:p>
    <w:p w14:paraId="76A9A64F" w14:textId="77777777" w:rsidR="007B6A74" w:rsidRPr="004B06E3" w:rsidRDefault="007B6A74" w:rsidP="004B06E3"/>
    <w:p w14:paraId="655E299F" w14:textId="69F417B7" w:rsidR="007D230B" w:rsidRPr="004B06E3" w:rsidRDefault="007D230B" w:rsidP="00A15E1E">
      <w:pPr>
        <w:pStyle w:val="eTRMHeading3"/>
      </w:pPr>
      <w:bookmarkStart w:id="33" w:name="_Toc486490854"/>
      <w:bookmarkStart w:id="34" w:name="_Toc486580925"/>
      <w:bookmarkStart w:id="35" w:name="_Toc18918805"/>
      <w:r w:rsidRPr="004B06E3">
        <w:t>Data Collection Requirements</w:t>
      </w:r>
      <w:bookmarkEnd w:id="33"/>
      <w:bookmarkEnd w:id="34"/>
      <w:bookmarkEnd w:id="35"/>
      <w:r w:rsidRPr="004B06E3">
        <w:t xml:space="preserve"> </w:t>
      </w:r>
    </w:p>
    <w:p w14:paraId="49298D4E" w14:textId="1A09792E" w:rsidR="00750840" w:rsidRDefault="004553DB" w:rsidP="004B06E3">
      <w:r>
        <w:t>Data collection requirements are to be determined.</w:t>
      </w:r>
    </w:p>
    <w:p w14:paraId="787A8ED5" w14:textId="77777777" w:rsidR="004553DB" w:rsidRPr="004B06E3" w:rsidRDefault="004553DB" w:rsidP="004B06E3"/>
    <w:p w14:paraId="4891FCAB" w14:textId="3742DD8E" w:rsidR="007D230B" w:rsidRPr="004B06E3" w:rsidRDefault="007D230B" w:rsidP="00A15E1E">
      <w:pPr>
        <w:pStyle w:val="eTRMHeading3"/>
      </w:pPr>
      <w:bookmarkStart w:id="36" w:name="_Toc486490855"/>
      <w:bookmarkStart w:id="37" w:name="_Toc486580926"/>
      <w:bookmarkStart w:id="38" w:name="_Toc18918806"/>
      <w:r w:rsidRPr="004B06E3">
        <w:t>Use Category</w:t>
      </w:r>
      <w:bookmarkEnd w:id="36"/>
      <w:bookmarkEnd w:id="37"/>
      <w:bookmarkEnd w:id="38"/>
    </w:p>
    <w:p w14:paraId="13382FF9" w14:textId="0FA66A59" w:rsidR="004142EF" w:rsidRDefault="00F10FC8" w:rsidP="004B06E3">
      <w:r>
        <w:t>Process heat</w:t>
      </w:r>
    </w:p>
    <w:p w14:paraId="792DA4F2" w14:textId="77777777" w:rsidR="00CE354E" w:rsidRDefault="00CE354E" w:rsidP="004B06E3"/>
    <w:p w14:paraId="4B62D367" w14:textId="78F247A6" w:rsidR="007D230B" w:rsidRPr="004B06E3" w:rsidRDefault="007D230B" w:rsidP="00A15E1E">
      <w:pPr>
        <w:pStyle w:val="eTRMHeading3"/>
      </w:pPr>
      <w:bookmarkStart w:id="39" w:name="_Toc486490857"/>
      <w:bookmarkStart w:id="40" w:name="_Toc486580928"/>
      <w:bookmarkStart w:id="41" w:name="_Toc18918807"/>
      <w:r w:rsidRPr="004B06E3">
        <w:t>Electric Savings</w:t>
      </w:r>
      <w:r w:rsidR="00245AFF" w:rsidRPr="004B06E3">
        <w:t xml:space="preserve"> (</w:t>
      </w:r>
      <w:r w:rsidR="00E14349" w:rsidRPr="00FD26F0">
        <w:t>k</w:t>
      </w:r>
      <w:r w:rsidR="00245AFF" w:rsidRPr="00FD26F0">
        <w:t>Wh</w:t>
      </w:r>
      <w:r w:rsidR="00245AFF" w:rsidRPr="004B06E3">
        <w:t>)</w:t>
      </w:r>
      <w:bookmarkEnd w:id="39"/>
      <w:bookmarkEnd w:id="40"/>
      <w:bookmarkEnd w:id="41"/>
    </w:p>
    <w:p w14:paraId="19D5C0CF" w14:textId="77777777" w:rsidR="00CE354E" w:rsidRDefault="00CE354E" w:rsidP="00CE354E">
      <w:r>
        <w:t>Not applicable.</w:t>
      </w:r>
    </w:p>
    <w:p w14:paraId="38527D9F" w14:textId="77777777" w:rsidR="00CE354E" w:rsidRPr="00F83608" w:rsidRDefault="00CE354E" w:rsidP="00CE354E"/>
    <w:p w14:paraId="4FAA0DFC" w14:textId="45B2BADA" w:rsidR="00CE354E" w:rsidRPr="00F83608" w:rsidRDefault="00CE354E" w:rsidP="00A15E1E">
      <w:pPr>
        <w:pStyle w:val="eTRMHeading3"/>
      </w:pPr>
      <w:bookmarkStart w:id="42" w:name="_Toc5802339"/>
      <w:bookmarkStart w:id="43" w:name="_Toc18918808"/>
      <w:r w:rsidRPr="00F83608">
        <w:t>Peak Electric Demand Reduction (</w:t>
      </w:r>
      <w:r w:rsidR="00FD26F0" w:rsidRPr="00FD26F0">
        <w:t>kW</w:t>
      </w:r>
      <w:r w:rsidRPr="00F83608">
        <w:t>)</w:t>
      </w:r>
      <w:bookmarkEnd w:id="42"/>
      <w:bookmarkEnd w:id="43"/>
    </w:p>
    <w:p w14:paraId="49E7527D" w14:textId="77777777" w:rsidR="00CE354E" w:rsidRPr="00F83608" w:rsidRDefault="00CE354E" w:rsidP="00CE354E">
      <w:r>
        <w:t>Not applicable.</w:t>
      </w:r>
    </w:p>
    <w:p w14:paraId="5E498DB8" w14:textId="77777777" w:rsidR="0054246D" w:rsidRDefault="0054246D" w:rsidP="0054246D">
      <w:bookmarkStart w:id="44" w:name="_Toc486490858"/>
      <w:bookmarkStart w:id="45" w:name="_Toc486580929"/>
    </w:p>
    <w:p w14:paraId="0FFEA90E" w14:textId="1D8DB447" w:rsidR="00F10FC8" w:rsidRDefault="00177EB6" w:rsidP="00A15E1E">
      <w:pPr>
        <w:pStyle w:val="eTRMHeading3"/>
      </w:pPr>
      <w:bookmarkStart w:id="46" w:name="_Toc18918809"/>
      <w:r w:rsidRPr="004B06E3">
        <w:lastRenderedPageBreak/>
        <w:t>Gas Savings (</w:t>
      </w:r>
      <w:r w:rsidRPr="00FD26F0">
        <w:t>Therms</w:t>
      </w:r>
      <w:r w:rsidRPr="004B06E3">
        <w:t>)</w:t>
      </w:r>
      <w:bookmarkEnd w:id="44"/>
      <w:bookmarkEnd w:id="45"/>
      <w:bookmarkEnd w:id="46"/>
    </w:p>
    <w:p w14:paraId="726C6291" w14:textId="0B878EAC" w:rsidR="00112790" w:rsidRDefault="00112790" w:rsidP="00F10FC8">
      <w:r>
        <w:t xml:space="preserve">The unit energy savings (UES) of a boiler flue stack economizer were calculated as the difference between the baseline and measure case unit energy consumption (UEC). The </w:t>
      </w:r>
      <w:r w:rsidR="00FC45DB">
        <w:t xml:space="preserve">baseline </w:t>
      </w:r>
      <w:r>
        <w:t>UEC</w:t>
      </w:r>
      <w:r w:rsidR="00FC45DB">
        <w:t xml:space="preserve"> of a process boiler that meets the minimum code combustion efficiency</w:t>
      </w:r>
      <w:r>
        <w:t xml:space="preserve"> </w:t>
      </w:r>
      <w:r w:rsidR="00FC45DB">
        <w:t>was</w:t>
      </w:r>
      <w:r w:rsidR="0031539F">
        <w:t xml:space="preserve"> calculated as</w:t>
      </w:r>
      <w:r>
        <w:t xml:space="preserve"> a function of the process boiler capacity factor, annual operating hours, and boiler combustion efficiency</w:t>
      </w:r>
      <w:r w:rsidR="00EB5DB8">
        <w:t xml:space="preserve"> (CE)</w:t>
      </w:r>
      <w:r w:rsidR="00FC45DB">
        <w:t xml:space="preserve">. The UEC of a measure case boiler was based upon the baseline UEC, adjusted by the ratio of the </w:t>
      </w:r>
      <w:r w:rsidR="00EB5DB8">
        <w:t>CE</w:t>
      </w:r>
      <w:r w:rsidR="00FC45DB">
        <w:t xml:space="preserve"> of a baseline boiler and a measure case boiler. These calculations, the inputs, and explanation of derivation of inputs are provided below.</w:t>
      </w:r>
    </w:p>
    <w:p w14:paraId="08E1E656" w14:textId="17C1256F" w:rsidR="006858E7" w:rsidRDefault="006858E7" w:rsidP="00F10FC8"/>
    <w:p w14:paraId="13A644AE" w14:textId="77777777" w:rsidR="004D048B" w:rsidRPr="007C2279" w:rsidRDefault="004D048B" w:rsidP="004D048B">
      <w:pPr>
        <w:ind w:left="720"/>
        <w:jc w:val="center"/>
        <w:rPr>
          <w:rFonts w:cs="Calibri Light"/>
          <w:sz w:val="20"/>
          <w:szCs w:val="20"/>
        </w:rPr>
      </w:pPr>
      <m:oMathPara>
        <m:oMathParaPr>
          <m:jc m:val="left"/>
        </m:oMathParaPr>
        <m:oMath>
          <m:r>
            <w:rPr>
              <w:rFonts w:ascii="Cambria Math" w:hAnsi="Cambria Math" w:cs="Calibri Light"/>
              <w:sz w:val="20"/>
              <w:szCs w:val="20"/>
            </w:rPr>
            <m:t>UES=</m:t>
          </m:r>
          <m:sSub>
            <m:sSubPr>
              <m:ctrlPr>
                <w:rPr>
                  <w:rFonts w:ascii="Cambria Math" w:hAnsi="Cambria Math" w:cs="Calibri Light"/>
                  <w:i/>
                  <w:sz w:val="20"/>
                  <w:szCs w:val="20"/>
                </w:rPr>
              </m:ctrlPr>
            </m:sSubPr>
            <m:e>
              <m:r>
                <w:rPr>
                  <w:rFonts w:ascii="Cambria Math" w:hAnsi="Cambria Math" w:cs="Calibri Light"/>
                  <w:sz w:val="20"/>
                  <w:szCs w:val="20"/>
                </w:rPr>
                <m:t>UEC</m:t>
              </m:r>
            </m:e>
            <m:sub>
              <m:r>
                <w:rPr>
                  <w:rFonts w:ascii="Cambria Math" w:hAnsi="Cambria Math" w:cs="Calibri Light"/>
                  <w:sz w:val="20"/>
                  <w:szCs w:val="20"/>
                </w:rPr>
                <m:t>base</m:t>
              </m:r>
            </m:sub>
          </m:sSub>
          <m:r>
            <w:rPr>
              <w:rFonts w:ascii="Cambria Math" w:hAnsi="Cambria Math" w:cs="Calibri Light"/>
              <w:sz w:val="20"/>
              <w:szCs w:val="20"/>
            </w:rPr>
            <m:t>-</m:t>
          </m:r>
          <m:sSub>
            <m:sSubPr>
              <m:ctrlPr>
                <w:rPr>
                  <w:rFonts w:ascii="Cambria Math" w:hAnsi="Cambria Math" w:cs="Calibri Light"/>
                  <w:i/>
                  <w:sz w:val="20"/>
                  <w:szCs w:val="20"/>
                </w:rPr>
              </m:ctrlPr>
            </m:sSubPr>
            <m:e>
              <m:r>
                <w:rPr>
                  <w:rFonts w:ascii="Cambria Math" w:hAnsi="Cambria Math" w:cs="Calibri Light"/>
                  <w:sz w:val="20"/>
                  <w:szCs w:val="20"/>
                </w:rPr>
                <m:t>UEC</m:t>
              </m:r>
            </m:e>
            <m:sub>
              <m:r>
                <w:rPr>
                  <w:rFonts w:ascii="Cambria Math" w:hAnsi="Cambria Math" w:cs="Calibri Light"/>
                  <w:sz w:val="20"/>
                  <w:szCs w:val="20"/>
                </w:rPr>
                <m:t>measure</m:t>
              </m:r>
            </m:sub>
          </m:sSub>
        </m:oMath>
      </m:oMathPara>
    </w:p>
    <w:p w14:paraId="6CA5870C" w14:textId="77777777" w:rsidR="004D048B" w:rsidRPr="007C2279" w:rsidRDefault="004D048B" w:rsidP="004D048B">
      <w:pPr>
        <w:tabs>
          <w:tab w:val="left" w:pos="2880"/>
        </w:tabs>
        <w:spacing w:before="20" w:after="20"/>
        <w:ind w:left="1440"/>
        <w:rPr>
          <w:rFonts w:cs="Calibri Light"/>
          <w:i/>
          <w:sz w:val="20"/>
          <w:szCs w:val="20"/>
        </w:rPr>
      </w:pPr>
    </w:p>
    <w:p w14:paraId="253ACE46" w14:textId="77777777" w:rsidR="004D048B" w:rsidRPr="007C2279" w:rsidRDefault="004D048B" w:rsidP="004D048B">
      <w:pPr>
        <w:tabs>
          <w:tab w:val="left" w:pos="2880"/>
        </w:tabs>
        <w:spacing w:before="20" w:after="20"/>
        <w:ind w:left="1440"/>
        <w:rPr>
          <w:rFonts w:cs="Calibri Light"/>
          <w:i/>
          <w:sz w:val="20"/>
          <w:szCs w:val="20"/>
        </w:rPr>
      </w:pPr>
      <w:r w:rsidRPr="007C2279">
        <w:rPr>
          <w:rFonts w:cs="Calibri Light"/>
          <w:i/>
          <w:sz w:val="20"/>
          <w:szCs w:val="20"/>
        </w:rPr>
        <w:t xml:space="preserve">UES= </w:t>
      </w:r>
      <w:r w:rsidRPr="007C2279">
        <w:rPr>
          <w:rFonts w:cs="Calibri Light"/>
          <w:i/>
          <w:sz w:val="20"/>
          <w:szCs w:val="20"/>
        </w:rPr>
        <w:tab/>
        <w:t>Unit energy savings, therms/kBtu/hr input rating</w:t>
      </w:r>
    </w:p>
    <w:p w14:paraId="5C081118" w14:textId="77777777" w:rsidR="004D048B" w:rsidRPr="007C2279" w:rsidRDefault="004D048B" w:rsidP="004D048B">
      <w:pPr>
        <w:tabs>
          <w:tab w:val="left" w:pos="2880"/>
        </w:tabs>
        <w:spacing w:before="20" w:after="20"/>
        <w:ind w:left="1440"/>
        <w:rPr>
          <w:rFonts w:cs="Calibri Light"/>
          <w:i/>
          <w:sz w:val="20"/>
          <w:szCs w:val="20"/>
        </w:rPr>
      </w:pPr>
      <w:r w:rsidRPr="007C2279">
        <w:rPr>
          <w:rFonts w:cs="Calibri Light"/>
          <w:i/>
          <w:sz w:val="20"/>
          <w:szCs w:val="20"/>
        </w:rPr>
        <w:t>UEC</w:t>
      </w:r>
      <w:r w:rsidRPr="007C2279">
        <w:rPr>
          <w:rFonts w:cs="Calibri Light"/>
          <w:i/>
          <w:sz w:val="20"/>
          <w:szCs w:val="20"/>
          <w:vertAlign w:val="subscript"/>
        </w:rPr>
        <w:t xml:space="preserve">base </w:t>
      </w:r>
      <w:r w:rsidRPr="007C2279">
        <w:rPr>
          <w:rFonts w:cs="Calibri Light"/>
          <w:i/>
          <w:sz w:val="20"/>
          <w:szCs w:val="20"/>
        </w:rPr>
        <w:t xml:space="preserve">= </w:t>
      </w:r>
      <w:r w:rsidRPr="007C2279">
        <w:rPr>
          <w:rFonts w:cs="Calibri Light"/>
          <w:i/>
          <w:sz w:val="20"/>
          <w:szCs w:val="20"/>
        </w:rPr>
        <w:tab/>
        <w:t>Unit energy consumption, base case, therms/kBtu/hr input rating</w:t>
      </w:r>
    </w:p>
    <w:p w14:paraId="3C84B25E" w14:textId="77777777" w:rsidR="004D048B" w:rsidRPr="007C2279" w:rsidRDefault="004D048B" w:rsidP="004D048B">
      <w:pPr>
        <w:tabs>
          <w:tab w:val="left" w:pos="2880"/>
        </w:tabs>
        <w:spacing w:before="20" w:after="20"/>
        <w:ind w:left="1440"/>
        <w:rPr>
          <w:rFonts w:cs="Calibri Light"/>
          <w:i/>
          <w:sz w:val="20"/>
          <w:szCs w:val="20"/>
        </w:rPr>
      </w:pPr>
      <w:r w:rsidRPr="007C2279">
        <w:rPr>
          <w:rFonts w:cs="Calibri Light"/>
          <w:i/>
          <w:sz w:val="20"/>
          <w:szCs w:val="20"/>
        </w:rPr>
        <w:t>UEC</w:t>
      </w:r>
      <w:r w:rsidRPr="007C2279">
        <w:rPr>
          <w:rFonts w:cs="Calibri Light"/>
          <w:i/>
          <w:sz w:val="20"/>
          <w:szCs w:val="20"/>
          <w:vertAlign w:val="subscript"/>
        </w:rPr>
        <w:t xml:space="preserve">measure </w:t>
      </w:r>
      <w:r w:rsidRPr="007C2279">
        <w:rPr>
          <w:rFonts w:cs="Calibri Light"/>
          <w:i/>
          <w:sz w:val="20"/>
          <w:szCs w:val="20"/>
        </w:rPr>
        <w:t>=</w:t>
      </w:r>
      <w:r w:rsidRPr="007C2279">
        <w:rPr>
          <w:rFonts w:cs="Calibri Light"/>
          <w:i/>
          <w:sz w:val="20"/>
          <w:szCs w:val="20"/>
        </w:rPr>
        <w:tab/>
        <w:t>Unit energy consumption, measure case, therms/kBtu/hr input rating</w:t>
      </w:r>
    </w:p>
    <w:p w14:paraId="36501581" w14:textId="77777777" w:rsidR="00112790" w:rsidRPr="007C2279" w:rsidRDefault="00112790" w:rsidP="0059067E">
      <w:pPr>
        <w:ind w:left="720"/>
        <w:rPr>
          <w:rFonts w:cs="Calibri Light"/>
          <w:sz w:val="20"/>
          <w:szCs w:val="20"/>
        </w:rPr>
      </w:pPr>
    </w:p>
    <w:p w14:paraId="126C34E9" w14:textId="0CF16B59" w:rsidR="0031539F" w:rsidRPr="007C2279" w:rsidRDefault="008147B2" w:rsidP="0059067E">
      <w:pPr>
        <w:ind w:left="720"/>
        <w:rPr>
          <w:rFonts w:cs="Calibri Light"/>
          <w:sz w:val="20"/>
          <w:szCs w:val="20"/>
        </w:rPr>
      </w:pPr>
      <m:oMathPara>
        <m:oMathParaPr>
          <m:jc m:val="left"/>
        </m:oMathParaPr>
        <m:oMath>
          <m:sSub>
            <m:sSubPr>
              <m:ctrlPr>
                <w:rPr>
                  <w:rFonts w:ascii="Cambria Math" w:hAnsi="Cambria Math" w:cs="Calibri Light"/>
                  <w:i/>
                  <w:sz w:val="20"/>
                  <w:szCs w:val="20"/>
                </w:rPr>
              </m:ctrlPr>
            </m:sSubPr>
            <m:e>
              <m:r>
                <w:rPr>
                  <w:rFonts w:ascii="Cambria Math" w:hAnsi="Cambria Math" w:cs="Calibri Light"/>
                  <w:sz w:val="20"/>
                  <w:szCs w:val="20"/>
                </w:rPr>
                <m:t>UEC</m:t>
              </m:r>
            </m:e>
            <m:sub>
              <m:r>
                <w:rPr>
                  <w:rFonts w:ascii="Cambria Math" w:hAnsi="Cambria Math" w:cs="Calibri Light"/>
                  <w:sz w:val="20"/>
                  <w:szCs w:val="20"/>
                </w:rPr>
                <m:t>baseline</m:t>
              </m:r>
            </m:sub>
          </m:sSub>
          <m:r>
            <w:rPr>
              <w:rFonts w:ascii="Cambria Math" w:hAnsi="Cambria Math" w:cs="Calibri Light"/>
              <w:sz w:val="20"/>
              <w:szCs w:val="20"/>
            </w:rPr>
            <m:t>=</m:t>
          </m:r>
          <m:r>
            <w:rPr>
              <w:rFonts w:ascii="Cambria Math" w:hAnsi="Cambria Math" w:cs="Calibri Light"/>
              <w:sz w:val="20"/>
              <w:szCs w:val="20"/>
            </w:rPr>
            <m:t>CF</m:t>
          </m:r>
          <m:r>
            <w:rPr>
              <w:rFonts w:ascii="Cambria Math" w:hAnsi="Cambria Math" w:cs="Calibri Light"/>
              <w:sz w:val="20"/>
              <w:szCs w:val="20"/>
            </w:rPr>
            <m:t>×</m:t>
          </m:r>
          <m:r>
            <w:rPr>
              <w:rFonts w:ascii="Cambria Math" w:hAnsi="Cambria Math" w:cs="Calibri Light"/>
              <w:sz w:val="20"/>
              <w:szCs w:val="20"/>
            </w:rPr>
            <m:t>HOURS</m:t>
          </m:r>
          <m:r>
            <w:rPr>
              <w:rFonts w:ascii="Cambria Math" w:hAnsi="Cambria Math" w:cs="Calibri Light"/>
              <w:sz w:val="20"/>
              <w:szCs w:val="20"/>
            </w:rPr>
            <m:t>×</m:t>
          </m:r>
          <m:sSub>
            <m:sSubPr>
              <m:ctrlPr>
                <w:rPr>
                  <w:rFonts w:ascii="Cambria Math" w:hAnsi="Cambria Math" w:cs="Calibri Light"/>
                  <w:i/>
                  <w:sz w:val="20"/>
                  <w:szCs w:val="20"/>
                </w:rPr>
              </m:ctrlPr>
            </m:sSubPr>
            <m:e>
              <m:r>
                <w:rPr>
                  <w:rFonts w:ascii="Cambria Math" w:hAnsi="Cambria Math" w:cs="Calibri Light"/>
                  <w:sz w:val="20"/>
                  <w:szCs w:val="20"/>
                </w:rPr>
                <m:t>CE</m:t>
              </m:r>
            </m:e>
            <m:sub>
              <m:r>
                <w:rPr>
                  <w:rFonts w:ascii="Cambria Math" w:hAnsi="Cambria Math" w:cs="Calibri Light"/>
                  <w:sz w:val="20"/>
                  <w:szCs w:val="20"/>
                </w:rPr>
                <m:t>base</m:t>
              </m:r>
            </m:sub>
          </m:sSub>
        </m:oMath>
      </m:oMathPara>
    </w:p>
    <w:p w14:paraId="00D6314B" w14:textId="09655D9B" w:rsidR="00B55E9B" w:rsidRPr="007C2279" w:rsidRDefault="00B55E9B" w:rsidP="0059067E">
      <w:pPr>
        <w:ind w:left="720"/>
        <w:rPr>
          <w:rFonts w:cs="Calibri Light"/>
          <w:sz w:val="20"/>
          <w:szCs w:val="20"/>
        </w:rPr>
      </w:pPr>
    </w:p>
    <w:p w14:paraId="10C4A6D4" w14:textId="301BF560" w:rsidR="0031539F" w:rsidRPr="007C2279" w:rsidRDefault="008147B2" w:rsidP="0059067E">
      <w:pPr>
        <w:ind w:left="720"/>
        <w:rPr>
          <w:rFonts w:cs="Calibri Light"/>
          <w:sz w:val="20"/>
          <w:szCs w:val="20"/>
        </w:rPr>
      </w:pPr>
      <m:oMathPara>
        <m:oMathParaPr>
          <m:jc m:val="left"/>
        </m:oMathParaPr>
        <m:oMath>
          <m:sSub>
            <m:sSubPr>
              <m:ctrlPr>
                <w:rPr>
                  <w:rFonts w:ascii="Cambria Math" w:hAnsi="Cambria Math" w:cs="Calibri Light"/>
                  <w:i/>
                  <w:sz w:val="20"/>
                  <w:szCs w:val="20"/>
                </w:rPr>
              </m:ctrlPr>
            </m:sSubPr>
            <m:e>
              <m:r>
                <w:rPr>
                  <w:rFonts w:ascii="Cambria Math" w:hAnsi="Cambria Math" w:cs="Calibri Light"/>
                  <w:sz w:val="20"/>
                  <w:szCs w:val="20"/>
                </w:rPr>
                <m:t>UEC</m:t>
              </m:r>
            </m:e>
            <m:sub>
              <m:r>
                <w:rPr>
                  <w:rFonts w:ascii="Cambria Math" w:hAnsi="Cambria Math" w:cs="Calibri Light"/>
                  <w:sz w:val="20"/>
                  <w:szCs w:val="20"/>
                </w:rPr>
                <m:t>measure</m:t>
              </m:r>
            </m:sub>
          </m:sSub>
          <m:r>
            <w:rPr>
              <w:rFonts w:ascii="Cambria Math" w:hAnsi="Cambria Math" w:cs="Calibri Light"/>
              <w:sz w:val="20"/>
              <w:szCs w:val="20"/>
            </w:rPr>
            <m:t>=</m:t>
          </m:r>
          <m:sSub>
            <m:sSubPr>
              <m:ctrlPr>
                <w:rPr>
                  <w:rFonts w:ascii="Cambria Math" w:hAnsi="Cambria Math" w:cs="Calibri Light"/>
                  <w:i/>
                  <w:sz w:val="20"/>
                  <w:szCs w:val="20"/>
                </w:rPr>
              </m:ctrlPr>
            </m:sSubPr>
            <m:e>
              <m:r>
                <w:rPr>
                  <w:rFonts w:ascii="Cambria Math" w:hAnsi="Cambria Math" w:cs="Calibri Light"/>
                  <w:sz w:val="20"/>
                  <w:szCs w:val="20"/>
                </w:rPr>
                <m:t>UEC</m:t>
              </m:r>
            </m:e>
            <m:sub>
              <m:r>
                <w:rPr>
                  <w:rFonts w:ascii="Cambria Math" w:hAnsi="Cambria Math" w:cs="Calibri Light"/>
                  <w:sz w:val="20"/>
                  <w:szCs w:val="20"/>
                </w:rPr>
                <m:t>baseline</m:t>
              </m:r>
            </m:sub>
          </m:sSub>
          <m:r>
            <w:rPr>
              <w:rFonts w:ascii="Cambria Math" w:hAnsi="Cambria Math" w:cs="Calibri Light"/>
              <w:sz w:val="20"/>
              <w:szCs w:val="20"/>
            </w:rPr>
            <m:t>×</m:t>
          </m:r>
          <m:f>
            <m:fPr>
              <m:ctrlPr>
                <w:rPr>
                  <w:rFonts w:ascii="Cambria Math" w:hAnsi="Cambria Math" w:cs="Calibri Light"/>
                  <w:i/>
                  <w:sz w:val="20"/>
                  <w:szCs w:val="20"/>
                </w:rPr>
              </m:ctrlPr>
            </m:fPr>
            <m:num>
              <m:sSub>
                <m:sSubPr>
                  <m:ctrlPr>
                    <w:rPr>
                      <w:rFonts w:ascii="Cambria Math" w:hAnsi="Cambria Math" w:cs="Calibri Light"/>
                      <w:i/>
                      <w:sz w:val="20"/>
                      <w:szCs w:val="20"/>
                    </w:rPr>
                  </m:ctrlPr>
                </m:sSubPr>
                <m:e>
                  <m:r>
                    <w:rPr>
                      <w:rFonts w:ascii="Cambria Math" w:hAnsi="Cambria Math" w:cs="Calibri Light"/>
                      <w:sz w:val="20"/>
                      <w:szCs w:val="20"/>
                    </w:rPr>
                    <m:t>CE</m:t>
                  </m:r>
                </m:e>
                <m:sub>
                  <m:r>
                    <w:rPr>
                      <w:rFonts w:ascii="Cambria Math" w:hAnsi="Cambria Math" w:cs="Calibri Light"/>
                      <w:sz w:val="20"/>
                      <w:szCs w:val="20"/>
                    </w:rPr>
                    <m:t>baseline</m:t>
                  </m:r>
                </m:sub>
              </m:sSub>
            </m:num>
            <m:den>
              <m:sSub>
                <m:sSubPr>
                  <m:ctrlPr>
                    <w:rPr>
                      <w:rFonts w:ascii="Cambria Math" w:hAnsi="Cambria Math" w:cs="Calibri Light"/>
                      <w:i/>
                      <w:sz w:val="20"/>
                      <w:szCs w:val="20"/>
                    </w:rPr>
                  </m:ctrlPr>
                </m:sSubPr>
                <m:e>
                  <m:r>
                    <w:rPr>
                      <w:rFonts w:ascii="Cambria Math" w:hAnsi="Cambria Math" w:cs="Calibri Light"/>
                      <w:sz w:val="20"/>
                      <w:szCs w:val="20"/>
                    </w:rPr>
                    <m:t>CE</m:t>
                  </m:r>
                </m:e>
                <m:sub>
                  <m:r>
                    <w:rPr>
                      <w:rFonts w:ascii="Cambria Math" w:hAnsi="Cambria Math" w:cs="Calibri Light"/>
                      <w:sz w:val="20"/>
                      <w:szCs w:val="20"/>
                    </w:rPr>
                    <m:t>measure</m:t>
                  </m:r>
                </m:sub>
              </m:sSub>
            </m:den>
          </m:f>
        </m:oMath>
      </m:oMathPara>
    </w:p>
    <w:p w14:paraId="3E12B1EF" w14:textId="4A0F0141" w:rsidR="00161070" w:rsidRPr="007C2279" w:rsidRDefault="00161070" w:rsidP="00F10FC8">
      <w:pPr>
        <w:rPr>
          <w:rFonts w:cs="Calibri Light"/>
          <w:sz w:val="20"/>
          <w:szCs w:val="20"/>
        </w:rPr>
      </w:pPr>
    </w:p>
    <w:p w14:paraId="20F379FE" w14:textId="63B934CC" w:rsidR="00523298" w:rsidRPr="007C2279" w:rsidRDefault="00523298" w:rsidP="0059067E">
      <w:pPr>
        <w:ind w:left="1440"/>
        <w:rPr>
          <w:rFonts w:eastAsia="Times New Roman" w:cs="Calibri Light"/>
          <w:i/>
          <w:iCs/>
          <w:color w:val="000000"/>
          <w:sz w:val="20"/>
          <w:szCs w:val="20"/>
        </w:rPr>
      </w:pPr>
      <w:r w:rsidRPr="007C2279">
        <w:rPr>
          <w:rFonts w:eastAsia="Times New Roman" w:cs="Calibri Light"/>
          <w:i/>
          <w:iCs/>
          <w:color w:val="000000"/>
          <w:sz w:val="20"/>
          <w:szCs w:val="20"/>
        </w:rPr>
        <w:t xml:space="preserve">UEC = </w:t>
      </w:r>
      <w:r w:rsidRPr="007C2279">
        <w:rPr>
          <w:rFonts w:eastAsia="Times New Roman" w:cs="Calibri Light"/>
          <w:i/>
          <w:iCs/>
          <w:color w:val="000000"/>
          <w:sz w:val="20"/>
          <w:szCs w:val="20"/>
        </w:rPr>
        <w:tab/>
        <w:t>Annual unit energy consumption, baseline or measure case</w:t>
      </w:r>
    </w:p>
    <w:p w14:paraId="3CAFFE32" w14:textId="24AFEF67" w:rsidR="00523298" w:rsidRPr="007C2279" w:rsidRDefault="00523298" w:rsidP="0059067E">
      <w:pPr>
        <w:ind w:left="1440"/>
        <w:rPr>
          <w:rFonts w:eastAsia="Times New Roman" w:cs="Calibri Light"/>
          <w:i/>
          <w:iCs/>
          <w:color w:val="000000"/>
          <w:sz w:val="20"/>
          <w:szCs w:val="20"/>
        </w:rPr>
      </w:pPr>
      <w:r w:rsidRPr="007C2279">
        <w:rPr>
          <w:rFonts w:eastAsia="Times New Roman" w:cs="Calibri Light"/>
          <w:i/>
          <w:iCs/>
          <w:color w:val="000000"/>
          <w:sz w:val="20"/>
          <w:szCs w:val="20"/>
        </w:rPr>
        <w:t xml:space="preserve">CF = </w:t>
      </w:r>
      <w:r w:rsidRPr="007C2279">
        <w:rPr>
          <w:rFonts w:eastAsia="Times New Roman" w:cs="Calibri Light"/>
          <w:i/>
          <w:iCs/>
          <w:color w:val="000000"/>
          <w:sz w:val="20"/>
          <w:szCs w:val="20"/>
        </w:rPr>
        <w:tab/>
        <w:t>Average Load Capacity Factor (kBtu/hr out/kBtu/hr rated)</w:t>
      </w:r>
    </w:p>
    <w:p w14:paraId="27D0AEF9" w14:textId="3D04B235" w:rsidR="00523298" w:rsidRPr="007C2279" w:rsidRDefault="00523298" w:rsidP="0059067E">
      <w:pPr>
        <w:ind w:left="1440"/>
        <w:rPr>
          <w:rFonts w:eastAsia="Times New Roman" w:cs="Calibri Light"/>
          <w:i/>
          <w:iCs/>
          <w:color w:val="000000"/>
          <w:sz w:val="20"/>
          <w:szCs w:val="20"/>
        </w:rPr>
      </w:pPr>
      <w:r w:rsidRPr="007C2279">
        <w:rPr>
          <w:rFonts w:eastAsia="Times New Roman" w:cs="Calibri Light"/>
          <w:i/>
          <w:iCs/>
          <w:color w:val="000000"/>
          <w:sz w:val="20"/>
          <w:szCs w:val="20"/>
        </w:rPr>
        <w:t xml:space="preserve">HOURS = </w:t>
      </w:r>
      <w:r w:rsidRPr="007C2279">
        <w:rPr>
          <w:rFonts w:eastAsia="Times New Roman" w:cs="Calibri Light"/>
          <w:i/>
          <w:iCs/>
          <w:color w:val="000000"/>
          <w:sz w:val="20"/>
          <w:szCs w:val="20"/>
        </w:rPr>
        <w:tab/>
        <w:t>Annual hours of operation (hrs/year)</w:t>
      </w:r>
    </w:p>
    <w:p w14:paraId="0C80137E" w14:textId="6430BE62" w:rsidR="00523298" w:rsidRPr="007C2279" w:rsidRDefault="00523298" w:rsidP="0059067E">
      <w:pPr>
        <w:ind w:left="1440"/>
        <w:rPr>
          <w:rFonts w:cs="Calibri Light"/>
          <w:i/>
          <w:iCs/>
          <w:sz w:val="20"/>
          <w:szCs w:val="20"/>
        </w:rPr>
      </w:pPr>
      <w:r w:rsidRPr="007C2279">
        <w:rPr>
          <w:rFonts w:eastAsia="Times New Roman" w:cs="Calibri Light"/>
          <w:i/>
          <w:iCs/>
          <w:color w:val="000000"/>
          <w:sz w:val="20"/>
          <w:szCs w:val="20"/>
        </w:rPr>
        <w:t xml:space="preserve">CE = </w:t>
      </w:r>
      <w:r w:rsidRPr="007C2279">
        <w:rPr>
          <w:rFonts w:eastAsia="Times New Roman" w:cs="Calibri Light"/>
          <w:i/>
          <w:iCs/>
          <w:color w:val="000000"/>
          <w:sz w:val="20"/>
          <w:szCs w:val="20"/>
        </w:rPr>
        <w:tab/>
        <w:t xml:space="preserve">Process boiler combustion efficiency, baseline or measure case (%) </w:t>
      </w:r>
    </w:p>
    <w:p w14:paraId="09C2E5BE" w14:textId="53AD1FBF" w:rsidR="00523298" w:rsidRDefault="00523298" w:rsidP="00F10FC8"/>
    <w:p w14:paraId="33A7C07F" w14:textId="663ECB5B" w:rsidR="00300CA3" w:rsidRDefault="00300CA3" w:rsidP="00E8225A">
      <w:pPr>
        <w:pStyle w:val="eTRMHeading4"/>
      </w:pPr>
      <w:r>
        <w:t>Inputs and Assumptions</w:t>
      </w:r>
    </w:p>
    <w:p w14:paraId="6C3DEF4B" w14:textId="276CEBB9" w:rsidR="0031539F" w:rsidRDefault="0031539F" w:rsidP="00A42921">
      <w:pPr>
        <w:pStyle w:val="Caption"/>
      </w:pPr>
      <w:r>
        <w:t>UEC Calculation Inputs</w:t>
      </w:r>
      <w:r w:rsidR="008D177F">
        <w:t xml:space="preserve"> – Baseline Process Boiler</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15"/>
        <w:gridCol w:w="1260"/>
        <w:gridCol w:w="3960"/>
      </w:tblGrid>
      <w:tr w:rsidR="008D177F" w:rsidRPr="008D177F" w14:paraId="510AE472" w14:textId="499AE761" w:rsidTr="00EB7D27">
        <w:trPr>
          <w:cantSplit/>
          <w:trHeight w:val="480"/>
          <w:tblHeader/>
        </w:trPr>
        <w:tc>
          <w:tcPr>
            <w:tcW w:w="4315" w:type="dxa"/>
            <w:shd w:val="clear" w:color="auto" w:fill="F2F2F2" w:themeFill="background1" w:themeFillShade="F2"/>
            <w:noWrap/>
            <w:vAlign w:val="bottom"/>
            <w:hideMark/>
          </w:tcPr>
          <w:p w14:paraId="0F7A1382" w14:textId="3A8E9CAE" w:rsidR="008D177F" w:rsidRPr="0059067E" w:rsidRDefault="008D177F" w:rsidP="008D177F">
            <w:pPr>
              <w:spacing w:before="0" w:after="0" w:line="240" w:lineRule="auto"/>
              <w:rPr>
                <w:rFonts w:eastAsia="Times New Roman" w:cs="Calibri Light"/>
                <w:b/>
                <w:bCs/>
                <w:sz w:val="20"/>
                <w:szCs w:val="20"/>
              </w:rPr>
            </w:pPr>
            <w:r w:rsidRPr="0059067E">
              <w:rPr>
                <w:rFonts w:eastAsia="Times New Roman" w:cs="Calibri Light"/>
                <w:b/>
                <w:bCs/>
                <w:sz w:val="20"/>
                <w:szCs w:val="20"/>
              </w:rPr>
              <w:t>Input</w:t>
            </w:r>
          </w:p>
        </w:tc>
        <w:tc>
          <w:tcPr>
            <w:tcW w:w="1260" w:type="dxa"/>
            <w:shd w:val="clear" w:color="auto" w:fill="F2F2F2" w:themeFill="background1" w:themeFillShade="F2"/>
            <w:vAlign w:val="bottom"/>
            <w:hideMark/>
          </w:tcPr>
          <w:p w14:paraId="2F75989C" w14:textId="07B50A85" w:rsidR="008D177F" w:rsidRPr="0059067E" w:rsidRDefault="008D177F" w:rsidP="008D177F">
            <w:pPr>
              <w:spacing w:before="0" w:after="0" w:line="240" w:lineRule="auto"/>
              <w:rPr>
                <w:rFonts w:eastAsia="Times New Roman" w:cs="Calibri Light"/>
                <w:b/>
                <w:bCs/>
                <w:sz w:val="20"/>
                <w:szCs w:val="20"/>
              </w:rPr>
            </w:pPr>
            <w:r>
              <w:rPr>
                <w:rFonts w:eastAsia="Times New Roman" w:cs="Calibri Light"/>
                <w:b/>
                <w:bCs/>
                <w:sz w:val="20"/>
                <w:szCs w:val="20"/>
              </w:rPr>
              <w:t>Baseline Value</w:t>
            </w:r>
          </w:p>
        </w:tc>
        <w:tc>
          <w:tcPr>
            <w:tcW w:w="3960" w:type="dxa"/>
            <w:shd w:val="clear" w:color="auto" w:fill="F2F2F2" w:themeFill="background1" w:themeFillShade="F2"/>
            <w:noWrap/>
            <w:vAlign w:val="bottom"/>
            <w:hideMark/>
          </w:tcPr>
          <w:p w14:paraId="4D6C5BCF" w14:textId="366747FC" w:rsidR="008D177F" w:rsidRPr="0059067E" w:rsidRDefault="008D177F" w:rsidP="008D177F">
            <w:pPr>
              <w:spacing w:before="0" w:after="0" w:line="240" w:lineRule="auto"/>
              <w:rPr>
                <w:rFonts w:eastAsia="Times New Roman" w:cs="Calibri Light"/>
                <w:b/>
                <w:bCs/>
                <w:sz w:val="20"/>
                <w:szCs w:val="20"/>
              </w:rPr>
            </w:pPr>
            <w:r w:rsidRPr="0059067E">
              <w:rPr>
                <w:rFonts w:eastAsia="Times New Roman" w:cs="Calibri Light"/>
                <w:b/>
                <w:bCs/>
                <w:sz w:val="20"/>
                <w:szCs w:val="20"/>
              </w:rPr>
              <w:t>Source</w:t>
            </w:r>
          </w:p>
        </w:tc>
      </w:tr>
      <w:tr w:rsidR="008D177F" w:rsidRPr="00A81431" w14:paraId="0CF43851" w14:textId="05EA7AEA" w:rsidTr="00EB7D27">
        <w:trPr>
          <w:cantSplit/>
          <w:trHeight w:val="260"/>
        </w:trPr>
        <w:tc>
          <w:tcPr>
            <w:tcW w:w="4315" w:type="dxa"/>
            <w:shd w:val="clear" w:color="auto" w:fill="auto"/>
            <w:noWrap/>
            <w:vAlign w:val="center"/>
            <w:hideMark/>
          </w:tcPr>
          <w:p w14:paraId="29EAD7DC" w14:textId="45DD5DFE" w:rsidR="008D177F" w:rsidRPr="00EB5DB8" w:rsidRDefault="008D177F" w:rsidP="00A81431">
            <w:pPr>
              <w:spacing w:before="0" w:after="0" w:line="240" w:lineRule="auto"/>
              <w:rPr>
                <w:rFonts w:eastAsia="Times New Roman" w:cs="Calibri Light"/>
                <w:sz w:val="20"/>
                <w:szCs w:val="20"/>
              </w:rPr>
            </w:pPr>
            <w:r w:rsidRPr="00EB5DB8">
              <w:rPr>
                <w:rFonts w:eastAsia="Times New Roman" w:cs="Calibri Light"/>
                <w:sz w:val="20"/>
                <w:szCs w:val="20"/>
              </w:rPr>
              <w:t xml:space="preserve">Average Load Capacity Factor </w:t>
            </w:r>
            <w:r w:rsidR="00EB5DB8" w:rsidRPr="00EB5DB8">
              <w:rPr>
                <w:rFonts w:eastAsia="Times New Roman" w:cs="Calibri Light"/>
                <w:sz w:val="20"/>
                <w:szCs w:val="20"/>
              </w:rPr>
              <w:br/>
            </w:r>
            <w:r w:rsidRPr="00A42921">
              <w:rPr>
                <w:rFonts w:eastAsia="Times New Roman" w:cs="Calibri Light"/>
                <w:sz w:val="20"/>
                <w:szCs w:val="20"/>
              </w:rPr>
              <w:t>(kBtu/hr out/kBtu/hr rated)</w:t>
            </w:r>
          </w:p>
        </w:tc>
        <w:tc>
          <w:tcPr>
            <w:tcW w:w="1260" w:type="dxa"/>
            <w:shd w:val="clear" w:color="auto" w:fill="auto"/>
            <w:noWrap/>
            <w:vAlign w:val="center"/>
            <w:hideMark/>
          </w:tcPr>
          <w:p w14:paraId="797197D7" w14:textId="77777777" w:rsidR="008D177F" w:rsidRPr="0059067E" w:rsidRDefault="008D177F" w:rsidP="00A81431">
            <w:pPr>
              <w:spacing w:before="0" w:after="0" w:line="240" w:lineRule="auto"/>
              <w:jc w:val="right"/>
              <w:rPr>
                <w:rFonts w:eastAsia="Times New Roman" w:cs="Calibri Light"/>
                <w:sz w:val="20"/>
                <w:szCs w:val="20"/>
              </w:rPr>
            </w:pPr>
            <w:r w:rsidRPr="0059067E">
              <w:rPr>
                <w:rFonts w:eastAsia="Times New Roman" w:cs="Calibri Light"/>
                <w:sz w:val="20"/>
                <w:szCs w:val="20"/>
              </w:rPr>
              <w:t>0.40</w:t>
            </w:r>
          </w:p>
        </w:tc>
        <w:tc>
          <w:tcPr>
            <w:tcW w:w="3960" w:type="dxa"/>
            <w:shd w:val="clear" w:color="auto" w:fill="auto"/>
            <w:noWrap/>
            <w:vAlign w:val="bottom"/>
            <w:hideMark/>
          </w:tcPr>
          <w:p w14:paraId="15DAFBA2" w14:textId="0C34FAB3" w:rsidR="00BC2D7E" w:rsidRPr="0059067E" w:rsidRDefault="00D34B56" w:rsidP="008D177F">
            <w:pPr>
              <w:spacing w:before="0" w:after="0" w:line="240" w:lineRule="auto"/>
              <w:rPr>
                <w:rFonts w:eastAsia="Times New Roman" w:cs="Calibri Light"/>
                <w:sz w:val="18"/>
                <w:szCs w:val="18"/>
              </w:rPr>
            </w:pPr>
            <w:r w:rsidRPr="0059067E">
              <w:rPr>
                <w:sz w:val="18"/>
                <w:szCs w:val="18"/>
              </w:rPr>
              <w:t xml:space="preserve">Itron and ERS. 2019. </w:t>
            </w:r>
            <w:r w:rsidRPr="0059067E">
              <w:rPr>
                <w:i/>
                <w:iCs/>
                <w:sz w:val="18"/>
                <w:szCs w:val="18"/>
              </w:rPr>
              <w:t xml:space="preserve">2017 Small/Medium Commercial Sector ESPI Impact Evaluation Draft Report. </w:t>
            </w:r>
            <w:r w:rsidRPr="0059067E">
              <w:rPr>
                <w:sz w:val="18"/>
                <w:szCs w:val="18"/>
              </w:rPr>
              <w:t>Prepared for the California Public Utilities Commission. March 1. Page 5-21, Table 5-22.</w:t>
            </w:r>
          </w:p>
        </w:tc>
      </w:tr>
      <w:tr w:rsidR="008D177F" w:rsidRPr="00A81431" w14:paraId="24BC2D23" w14:textId="59BA84D9" w:rsidTr="00EB7D27">
        <w:trPr>
          <w:cantSplit/>
          <w:trHeight w:val="260"/>
        </w:trPr>
        <w:tc>
          <w:tcPr>
            <w:tcW w:w="4315" w:type="dxa"/>
            <w:shd w:val="clear" w:color="auto" w:fill="auto"/>
            <w:noWrap/>
            <w:vAlign w:val="center"/>
            <w:hideMark/>
          </w:tcPr>
          <w:p w14:paraId="10213353" w14:textId="4812CF4F" w:rsidR="008D177F" w:rsidRPr="0059067E" w:rsidRDefault="008D177F" w:rsidP="00A81431">
            <w:pPr>
              <w:spacing w:before="0" w:after="0" w:line="240" w:lineRule="auto"/>
              <w:rPr>
                <w:rFonts w:eastAsia="Times New Roman" w:cs="Calibri Light"/>
                <w:sz w:val="20"/>
                <w:szCs w:val="20"/>
              </w:rPr>
            </w:pPr>
            <w:r w:rsidRPr="0059067E">
              <w:rPr>
                <w:rFonts w:eastAsia="Times New Roman" w:cs="Calibri Light"/>
                <w:sz w:val="20"/>
                <w:szCs w:val="20"/>
              </w:rPr>
              <w:t>Operating Hours (hrs/year)</w:t>
            </w:r>
          </w:p>
        </w:tc>
        <w:tc>
          <w:tcPr>
            <w:tcW w:w="1260" w:type="dxa"/>
            <w:shd w:val="clear" w:color="auto" w:fill="auto"/>
            <w:noWrap/>
            <w:vAlign w:val="center"/>
            <w:hideMark/>
          </w:tcPr>
          <w:p w14:paraId="6B1652CB" w14:textId="73FE35B9" w:rsidR="008D177F" w:rsidRPr="0059067E" w:rsidRDefault="008D177F" w:rsidP="0059067E">
            <w:pPr>
              <w:spacing w:before="0" w:after="0" w:line="240" w:lineRule="auto"/>
              <w:jc w:val="right"/>
              <w:rPr>
                <w:rFonts w:eastAsia="Times New Roman" w:cs="Calibri Light"/>
                <w:sz w:val="20"/>
                <w:szCs w:val="20"/>
              </w:rPr>
            </w:pPr>
            <w:r w:rsidRPr="0059067E">
              <w:rPr>
                <w:rFonts w:eastAsia="Times New Roman" w:cs="Calibri Light"/>
                <w:sz w:val="20"/>
                <w:szCs w:val="20"/>
              </w:rPr>
              <w:t xml:space="preserve">7,640 </w:t>
            </w:r>
          </w:p>
        </w:tc>
        <w:tc>
          <w:tcPr>
            <w:tcW w:w="3960" w:type="dxa"/>
            <w:shd w:val="clear" w:color="auto" w:fill="auto"/>
            <w:noWrap/>
            <w:vAlign w:val="bottom"/>
            <w:hideMark/>
          </w:tcPr>
          <w:p w14:paraId="52731A13" w14:textId="5D43E1B0" w:rsidR="00BC2D7E" w:rsidRPr="0059067E" w:rsidRDefault="00D34B56" w:rsidP="008D177F">
            <w:pPr>
              <w:spacing w:before="0" w:after="0" w:line="240" w:lineRule="auto"/>
              <w:rPr>
                <w:rFonts w:eastAsia="Times New Roman" w:cs="Calibri Light"/>
                <w:sz w:val="18"/>
                <w:szCs w:val="14"/>
              </w:rPr>
            </w:pPr>
            <w:r w:rsidRPr="0059067E">
              <w:rPr>
                <w:sz w:val="18"/>
                <w:szCs w:val="14"/>
              </w:rPr>
              <w:t xml:space="preserve">Itron and ERS. 2019. </w:t>
            </w:r>
            <w:r w:rsidRPr="0059067E">
              <w:rPr>
                <w:i/>
                <w:iCs/>
                <w:sz w:val="18"/>
                <w:szCs w:val="14"/>
              </w:rPr>
              <w:t xml:space="preserve">2017 Small/Medium Commercial Sector ESPI Impact Evaluation Draft Report. </w:t>
            </w:r>
            <w:r w:rsidRPr="0059067E">
              <w:rPr>
                <w:sz w:val="18"/>
                <w:szCs w:val="14"/>
              </w:rPr>
              <w:t xml:space="preserve">Prepared for the California Public Utilities Commission. March 1. Page 5-20, Table 5-19. </w:t>
            </w:r>
          </w:p>
        </w:tc>
      </w:tr>
      <w:tr w:rsidR="004D048B" w:rsidRPr="00A81431" w14:paraId="6E66C66C" w14:textId="5A083BD1" w:rsidTr="00E8225A">
        <w:trPr>
          <w:cantSplit/>
          <w:trHeight w:val="260"/>
        </w:trPr>
        <w:tc>
          <w:tcPr>
            <w:tcW w:w="4315" w:type="dxa"/>
            <w:shd w:val="clear" w:color="auto" w:fill="auto"/>
            <w:noWrap/>
            <w:vAlign w:val="center"/>
            <w:hideMark/>
          </w:tcPr>
          <w:p w14:paraId="621C5036" w14:textId="21A02F88" w:rsidR="004D048B" w:rsidRPr="0059067E" w:rsidRDefault="00833305" w:rsidP="004D048B">
            <w:pPr>
              <w:spacing w:before="0" w:after="0" w:line="240" w:lineRule="auto"/>
              <w:rPr>
                <w:rFonts w:eastAsia="Times New Roman" w:cs="Calibri Light"/>
                <w:sz w:val="20"/>
                <w:szCs w:val="20"/>
              </w:rPr>
            </w:pPr>
            <w:r>
              <w:rPr>
                <w:sz w:val="20"/>
                <w:szCs w:val="20"/>
              </w:rPr>
              <w:lastRenderedPageBreak/>
              <w:t xml:space="preserve">Steam Boiler </w:t>
            </w:r>
            <w:r w:rsidR="00E8225A">
              <w:rPr>
                <w:rFonts w:eastAsia="Times New Roman" w:cs="Calibri Light"/>
                <w:sz w:val="20"/>
                <w:szCs w:val="20"/>
              </w:rPr>
              <w:t xml:space="preserve">Thermal </w:t>
            </w:r>
            <w:r w:rsidR="004D048B" w:rsidRPr="0059067E">
              <w:rPr>
                <w:rFonts w:eastAsia="Times New Roman" w:cs="Calibri Light"/>
                <w:sz w:val="20"/>
                <w:szCs w:val="20"/>
              </w:rPr>
              <w:t>Efficiency (</w:t>
            </w:r>
            <w:r w:rsidR="00E8225A">
              <w:rPr>
                <w:rFonts w:eastAsia="Times New Roman" w:cs="Calibri Light"/>
                <w:sz w:val="20"/>
                <w:szCs w:val="20"/>
              </w:rPr>
              <w:t>T</w:t>
            </w:r>
            <w:r w:rsidR="004D048B" w:rsidRPr="0059067E">
              <w:rPr>
                <w:rFonts w:eastAsia="Times New Roman" w:cs="Calibri Light"/>
                <w:sz w:val="20"/>
                <w:szCs w:val="20"/>
              </w:rPr>
              <w:t>E)</w:t>
            </w:r>
          </w:p>
        </w:tc>
        <w:tc>
          <w:tcPr>
            <w:tcW w:w="1260" w:type="dxa"/>
            <w:shd w:val="clear" w:color="auto" w:fill="auto"/>
            <w:noWrap/>
            <w:vAlign w:val="center"/>
            <w:hideMark/>
          </w:tcPr>
          <w:p w14:paraId="2C8B7A06" w14:textId="531D7AA7" w:rsidR="004D048B" w:rsidRPr="0059067E" w:rsidRDefault="00E8225A" w:rsidP="004D048B">
            <w:pPr>
              <w:spacing w:before="0" w:after="0" w:line="240" w:lineRule="auto"/>
              <w:jc w:val="right"/>
              <w:rPr>
                <w:rFonts w:eastAsia="Times New Roman" w:cs="Calibri Light"/>
                <w:sz w:val="20"/>
                <w:szCs w:val="20"/>
              </w:rPr>
            </w:pPr>
            <w:r>
              <w:rPr>
                <w:rFonts w:eastAsia="Times New Roman" w:cs="Calibri Light"/>
                <w:sz w:val="20"/>
                <w:szCs w:val="20"/>
              </w:rPr>
              <w:t>79</w:t>
            </w:r>
            <w:r w:rsidR="004D048B" w:rsidRPr="0059067E">
              <w:rPr>
                <w:rFonts w:eastAsia="Times New Roman" w:cs="Calibri Light"/>
                <w:sz w:val="20"/>
                <w:szCs w:val="20"/>
              </w:rPr>
              <w:t>%</w:t>
            </w:r>
          </w:p>
        </w:tc>
        <w:tc>
          <w:tcPr>
            <w:tcW w:w="3960" w:type="dxa"/>
            <w:shd w:val="clear" w:color="auto" w:fill="auto"/>
            <w:noWrap/>
            <w:vAlign w:val="center"/>
          </w:tcPr>
          <w:p w14:paraId="67FC5779" w14:textId="4C352ACD" w:rsidR="00F636D5" w:rsidRPr="00F636D5" w:rsidRDefault="00E8225A" w:rsidP="004D048B">
            <w:pPr>
              <w:rPr>
                <w:sz w:val="18"/>
                <w:szCs w:val="20"/>
              </w:rPr>
            </w:pPr>
            <w:r w:rsidRPr="00F636D5">
              <w:rPr>
                <w:sz w:val="18"/>
                <w:szCs w:val="20"/>
              </w:rPr>
              <w:t xml:space="preserve">California Energy Commission (CEC). 2018. </w:t>
            </w:r>
            <w:r w:rsidRPr="00F636D5">
              <w:rPr>
                <w:rStyle w:val="Emphasis"/>
                <w:sz w:val="18"/>
                <w:szCs w:val="20"/>
              </w:rPr>
              <w:t>2019 Building Energy Efficiency Standards for Residential and Nonresidential Buildings (Title 24)</w:t>
            </w:r>
            <w:r w:rsidRPr="00F636D5">
              <w:rPr>
                <w:sz w:val="18"/>
                <w:szCs w:val="20"/>
              </w:rPr>
              <w:t>. CEC-400-2018-020-CMF. Table 110</w:t>
            </w:r>
            <w:r w:rsidR="00F636D5" w:rsidRPr="00F636D5">
              <w:rPr>
                <w:sz w:val="18"/>
                <w:szCs w:val="20"/>
              </w:rPr>
              <w:t>.2-K.</w:t>
            </w:r>
            <w:r w:rsidRPr="00F636D5">
              <w:rPr>
                <w:sz w:val="18"/>
                <w:szCs w:val="20"/>
              </w:rPr>
              <w:t xml:space="preserve"> </w:t>
            </w:r>
          </w:p>
          <w:p w14:paraId="7DD4F924" w14:textId="5D6862F5" w:rsidR="004D048B" w:rsidRPr="00EB7D27" w:rsidRDefault="00F636D5" w:rsidP="004D048B">
            <w:pPr>
              <w:rPr>
                <w:rFonts w:eastAsia="Times New Roman" w:cs="Calibri Light"/>
                <w:sz w:val="18"/>
                <w:szCs w:val="20"/>
              </w:rPr>
            </w:pPr>
            <w:r w:rsidRPr="00F636D5">
              <w:rPr>
                <w:sz w:val="18"/>
                <w:szCs w:val="20"/>
              </w:rPr>
              <w:t xml:space="preserve">California Energy Commission (CEC). 2019. </w:t>
            </w:r>
            <w:r w:rsidRPr="00F636D5">
              <w:rPr>
                <w:rStyle w:val="Emphasis"/>
                <w:sz w:val="18"/>
                <w:szCs w:val="20"/>
              </w:rPr>
              <w:t>California Code of Regulations Title 20 Public Utilities and Energy.</w:t>
            </w:r>
            <w:r w:rsidRPr="00F636D5">
              <w:rPr>
                <w:sz w:val="18"/>
                <w:szCs w:val="20"/>
              </w:rPr>
              <w:t> CEC-140-2019-002. Table E-4.</w:t>
            </w:r>
          </w:p>
        </w:tc>
      </w:tr>
      <w:tr w:rsidR="008D177F" w:rsidRPr="00A81431" w14:paraId="4CCA1049" w14:textId="55C792E5" w:rsidTr="00EB7D27">
        <w:trPr>
          <w:cantSplit/>
          <w:trHeight w:val="260"/>
        </w:trPr>
        <w:tc>
          <w:tcPr>
            <w:tcW w:w="4315" w:type="dxa"/>
            <w:shd w:val="clear" w:color="auto" w:fill="auto"/>
            <w:noWrap/>
            <w:vAlign w:val="center"/>
            <w:hideMark/>
          </w:tcPr>
          <w:p w14:paraId="77D7103F" w14:textId="17E9A2D4" w:rsidR="008D177F" w:rsidRPr="0059067E" w:rsidRDefault="008D177F" w:rsidP="00A81431">
            <w:pPr>
              <w:spacing w:before="0" w:after="0" w:line="240" w:lineRule="auto"/>
              <w:rPr>
                <w:rFonts w:eastAsia="Times New Roman" w:cs="Calibri Light"/>
                <w:sz w:val="20"/>
                <w:szCs w:val="20"/>
              </w:rPr>
            </w:pPr>
            <w:r w:rsidRPr="0059067E">
              <w:rPr>
                <w:rFonts w:eastAsia="Times New Roman" w:cs="Calibri Light"/>
                <w:sz w:val="20"/>
                <w:szCs w:val="20"/>
              </w:rPr>
              <w:t>Conversion factor (therms/kBtu)</w:t>
            </w:r>
          </w:p>
        </w:tc>
        <w:tc>
          <w:tcPr>
            <w:tcW w:w="1260" w:type="dxa"/>
            <w:shd w:val="clear" w:color="auto" w:fill="auto"/>
            <w:noWrap/>
            <w:vAlign w:val="center"/>
            <w:hideMark/>
          </w:tcPr>
          <w:p w14:paraId="14A06D01" w14:textId="77777777" w:rsidR="008D177F" w:rsidRPr="0059067E" w:rsidRDefault="008D177F" w:rsidP="00A81431">
            <w:pPr>
              <w:spacing w:before="0" w:after="0" w:line="240" w:lineRule="auto"/>
              <w:jc w:val="right"/>
              <w:rPr>
                <w:rFonts w:eastAsia="Times New Roman" w:cs="Calibri Light"/>
                <w:sz w:val="20"/>
                <w:szCs w:val="20"/>
              </w:rPr>
            </w:pPr>
            <w:r w:rsidRPr="0059067E">
              <w:rPr>
                <w:rFonts w:eastAsia="Times New Roman" w:cs="Calibri Light"/>
                <w:sz w:val="20"/>
                <w:szCs w:val="20"/>
              </w:rPr>
              <w:t>0.01</w:t>
            </w:r>
          </w:p>
        </w:tc>
        <w:tc>
          <w:tcPr>
            <w:tcW w:w="3960" w:type="dxa"/>
            <w:shd w:val="clear" w:color="auto" w:fill="auto"/>
            <w:noWrap/>
            <w:vAlign w:val="bottom"/>
            <w:hideMark/>
          </w:tcPr>
          <w:p w14:paraId="698274DC" w14:textId="2A2E4EF2" w:rsidR="008D177F" w:rsidRPr="0059067E" w:rsidRDefault="008D177F" w:rsidP="008D177F">
            <w:pPr>
              <w:spacing w:before="0" w:after="0" w:line="240" w:lineRule="auto"/>
              <w:rPr>
                <w:rFonts w:eastAsia="Times New Roman" w:cs="Calibri Light"/>
                <w:sz w:val="20"/>
                <w:szCs w:val="20"/>
              </w:rPr>
            </w:pPr>
            <w:r w:rsidRPr="0059067E">
              <w:rPr>
                <w:rFonts w:eastAsia="Times New Roman" w:cs="Calibri Light"/>
                <w:sz w:val="20"/>
                <w:szCs w:val="20"/>
              </w:rPr>
              <w:t> </w:t>
            </w:r>
            <w:r w:rsidR="00FA6FEB">
              <w:rPr>
                <w:rFonts w:eastAsia="Times New Roman" w:cs="Calibri Light"/>
                <w:sz w:val="20"/>
                <w:szCs w:val="20"/>
              </w:rPr>
              <w:t>-</w:t>
            </w:r>
          </w:p>
        </w:tc>
      </w:tr>
    </w:tbl>
    <w:p w14:paraId="6084088B" w14:textId="0E014B45" w:rsidR="008D177F" w:rsidRDefault="008D177F" w:rsidP="00A42921">
      <w:pPr>
        <w:pStyle w:val="Caption"/>
      </w:pPr>
      <w:r>
        <w:t>UEC Calculation Inputs – Measure Case Process Boiler</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15"/>
        <w:gridCol w:w="1260"/>
        <w:gridCol w:w="3960"/>
      </w:tblGrid>
      <w:tr w:rsidR="008A0E03" w:rsidRPr="00997505" w14:paraId="6ADBC14F" w14:textId="77777777" w:rsidTr="0059067E">
        <w:trPr>
          <w:trHeight w:val="480"/>
          <w:tblHeader/>
        </w:trPr>
        <w:tc>
          <w:tcPr>
            <w:tcW w:w="4315" w:type="dxa"/>
            <w:shd w:val="clear" w:color="auto" w:fill="F2F2F2" w:themeFill="background1" w:themeFillShade="F2"/>
            <w:noWrap/>
            <w:vAlign w:val="bottom"/>
            <w:hideMark/>
          </w:tcPr>
          <w:p w14:paraId="76136064" w14:textId="77777777" w:rsidR="008D177F" w:rsidRPr="00997505" w:rsidRDefault="008D177F" w:rsidP="00A2742E">
            <w:pPr>
              <w:spacing w:before="0" w:after="0" w:line="240" w:lineRule="auto"/>
              <w:rPr>
                <w:rFonts w:eastAsia="Times New Roman" w:cs="Calibri Light"/>
                <w:b/>
                <w:bCs/>
                <w:sz w:val="20"/>
                <w:szCs w:val="20"/>
              </w:rPr>
            </w:pPr>
            <w:r w:rsidRPr="00997505">
              <w:rPr>
                <w:rFonts w:eastAsia="Times New Roman" w:cs="Calibri Light"/>
                <w:b/>
                <w:bCs/>
                <w:sz w:val="20"/>
                <w:szCs w:val="20"/>
              </w:rPr>
              <w:t>Input</w:t>
            </w:r>
          </w:p>
        </w:tc>
        <w:tc>
          <w:tcPr>
            <w:tcW w:w="1260" w:type="dxa"/>
            <w:shd w:val="clear" w:color="auto" w:fill="F2F2F2" w:themeFill="background1" w:themeFillShade="F2"/>
            <w:vAlign w:val="bottom"/>
            <w:hideMark/>
          </w:tcPr>
          <w:p w14:paraId="6065E645" w14:textId="6FC423E2" w:rsidR="008D177F" w:rsidRPr="00997505" w:rsidRDefault="008D177F" w:rsidP="0059067E">
            <w:pPr>
              <w:spacing w:before="0" w:after="0" w:line="240" w:lineRule="auto"/>
              <w:jc w:val="center"/>
              <w:rPr>
                <w:rFonts w:eastAsia="Times New Roman" w:cs="Calibri Light"/>
                <w:b/>
                <w:bCs/>
                <w:sz w:val="20"/>
                <w:szCs w:val="20"/>
              </w:rPr>
            </w:pPr>
            <w:r>
              <w:rPr>
                <w:rFonts w:eastAsia="Times New Roman" w:cs="Calibri Light"/>
                <w:b/>
                <w:bCs/>
                <w:sz w:val="20"/>
                <w:szCs w:val="20"/>
              </w:rPr>
              <w:t>Measure Case Value</w:t>
            </w:r>
          </w:p>
        </w:tc>
        <w:tc>
          <w:tcPr>
            <w:tcW w:w="3960" w:type="dxa"/>
            <w:shd w:val="clear" w:color="auto" w:fill="F2F2F2" w:themeFill="background1" w:themeFillShade="F2"/>
            <w:noWrap/>
            <w:vAlign w:val="bottom"/>
            <w:hideMark/>
          </w:tcPr>
          <w:p w14:paraId="403FCE57" w14:textId="77777777" w:rsidR="008D177F" w:rsidRPr="00997505" w:rsidRDefault="008D177F" w:rsidP="00A2742E">
            <w:pPr>
              <w:spacing w:before="0" w:after="0" w:line="240" w:lineRule="auto"/>
              <w:rPr>
                <w:rFonts w:eastAsia="Times New Roman" w:cs="Calibri Light"/>
                <w:b/>
                <w:bCs/>
                <w:sz w:val="20"/>
                <w:szCs w:val="20"/>
              </w:rPr>
            </w:pPr>
            <w:r w:rsidRPr="00997505">
              <w:rPr>
                <w:rFonts w:eastAsia="Times New Roman" w:cs="Calibri Light"/>
                <w:b/>
                <w:bCs/>
                <w:sz w:val="20"/>
                <w:szCs w:val="20"/>
              </w:rPr>
              <w:t>Source</w:t>
            </w:r>
          </w:p>
        </w:tc>
      </w:tr>
      <w:tr w:rsidR="00037EB1" w:rsidRPr="0031539F" w14:paraId="0F19AD6D" w14:textId="77777777" w:rsidTr="0059067E">
        <w:trPr>
          <w:trHeight w:val="260"/>
        </w:trPr>
        <w:tc>
          <w:tcPr>
            <w:tcW w:w="4315" w:type="dxa"/>
            <w:shd w:val="clear" w:color="auto" w:fill="auto"/>
            <w:noWrap/>
            <w:vAlign w:val="center"/>
            <w:hideMark/>
          </w:tcPr>
          <w:p w14:paraId="3CE0ACDC" w14:textId="2E36458E" w:rsidR="00037EB1" w:rsidRPr="00EB5DB8" w:rsidRDefault="00037EB1" w:rsidP="00A81431">
            <w:pPr>
              <w:spacing w:before="0" w:after="0" w:line="240" w:lineRule="auto"/>
              <w:rPr>
                <w:rFonts w:eastAsia="Times New Roman" w:cs="Calibri Light"/>
                <w:color w:val="000000"/>
                <w:sz w:val="20"/>
                <w:szCs w:val="20"/>
              </w:rPr>
            </w:pPr>
            <w:r w:rsidRPr="00EB5DB8">
              <w:rPr>
                <w:rFonts w:eastAsia="Times New Roman" w:cs="Calibri Light"/>
                <w:color w:val="000000"/>
                <w:sz w:val="20"/>
                <w:szCs w:val="20"/>
              </w:rPr>
              <w:t>Average Load Capacity Factor</w:t>
            </w:r>
            <w:r w:rsidR="00EB5DB8" w:rsidRPr="00EB5DB8">
              <w:rPr>
                <w:rFonts w:eastAsia="Times New Roman" w:cs="Calibri Light"/>
                <w:color w:val="000000"/>
                <w:sz w:val="20"/>
                <w:szCs w:val="20"/>
              </w:rPr>
              <w:br/>
            </w:r>
            <w:r w:rsidRPr="00A15E1E">
              <w:rPr>
                <w:rFonts w:eastAsia="Times New Roman" w:cs="Calibri Light"/>
                <w:color w:val="000000"/>
                <w:sz w:val="20"/>
                <w:szCs w:val="20"/>
              </w:rPr>
              <w:t>(kBtu/hr out/kBtu/hr rated)</w:t>
            </w:r>
          </w:p>
        </w:tc>
        <w:tc>
          <w:tcPr>
            <w:tcW w:w="1260" w:type="dxa"/>
            <w:shd w:val="clear" w:color="auto" w:fill="auto"/>
            <w:vAlign w:val="center"/>
          </w:tcPr>
          <w:p w14:paraId="44D69EEE" w14:textId="77777777" w:rsidR="00037EB1" w:rsidRPr="0031539F" w:rsidRDefault="00037EB1" w:rsidP="0059067E">
            <w:pPr>
              <w:spacing w:before="0" w:after="0" w:line="240" w:lineRule="auto"/>
              <w:jc w:val="right"/>
              <w:rPr>
                <w:rFonts w:eastAsia="Times New Roman" w:cs="Calibri Light"/>
                <w:color w:val="000000"/>
                <w:sz w:val="20"/>
                <w:szCs w:val="20"/>
              </w:rPr>
            </w:pPr>
            <w:r w:rsidRPr="0031539F">
              <w:rPr>
                <w:rFonts w:eastAsia="Times New Roman" w:cs="Calibri Light"/>
                <w:color w:val="000000"/>
                <w:sz w:val="20"/>
                <w:szCs w:val="20"/>
              </w:rPr>
              <w:t>0.40</w:t>
            </w:r>
          </w:p>
        </w:tc>
        <w:tc>
          <w:tcPr>
            <w:tcW w:w="3960" w:type="dxa"/>
            <w:shd w:val="clear" w:color="auto" w:fill="auto"/>
            <w:noWrap/>
            <w:vAlign w:val="bottom"/>
            <w:hideMark/>
          </w:tcPr>
          <w:p w14:paraId="789BE128" w14:textId="2DBB0DDC" w:rsidR="00037EB1" w:rsidRPr="0031539F" w:rsidRDefault="00037EB1" w:rsidP="00037EB1">
            <w:pPr>
              <w:spacing w:before="0" w:after="0" w:line="240" w:lineRule="auto"/>
              <w:rPr>
                <w:rFonts w:eastAsia="Times New Roman" w:cs="Calibri Light"/>
                <w:color w:val="000000"/>
                <w:sz w:val="20"/>
                <w:szCs w:val="20"/>
              </w:rPr>
            </w:pPr>
            <w:r w:rsidRPr="00997505">
              <w:rPr>
                <w:sz w:val="18"/>
                <w:szCs w:val="18"/>
              </w:rPr>
              <w:t xml:space="preserve">Itron and ERS. 2019. </w:t>
            </w:r>
            <w:r w:rsidRPr="00997505">
              <w:rPr>
                <w:i/>
                <w:iCs/>
                <w:sz w:val="18"/>
                <w:szCs w:val="18"/>
              </w:rPr>
              <w:t xml:space="preserve">2017 Small/Medium Commercial Sector ESPI Impact Evaluation Draft Report. </w:t>
            </w:r>
            <w:r w:rsidRPr="00997505">
              <w:rPr>
                <w:sz w:val="18"/>
                <w:szCs w:val="18"/>
              </w:rPr>
              <w:t>Prepared for the California Public Utilities Commission. March 1. Page 5-21, Table 5-22.</w:t>
            </w:r>
          </w:p>
        </w:tc>
      </w:tr>
      <w:tr w:rsidR="00037EB1" w:rsidRPr="0031539F" w14:paraId="0F88E6ED" w14:textId="77777777" w:rsidTr="0059067E">
        <w:trPr>
          <w:trHeight w:val="260"/>
        </w:trPr>
        <w:tc>
          <w:tcPr>
            <w:tcW w:w="4315" w:type="dxa"/>
            <w:shd w:val="clear" w:color="auto" w:fill="auto"/>
            <w:noWrap/>
            <w:vAlign w:val="center"/>
            <w:hideMark/>
          </w:tcPr>
          <w:p w14:paraId="671EE5AB" w14:textId="142F107D" w:rsidR="00037EB1" w:rsidRPr="0031539F" w:rsidRDefault="00037EB1" w:rsidP="00A81431">
            <w:pPr>
              <w:spacing w:before="0" w:after="0" w:line="240" w:lineRule="auto"/>
              <w:rPr>
                <w:rFonts w:eastAsia="Times New Roman" w:cs="Calibri Light"/>
                <w:color w:val="000000"/>
                <w:sz w:val="20"/>
                <w:szCs w:val="20"/>
              </w:rPr>
            </w:pPr>
            <w:r>
              <w:rPr>
                <w:rFonts w:eastAsia="Times New Roman" w:cs="Calibri Light"/>
                <w:color w:val="000000"/>
                <w:sz w:val="20"/>
                <w:szCs w:val="20"/>
              </w:rPr>
              <w:t xml:space="preserve">Annual </w:t>
            </w:r>
            <w:r w:rsidRPr="0031539F">
              <w:rPr>
                <w:rFonts w:eastAsia="Times New Roman" w:cs="Calibri Light"/>
                <w:color w:val="000000"/>
                <w:sz w:val="20"/>
                <w:szCs w:val="20"/>
              </w:rPr>
              <w:t xml:space="preserve">Operating Hours </w:t>
            </w:r>
            <w:r>
              <w:rPr>
                <w:rFonts w:eastAsia="Times New Roman" w:cs="Calibri Light"/>
                <w:color w:val="000000"/>
                <w:sz w:val="20"/>
                <w:szCs w:val="20"/>
              </w:rPr>
              <w:t>(hrs/year)</w:t>
            </w:r>
          </w:p>
        </w:tc>
        <w:tc>
          <w:tcPr>
            <w:tcW w:w="1260" w:type="dxa"/>
            <w:shd w:val="clear" w:color="auto" w:fill="auto"/>
            <w:vAlign w:val="center"/>
          </w:tcPr>
          <w:p w14:paraId="525CEF8B" w14:textId="77777777" w:rsidR="00037EB1" w:rsidRPr="0031539F" w:rsidRDefault="00037EB1" w:rsidP="0059067E">
            <w:pPr>
              <w:spacing w:before="0" w:after="0" w:line="240" w:lineRule="auto"/>
              <w:jc w:val="right"/>
              <w:rPr>
                <w:rFonts w:eastAsia="Times New Roman" w:cs="Calibri Light"/>
                <w:color w:val="000000"/>
                <w:sz w:val="20"/>
                <w:szCs w:val="20"/>
              </w:rPr>
            </w:pPr>
            <w:r w:rsidRPr="0031539F">
              <w:rPr>
                <w:rFonts w:eastAsia="Times New Roman" w:cs="Calibri Light"/>
                <w:color w:val="000000"/>
                <w:sz w:val="20"/>
                <w:szCs w:val="20"/>
              </w:rPr>
              <w:t xml:space="preserve">7,640 </w:t>
            </w:r>
          </w:p>
        </w:tc>
        <w:tc>
          <w:tcPr>
            <w:tcW w:w="3960" w:type="dxa"/>
            <w:shd w:val="clear" w:color="auto" w:fill="auto"/>
            <w:noWrap/>
            <w:vAlign w:val="bottom"/>
            <w:hideMark/>
          </w:tcPr>
          <w:p w14:paraId="525E87B4" w14:textId="17D10E30" w:rsidR="00037EB1" w:rsidRPr="0031539F" w:rsidRDefault="00037EB1" w:rsidP="00037EB1">
            <w:pPr>
              <w:spacing w:before="0" w:after="0" w:line="240" w:lineRule="auto"/>
              <w:rPr>
                <w:rFonts w:eastAsia="Times New Roman" w:cs="Calibri Light"/>
                <w:color w:val="000000"/>
                <w:sz w:val="20"/>
                <w:szCs w:val="20"/>
              </w:rPr>
            </w:pPr>
            <w:r w:rsidRPr="00997505">
              <w:rPr>
                <w:sz w:val="18"/>
                <w:szCs w:val="14"/>
              </w:rPr>
              <w:t xml:space="preserve">Itron and ERS. 2019. </w:t>
            </w:r>
            <w:r w:rsidRPr="00997505">
              <w:rPr>
                <w:i/>
                <w:iCs/>
                <w:sz w:val="18"/>
                <w:szCs w:val="14"/>
              </w:rPr>
              <w:t xml:space="preserve">2017 Small/Medium Commercial Sector ESPI Impact Evaluation Draft Report. </w:t>
            </w:r>
            <w:r w:rsidRPr="00997505">
              <w:rPr>
                <w:sz w:val="18"/>
                <w:szCs w:val="14"/>
              </w:rPr>
              <w:t xml:space="preserve">Prepared for the California Public Utilities Commission. March 1. Page 5-20, Table 5-19. </w:t>
            </w:r>
          </w:p>
        </w:tc>
      </w:tr>
      <w:tr w:rsidR="00036417" w:rsidRPr="0031539F" w14:paraId="17B56264" w14:textId="77777777" w:rsidTr="00C4445F">
        <w:trPr>
          <w:trHeight w:val="260"/>
        </w:trPr>
        <w:tc>
          <w:tcPr>
            <w:tcW w:w="4315" w:type="dxa"/>
            <w:shd w:val="clear" w:color="auto" w:fill="auto"/>
            <w:noWrap/>
            <w:vAlign w:val="center"/>
            <w:hideMark/>
          </w:tcPr>
          <w:p w14:paraId="120FC01B" w14:textId="0F8E7543" w:rsidR="00036417" w:rsidRPr="00D10E52" w:rsidRDefault="00036417" w:rsidP="00D10E52">
            <w:pPr>
              <w:pStyle w:val="Default"/>
              <w:rPr>
                <w:sz w:val="20"/>
                <w:szCs w:val="20"/>
              </w:rPr>
            </w:pPr>
            <w:r>
              <w:rPr>
                <w:sz w:val="20"/>
                <w:szCs w:val="20"/>
              </w:rPr>
              <w:t xml:space="preserve">Steam Boiler </w:t>
            </w:r>
            <w:r>
              <w:rPr>
                <w:rFonts w:cs="Calibri Light"/>
                <w:sz w:val="20"/>
                <w:szCs w:val="20"/>
              </w:rPr>
              <w:t>Thermal</w:t>
            </w:r>
            <w:r w:rsidRPr="0031539F">
              <w:rPr>
                <w:rFonts w:cs="Calibri Light"/>
                <w:sz w:val="20"/>
                <w:szCs w:val="20"/>
              </w:rPr>
              <w:t xml:space="preserve"> Efficiency (</w:t>
            </w:r>
            <w:r>
              <w:rPr>
                <w:rFonts w:cs="Calibri Light"/>
                <w:sz w:val="20"/>
                <w:szCs w:val="20"/>
              </w:rPr>
              <w:t>T</w:t>
            </w:r>
            <w:r w:rsidRPr="0031539F">
              <w:rPr>
                <w:rFonts w:cs="Calibri Light"/>
                <w:sz w:val="20"/>
                <w:szCs w:val="20"/>
              </w:rPr>
              <w:t>E)</w:t>
            </w:r>
            <w:r>
              <w:rPr>
                <w:rFonts w:cs="Calibri Light"/>
                <w:sz w:val="20"/>
                <w:szCs w:val="20"/>
              </w:rPr>
              <w:t xml:space="preserve"> – Tier 1: </w:t>
            </w:r>
            <w:r w:rsidRPr="00FC45DB">
              <w:rPr>
                <w:rFonts w:cs="Calibri Light"/>
                <w:sz w:val="20"/>
                <w:szCs w:val="20"/>
              </w:rPr>
              <w:t>Feedwater (Single-Stage) Economizer</w:t>
            </w:r>
          </w:p>
        </w:tc>
        <w:tc>
          <w:tcPr>
            <w:tcW w:w="1260" w:type="dxa"/>
            <w:shd w:val="clear" w:color="auto" w:fill="auto"/>
            <w:vAlign w:val="center"/>
          </w:tcPr>
          <w:p w14:paraId="7EAD0245" w14:textId="2BFF46A6" w:rsidR="00036417" w:rsidRPr="0031539F" w:rsidRDefault="00036417" w:rsidP="0059067E">
            <w:pPr>
              <w:spacing w:before="0" w:after="0" w:line="240" w:lineRule="auto"/>
              <w:jc w:val="right"/>
              <w:rPr>
                <w:rFonts w:eastAsia="Times New Roman" w:cs="Calibri Light"/>
                <w:color w:val="000000"/>
                <w:sz w:val="20"/>
                <w:szCs w:val="20"/>
              </w:rPr>
            </w:pPr>
            <w:r>
              <w:rPr>
                <w:rFonts w:eastAsia="Times New Roman" w:cs="Calibri Light"/>
                <w:color w:val="000000"/>
                <w:sz w:val="20"/>
                <w:szCs w:val="20"/>
              </w:rPr>
              <w:t>81.4%</w:t>
            </w:r>
          </w:p>
        </w:tc>
        <w:tc>
          <w:tcPr>
            <w:tcW w:w="3960" w:type="dxa"/>
            <w:vMerge w:val="restart"/>
            <w:shd w:val="clear" w:color="auto" w:fill="auto"/>
            <w:noWrap/>
            <w:vAlign w:val="center"/>
          </w:tcPr>
          <w:p w14:paraId="4E3D10AC" w14:textId="4C8C6CB5" w:rsidR="00036417" w:rsidRPr="00036417" w:rsidRDefault="00036417" w:rsidP="00C4445F">
            <w:pPr>
              <w:spacing w:before="0" w:after="0" w:line="240" w:lineRule="auto"/>
              <w:rPr>
                <w:rFonts w:eastAsia="Times New Roman" w:cs="Calibri Light"/>
                <w:color w:val="000000"/>
                <w:sz w:val="20"/>
                <w:szCs w:val="20"/>
              </w:rPr>
            </w:pPr>
            <w:r w:rsidRPr="00735ED6">
              <w:rPr>
                <w:rFonts w:eastAsia="Times New Roman" w:cs="Calibri Light"/>
                <w:color w:val="000000"/>
                <w:sz w:val="20"/>
                <w:szCs w:val="20"/>
              </w:rPr>
              <w:t>Southern California Gas Company (SCG). 2019. “SWPR007-01 Calculations for Single and Dual Stage Economizers.xlsx.”</w:t>
            </w:r>
          </w:p>
        </w:tc>
      </w:tr>
      <w:tr w:rsidR="00036417" w:rsidRPr="0031539F" w14:paraId="11CF8DB9" w14:textId="77777777" w:rsidTr="00C4445F">
        <w:trPr>
          <w:trHeight w:val="260"/>
        </w:trPr>
        <w:tc>
          <w:tcPr>
            <w:tcW w:w="4315" w:type="dxa"/>
            <w:shd w:val="clear" w:color="auto" w:fill="auto"/>
            <w:noWrap/>
            <w:vAlign w:val="center"/>
          </w:tcPr>
          <w:p w14:paraId="169D80EB" w14:textId="5E006CFE" w:rsidR="00036417" w:rsidRPr="00D10E52" w:rsidRDefault="00036417" w:rsidP="00D10E52">
            <w:pPr>
              <w:pStyle w:val="Default"/>
              <w:rPr>
                <w:sz w:val="20"/>
                <w:szCs w:val="20"/>
              </w:rPr>
            </w:pPr>
            <w:r>
              <w:rPr>
                <w:sz w:val="20"/>
                <w:szCs w:val="20"/>
              </w:rPr>
              <w:t xml:space="preserve">Steam </w:t>
            </w:r>
            <w:r w:rsidRPr="0031539F">
              <w:rPr>
                <w:rFonts w:cs="Calibri Light"/>
                <w:sz w:val="20"/>
                <w:szCs w:val="20"/>
              </w:rPr>
              <w:t xml:space="preserve">Boiler </w:t>
            </w:r>
            <w:r>
              <w:rPr>
                <w:rFonts w:cs="Calibri Light"/>
                <w:sz w:val="20"/>
                <w:szCs w:val="20"/>
              </w:rPr>
              <w:t>Thermal</w:t>
            </w:r>
            <w:r w:rsidRPr="0031539F">
              <w:rPr>
                <w:rFonts w:cs="Calibri Light"/>
                <w:sz w:val="20"/>
                <w:szCs w:val="20"/>
              </w:rPr>
              <w:t xml:space="preserve"> Efficiency (</w:t>
            </w:r>
            <w:r>
              <w:rPr>
                <w:rFonts w:cs="Calibri Light"/>
                <w:sz w:val="20"/>
                <w:szCs w:val="20"/>
              </w:rPr>
              <w:t>T</w:t>
            </w:r>
            <w:r w:rsidRPr="0031539F">
              <w:rPr>
                <w:rFonts w:cs="Calibri Light"/>
                <w:sz w:val="20"/>
                <w:szCs w:val="20"/>
              </w:rPr>
              <w:t>E)</w:t>
            </w:r>
            <w:r>
              <w:rPr>
                <w:rFonts w:cs="Calibri Light"/>
                <w:sz w:val="20"/>
                <w:szCs w:val="20"/>
              </w:rPr>
              <w:t xml:space="preserve"> – Tier 2: </w:t>
            </w:r>
            <w:r w:rsidRPr="00FC45DB">
              <w:rPr>
                <w:rFonts w:cs="Calibri Light"/>
                <w:sz w:val="20"/>
                <w:szCs w:val="20"/>
              </w:rPr>
              <w:t>Condensing (Dual-Stage) Economizer</w:t>
            </w:r>
          </w:p>
        </w:tc>
        <w:tc>
          <w:tcPr>
            <w:tcW w:w="1260" w:type="dxa"/>
            <w:shd w:val="clear" w:color="auto" w:fill="auto"/>
            <w:vAlign w:val="center"/>
          </w:tcPr>
          <w:p w14:paraId="336787FF" w14:textId="497133CD" w:rsidR="00036417" w:rsidRPr="0031539F" w:rsidRDefault="00036417" w:rsidP="00A81431">
            <w:pPr>
              <w:spacing w:before="0" w:after="0" w:line="240" w:lineRule="auto"/>
              <w:jc w:val="right"/>
              <w:rPr>
                <w:rFonts w:eastAsia="Times New Roman" w:cs="Calibri Light"/>
                <w:color w:val="000000"/>
                <w:sz w:val="20"/>
                <w:szCs w:val="20"/>
              </w:rPr>
            </w:pPr>
            <w:r>
              <w:rPr>
                <w:rFonts w:eastAsia="Times New Roman" w:cs="Calibri Light"/>
                <w:color w:val="000000"/>
                <w:sz w:val="20"/>
                <w:szCs w:val="20"/>
              </w:rPr>
              <w:t>87.2%</w:t>
            </w:r>
          </w:p>
        </w:tc>
        <w:tc>
          <w:tcPr>
            <w:tcW w:w="3960" w:type="dxa"/>
            <w:vMerge/>
            <w:shd w:val="clear" w:color="auto" w:fill="auto"/>
            <w:noWrap/>
            <w:vAlign w:val="center"/>
          </w:tcPr>
          <w:p w14:paraId="25D90633" w14:textId="42333E36" w:rsidR="00036417" w:rsidRPr="004A1F87" w:rsidRDefault="00036417" w:rsidP="00C4445F">
            <w:pPr>
              <w:spacing w:before="0" w:after="0" w:line="240" w:lineRule="auto"/>
              <w:rPr>
                <w:rFonts w:eastAsia="Times New Roman" w:cs="Calibri Light"/>
                <w:color w:val="000000"/>
                <w:sz w:val="20"/>
                <w:szCs w:val="20"/>
                <w:highlight w:val="yellow"/>
              </w:rPr>
            </w:pPr>
          </w:p>
        </w:tc>
      </w:tr>
      <w:tr w:rsidR="00BC2D7E" w:rsidRPr="0031539F" w14:paraId="5FEF493F" w14:textId="77777777" w:rsidTr="0059067E">
        <w:trPr>
          <w:trHeight w:val="260"/>
        </w:trPr>
        <w:tc>
          <w:tcPr>
            <w:tcW w:w="4315" w:type="dxa"/>
            <w:shd w:val="clear" w:color="auto" w:fill="auto"/>
            <w:noWrap/>
            <w:vAlign w:val="center"/>
            <w:hideMark/>
          </w:tcPr>
          <w:p w14:paraId="248C49E1" w14:textId="77777777" w:rsidR="00FC45DB" w:rsidRPr="0031539F" w:rsidRDefault="00FC45DB" w:rsidP="00A81431">
            <w:pPr>
              <w:spacing w:before="0" w:after="0" w:line="240" w:lineRule="auto"/>
              <w:rPr>
                <w:rFonts w:eastAsia="Times New Roman" w:cs="Calibri Light"/>
                <w:color w:val="000000"/>
                <w:sz w:val="20"/>
                <w:szCs w:val="20"/>
              </w:rPr>
            </w:pPr>
            <w:r w:rsidRPr="0031539F">
              <w:rPr>
                <w:rFonts w:eastAsia="Times New Roman" w:cs="Calibri Light"/>
                <w:color w:val="000000"/>
                <w:sz w:val="20"/>
                <w:szCs w:val="20"/>
              </w:rPr>
              <w:t xml:space="preserve">Conversion factor </w:t>
            </w:r>
            <w:r>
              <w:rPr>
                <w:rFonts w:eastAsia="Times New Roman" w:cs="Calibri Light"/>
                <w:color w:val="000000"/>
                <w:sz w:val="20"/>
                <w:szCs w:val="20"/>
              </w:rPr>
              <w:t>(therms/kBtu)</w:t>
            </w:r>
          </w:p>
        </w:tc>
        <w:tc>
          <w:tcPr>
            <w:tcW w:w="1260" w:type="dxa"/>
            <w:shd w:val="clear" w:color="auto" w:fill="auto"/>
            <w:vAlign w:val="center"/>
          </w:tcPr>
          <w:p w14:paraId="1F6FFF82" w14:textId="56E56790" w:rsidR="00FC45DB" w:rsidRPr="0031539F" w:rsidRDefault="00FC45DB" w:rsidP="0059067E">
            <w:pPr>
              <w:spacing w:before="0" w:after="0" w:line="240" w:lineRule="auto"/>
              <w:jc w:val="right"/>
              <w:rPr>
                <w:rFonts w:eastAsia="Times New Roman" w:cs="Calibri Light"/>
                <w:color w:val="000000"/>
                <w:sz w:val="20"/>
                <w:szCs w:val="20"/>
              </w:rPr>
            </w:pPr>
            <w:r>
              <w:rPr>
                <w:rFonts w:eastAsia="Times New Roman" w:cs="Calibri Light"/>
                <w:color w:val="000000"/>
                <w:sz w:val="20"/>
                <w:szCs w:val="20"/>
              </w:rPr>
              <w:t>.01</w:t>
            </w:r>
          </w:p>
        </w:tc>
        <w:tc>
          <w:tcPr>
            <w:tcW w:w="3960" w:type="dxa"/>
            <w:shd w:val="clear" w:color="auto" w:fill="auto"/>
            <w:noWrap/>
            <w:vAlign w:val="bottom"/>
            <w:hideMark/>
          </w:tcPr>
          <w:p w14:paraId="26A9ECD4" w14:textId="4D97733A" w:rsidR="00FC45DB" w:rsidRPr="0031539F" w:rsidRDefault="00FC45DB" w:rsidP="00FC45DB">
            <w:pPr>
              <w:spacing w:before="0" w:after="0" w:line="240" w:lineRule="auto"/>
              <w:rPr>
                <w:rFonts w:eastAsia="Times New Roman" w:cs="Calibri Light"/>
                <w:color w:val="000000"/>
                <w:sz w:val="20"/>
                <w:szCs w:val="20"/>
              </w:rPr>
            </w:pPr>
            <w:r w:rsidRPr="0031539F">
              <w:rPr>
                <w:rFonts w:eastAsia="Times New Roman" w:cs="Calibri Light"/>
                <w:color w:val="000000"/>
                <w:sz w:val="20"/>
                <w:szCs w:val="20"/>
              </w:rPr>
              <w:t> </w:t>
            </w:r>
            <w:r w:rsidR="00FA6FEB">
              <w:rPr>
                <w:rFonts w:eastAsia="Times New Roman" w:cs="Calibri Light"/>
                <w:color w:val="000000"/>
                <w:sz w:val="20"/>
                <w:szCs w:val="20"/>
              </w:rPr>
              <w:t>-</w:t>
            </w:r>
          </w:p>
        </w:tc>
      </w:tr>
    </w:tbl>
    <w:p w14:paraId="1B811DFC" w14:textId="43680498" w:rsidR="0031539F" w:rsidRDefault="0031539F" w:rsidP="00F10FC8"/>
    <w:p w14:paraId="49204158" w14:textId="5060DC88" w:rsidR="00091462" w:rsidRDefault="00161070" w:rsidP="00A81431">
      <w:pPr>
        <w:rPr>
          <w:rFonts w:cstheme="minorHAnsi"/>
          <w:szCs w:val="22"/>
        </w:rPr>
      </w:pPr>
      <w:r w:rsidRPr="00161070">
        <w:rPr>
          <w:b/>
          <w:bCs/>
        </w:rPr>
        <w:t>Average Load Capacity Factor.</w:t>
      </w:r>
      <w:r>
        <w:t xml:space="preserve"> </w:t>
      </w:r>
      <w:r w:rsidRPr="001C4763">
        <w:t xml:space="preserve">Boiler </w:t>
      </w:r>
      <w:r w:rsidR="00091462">
        <w:t xml:space="preserve">load </w:t>
      </w:r>
      <w:r w:rsidRPr="001C4763">
        <w:t xml:space="preserve">capacity factor is the ratio of actual energy consumption during a certain period </w:t>
      </w:r>
      <w:r>
        <w:t>to</w:t>
      </w:r>
      <w:r w:rsidRPr="001C4763">
        <w:t xml:space="preserve"> the </w:t>
      </w:r>
      <w:r>
        <w:t xml:space="preserve">energy </w:t>
      </w:r>
      <w:r w:rsidRPr="001C4763">
        <w:t xml:space="preserve">consumption that would have occurred if the boiler were to operate at full capacity during the same period. </w:t>
      </w:r>
      <w:r w:rsidR="00091462">
        <w:t xml:space="preserve">The average capacity factor </w:t>
      </w:r>
      <w:r w:rsidR="00037EB1">
        <w:t>for this analysis</w:t>
      </w:r>
      <w:r w:rsidR="00091462">
        <w:t xml:space="preserve"> was </w:t>
      </w:r>
      <w:r w:rsidR="00037EB1">
        <w:t>adopted</w:t>
      </w:r>
      <w:r w:rsidR="00091462">
        <w:t xml:space="preserve"> from the </w:t>
      </w:r>
      <w:r w:rsidR="00091462" w:rsidRPr="0059067E">
        <w:rPr>
          <w:rFonts w:cstheme="minorHAnsi"/>
          <w:i/>
          <w:iCs/>
          <w:szCs w:val="22"/>
        </w:rPr>
        <w:t>2017 Small/Medium Commercial Sector ESPI Impact Evaluation</w:t>
      </w:r>
      <w:r w:rsidR="00523298" w:rsidRPr="0059067E">
        <w:rPr>
          <w:rFonts w:cstheme="minorHAnsi"/>
          <w:i/>
          <w:iCs/>
          <w:szCs w:val="22"/>
        </w:rPr>
        <w:t xml:space="preserve"> Draft Report</w:t>
      </w:r>
      <w:r w:rsidR="00091462">
        <w:rPr>
          <w:rFonts w:cstheme="minorHAnsi"/>
          <w:szCs w:val="22"/>
        </w:rPr>
        <w:t xml:space="preserve"> </w:t>
      </w:r>
      <w:r w:rsidR="00037EB1">
        <w:rPr>
          <w:rFonts w:cstheme="minorHAnsi"/>
          <w:szCs w:val="22"/>
        </w:rPr>
        <w:t xml:space="preserve">(“2017 ESPI Impact Evaluation”) </w:t>
      </w:r>
      <w:r w:rsidR="00091462" w:rsidRPr="007A0688">
        <w:rPr>
          <w:rFonts w:cstheme="minorHAnsi"/>
          <w:szCs w:val="22"/>
        </w:rPr>
        <w:t>prepared by</w:t>
      </w:r>
      <w:r w:rsidR="00091462">
        <w:rPr>
          <w:rFonts w:cstheme="minorHAnsi"/>
          <w:szCs w:val="22"/>
        </w:rPr>
        <w:t xml:space="preserve"> Itron and ERS.</w:t>
      </w:r>
      <w:r w:rsidR="00091462">
        <w:rPr>
          <w:rStyle w:val="FootnoteReference"/>
          <w:rFonts w:cstheme="minorHAnsi"/>
          <w:szCs w:val="22"/>
        </w:rPr>
        <w:footnoteReference w:id="10"/>
      </w:r>
      <w:r w:rsidR="00091462">
        <w:rPr>
          <w:rFonts w:cstheme="minorHAnsi"/>
          <w:szCs w:val="22"/>
        </w:rPr>
        <w:t xml:space="preserve"> </w:t>
      </w:r>
      <w:r w:rsidR="00037EB1">
        <w:rPr>
          <w:rFonts w:cstheme="minorHAnsi"/>
          <w:szCs w:val="22"/>
        </w:rPr>
        <w:t xml:space="preserve"> This ex post evaluation study estimated the capacity factor for seven of eight sites in the PG&amp;E service area that were included in the evaluation sample.</w:t>
      </w:r>
    </w:p>
    <w:p w14:paraId="288D29C0" w14:textId="23AF7B14" w:rsidR="004D048B" w:rsidRDefault="00C4445F" w:rsidP="004D048B">
      <w:r>
        <w:t xml:space="preserve">The capacity factor determined by the </w:t>
      </w:r>
      <w:r>
        <w:rPr>
          <w:rFonts w:cstheme="minorHAnsi"/>
          <w:szCs w:val="22"/>
        </w:rPr>
        <w:t>2017 ESPI Impact Evaluation</w:t>
      </w:r>
      <w:r w:rsidRPr="001C4763">
        <w:t xml:space="preserve"> </w:t>
      </w:r>
      <w:r w:rsidR="00A2742E">
        <w:t>is slightly lower</w:t>
      </w:r>
      <w:r>
        <w:t xml:space="preserve"> from than the </w:t>
      </w:r>
      <w:r w:rsidRPr="001C4763">
        <w:t>average capacity factor across different industries</w:t>
      </w:r>
      <w:r>
        <w:t xml:space="preserve"> derived </w:t>
      </w:r>
      <w:r w:rsidR="00A2742E">
        <w:t>from previous</w:t>
      </w:r>
      <w:r>
        <w:t xml:space="preserve"> sources. </w:t>
      </w:r>
      <w:r w:rsidR="004D048B" w:rsidRPr="003E793F">
        <w:t xml:space="preserve">The </w:t>
      </w:r>
      <w:r w:rsidR="004D048B">
        <w:t xml:space="preserve">average weighted </w:t>
      </w:r>
      <w:r w:rsidR="004D048B" w:rsidRPr="003E793F">
        <w:t>capacity factor</w:t>
      </w:r>
      <w:r w:rsidR="004D048B">
        <w:t xml:space="preserve"> of industrial process boilers in California </w:t>
      </w:r>
      <w:r w:rsidR="004D048B" w:rsidRPr="003E793F">
        <w:t xml:space="preserve">was </w:t>
      </w:r>
      <w:r w:rsidR="004D048B">
        <w:t>derived from</w:t>
      </w:r>
      <w:r w:rsidR="004D048B" w:rsidRPr="003E793F">
        <w:t xml:space="preserve"> </w:t>
      </w:r>
      <w:r w:rsidR="004D048B">
        <w:t>the</w:t>
      </w:r>
      <w:r w:rsidR="004D048B" w:rsidRPr="003E793F">
        <w:t xml:space="preserve"> analysis of industrial and commercial boilers</w:t>
      </w:r>
      <w:r w:rsidR="004D048B">
        <w:t xml:space="preserve"> conducted by Energy and Environmental Analysis, Inc. for the Oak Ridge National Laboratory (ORNL) in 2005; the analysis utilized the</w:t>
      </w:r>
      <w:r w:rsidR="004D048B" w:rsidRPr="003E793F">
        <w:t xml:space="preserve"> </w:t>
      </w:r>
      <w:r w:rsidR="004D048B">
        <w:t>gross domestic product (GDP)</w:t>
      </w:r>
      <w:r w:rsidR="004D048B" w:rsidRPr="003E793F">
        <w:t xml:space="preserve"> </w:t>
      </w:r>
      <w:r w:rsidR="004D048B">
        <w:t xml:space="preserve">of each industry in California and the total U.S. sourced from the Bureau of Economic Analysis. The number of boilers in California by industry is estimated by multiplying the total number of boilers in the U.S. by the California </w:t>
      </w:r>
      <w:r w:rsidR="004D048B">
        <w:lastRenderedPageBreak/>
        <w:t>GDP as a percent of the total U.S. GDP. A weighting factor represents the percent of estimated number of boilers in California in each industry as a percent of the total estimated number of boilers in CA.</w:t>
      </w:r>
    </w:p>
    <w:p w14:paraId="4A87615F" w14:textId="77777777" w:rsidR="004D048B" w:rsidRDefault="004D048B" w:rsidP="00A42921">
      <w:pPr>
        <w:pStyle w:val="Caption"/>
      </w:pPr>
      <w:r>
        <w:t>Average Boiler Capacity Factor, by Industry</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155"/>
        <w:gridCol w:w="1350"/>
        <w:gridCol w:w="1440"/>
        <w:gridCol w:w="1587"/>
        <w:gridCol w:w="1414"/>
        <w:gridCol w:w="1414"/>
      </w:tblGrid>
      <w:tr w:rsidR="004D048B" w:rsidRPr="005D2E97" w14:paraId="62F796D3" w14:textId="77777777" w:rsidTr="00B0512C">
        <w:trPr>
          <w:cantSplit/>
          <w:trHeight w:val="280"/>
          <w:tblHeader/>
        </w:trPr>
        <w:tc>
          <w:tcPr>
            <w:tcW w:w="2155" w:type="dxa"/>
            <w:shd w:val="clear" w:color="auto" w:fill="F2F2F2" w:themeFill="background1" w:themeFillShade="F2"/>
            <w:noWrap/>
            <w:vAlign w:val="bottom"/>
            <w:hideMark/>
          </w:tcPr>
          <w:p w14:paraId="46AF634F" w14:textId="77777777" w:rsidR="004D048B" w:rsidRPr="005D2E97" w:rsidRDefault="004D048B" w:rsidP="00A2742E">
            <w:pPr>
              <w:keepNext/>
              <w:keepLines/>
              <w:spacing w:before="0" w:after="0" w:line="240" w:lineRule="auto"/>
              <w:rPr>
                <w:rFonts w:eastAsia="Times New Roman" w:cs="Times New Roman"/>
                <w:b/>
                <w:sz w:val="20"/>
                <w:szCs w:val="20"/>
              </w:rPr>
            </w:pPr>
            <w:r w:rsidRPr="005D2E97">
              <w:rPr>
                <w:rFonts w:eastAsia="Times New Roman" w:cs="Times New Roman"/>
                <w:b/>
                <w:sz w:val="20"/>
                <w:szCs w:val="20"/>
              </w:rPr>
              <w:t>Industry</w:t>
            </w:r>
          </w:p>
        </w:tc>
        <w:tc>
          <w:tcPr>
            <w:tcW w:w="1350" w:type="dxa"/>
            <w:shd w:val="clear" w:color="auto" w:fill="F2F2F2" w:themeFill="background1" w:themeFillShade="F2"/>
            <w:vAlign w:val="bottom"/>
            <w:hideMark/>
          </w:tcPr>
          <w:p w14:paraId="5181B9D2" w14:textId="77777777" w:rsidR="004D048B" w:rsidRPr="005D2E97" w:rsidRDefault="004D048B" w:rsidP="00A2742E">
            <w:pPr>
              <w:keepNext/>
              <w:keepLines/>
              <w:spacing w:before="0" w:after="0" w:line="240" w:lineRule="auto"/>
              <w:jc w:val="center"/>
              <w:rPr>
                <w:rFonts w:eastAsia="Times New Roman" w:cs="Times New Roman"/>
                <w:b/>
                <w:sz w:val="20"/>
                <w:szCs w:val="20"/>
              </w:rPr>
            </w:pPr>
            <w:r w:rsidRPr="005D2E97">
              <w:rPr>
                <w:rFonts w:eastAsia="Times New Roman" w:cs="Times New Roman"/>
                <w:b/>
                <w:sz w:val="20"/>
                <w:szCs w:val="20"/>
              </w:rPr>
              <w:t>Capacity Factor (</w:t>
            </w:r>
            <w:r>
              <w:rPr>
                <w:rFonts w:eastAsia="Times New Roman" w:cs="Times New Roman"/>
                <w:b/>
                <w:sz w:val="20"/>
                <w:szCs w:val="20"/>
              </w:rPr>
              <w:t>%</w:t>
            </w:r>
            <w:r w:rsidRPr="005D2E97">
              <w:rPr>
                <w:rFonts w:eastAsia="Times New Roman" w:cs="Times New Roman"/>
                <w:b/>
                <w:sz w:val="20"/>
                <w:szCs w:val="20"/>
              </w:rPr>
              <w:t>)</w:t>
            </w:r>
            <w:r>
              <w:rPr>
                <w:rFonts w:eastAsia="Times New Roman" w:cs="Times New Roman"/>
                <w:b/>
                <w:sz w:val="20"/>
                <w:szCs w:val="20"/>
              </w:rPr>
              <w:t xml:space="preserve"> </w:t>
            </w:r>
            <w:r>
              <w:rPr>
                <w:rStyle w:val="FootnoteReference"/>
                <w:rFonts w:eastAsia="Times New Roman" w:cs="Times New Roman"/>
                <w:b/>
                <w:sz w:val="20"/>
                <w:szCs w:val="20"/>
              </w:rPr>
              <w:footnoteReference w:id="11"/>
            </w:r>
          </w:p>
        </w:tc>
        <w:tc>
          <w:tcPr>
            <w:tcW w:w="1440" w:type="dxa"/>
            <w:shd w:val="clear" w:color="auto" w:fill="F2F2F2" w:themeFill="background1" w:themeFillShade="F2"/>
            <w:vAlign w:val="bottom"/>
          </w:tcPr>
          <w:p w14:paraId="78C28B3F" w14:textId="77777777" w:rsidR="004D048B" w:rsidRPr="005D2E97" w:rsidRDefault="004D048B" w:rsidP="00A2742E">
            <w:pPr>
              <w:keepNext/>
              <w:keepLines/>
              <w:spacing w:before="0" w:after="0" w:line="240" w:lineRule="auto"/>
              <w:jc w:val="center"/>
              <w:rPr>
                <w:rFonts w:eastAsia="Times New Roman" w:cs="Times New Roman"/>
                <w:b/>
                <w:sz w:val="20"/>
                <w:szCs w:val="20"/>
              </w:rPr>
            </w:pPr>
            <w:r w:rsidRPr="005D2E97">
              <w:rPr>
                <w:rFonts w:eastAsia="Times New Roman" w:cs="Times New Roman"/>
                <w:b/>
                <w:sz w:val="20"/>
                <w:szCs w:val="20"/>
              </w:rPr>
              <w:t xml:space="preserve">Number of Boilers </w:t>
            </w:r>
            <w:r w:rsidRPr="005D2E97">
              <w:rPr>
                <w:rFonts w:eastAsia="Times New Roman" w:cs="Times New Roman"/>
                <w:b/>
                <w:sz w:val="20"/>
                <w:szCs w:val="20"/>
              </w:rPr>
              <w:br/>
              <w:t xml:space="preserve">(Total U.S.) </w:t>
            </w:r>
            <w:r>
              <w:rPr>
                <w:rStyle w:val="FootnoteReference"/>
                <w:rFonts w:eastAsia="Times New Roman" w:cs="Times New Roman"/>
                <w:b/>
                <w:sz w:val="20"/>
                <w:szCs w:val="20"/>
              </w:rPr>
              <w:footnoteReference w:id="12"/>
            </w:r>
          </w:p>
        </w:tc>
        <w:tc>
          <w:tcPr>
            <w:tcW w:w="1587" w:type="dxa"/>
            <w:shd w:val="clear" w:color="auto" w:fill="F2F2F2" w:themeFill="background1" w:themeFillShade="F2"/>
            <w:vAlign w:val="bottom"/>
          </w:tcPr>
          <w:p w14:paraId="5A64E78C" w14:textId="77777777" w:rsidR="004D048B" w:rsidRPr="005D2E97" w:rsidRDefault="004D048B" w:rsidP="00A2742E">
            <w:pPr>
              <w:keepNext/>
              <w:keepLines/>
              <w:spacing w:before="0" w:after="0" w:line="240" w:lineRule="auto"/>
              <w:jc w:val="center"/>
              <w:rPr>
                <w:rFonts w:eastAsia="Times New Roman" w:cs="Times New Roman"/>
                <w:b/>
                <w:sz w:val="20"/>
                <w:szCs w:val="20"/>
              </w:rPr>
            </w:pPr>
            <w:r w:rsidRPr="005D2E97">
              <w:rPr>
                <w:rFonts w:eastAsia="Times New Roman" w:cs="Times New Roman"/>
                <w:b/>
                <w:sz w:val="20"/>
                <w:szCs w:val="20"/>
              </w:rPr>
              <w:t xml:space="preserve">CA Industry GDP as % of Total U.S. Industry GDP </w:t>
            </w:r>
            <w:r>
              <w:rPr>
                <w:rFonts w:eastAsia="Times New Roman" w:cs="Times New Roman"/>
                <w:b/>
                <w:sz w:val="20"/>
                <w:szCs w:val="20"/>
              </w:rPr>
              <w:t xml:space="preserve">(2006) </w:t>
            </w:r>
            <w:r>
              <w:rPr>
                <w:rStyle w:val="FootnoteReference"/>
                <w:rFonts w:eastAsia="Times New Roman" w:cs="Times New Roman"/>
                <w:b/>
                <w:sz w:val="20"/>
                <w:szCs w:val="20"/>
              </w:rPr>
              <w:footnoteReference w:id="13"/>
            </w:r>
          </w:p>
        </w:tc>
        <w:tc>
          <w:tcPr>
            <w:tcW w:w="1414" w:type="dxa"/>
            <w:shd w:val="clear" w:color="auto" w:fill="F2F2F2" w:themeFill="background1" w:themeFillShade="F2"/>
            <w:vAlign w:val="bottom"/>
          </w:tcPr>
          <w:p w14:paraId="6C13C2D8" w14:textId="77777777" w:rsidR="004D048B" w:rsidRPr="005D2E97" w:rsidRDefault="004D048B" w:rsidP="00A2742E">
            <w:pPr>
              <w:keepNext/>
              <w:keepLines/>
              <w:spacing w:before="0" w:after="0" w:line="240" w:lineRule="auto"/>
              <w:jc w:val="center"/>
              <w:rPr>
                <w:rFonts w:eastAsia="Times New Roman" w:cs="Times New Roman"/>
                <w:b/>
                <w:sz w:val="20"/>
                <w:szCs w:val="20"/>
              </w:rPr>
            </w:pPr>
            <w:r w:rsidRPr="005D2E97">
              <w:rPr>
                <w:rFonts w:eastAsia="Times New Roman" w:cs="Times New Roman"/>
                <w:b/>
                <w:sz w:val="20"/>
                <w:szCs w:val="20"/>
              </w:rPr>
              <w:t xml:space="preserve">Estimated # of Boilers in CA </w:t>
            </w:r>
          </w:p>
        </w:tc>
        <w:tc>
          <w:tcPr>
            <w:tcW w:w="1414" w:type="dxa"/>
            <w:shd w:val="clear" w:color="auto" w:fill="F2F2F2" w:themeFill="background1" w:themeFillShade="F2"/>
            <w:vAlign w:val="bottom"/>
            <w:hideMark/>
          </w:tcPr>
          <w:p w14:paraId="4D26C244" w14:textId="77777777" w:rsidR="004D048B" w:rsidRPr="005D2E97" w:rsidRDefault="004D048B" w:rsidP="00A2742E">
            <w:pPr>
              <w:keepNext/>
              <w:keepLines/>
              <w:spacing w:before="0" w:after="0" w:line="240" w:lineRule="auto"/>
              <w:jc w:val="center"/>
              <w:rPr>
                <w:rFonts w:eastAsia="Times New Roman" w:cs="Times New Roman"/>
                <w:b/>
                <w:sz w:val="20"/>
                <w:szCs w:val="20"/>
              </w:rPr>
            </w:pPr>
            <w:r w:rsidRPr="005D2E97">
              <w:rPr>
                <w:rFonts w:eastAsia="Times New Roman" w:cs="Times New Roman"/>
                <w:b/>
                <w:sz w:val="20"/>
                <w:szCs w:val="20"/>
              </w:rPr>
              <w:t>Weighting Factor</w:t>
            </w:r>
            <w:r>
              <w:rPr>
                <w:rFonts w:eastAsia="Times New Roman" w:cs="Times New Roman"/>
                <w:b/>
                <w:sz w:val="20"/>
                <w:szCs w:val="20"/>
              </w:rPr>
              <w:t xml:space="preserve"> (%) </w:t>
            </w:r>
          </w:p>
        </w:tc>
      </w:tr>
      <w:tr w:rsidR="004D048B" w:rsidRPr="00453B92" w14:paraId="6D95C30B" w14:textId="77777777" w:rsidTr="00B0512C">
        <w:trPr>
          <w:trHeight w:val="280"/>
        </w:trPr>
        <w:tc>
          <w:tcPr>
            <w:tcW w:w="2155" w:type="dxa"/>
            <w:shd w:val="clear" w:color="auto" w:fill="auto"/>
            <w:noWrap/>
            <w:vAlign w:val="center"/>
            <w:hideMark/>
          </w:tcPr>
          <w:p w14:paraId="4F61FA9D" w14:textId="77777777" w:rsidR="004D048B" w:rsidRPr="00453B92" w:rsidRDefault="004D048B" w:rsidP="00A2742E">
            <w:pPr>
              <w:keepNext/>
              <w:keepLines/>
              <w:spacing w:before="0" w:after="0" w:line="240" w:lineRule="auto"/>
              <w:rPr>
                <w:rFonts w:eastAsia="Times New Roman" w:cs="Times New Roman"/>
                <w:color w:val="000000"/>
                <w:sz w:val="20"/>
                <w:szCs w:val="20"/>
              </w:rPr>
            </w:pPr>
            <w:r w:rsidRPr="00453B92">
              <w:rPr>
                <w:rFonts w:eastAsia="Times New Roman" w:cs="Times New Roman"/>
                <w:color w:val="000000"/>
                <w:sz w:val="20"/>
                <w:szCs w:val="20"/>
              </w:rPr>
              <w:t>Food</w:t>
            </w:r>
          </w:p>
        </w:tc>
        <w:tc>
          <w:tcPr>
            <w:tcW w:w="1350" w:type="dxa"/>
            <w:shd w:val="clear" w:color="auto" w:fill="auto"/>
            <w:noWrap/>
            <w:vAlign w:val="center"/>
            <w:hideMark/>
          </w:tcPr>
          <w:p w14:paraId="7CD82A54"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31</w:t>
            </w:r>
            <w:r>
              <w:rPr>
                <w:rFonts w:eastAsia="Times New Roman" w:cs="Times New Roman"/>
                <w:color w:val="000000"/>
                <w:sz w:val="20"/>
                <w:szCs w:val="20"/>
              </w:rPr>
              <w:t>%</w:t>
            </w:r>
          </w:p>
        </w:tc>
        <w:tc>
          <w:tcPr>
            <w:tcW w:w="1440" w:type="dxa"/>
            <w:shd w:val="clear" w:color="auto" w:fill="auto"/>
            <w:vAlign w:val="center"/>
          </w:tcPr>
          <w:p w14:paraId="0BDCDBCB"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10,610</w:t>
            </w:r>
          </w:p>
        </w:tc>
        <w:tc>
          <w:tcPr>
            <w:tcW w:w="1587" w:type="dxa"/>
            <w:shd w:val="clear" w:color="auto" w:fill="auto"/>
            <w:vAlign w:val="center"/>
          </w:tcPr>
          <w:p w14:paraId="32E8B737"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9.7%</w:t>
            </w:r>
          </w:p>
        </w:tc>
        <w:tc>
          <w:tcPr>
            <w:tcW w:w="1414" w:type="dxa"/>
            <w:shd w:val="clear" w:color="auto" w:fill="auto"/>
            <w:vAlign w:val="center"/>
          </w:tcPr>
          <w:p w14:paraId="24C982DD"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1,030</w:t>
            </w:r>
          </w:p>
        </w:tc>
        <w:tc>
          <w:tcPr>
            <w:tcW w:w="1414" w:type="dxa"/>
            <w:shd w:val="clear" w:color="auto" w:fill="auto"/>
            <w:noWrap/>
            <w:vAlign w:val="center"/>
            <w:hideMark/>
          </w:tcPr>
          <w:p w14:paraId="61AE0F81"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25.7%</w:t>
            </w:r>
          </w:p>
        </w:tc>
      </w:tr>
      <w:tr w:rsidR="004D048B" w:rsidRPr="00453B92" w14:paraId="74C2D6DB" w14:textId="77777777" w:rsidTr="00B0512C">
        <w:trPr>
          <w:trHeight w:val="280"/>
        </w:trPr>
        <w:tc>
          <w:tcPr>
            <w:tcW w:w="2155" w:type="dxa"/>
            <w:shd w:val="clear" w:color="auto" w:fill="auto"/>
            <w:noWrap/>
            <w:vAlign w:val="center"/>
            <w:hideMark/>
          </w:tcPr>
          <w:p w14:paraId="25686E84" w14:textId="77777777" w:rsidR="004D048B" w:rsidRPr="00453B92" w:rsidRDefault="004D048B" w:rsidP="00A2742E">
            <w:pPr>
              <w:keepNext/>
              <w:keepLines/>
              <w:spacing w:before="0" w:after="0" w:line="240" w:lineRule="auto"/>
              <w:rPr>
                <w:rFonts w:eastAsia="Times New Roman" w:cs="Times New Roman"/>
                <w:color w:val="000000"/>
                <w:sz w:val="20"/>
                <w:szCs w:val="20"/>
              </w:rPr>
            </w:pPr>
            <w:r w:rsidRPr="00453B92">
              <w:rPr>
                <w:rFonts w:eastAsia="Times New Roman" w:cs="Times New Roman"/>
                <w:color w:val="000000"/>
                <w:sz w:val="20"/>
                <w:szCs w:val="20"/>
              </w:rPr>
              <w:t>Paper</w:t>
            </w:r>
          </w:p>
        </w:tc>
        <w:tc>
          <w:tcPr>
            <w:tcW w:w="1350" w:type="dxa"/>
            <w:shd w:val="clear" w:color="auto" w:fill="auto"/>
            <w:noWrap/>
            <w:vAlign w:val="center"/>
            <w:hideMark/>
          </w:tcPr>
          <w:p w14:paraId="326478A0"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66</w:t>
            </w:r>
            <w:r>
              <w:rPr>
                <w:rFonts w:eastAsia="Times New Roman" w:cs="Times New Roman"/>
                <w:color w:val="000000"/>
                <w:sz w:val="20"/>
                <w:szCs w:val="20"/>
              </w:rPr>
              <w:t>%</w:t>
            </w:r>
          </w:p>
        </w:tc>
        <w:tc>
          <w:tcPr>
            <w:tcW w:w="1440" w:type="dxa"/>
            <w:shd w:val="clear" w:color="auto" w:fill="auto"/>
            <w:vAlign w:val="center"/>
          </w:tcPr>
          <w:p w14:paraId="53744E37"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3,460</w:t>
            </w:r>
          </w:p>
        </w:tc>
        <w:tc>
          <w:tcPr>
            <w:tcW w:w="1587" w:type="dxa"/>
            <w:shd w:val="clear" w:color="auto" w:fill="auto"/>
            <w:vAlign w:val="center"/>
          </w:tcPr>
          <w:p w14:paraId="2FE987BF"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color w:val="000000"/>
                <w:sz w:val="20"/>
                <w:szCs w:val="20"/>
              </w:rPr>
              <w:t>4.3%</w:t>
            </w:r>
          </w:p>
        </w:tc>
        <w:tc>
          <w:tcPr>
            <w:tcW w:w="1414" w:type="dxa"/>
            <w:shd w:val="clear" w:color="auto" w:fill="auto"/>
            <w:vAlign w:val="center"/>
          </w:tcPr>
          <w:p w14:paraId="2D097637"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color w:val="000000"/>
                <w:sz w:val="20"/>
                <w:szCs w:val="20"/>
              </w:rPr>
              <w:t>149</w:t>
            </w:r>
          </w:p>
        </w:tc>
        <w:tc>
          <w:tcPr>
            <w:tcW w:w="1414" w:type="dxa"/>
            <w:shd w:val="clear" w:color="auto" w:fill="auto"/>
            <w:noWrap/>
            <w:vAlign w:val="center"/>
            <w:hideMark/>
          </w:tcPr>
          <w:p w14:paraId="5F08EEED"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3.7%</w:t>
            </w:r>
          </w:p>
        </w:tc>
      </w:tr>
      <w:tr w:rsidR="004D048B" w:rsidRPr="00453B92" w14:paraId="370962A6" w14:textId="77777777" w:rsidTr="00B0512C">
        <w:trPr>
          <w:trHeight w:val="280"/>
        </w:trPr>
        <w:tc>
          <w:tcPr>
            <w:tcW w:w="2155" w:type="dxa"/>
            <w:shd w:val="clear" w:color="auto" w:fill="auto"/>
            <w:noWrap/>
            <w:vAlign w:val="center"/>
            <w:hideMark/>
          </w:tcPr>
          <w:p w14:paraId="71B98AD0" w14:textId="77777777" w:rsidR="004D048B" w:rsidRPr="00453B92" w:rsidRDefault="004D048B" w:rsidP="00A2742E">
            <w:pPr>
              <w:keepNext/>
              <w:keepLines/>
              <w:spacing w:before="0" w:after="0" w:line="240" w:lineRule="auto"/>
              <w:rPr>
                <w:rFonts w:eastAsia="Times New Roman" w:cs="Times New Roman"/>
                <w:color w:val="000000"/>
                <w:sz w:val="20"/>
                <w:szCs w:val="20"/>
              </w:rPr>
            </w:pPr>
            <w:r w:rsidRPr="00453B92">
              <w:rPr>
                <w:rFonts w:eastAsia="Times New Roman" w:cs="Times New Roman"/>
                <w:color w:val="000000"/>
                <w:sz w:val="20"/>
                <w:szCs w:val="20"/>
              </w:rPr>
              <w:t>Chemicals</w:t>
            </w:r>
          </w:p>
        </w:tc>
        <w:tc>
          <w:tcPr>
            <w:tcW w:w="1350" w:type="dxa"/>
            <w:shd w:val="clear" w:color="auto" w:fill="auto"/>
            <w:noWrap/>
            <w:vAlign w:val="center"/>
            <w:hideMark/>
          </w:tcPr>
          <w:p w14:paraId="760F461F"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50</w:t>
            </w:r>
            <w:r>
              <w:rPr>
                <w:rFonts w:eastAsia="Times New Roman" w:cs="Times New Roman"/>
                <w:color w:val="000000"/>
                <w:sz w:val="20"/>
                <w:szCs w:val="20"/>
              </w:rPr>
              <w:t>%</w:t>
            </w:r>
          </w:p>
        </w:tc>
        <w:tc>
          <w:tcPr>
            <w:tcW w:w="1440" w:type="dxa"/>
            <w:shd w:val="clear" w:color="auto" w:fill="auto"/>
            <w:vAlign w:val="center"/>
          </w:tcPr>
          <w:p w14:paraId="4301F724"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11,980</w:t>
            </w:r>
          </w:p>
        </w:tc>
        <w:tc>
          <w:tcPr>
            <w:tcW w:w="1587" w:type="dxa"/>
            <w:shd w:val="clear" w:color="auto" w:fill="auto"/>
            <w:vAlign w:val="center"/>
          </w:tcPr>
          <w:p w14:paraId="3D72FEDD"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8.8%</w:t>
            </w:r>
          </w:p>
        </w:tc>
        <w:tc>
          <w:tcPr>
            <w:tcW w:w="1414" w:type="dxa"/>
            <w:shd w:val="clear" w:color="auto" w:fill="auto"/>
            <w:vAlign w:val="center"/>
          </w:tcPr>
          <w:p w14:paraId="7FA83581"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1,055</w:t>
            </w:r>
          </w:p>
        </w:tc>
        <w:tc>
          <w:tcPr>
            <w:tcW w:w="1414" w:type="dxa"/>
            <w:shd w:val="clear" w:color="auto" w:fill="auto"/>
            <w:noWrap/>
            <w:vAlign w:val="center"/>
            <w:hideMark/>
          </w:tcPr>
          <w:p w14:paraId="7319922B" w14:textId="77777777" w:rsidR="004D048B" w:rsidRPr="00453B92" w:rsidRDefault="004D048B" w:rsidP="00A2742E">
            <w:pPr>
              <w:keepNext/>
              <w:keepLines/>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26.2%</w:t>
            </w:r>
          </w:p>
        </w:tc>
      </w:tr>
      <w:tr w:rsidR="004D048B" w:rsidRPr="00453B92" w14:paraId="0330EB73" w14:textId="77777777" w:rsidTr="00B0512C">
        <w:trPr>
          <w:trHeight w:val="280"/>
        </w:trPr>
        <w:tc>
          <w:tcPr>
            <w:tcW w:w="2155" w:type="dxa"/>
            <w:shd w:val="clear" w:color="auto" w:fill="auto"/>
            <w:noWrap/>
            <w:vAlign w:val="center"/>
            <w:hideMark/>
          </w:tcPr>
          <w:p w14:paraId="7E1A4AD9" w14:textId="77777777" w:rsidR="004D048B" w:rsidRPr="00453B92" w:rsidRDefault="004D048B" w:rsidP="00A2742E">
            <w:pPr>
              <w:spacing w:before="0" w:after="0" w:line="240" w:lineRule="auto"/>
              <w:rPr>
                <w:rFonts w:eastAsia="Times New Roman" w:cs="Times New Roman"/>
                <w:color w:val="000000"/>
                <w:sz w:val="20"/>
                <w:szCs w:val="20"/>
              </w:rPr>
            </w:pPr>
            <w:r w:rsidRPr="00453B92">
              <w:rPr>
                <w:rFonts w:eastAsia="Times New Roman" w:cs="Times New Roman"/>
                <w:color w:val="000000"/>
                <w:sz w:val="20"/>
                <w:szCs w:val="20"/>
              </w:rPr>
              <w:t>Refining</w:t>
            </w:r>
          </w:p>
        </w:tc>
        <w:tc>
          <w:tcPr>
            <w:tcW w:w="1350" w:type="dxa"/>
            <w:shd w:val="clear" w:color="auto" w:fill="auto"/>
            <w:noWrap/>
            <w:vAlign w:val="center"/>
            <w:hideMark/>
          </w:tcPr>
          <w:p w14:paraId="51B67126"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25</w:t>
            </w:r>
            <w:r>
              <w:rPr>
                <w:rFonts w:eastAsia="Times New Roman" w:cs="Times New Roman"/>
                <w:color w:val="000000"/>
                <w:sz w:val="20"/>
                <w:szCs w:val="20"/>
              </w:rPr>
              <w:t>%</w:t>
            </w:r>
          </w:p>
        </w:tc>
        <w:tc>
          <w:tcPr>
            <w:tcW w:w="1440" w:type="dxa"/>
            <w:shd w:val="clear" w:color="auto" w:fill="auto"/>
            <w:vAlign w:val="center"/>
          </w:tcPr>
          <w:p w14:paraId="5F1FA4A1"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1,200</w:t>
            </w:r>
          </w:p>
        </w:tc>
        <w:tc>
          <w:tcPr>
            <w:tcW w:w="1587" w:type="dxa"/>
            <w:shd w:val="clear" w:color="auto" w:fill="auto"/>
            <w:vAlign w:val="center"/>
          </w:tcPr>
          <w:p w14:paraId="5BFBAEEB"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21.5%</w:t>
            </w:r>
          </w:p>
        </w:tc>
        <w:tc>
          <w:tcPr>
            <w:tcW w:w="1414" w:type="dxa"/>
            <w:shd w:val="clear" w:color="auto" w:fill="auto"/>
            <w:vAlign w:val="center"/>
          </w:tcPr>
          <w:p w14:paraId="617265EE"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258</w:t>
            </w:r>
          </w:p>
        </w:tc>
        <w:tc>
          <w:tcPr>
            <w:tcW w:w="1414" w:type="dxa"/>
            <w:shd w:val="clear" w:color="auto" w:fill="auto"/>
            <w:noWrap/>
            <w:vAlign w:val="center"/>
            <w:hideMark/>
          </w:tcPr>
          <w:p w14:paraId="7CBD3F43"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6.5%</w:t>
            </w:r>
          </w:p>
        </w:tc>
      </w:tr>
      <w:tr w:rsidR="004D048B" w:rsidRPr="00453B92" w14:paraId="13375C4B" w14:textId="77777777" w:rsidTr="00B0512C">
        <w:trPr>
          <w:trHeight w:val="280"/>
        </w:trPr>
        <w:tc>
          <w:tcPr>
            <w:tcW w:w="2155" w:type="dxa"/>
            <w:shd w:val="clear" w:color="auto" w:fill="auto"/>
            <w:noWrap/>
            <w:vAlign w:val="center"/>
            <w:hideMark/>
          </w:tcPr>
          <w:p w14:paraId="06C542DE" w14:textId="77777777" w:rsidR="004D048B" w:rsidRPr="00453B92" w:rsidRDefault="004D048B" w:rsidP="00A2742E">
            <w:pPr>
              <w:spacing w:before="0" w:after="0" w:line="240" w:lineRule="auto"/>
              <w:rPr>
                <w:rFonts w:eastAsia="Times New Roman" w:cs="Times New Roman"/>
                <w:color w:val="000000"/>
                <w:sz w:val="20"/>
                <w:szCs w:val="20"/>
              </w:rPr>
            </w:pPr>
            <w:r w:rsidRPr="00453B92">
              <w:rPr>
                <w:rFonts w:eastAsia="Times New Roman" w:cs="Times New Roman"/>
                <w:color w:val="000000"/>
                <w:sz w:val="20"/>
                <w:szCs w:val="20"/>
              </w:rPr>
              <w:t>Metals</w:t>
            </w:r>
          </w:p>
        </w:tc>
        <w:tc>
          <w:tcPr>
            <w:tcW w:w="1350" w:type="dxa"/>
            <w:shd w:val="clear" w:color="auto" w:fill="auto"/>
            <w:noWrap/>
            <w:vAlign w:val="center"/>
            <w:hideMark/>
          </w:tcPr>
          <w:p w14:paraId="58A2F8F2"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47</w:t>
            </w:r>
            <w:r>
              <w:rPr>
                <w:rFonts w:eastAsia="Times New Roman" w:cs="Times New Roman"/>
                <w:color w:val="000000"/>
                <w:sz w:val="20"/>
                <w:szCs w:val="20"/>
              </w:rPr>
              <w:t>%</w:t>
            </w:r>
          </w:p>
        </w:tc>
        <w:tc>
          <w:tcPr>
            <w:tcW w:w="1440" w:type="dxa"/>
            <w:shd w:val="clear" w:color="auto" w:fill="auto"/>
            <w:vAlign w:val="center"/>
          </w:tcPr>
          <w:p w14:paraId="7F353285"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3,330</w:t>
            </w:r>
          </w:p>
        </w:tc>
        <w:tc>
          <w:tcPr>
            <w:tcW w:w="1587" w:type="dxa"/>
            <w:shd w:val="clear" w:color="auto" w:fill="auto"/>
            <w:vAlign w:val="center"/>
          </w:tcPr>
          <w:p w14:paraId="36E00856"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4.5%</w:t>
            </w:r>
          </w:p>
        </w:tc>
        <w:tc>
          <w:tcPr>
            <w:tcW w:w="1414" w:type="dxa"/>
            <w:shd w:val="clear" w:color="auto" w:fill="auto"/>
            <w:vAlign w:val="center"/>
          </w:tcPr>
          <w:p w14:paraId="4BAC93FF"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150</w:t>
            </w:r>
          </w:p>
        </w:tc>
        <w:tc>
          <w:tcPr>
            <w:tcW w:w="1414" w:type="dxa"/>
            <w:shd w:val="clear" w:color="auto" w:fill="auto"/>
            <w:noWrap/>
            <w:vAlign w:val="center"/>
            <w:hideMark/>
          </w:tcPr>
          <w:p w14:paraId="36B685CA"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3.7%</w:t>
            </w:r>
          </w:p>
        </w:tc>
      </w:tr>
      <w:tr w:rsidR="004D048B" w:rsidRPr="00453B92" w14:paraId="48544B89" w14:textId="77777777" w:rsidTr="00B0512C">
        <w:trPr>
          <w:trHeight w:val="280"/>
        </w:trPr>
        <w:tc>
          <w:tcPr>
            <w:tcW w:w="2155" w:type="dxa"/>
            <w:shd w:val="clear" w:color="auto" w:fill="auto"/>
            <w:noWrap/>
            <w:vAlign w:val="center"/>
            <w:hideMark/>
          </w:tcPr>
          <w:p w14:paraId="4DDC6EC7" w14:textId="77777777" w:rsidR="004D048B" w:rsidRPr="00453B92" w:rsidRDefault="004D048B" w:rsidP="00A2742E">
            <w:pPr>
              <w:spacing w:before="0" w:after="0" w:line="240" w:lineRule="auto"/>
              <w:rPr>
                <w:rFonts w:eastAsia="Times New Roman" w:cs="Times New Roman"/>
                <w:color w:val="000000"/>
                <w:sz w:val="20"/>
                <w:szCs w:val="20"/>
              </w:rPr>
            </w:pPr>
            <w:r w:rsidRPr="00453B92">
              <w:rPr>
                <w:rFonts w:eastAsia="Times New Roman" w:cs="Times New Roman"/>
                <w:color w:val="000000"/>
                <w:sz w:val="20"/>
                <w:szCs w:val="20"/>
              </w:rPr>
              <w:t>Other</w:t>
            </w:r>
          </w:p>
        </w:tc>
        <w:tc>
          <w:tcPr>
            <w:tcW w:w="1350" w:type="dxa"/>
            <w:shd w:val="clear" w:color="auto" w:fill="auto"/>
            <w:noWrap/>
            <w:vAlign w:val="center"/>
            <w:hideMark/>
          </w:tcPr>
          <w:p w14:paraId="1C92B7B7"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44</w:t>
            </w:r>
            <w:r>
              <w:rPr>
                <w:rFonts w:eastAsia="Times New Roman" w:cs="Times New Roman"/>
                <w:color w:val="000000"/>
                <w:sz w:val="20"/>
                <w:szCs w:val="20"/>
              </w:rPr>
              <w:t>%</w:t>
            </w:r>
          </w:p>
        </w:tc>
        <w:tc>
          <w:tcPr>
            <w:tcW w:w="1440" w:type="dxa"/>
            <w:shd w:val="clear" w:color="auto" w:fill="auto"/>
            <w:vAlign w:val="center"/>
          </w:tcPr>
          <w:p w14:paraId="439E9EC7"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12,435</w:t>
            </w:r>
          </w:p>
        </w:tc>
        <w:tc>
          <w:tcPr>
            <w:tcW w:w="1587" w:type="dxa"/>
            <w:shd w:val="clear" w:color="auto" w:fill="auto"/>
            <w:vAlign w:val="center"/>
          </w:tcPr>
          <w:p w14:paraId="373E1415"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11.1%</w:t>
            </w:r>
          </w:p>
        </w:tc>
        <w:tc>
          <w:tcPr>
            <w:tcW w:w="1414" w:type="dxa"/>
            <w:shd w:val="clear" w:color="auto" w:fill="auto"/>
            <w:vAlign w:val="center"/>
          </w:tcPr>
          <w:p w14:paraId="639530A9"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Pr>
                <w:rFonts w:eastAsia="Times New Roman" w:cs="Times New Roman"/>
                <w:sz w:val="20"/>
                <w:szCs w:val="20"/>
              </w:rPr>
              <w:t>1,374</w:t>
            </w:r>
          </w:p>
        </w:tc>
        <w:tc>
          <w:tcPr>
            <w:tcW w:w="1414" w:type="dxa"/>
            <w:shd w:val="clear" w:color="auto" w:fill="auto"/>
            <w:noWrap/>
            <w:vAlign w:val="center"/>
            <w:hideMark/>
          </w:tcPr>
          <w:p w14:paraId="6D78A4B9" w14:textId="77777777" w:rsidR="004D048B" w:rsidRPr="00453B92" w:rsidRDefault="004D048B" w:rsidP="00A2742E">
            <w:pPr>
              <w:spacing w:before="0" w:after="0" w:line="240" w:lineRule="auto"/>
              <w:ind w:right="275"/>
              <w:jc w:val="right"/>
              <w:rPr>
                <w:rFonts w:eastAsia="Times New Roman" w:cs="Times New Roman"/>
                <w:color w:val="000000"/>
                <w:sz w:val="20"/>
                <w:szCs w:val="20"/>
              </w:rPr>
            </w:pPr>
            <w:r w:rsidRPr="00453B92">
              <w:rPr>
                <w:rFonts w:eastAsia="Times New Roman" w:cs="Times New Roman"/>
                <w:color w:val="000000"/>
                <w:sz w:val="20"/>
                <w:szCs w:val="20"/>
              </w:rPr>
              <w:t>34.2%</w:t>
            </w:r>
          </w:p>
        </w:tc>
      </w:tr>
      <w:tr w:rsidR="004D048B" w:rsidRPr="005D2E97" w14:paraId="73DF8B66" w14:textId="77777777" w:rsidTr="00B0512C">
        <w:trPr>
          <w:trHeight w:val="280"/>
        </w:trPr>
        <w:tc>
          <w:tcPr>
            <w:tcW w:w="2155" w:type="dxa"/>
            <w:shd w:val="clear" w:color="auto" w:fill="auto"/>
            <w:noWrap/>
            <w:vAlign w:val="center"/>
          </w:tcPr>
          <w:p w14:paraId="64E2AA33" w14:textId="77777777" w:rsidR="004D048B" w:rsidRPr="005D2E97" w:rsidRDefault="004D048B" w:rsidP="00A2742E">
            <w:pPr>
              <w:spacing w:before="0" w:after="0" w:line="240" w:lineRule="auto"/>
              <w:rPr>
                <w:rFonts w:eastAsia="Times New Roman" w:cs="Times New Roman"/>
                <w:b/>
                <w:color w:val="000000"/>
                <w:sz w:val="20"/>
                <w:szCs w:val="20"/>
              </w:rPr>
            </w:pPr>
            <w:r w:rsidRPr="005D2E97">
              <w:rPr>
                <w:rFonts w:eastAsia="Times New Roman" w:cs="Times New Roman"/>
                <w:b/>
                <w:color w:val="000000"/>
                <w:sz w:val="20"/>
                <w:szCs w:val="20"/>
              </w:rPr>
              <w:t>Total</w:t>
            </w:r>
          </w:p>
        </w:tc>
        <w:tc>
          <w:tcPr>
            <w:tcW w:w="1350" w:type="dxa"/>
            <w:shd w:val="clear" w:color="auto" w:fill="auto"/>
            <w:noWrap/>
            <w:vAlign w:val="center"/>
          </w:tcPr>
          <w:p w14:paraId="66A841CA" w14:textId="77777777" w:rsidR="004D048B" w:rsidRPr="005D2E97" w:rsidRDefault="004D048B" w:rsidP="00A2742E">
            <w:pPr>
              <w:spacing w:before="0" w:after="0" w:line="240" w:lineRule="auto"/>
              <w:ind w:right="275"/>
              <w:jc w:val="right"/>
              <w:rPr>
                <w:rFonts w:eastAsia="Times New Roman" w:cs="Times New Roman"/>
                <w:b/>
                <w:color w:val="000000"/>
                <w:sz w:val="20"/>
                <w:szCs w:val="20"/>
              </w:rPr>
            </w:pPr>
          </w:p>
        </w:tc>
        <w:tc>
          <w:tcPr>
            <w:tcW w:w="1440" w:type="dxa"/>
            <w:tcBorders>
              <w:bottom w:val="single" w:sz="4" w:space="0" w:color="A6A6A6" w:themeColor="background1" w:themeShade="A6"/>
            </w:tcBorders>
            <w:shd w:val="clear" w:color="auto" w:fill="auto"/>
            <w:vAlign w:val="center"/>
          </w:tcPr>
          <w:p w14:paraId="5FF0C55D" w14:textId="77777777" w:rsidR="004D048B" w:rsidRPr="005D2E97" w:rsidRDefault="004D048B" w:rsidP="00A2742E">
            <w:pPr>
              <w:spacing w:before="0" w:after="0" w:line="240" w:lineRule="auto"/>
              <w:ind w:right="275"/>
              <w:jc w:val="right"/>
              <w:rPr>
                <w:rFonts w:eastAsia="Times New Roman" w:cs="Times New Roman"/>
                <w:b/>
                <w:sz w:val="20"/>
                <w:szCs w:val="20"/>
              </w:rPr>
            </w:pPr>
            <w:r w:rsidRPr="005D2E97">
              <w:rPr>
                <w:rFonts w:eastAsia="Times New Roman" w:cs="Times New Roman"/>
                <w:b/>
                <w:sz w:val="20"/>
                <w:szCs w:val="20"/>
              </w:rPr>
              <w:t>43,015</w:t>
            </w:r>
          </w:p>
        </w:tc>
        <w:tc>
          <w:tcPr>
            <w:tcW w:w="1587" w:type="dxa"/>
            <w:tcBorders>
              <w:bottom w:val="single" w:sz="4" w:space="0" w:color="A6A6A6" w:themeColor="background1" w:themeShade="A6"/>
            </w:tcBorders>
            <w:shd w:val="clear" w:color="auto" w:fill="auto"/>
            <w:vAlign w:val="center"/>
          </w:tcPr>
          <w:p w14:paraId="32D0589A" w14:textId="77777777" w:rsidR="004D048B" w:rsidRPr="005D2E97" w:rsidRDefault="004D048B" w:rsidP="00A2742E">
            <w:pPr>
              <w:spacing w:before="0" w:after="0" w:line="240" w:lineRule="auto"/>
              <w:ind w:right="275"/>
              <w:jc w:val="right"/>
              <w:rPr>
                <w:rFonts w:eastAsia="Times New Roman" w:cs="Times New Roman"/>
                <w:b/>
                <w:color w:val="000000"/>
                <w:sz w:val="20"/>
                <w:szCs w:val="20"/>
              </w:rPr>
            </w:pPr>
          </w:p>
        </w:tc>
        <w:tc>
          <w:tcPr>
            <w:tcW w:w="1414" w:type="dxa"/>
            <w:tcBorders>
              <w:bottom w:val="single" w:sz="4" w:space="0" w:color="A6A6A6" w:themeColor="background1" w:themeShade="A6"/>
            </w:tcBorders>
            <w:shd w:val="clear" w:color="auto" w:fill="auto"/>
            <w:vAlign w:val="center"/>
          </w:tcPr>
          <w:p w14:paraId="7DE3E149" w14:textId="77777777" w:rsidR="004D048B" w:rsidRPr="005D2E97" w:rsidRDefault="004D048B" w:rsidP="00A2742E">
            <w:pPr>
              <w:spacing w:before="0" w:after="0" w:line="240" w:lineRule="auto"/>
              <w:ind w:right="275"/>
              <w:jc w:val="right"/>
              <w:rPr>
                <w:rFonts w:eastAsia="Times New Roman" w:cs="Times New Roman"/>
                <w:b/>
                <w:sz w:val="20"/>
                <w:szCs w:val="20"/>
              </w:rPr>
            </w:pPr>
            <w:r w:rsidRPr="005D2E97">
              <w:rPr>
                <w:rFonts w:eastAsia="Times New Roman" w:cs="Times New Roman"/>
                <w:b/>
                <w:sz w:val="20"/>
                <w:szCs w:val="20"/>
              </w:rPr>
              <w:t>4,016</w:t>
            </w:r>
          </w:p>
        </w:tc>
        <w:tc>
          <w:tcPr>
            <w:tcW w:w="1414" w:type="dxa"/>
            <w:tcBorders>
              <w:bottom w:val="single" w:sz="4" w:space="0" w:color="A6A6A6" w:themeColor="background1" w:themeShade="A6"/>
            </w:tcBorders>
            <w:shd w:val="clear" w:color="auto" w:fill="auto"/>
            <w:noWrap/>
            <w:vAlign w:val="center"/>
          </w:tcPr>
          <w:p w14:paraId="2A46A974" w14:textId="77777777" w:rsidR="004D048B" w:rsidRPr="005D2E97" w:rsidRDefault="004D048B" w:rsidP="00A2742E">
            <w:pPr>
              <w:spacing w:before="0" w:after="0" w:line="240" w:lineRule="auto"/>
              <w:ind w:right="275"/>
              <w:jc w:val="right"/>
              <w:rPr>
                <w:rFonts w:eastAsia="Times New Roman" w:cs="Times New Roman"/>
                <w:b/>
                <w:color w:val="000000"/>
                <w:sz w:val="20"/>
                <w:szCs w:val="20"/>
              </w:rPr>
            </w:pPr>
            <w:r w:rsidRPr="005D2E97">
              <w:rPr>
                <w:rFonts w:eastAsia="Times New Roman" w:cs="Times New Roman"/>
                <w:b/>
                <w:color w:val="000000"/>
                <w:sz w:val="20"/>
                <w:szCs w:val="20"/>
              </w:rPr>
              <w:t>100.0%</w:t>
            </w:r>
          </w:p>
        </w:tc>
      </w:tr>
      <w:tr w:rsidR="004D048B" w:rsidRPr="005D2E97" w14:paraId="2D9FD2F5" w14:textId="77777777" w:rsidTr="00B0512C">
        <w:trPr>
          <w:trHeight w:val="280"/>
        </w:trPr>
        <w:tc>
          <w:tcPr>
            <w:tcW w:w="2155" w:type="dxa"/>
            <w:shd w:val="clear" w:color="auto" w:fill="auto"/>
            <w:noWrap/>
            <w:vAlign w:val="center"/>
            <w:hideMark/>
          </w:tcPr>
          <w:p w14:paraId="61F3B419" w14:textId="77777777" w:rsidR="004D048B" w:rsidRPr="005D2E97" w:rsidRDefault="004D048B" w:rsidP="00A2742E">
            <w:pPr>
              <w:spacing w:before="0" w:after="0" w:line="240" w:lineRule="auto"/>
              <w:rPr>
                <w:rFonts w:eastAsia="Times New Roman" w:cs="Times New Roman"/>
                <w:color w:val="000000"/>
                <w:sz w:val="20"/>
                <w:szCs w:val="20"/>
              </w:rPr>
            </w:pPr>
            <w:r w:rsidRPr="005D2E97">
              <w:rPr>
                <w:rFonts w:eastAsia="Times New Roman" w:cs="Times New Roman"/>
                <w:color w:val="000000"/>
                <w:sz w:val="20"/>
                <w:szCs w:val="20"/>
              </w:rPr>
              <w:t xml:space="preserve">Average </w:t>
            </w:r>
            <w:r>
              <w:rPr>
                <w:rFonts w:eastAsia="Times New Roman" w:cs="Times New Roman"/>
                <w:color w:val="000000"/>
                <w:sz w:val="20"/>
                <w:szCs w:val="20"/>
              </w:rPr>
              <w:t>Capacity Factor</w:t>
            </w:r>
          </w:p>
        </w:tc>
        <w:tc>
          <w:tcPr>
            <w:tcW w:w="1350" w:type="dxa"/>
            <w:shd w:val="clear" w:color="auto" w:fill="auto"/>
            <w:noWrap/>
            <w:vAlign w:val="center"/>
            <w:hideMark/>
          </w:tcPr>
          <w:p w14:paraId="5D512096" w14:textId="77777777" w:rsidR="004D048B" w:rsidRPr="005D2E97" w:rsidRDefault="004D048B" w:rsidP="00A2742E">
            <w:pPr>
              <w:spacing w:before="0" w:after="0" w:line="240" w:lineRule="auto"/>
              <w:ind w:right="95"/>
              <w:jc w:val="right"/>
              <w:rPr>
                <w:rFonts w:eastAsia="Times New Roman" w:cs="Times New Roman"/>
                <w:color w:val="000000"/>
                <w:sz w:val="20"/>
                <w:szCs w:val="20"/>
              </w:rPr>
            </w:pPr>
            <w:r>
              <w:rPr>
                <w:rFonts w:eastAsia="Times New Roman" w:cs="Times New Roman"/>
                <w:color w:val="000000"/>
                <w:sz w:val="20"/>
                <w:szCs w:val="20"/>
              </w:rPr>
              <w:t xml:space="preserve"> </w:t>
            </w:r>
            <w:r w:rsidRPr="005D2E97">
              <w:rPr>
                <w:rFonts w:eastAsia="Times New Roman" w:cs="Times New Roman"/>
                <w:color w:val="000000"/>
                <w:sz w:val="20"/>
                <w:szCs w:val="20"/>
              </w:rPr>
              <w:t>43</w:t>
            </w:r>
            <w:r>
              <w:rPr>
                <w:rFonts w:eastAsia="Times New Roman" w:cs="Times New Roman"/>
                <w:color w:val="000000"/>
                <w:sz w:val="20"/>
                <w:szCs w:val="20"/>
              </w:rPr>
              <w:t>.</w:t>
            </w:r>
            <w:r w:rsidRPr="005D2E97">
              <w:rPr>
                <w:rFonts w:eastAsia="Times New Roman" w:cs="Times New Roman"/>
                <w:color w:val="000000"/>
                <w:sz w:val="20"/>
                <w:szCs w:val="20"/>
              </w:rPr>
              <w:t>8</w:t>
            </w:r>
            <w:r>
              <w:rPr>
                <w:rFonts w:eastAsia="Times New Roman" w:cs="Times New Roman"/>
                <w:color w:val="000000"/>
                <w:sz w:val="20"/>
                <w:szCs w:val="20"/>
              </w:rPr>
              <w:t>%</w:t>
            </w:r>
            <w:r w:rsidRPr="005D2E97">
              <w:rPr>
                <w:rFonts w:eastAsia="Times New Roman" w:cs="Times New Roman"/>
                <w:color w:val="000000"/>
                <w:sz w:val="20"/>
                <w:szCs w:val="20"/>
              </w:rPr>
              <w:t xml:space="preserve"> </w:t>
            </w:r>
          </w:p>
        </w:tc>
        <w:tc>
          <w:tcPr>
            <w:tcW w:w="1440" w:type="dxa"/>
            <w:tcBorders>
              <w:bottom w:val="single" w:sz="4" w:space="0" w:color="A6A6A6" w:themeColor="background1" w:themeShade="A6"/>
              <w:right w:val="nil"/>
            </w:tcBorders>
            <w:shd w:val="clear" w:color="auto" w:fill="auto"/>
            <w:vAlign w:val="center"/>
          </w:tcPr>
          <w:p w14:paraId="0C5BFDDA" w14:textId="77777777" w:rsidR="004D048B" w:rsidRPr="005D2E97" w:rsidRDefault="004D048B" w:rsidP="00A2742E">
            <w:pPr>
              <w:spacing w:before="0" w:after="0" w:line="240" w:lineRule="auto"/>
              <w:rPr>
                <w:rFonts w:eastAsia="Times New Roman" w:cs="Times New Roman"/>
                <w:color w:val="000000"/>
                <w:sz w:val="20"/>
                <w:szCs w:val="20"/>
              </w:rPr>
            </w:pPr>
          </w:p>
        </w:tc>
        <w:tc>
          <w:tcPr>
            <w:tcW w:w="1587" w:type="dxa"/>
            <w:tcBorders>
              <w:left w:val="nil"/>
              <w:bottom w:val="single" w:sz="4" w:space="0" w:color="A6A6A6" w:themeColor="background1" w:themeShade="A6"/>
              <w:right w:val="nil"/>
            </w:tcBorders>
            <w:shd w:val="clear" w:color="auto" w:fill="auto"/>
            <w:vAlign w:val="center"/>
          </w:tcPr>
          <w:p w14:paraId="40264220" w14:textId="77777777" w:rsidR="004D048B" w:rsidRPr="005D2E97" w:rsidRDefault="004D048B" w:rsidP="00A2742E">
            <w:pPr>
              <w:spacing w:before="0" w:after="0" w:line="240" w:lineRule="auto"/>
              <w:rPr>
                <w:rFonts w:eastAsia="Times New Roman" w:cs="Times New Roman"/>
                <w:color w:val="000000"/>
                <w:sz w:val="20"/>
                <w:szCs w:val="20"/>
              </w:rPr>
            </w:pPr>
          </w:p>
        </w:tc>
        <w:tc>
          <w:tcPr>
            <w:tcW w:w="1414" w:type="dxa"/>
            <w:tcBorders>
              <w:left w:val="nil"/>
              <w:bottom w:val="single" w:sz="4" w:space="0" w:color="A6A6A6" w:themeColor="background1" w:themeShade="A6"/>
              <w:right w:val="nil"/>
            </w:tcBorders>
            <w:shd w:val="clear" w:color="auto" w:fill="auto"/>
            <w:vAlign w:val="center"/>
          </w:tcPr>
          <w:p w14:paraId="16C3ACBB" w14:textId="77777777" w:rsidR="004D048B" w:rsidRPr="005D2E97" w:rsidRDefault="004D048B" w:rsidP="00A2742E">
            <w:pPr>
              <w:spacing w:before="0" w:after="0" w:line="240" w:lineRule="auto"/>
              <w:rPr>
                <w:rFonts w:eastAsia="Times New Roman" w:cs="Times New Roman"/>
                <w:color w:val="000000"/>
                <w:sz w:val="20"/>
                <w:szCs w:val="20"/>
              </w:rPr>
            </w:pPr>
          </w:p>
        </w:tc>
        <w:tc>
          <w:tcPr>
            <w:tcW w:w="1414" w:type="dxa"/>
            <w:tcBorders>
              <w:left w:val="nil"/>
              <w:bottom w:val="single" w:sz="4" w:space="0" w:color="A6A6A6" w:themeColor="background1" w:themeShade="A6"/>
            </w:tcBorders>
            <w:shd w:val="clear" w:color="auto" w:fill="auto"/>
            <w:noWrap/>
            <w:vAlign w:val="center"/>
            <w:hideMark/>
          </w:tcPr>
          <w:p w14:paraId="6BC63302" w14:textId="77777777" w:rsidR="004D048B" w:rsidRPr="005D2E97" w:rsidRDefault="004D048B" w:rsidP="00A2742E">
            <w:pPr>
              <w:spacing w:before="0" w:after="0" w:line="240" w:lineRule="auto"/>
              <w:rPr>
                <w:rFonts w:eastAsia="Times New Roman" w:cs="Times New Roman"/>
                <w:color w:val="000000"/>
                <w:sz w:val="20"/>
                <w:szCs w:val="20"/>
              </w:rPr>
            </w:pPr>
            <w:r w:rsidRPr="005D2E97">
              <w:rPr>
                <w:rFonts w:eastAsia="Times New Roman" w:cs="Times New Roman"/>
                <w:color w:val="000000"/>
                <w:sz w:val="20"/>
                <w:szCs w:val="20"/>
              </w:rPr>
              <w:t> </w:t>
            </w:r>
          </w:p>
        </w:tc>
      </w:tr>
      <w:tr w:rsidR="004D048B" w:rsidRPr="00EB5DB8" w14:paraId="25D0BA3D" w14:textId="77777777" w:rsidTr="00B0512C">
        <w:trPr>
          <w:trHeight w:val="280"/>
        </w:trPr>
        <w:tc>
          <w:tcPr>
            <w:tcW w:w="2155" w:type="dxa"/>
            <w:shd w:val="clear" w:color="auto" w:fill="auto"/>
            <w:noWrap/>
            <w:vAlign w:val="center"/>
          </w:tcPr>
          <w:p w14:paraId="676CC4F6" w14:textId="77777777" w:rsidR="004D048B" w:rsidRPr="00A15E1E" w:rsidRDefault="004D048B" w:rsidP="00A2742E">
            <w:pPr>
              <w:spacing w:before="0" w:after="0" w:line="240" w:lineRule="auto"/>
              <w:rPr>
                <w:rFonts w:eastAsia="Times New Roman" w:cs="Times New Roman"/>
                <w:bCs/>
                <w:color w:val="000000"/>
                <w:sz w:val="20"/>
                <w:szCs w:val="20"/>
              </w:rPr>
            </w:pPr>
            <w:r w:rsidRPr="00A15E1E">
              <w:rPr>
                <w:rFonts w:eastAsia="Times New Roman" w:cs="Times New Roman"/>
                <w:bCs/>
                <w:color w:val="000000"/>
                <w:sz w:val="20"/>
                <w:szCs w:val="20"/>
              </w:rPr>
              <w:t>Weighted Average Capacity Factor</w:t>
            </w:r>
          </w:p>
        </w:tc>
        <w:tc>
          <w:tcPr>
            <w:tcW w:w="1350" w:type="dxa"/>
            <w:shd w:val="clear" w:color="auto" w:fill="auto"/>
            <w:noWrap/>
            <w:vAlign w:val="center"/>
          </w:tcPr>
          <w:p w14:paraId="52CD07E7" w14:textId="77777777" w:rsidR="004D048B" w:rsidRPr="00A15E1E" w:rsidRDefault="004D048B" w:rsidP="00A2742E">
            <w:pPr>
              <w:spacing w:before="0" w:after="0" w:line="240" w:lineRule="auto"/>
              <w:ind w:right="95"/>
              <w:jc w:val="right"/>
              <w:rPr>
                <w:rFonts w:eastAsia="Times New Roman" w:cs="Times New Roman"/>
                <w:bCs/>
                <w:color w:val="000000"/>
                <w:sz w:val="20"/>
                <w:szCs w:val="20"/>
              </w:rPr>
            </w:pPr>
            <w:r w:rsidRPr="00A15E1E">
              <w:rPr>
                <w:rFonts w:eastAsia="Times New Roman" w:cs="Times New Roman"/>
                <w:bCs/>
                <w:color w:val="000000"/>
                <w:sz w:val="20"/>
                <w:szCs w:val="20"/>
              </w:rPr>
              <w:t>41.9%</w:t>
            </w:r>
          </w:p>
        </w:tc>
        <w:tc>
          <w:tcPr>
            <w:tcW w:w="1440" w:type="dxa"/>
            <w:tcBorders>
              <w:right w:val="nil"/>
            </w:tcBorders>
            <w:shd w:val="clear" w:color="auto" w:fill="auto"/>
            <w:vAlign w:val="center"/>
          </w:tcPr>
          <w:p w14:paraId="1EB51065" w14:textId="77777777" w:rsidR="004D048B" w:rsidRPr="00A15E1E" w:rsidRDefault="004D048B" w:rsidP="00A2742E">
            <w:pPr>
              <w:spacing w:before="0" w:after="0" w:line="240" w:lineRule="auto"/>
              <w:rPr>
                <w:rFonts w:eastAsia="Times New Roman" w:cs="Times New Roman"/>
                <w:bCs/>
                <w:color w:val="000000"/>
                <w:sz w:val="20"/>
                <w:szCs w:val="20"/>
              </w:rPr>
            </w:pPr>
          </w:p>
        </w:tc>
        <w:tc>
          <w:tcPr>
            <w:tcW w:w="1587" w:type="dxa"/>
            <w:tcBorders>
              <w:left w:val="nil"/>
              <w:right w:val="nil"/>
            </w:tcBorders>
            <w:shd w:val="clear" w:color="auto" w:fill="auto"/>
            <w:vAlign w:val="center"/>
          </w:tcPr>
          <w:p w14:paraId="2342C69D" w14:textId="77777777" w:rsidR="004D048B" w:rsidRPr="00A15E1E" w:rsidRDefault="004D048B" w:rsidP="00A2742E">
            <w:pPr>
              <w:spacing w:before="0" w:after="0" w:line="240" w:lineRule="auto"/>
              <w:rPr>
                <w:rFonts w:eastAsia="Times New Roman" w:cs="Times New Roman"/>
                <w:bCs/>
                <w:color w:val="000000"/>
                <w:sz w:val="20"/>
                <w:szCs w:val="20"/>
              </w:rPr>
            </w:pPr>
          </w:p>
        </w:tc>
        <w:tc>
          <w:tcPr>
            <w:tcW w:w="1414" w:type="dxa"/>
            <w:tcBorders>
              <w:left w:val="nil"/>
              <w:right w:val="nil"/>
            </w:tcBorders>
            <w:shd w:val="clear" w:color="auto" w:fill="auto"/>
            <w:vAlign w:val="center"/>
          </w:tcPr>
          <w:p w14:paraId="53CA394B" w14:textId="77777777" w:rsidR="004D048B" w:rsidRPr="00A15E1E" w:rsidRDefault="004D048B" w:rsidP="00A2742E">
            <w:pPr>
              <w:spacing w:before="0" w:after="0" w:line="240" w:lineRule="auto"/>
              <w:rPr>
                <w:rFonts w:eastAsia="Times New Roman" w:cs="Times New Roman"/>
                <w:bCs/>
                <w:color w:val="000000"/>
                <w:sz w:val="20"/>
                <w:szCs w:val="20"/>
              </w:rPr>
            </w:pPr>
          </w:p>
        </w:tc>
        <w:tc>
          <w:tcPr>
            <w:tcW w:w="1414" w:type="dxa"/>
            <w:tcBorders>
              <w:left w:val="nil"/>
            </w:tcBorders>
            <w:shd w:val="clear" w:color="auto" w:fill="auto"/>
            <w:noWrap/>
            <w:vAlign w:val="center"/>
          </w:tcPr>
          <w:p w14:paraId="1004DE4C" w14:textId="77777777" w:rsidR="004D048B" w:rsidRPr="00A15E1E" w:rsidRDefault="004D048B" w:rsidP="00A2742E">
            <w:pPr>
              <w:spacing w:before="0" w:after="0" w:line="240" w:lineRule="auto"/>
              <w:rPr>
                <w:rFonts w:eastAsia="Times New Roman" w:cs="Times New Roman"/>
                <w:bCs/>
                <w:color w:val="000000"/>
                <w:sz w:val="20"/>
                <w:szCs w:val="20"/>
              </w:rPr>
            </w:pPr>
          </w:p>
        </w:tc>
      </w:tr>
    </w:tbl>
    <w:p w14:paraId="0C355000" w14:textId="53858B94" w:rsidR="00C4445F" w:rsidRDefault="00C4445F" w:rsidP="004D048B">
      <w:pPr>
        <w:rPr>
          <w:rFonts w:cstheme="minorHAnsi"/>
          <w:szCs w:val="22"/>
        </w:rPr>
      </w:pPr>
    </w:p>
    <w:p w14:paraId="57D928DD" w14:textId="14FA4678" w:rsidR="00091462" w:rsidRPr="00A81431" w:rsidRDefault="00037EB1" w:rsidP="0059067E">
      <w:r w:rsidRPr="00A15E1E">
        <w:rPr>
          <w:b/>
          <w:bCs/>
        </w:rPr>
        <w:t>Annual Operating Hours.</w:t>
      </w:r>
      <w:r>
        <w:t xml:space="preserve"> Annual operating hours for this analysis were adopted from the </w:t>
      </w:r>
      <w:r w:rsidRPr="0059067E">
        <w:t xml:space="preserve">2017 ESPI Impact Evaluation. </w:t>
      </w:r>
      <w:r>
        <w:t>The operating hours were determined from onsite visits for at seven of eight sites in the PG&amp;E service area that were included in the ex post evaluation study.</w:t>
      </w:r>
    </w:p>
    <w:p w14:paraId="2AF565FA" w14:textId="4319C9C6" w:rsidR="004D048B" w:rsidRDefault="00037EB1" w:rsidP="0059067E">
      <w:r w:rsidRPr="0059067E">
        <w:rPr>
          <w:b/>
          <w:bCs/>
        </w:rPr>
        <w:t>Boiler Combustion Efficiency.</w:t>
      </w:r>
      <w:r>
        <w:t xml:space="preserve"> As shown, </w:t>
      </w:r>
      <w:r w:rsidR="00C4445F">
        <w:t xml:space="preserve">the </w:t>
      </w:r>
      <w:r w:rsidR="00A81431">
        <w:t>baseline boiler efficiency adopt</w:t>
      </w:r>
      <w:r w:rsidR="00C4445F">
        <w:t>ed</w:t>
      </w:r>
      <w:r w:rsidR="00A81431">
        <w:t xml:space="preserve"> </w:t>
      </w:r>
      <w:r w:rsidR="00C4445F">
        <w:t xml:space="preserve">for this analysis is </w:t>
      </w:r>
      <w:r w:rsidR="00A2742E">
        <w:t>based upon the minimum efficiency</w:t>
      </w:r>
      <w:r w:rsidR="00A81431">
        <w:t xml:space="preserve"> required by the California Building Energy Efficiency Standards (Title 24).</w:t>
      </w:r>
      <w:r w:rsidR="00A2742E">
        <w:t xml:space="preserve"> </w:t>
      </w:r>
    </w:p>
    <w:p w14:paraId="7B248FCB" w14:textId="108B2B53" w:rsidR="00037EB1" w:rsidRDefault="00A81431" w:rsidP="0059067E">
      <w:r w:rsidRPr="00036417">
        <w:t xml:space="preserve">The measure case </w:t>
      </w:r>
      <w:r w:rsidR="001C50B8" w:rsidRPr="00036417">
        <w:t>thermal</w:t>
      </w:r>
      <w:r w:rsidRPr="00036417">
        <w:t xml:space="preserve"> efficiency values for boilers with single-stage and dual-stage economizers were derived from</w:t>
      </w:r>
      <w:r w:rsidR="000811DA" w:rsidRPr="00036417">
        <w:t xml:space="preserve"> calculations and data collected from </w:t>
      </w:r>
      <w:r w:rsidR="00036417">
        <w:t>ten</w:t>
      </w:r>
      <w:r w:rsidR="000811DA" w:rsidRPr="00036417">
        <w:t xml:space="preserve"> economizer applications submitted for incentives to </w:t>
      </w:r>
      <w:r w:rsidR="00036417" w:rsidRPr="00036417">
        <w:t>the Southern California Gas Company (SCG)</w:t>
      </w:r>
      <w:r w:rsidR="000811DA" w:rsidRPr="00036417">
        <w:t xml:space="preserve"> </w:t>
      </w:r>
      <w:r w:rsidR="00036417" w:rsidRPr="00036417">
        <w:t>commercial and industrial calculated incentive</w:t>
      </w:r>
      <w:r w:rsidR="000811DA" w:rsidRPr="00036417">
        <w:t xml:space="preserve"> program</w:t>
      </w:r>
      <w:r w:rsidR="00036417">
        <w:t xml:space="preserve"> (vendors provided cutsheet data for five of the actual projects) </w:t>
      </w:r>
      <w:r w:rsidRPr="00036417">
        <w:t xml:space="preserve">. </w:t>
      </w:r>
      <w:r w:rsidR="000811DA" w:rsidRPr="00036417">
        <w:t>Sample calculations are shown in the following tables.</w:t>
      </w:r>
    </w:p>
    <w:p w14:paraId="10CA783D" w14:textId="77777777" w:rsidR="00161070" w:rsidRDefault="00161070" w:rsidP="00F10FC8"/>
    <w:p w14:paraId="6ADC88FF" w14:textId="1E117DB1" w:rsidR="00F10FC8" w:rsidRPr="00CD5B38" w:rsidRDefault="00911AE5" w:rsidP="00A15E1E">
      <w:pPr>
        <w:pStyle w:val="eTRMHeading4"/>
      </w:pPr>
      <w:r>
        <w:lastRenderedPageBreak/>
        <w:t>Example #1: N</w:t>
      </w:r>
      <w:r w:rsidR="00F10FC8" w:rsidRPr="00CD5B38">
        <w:t>on-Condensing</w:t>
      </w:r>
      <w:r w:rsidR="00F20814" w:rsidRPr="00CD5B38">
        <w:t>, Feedwater</w:t>
      </w:r>
      <w:r w:rsidR="00F10FC8" w:rsidRPr="00CD5B38">
        <w:t xml:space="preserve"> Economizer </w:t>
      </w:r>
    </w:p>
    <w:p w14:paraId="68979417" w14:textId="41C3E344" w:rsidR="00CD5B38" w:rsidRDefault="00F10FC8" w:rsidP="00CD5B38">
      <w:r>
        <w:t xml:space="preserve">A project completed by </w:t>
      </w:r>
      <w:r w:rsidR="00E47B64">
        <w:t xml:space="preserve">the SCG </w:t>
      </w:r>
      <w:r w:rsidR="00CF6BFC">
        <w:t xml:space="preserve">in </w:t>
      </w:r>
      <w:r w:rsidR="00EB5DB8">
        <w:t>2018</w:t>
      </w:r>
      <w:r w:rsidR="00CF6BFC">
        <w:t xml:space="preserve"> at a refining</w:t>
      </w:r>
      <w:r>
        <w:t xml:space="preserve"> facility in Bakersfield, </w:t>
      </w:r>
      <w:r w:rsidR="00CF6BFC">
        <w:t>California</w:t>
      </w:r>
      <w:r>
        <w:t xml:space="preserve">, provided data on a </w:t>
      </w:r>
      <w:r w:rsidR="00E47B64">
        <w:t>f</w:t>
      </w:r>
      <w:r>
        <w:t>eedwater economizer.</w:t>
      </w:r>
      <w:r w:rsidR="00CD5B38">
        <w:rPr>
          <w:rStyle w:val="FootnoteReference"/>
        </w:rPr>
        <w:footnoteReference w:id="14"/>
      </w:r>
      <w:r>
        <w:t xml:space="preserve"> </w:t>
      </w:r>
      <w:r w:rsidR="00E47B64">
        <w:t xml:space="preserve">The project </w:t>
      </w:r>
      <w:r>
        <w:t xml:space="preserve">included the installation of new steam boiler and a </w:t>
      </w:r>
      <w:r w:rsidR="00E47B64">
        <w:t>f</w:t>
      </w:r>
      <w:r>
        <w:t>eedwater (</w:t>
      </w:r>
      <w:r w:rsidR="00E47B64">
        <w:t>s</w:t>
      </w:r>
      <w:r>
        <w:t>ingle-</w:t>
      </w:r>
      <w:r w:rsidR="00E47B64">
        <w:t>s</w:t>
      </w:r>
      <w:r>
        <w:t xml:space="preserve">tage) economizer. </w:t>
      </w:r>
      <w:r w:rsidR="005F4D5D" w:rsidRPr="005F4D5D">
        <w:t>Data was recorded for the boiler exhaust condition from upstream and downstream the economizer and were used in the post-installation report</w:t>
      </w:r>
      <w:r w:rsidR="00A2742E">
        <w:t>.</w:t>
      </w:r>
      <w:r w:rsidR="00CD5B38" w:rsidRPr="00CD5B38">
        <w:t xml:space="preserve"> </w:t>
      </w:r>
    </w:p>
    <w:p w14:paraId="50E9851F" w14:textId="7AA99EDA" w:rsidR="00974A36" w:rsidRDefault="00CD5B38" w:rsidP="00F10FC8">
      <w:r w:rsidRPr="005F4D5D">
        <w:t xml:space="preserve">According to the plant operating condition and data presented in the </w:t>
      </w:r>
      <w:r>
        <w:t>figures</w:t>
      </w:r>
      <w:r w:rsidRPr="005F4D5D">
        <w:t xml:space="preserve"> </w:t>
      </w:r>
      <w:r>
        <w:t>below</w:t>
      </w:r>
      <w:r w:rsidRPr="005F4D5D">
        <w:t xml:space="preserve">, the </w:t>
      </w:r>
      <w:r>
        <w:t>f</w:t>
      </w:r>
      <w:r w:rsidRPr="005F4D5D">
        <w:t>eedwater economizer shows a gain of 2% in boiler efficiency.</w:t>
      </w:r>
      <w:r>
        <w:t xml:space="preserve"> </w:t>
      </w:r>
      <w:r w:rsidRPr="005F4D5D">
        <w:t xml:space="preserve">The </w:t>
      </w:r>
      <w:r>
        <w:t>ex ante savings</w:t>
      </w:r>
      <w:r w:rsidRPr="005F4D5D">
        <w:t xml:space="preserve"> calculations showed an energy savings of 52,700 therms</w:t>
      </w:r>
      <w:r>
        <w:t xml:space="preserve"> per year</w:t>
      </w:r>
      <w:r w:rsidRPr="005F4D5D">
        <w:t xml:space="preserve"> for a steam boiler of 23,679 MBtu</w:t>
      </w:r>
      <w:r>
        <w:t>/</w:t>
      </w:r>
      <w:r w:rsidRPr="005F4D5D">
        <w:t>h</w:t>
      </w:r>
      <w:r>
        <w:t>r</w:t>
      </w:r>
      <w:r w:rsidRPr="005F4D5D">
        <w:t xml:space="preserve"> input capacity</w:t>
      </w:r>
      <w:r>
        <w:t xml:space="preserve"> (</w:t>
      </w:r>
      <w:r w:rsidRPr="005F4D5D">
        <w:t>2.23 therms/MBtu</w:t>
      </w:r>
      <w:r>
        <w:t>/</w:t>
      </w:r>
      <w:r w:rsidRPr="005F4D5D">
        <w:t>h</w:t>
      </w:r>
      <w:r>
        <w:t>r).</w:t>
      </w:r>
      <w:r w:rsidRPr="005F4D5D">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A2742E" w14:paraId="7693E650" w14:textId="77777777" w:rsidTr="00A32DB7">
        <w:tc>
          <w:tcPr>
            <w:tcW w:w="4675" w:type="dxa"/>
          </w:tcPr>
          <w:p w14:paraId="4850D5EA" w14:textId="6CE1D185" w:rsidR="00A2742E" w:rsidRDefault="00A2742E" w:rsidP="00820DC7">
            <w:pPr>
              <w:jc w:val="center"/>
            </w:pPr>
            <w:r>
              <w:rPr>
                <w:noProof/>
              </w:rPr>
              <w:drawing>
                <wp:inline distT="0" distB="0" distL="0" distR="0" wp14:anchorId="2E2FCEC8" wp14:editId="4DE33620">
                  <wp:extent cx="5028851" cy="3241733"/>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30955" cy="3243089"/>
                          </a:xfrm>
                          <a:prstGeom prst="rect">
                            <a:avLst/>
                          </a:prstGeom>
                          <a:noFill/>
                          <a:ln>
                            <a:noFill/>
                          </a:ln>
                        </pic:spPr>
                      </pic:pic>
                    </a:graphicData>
                  </a:graphic>
                </wp:inline>
              </w:drawing>
            </w:r>
          </w:p>
        </w:tc>
      </w:tr>
      <w:tr w:rsidR="00A2742E" w14:paraId="71270BC2" w14:textId="77777777" w:rsidTr="00A32DB7">
        <w:tc>
          <w:tcPr>
            <w:tcW w:w="4675" w:type="dxa"/>
          </w:tcPr>
          <w:p w14:paraId="362AA3B8" w14:textId="77777777" w:rsidR="00A2742E" w:rsidRPr="000811DA" w:rsidRDefault="00A2742E" w:rsidP="00A32DB7">
            <w:pPr>
              <w:spacing w:before="0" w:after="0"/>
              <w:jc w:val="center"/>
              <w:rPr>
                <w:rFonts w:ascii="Calibri" w:hAnsi="Calibri" w:cs="Calibri"/>
              </w:rPr>
            </w:pPr>
            <w:r w:rsidRPr="000811DA">
              <w:rPr>
                <w:rFonts w:ascii="Calibri" w:hAnsi="Calibri" w:cs="Calibri"/>
              </w:rPr>
              <w:t>Refinery System Condition Before the Economizer Inlet</w:t>
            </w:r>
          </w:p>
          <w:p w14:paraId="22F78978" w14:textId="515CB989" w:rsidR="00A2742E" w:rsidRPr="00A32DB7" w:rsidRDefault="00A2742E" w:rsidP="00A32DB7">
            <w:pPr>
              <w:spacing w:before="0" w:after="0"/>
              <w:jc w:val="center"/>
              <w:rPr>
                <w:rFonts w:ascii="Arial" w:hAnsi="Arial" w:cs="Arial"/>
                <w:i/>
                <w:iCs/>
              </w:rPr>
            </w:pPr>
            <w:r w:rsidRPr="000811DA">
              <w:rPr>
                <w:rFonts w:ascii="Calibri" w:hAnsi="Calibri" w:cs="Calibri"/>
                <w:i/>
                <w:iCs/>
                <w:sz w:val="18"/>
                <w:szCs w:val="20"/>
              </w:rPr>
              <w:t>Net Combustion Efficiency = 84.4%</w:t>
            </w:r>
          </w:p>
        </w:tc>
      </w:tr>
    </w:tbl>
    <w:p w14:paraId="5283007B" w14:textId="4A1E9450" w:rsidR="00A2742E" w:rsidRDefault="00A2742E" w:rsidP="00F10FC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A2742E" w14:paraId="54225AFA" w14:textId="77777777" w:rsidTr="00A32DB7">
        <w:tc>
          <w:tcPr>
            <w:tcW w:w="4675" w:type="dxa"/>
          </w:tcPr>
          <w:p w14:paraId="27ED42A4" w14:textId="77777777" w:rsidR="00A2742E" w:rsidRDefault="00A2742E" w:rsidP="00820DC7">
            <w:pPr>
              <w:jc w:val="center"/>
            </w:pPr>
            <w:r>
              <w:rPr>
                <w:noProof/>
              </w:rPr>
              <w:lastRenderedPageBreak/>
              <w:drawing>
                <wp:inline distT="0" distB="0" distL="0" distR="0" wp14:anchorId="0892E4AC" wp14:editId="5E0B0366">
                  <wp:extent cx="5028317" cy="3185968"/>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31481" cy="3187973"/>
                          </a:xfrm>
                          <a:prstGeom prst="rect">
                            <a:avLst/>
                          </a:prstGeom>
                          <a:noFill/>
                          <a:ln>
                            <a:noFill/>
                          </a:ln>
                        </pic:spPr>
                      </pic:pic>
                    </a:graphicData>
                  </a:graphic>
                </wp:inline>
              </w:drawing>
            </w:r>
          </w:p>
        </w:tc>
      </w:tr>
      <w:tr w:rsidR="00A2742E" w:rsidRPr="00A2742E" w14:paraId="069B22CE" w14:textId="77777777" w:rsidTr="00A32DB7">
        <w:tc>
          <w:tcPr>
            <w:tcW w:w="4675" w:type="dxa"/>
          </w:tcPr>
          <w:p w14:paraId="45091B03" w14:textId="6DEB6C7F" w:rsidR="00A2742E" w:rsidRPr="000811DA" w:rsidRDefault="00A2742E" w:rsidP="00A32DB7">
            <w:pPr>
              <w:spacing w:before="0" w:after="0"/>
              <w:jc w:val="center"/>
              <w:rPr>
                <w:rFonts w:ascii="Calibri" w:hAnsi="Calibri" w:cs="Calibri"/>
                <w:szCs w:val="22"/>
              </w:rPr>
            </w:pPr>
            <w:r w:rsidRPr="000811DA">
              <w:rPr>
                <w:rFonts w:ascii="Calibri" w:hAnsi="Calibri" w:cs="Calibri"/>
                <w:szCs w:val="22"/>
              </w:rPr>
              <w:t xml:space="preserve">Refinery System Condition After the Economizer </w:t>
            </w:r>
          </w:p>
          <w:p w14:paraId="7959D707" w14:textId="29C1B6F1" w:rsidR="00A2742E" w:rsidRPr="00A32DB7" w:rsidRDefault="00A2742E" w:rsidP="00A42921">
            <w:pPr>
              <w:pStyle w:val="FigureCaption"/>
              <w:rPr>
                <w:sz w:val="22"/>
                <w:szCs w:val="22"/>
              </w:rPr>
            </w:pPr>
            <w:r w:rsidRPr="000811DA">
              <w:rPr>
                <w:rFonts w:ascii="Calibri" w:hAnsi="Calibri" w:cs="Calibri"/>
              </w:rPr>
              <w:t>Net Combustion Efficiency = 86.4%</w:t>
            </w:r>
          </w:p>
        </w:tc>
      </w:tr>
    </w:tbl>
    <w:p w14:paraId="1A95B080" w14:textId="115E1A61" w:rsidR="006858E7" w:rsidRPr="006858E7" w:rsidRDefault="00F10FC8" w:rsidP="002456B2">
      <w:pPr>
        <w:pStyle w:val="Caption"/>
      </w:pPr>
      <w:bookmarkStart w:id="47" w:name="_Toc18495745"/>
      <w:r w:rsidRPr="00F10FC8">
        <w:t xml:space="preserve">Feedwater Economizer for </w:t>
      </w:r>
      <w:r w:rsidR="00CD5B38">
        <w:t xml:space="preserve">a </w:t>
      </w:r>
      <w:r w:rsidRPr="00F10FC8">
        <w:t>Steam Boiler at Refining facility</w:t>
      </w:r>
      <w:bookmarkEnd w:id="47"/>
    </w:p>
    <w:tbl>
      <w:tblPr>
        <w:tblW w:w="8457" w:type="dxa"/>
        <w:tblLook w:val="04A0" w:firstRow="1" w:lastRow="0" w:firstColumn="1" w:lastColumn="0" w:noHBand="0" w:noVBand="1"/>
      </w:tblPr>
      <w:tblGrid>
        <w:gridCol w:w="680"/>
        <w:gridCol w:w="4620"/>
        <w:gridCol w:w="1440"/>
        <w:gridCol w:w="1717"/>
      </w:tblGrid>
      <w:tr w:rsidR="00911AE5" w:rsidRPr="00911AE5" w14:paraId="5A9E7EF1" w14:textId="77777777" w:rsidTr="00911AE5">
        <w:trPr>
          <w:cantSplit/>
          <w:trHeight w:val="230"/>
          <w:tblHeader/>
        </w:trPr>
        <w:tc>
          <w:tcPr>
            <w:tcW w:w="8457" w:type="dxa"/>
            <w:gridSpan w:val="4"/>
            <w:tcBorders>
              <w:top w:val="single" w:sz="8" w:space="0" w:color="auto"/>
              <w:left w:val="single" w:sz="8" w:space="0" w:color="auto"/>
              <w:bottom w:val="single" w:sz="8" w:space="0" w:color="auto"/>
              <w:right w:val="single" w:sz="8" w:space="0" w:color="000000"/>
            </w:tcBorders>
            <w:shd w:val="clear" w:color="auto" w:fill="F2F2F2" w:themeFill="background1" w:themeFillShade="F2"/>
            <w:noWrap/>
            <w:vAlign w:val="center"/>
            <w:hideMark/>
          </w:tcPr>
          <w:p w14:paraId="07B234C1" w14:textId="77777777" w:rsidR="00F10FC8" w:rsidRPr="006C15D9" w:rsidRDefault="00F10FC8" w:rsidP="00F10FC8">
            <w:pPr>
              <w:spacing w:before="0" w:after="0" w:line="276" w:lineRule="auto"/>
              <w:jc w:val="center"/>
              <w:rPr>
                <w:rFonts w:ascii="Calibri" w:eastAsia="Times New Roman" w:hAnsi="Calibri" w:cs="Times New Roman"/>
                <w:b/>
                <w:bCs/>
                <w:szCs w:val="22"/>
              </w:rPr>
            </w:pPr>
            <w:r w:rsidRPr="006C15D9">
              <w:rPr>
                <w:rFonts w:ascii="Calibri" w:eastAsia="Times New Roman" w:hAnsi="Calibri" w:cs="Times New Roman"/>
                <w:b/>
                <w:bCs/>
                <w:szCs w:val="22"/>
              </w:rPr>
              <w:t>Use of a Non-Condensing Economizer for a Boiler</w:t>
            </w:r>
          </w:p>
        </w:tc>
      </w:tr>
      <w:tr w:rsidR="00F10FC8" w:rsidRPr="00F10FC8" w14:paraId="2F0D58FB" w14:textId="77777777" w:rsidTr="00F10FC8">
        <w:trPr>
          <w:cantSplit/>
          <w:trHeight w:val="24"/>
          <w:tblHeader/>
        </w:trPr>
        <w:tc>
          <w:tcPr>
            <w:tcW w:w="8457" w:type="dxa"/>
            <w:gridSpan w:val="4"/>
            <w:tcBorders>
              <w:top w:val="single" w:sz="8" w:space="0" w:color="auto"/>
              <w:left w:val="single" w:sz="8" w:space="0" w:color="auto"/>
              <w:bottom w:val="single" w:sz="8" w:space="0" w:color="auto"/>
              <w:right w:val="single" w:sz="8" w:space="0" w:color="000000"/>
            </w:tcBorders>
            <w:vAlign w:val="center"/>
            <w:hideMark/>
          </w:tcPr>
          <w:p w14:paraId="0D78D18D" w14:textId="77777777" w:rsidR="00F10FC8" w:rsidRPr="00F10FC8" w:rsidRDefault="00F10FC8" w:rsidP="00F10FC8">
            <w:pPr>
              <w:spacing w:before="0" w:after="0" w:line="276" w:lineRule="auto"/>
              <w:jc w:val="center"/>
              <w:rPr>
                <w:rFonts w:ascii="Arial" w:eastAsia="Times New Roman" w:hAnsi="Arial" w:cs="Arial"/>
                <w:b/>
                <w:bCs/>
                <w:i/>
                <w:iCs/>
                <w:color w:val="993300"/>
                <w:sz w:val="16"/>
                <w:szCs w:val="16"/>
                <w:u w:val="single"/>
              </w:rPr>
            </w:pPr>
            <w:r w:rsidRPr="00F10FC8">
              <w:rPr>
                <w:rFonts w:ascii="Arial" w:eastAsia="Times New Roman" w:hAnsi="Arial" w:cs="Arial"/>
                <w:b/>
                <w:bCs/>
                <w:sz w:val="16"/>
                <w:szCs w:val="16"/>
              </w:rPr>
              <w:t xml:space="preserve">The tool is applicable to economizers and other flue-gas-to-water heat exchangers </w:t>
            </w:r>
            <w:r w:rsidRPr="00F10FC8">
              <w:rPr>
                <w:rFonts w:ascii="Arial" w:eastAsia="Times New Roman" w:hAnsi="Arial" w:cs="Arial"/>
                <w:b/>
                <w:bCs/>
                <w:i/>
                <w:iCs/>
                <w:color w:val="993300"/>
                <w:sz w:val="16"/>
                <w:szCs w:val="16"/>
                <w:u w:val="single"/>
              </w:rPr>
              <w:t>when the water vapor in</w:t>
            </w:r>
          </w:p>
          <w:p w14:paraId="6F0BB435" w14:textId="53D8D5AB" w:rsidR="00F10FC8" w:rsidRPr="00F10FC8" w:rsidRDefault="00F10FC8" w:rsidP="00F10FC8">
            <w:pPr>
              <w:spacing w:before="0" w:after="0" w:line="276" w:lineRule="auto"/>
              <w:jc w:val="center"/>
              <w:rPr>
                <w:rFonts w:ascii="Arial" w:eastAsia="Times New Roman" w:hAnsi="Arial" w:cs="Arial"/>
                <w:b/>
                <w:bCs/>
                <w:sz w:val="16"/>
                <w:szCs w:val="16"/>
              </w:rPr>
            </w:pPr>
            <w:r w:rsidRPr="00F10FC8">
              <w:rPr>
                <w:rFonts w:ascii="Arial" w:eastAsia="Times New Roman" w:hAnsi="Arial" w:cs="Arial"/>
                <w:b/>
                <w:bCs/>
                <w:i/>
                <w:iCs/>
                <w:color w:val="993300"/>
                <w:sz w:val="16"/>
                <w:szCs w:val="16"/>
                <w:u w:val="single"/>
              </w:rPr>
              <w:t>flue gas is not condensed, and heat exchanger effectiveness is known</w:t>
            </w:r>
            <w:r w:rsidRPr="00F10FC8">
              <w:rPr>
                <w:rFonts w:ascii="Arial" w:eastAsia="Times New Roman" w:hAnsi="Arial" w:cs="Arial"/>
                <w:b/>
                <w:bCs/>
                <w:color w:val="993300"/>
                <w:sz w:val="16"/>
                <w:szCs w:val="16"/>
              </w:rPr>
              <w:t>.</w:t>
            </w:r>
          </w:p>
        </w:tc>
      </w:tr>
      <w:tr w:rsidR="00F10FC8" w:rsidRPr="00F10FC8" w14:paraId="5A03F5A9"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2E1B5540"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11</w:t>
            </w:r>
          </w:p>
        </w:tc>
        <w:tc>
          <w:tcPr>
            <w:tcW w:w="4620" w:type="dxa"/>
            <w:tcBorders>
              <w:top w:val="single" w:sz="8" w:space="0" w:color="auto"/>
              <w:left w:val="nil"/>
              <w:bottom w:val="single" w:sz="4" w:space="0" w:color="auto"/>
              <w:right w:val="single" w:sz="4" w:space="0" w:color="auto"/>
            </w:tcBorders>
            <w:shd w:val="clear" w:color="auto" w:fill="FFFFFF"/>
            <w:vAlign w:val="center"/>
            <w:hideMark/>
          </w:tcPr>
          <w:p w14:paraId="69A23756"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Current boiler energy use - </w:t>
            </w:r>
            <w:r w:rsidRPr="00F10FC8">
              <w:rPr>
                <w:rFonts w:ascii="Arial" w:eastAsia="Times New Roman" w:hAnsi="Arial" w:cs="Arial"/>
                <w:b/>
                <w:bCs/>
                <w:i/>
                <w:iCs/>
                <w:sz w:val="18"/>
                <w:szCs w:val="18"/>
              </w:rPr>
              <w:t>average value</w:t>
            </w:r>
          </w:p>
        </w:tc>
        <w:tc>
          <w:tcPr>
            <w:tcW w:w="1440" w:type="dxa"/>
            <w:tcBorders>
              <w:top w:val="nil"/>
              <w:left w:val="nil"/>
              <w:bottom w:val="single" w:sz="4" w:space="0" w:color="auto"/>
              <w:right w:val="nil"/>
            </w:tcBorders>
            <w:shd w:val="clear" w:color="auto" w:fill="FFFFFF"/>
            <w:vAlign w:val="center"/>
            <w:hideMark/>
          </w:tcPr>
          <w:p w14:paraId="0F31DC33"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23</w:t>
            </w:r>
          </w:p>
        </w:tc>
        <w:tc>
          <w:tcPr>
            <w:tcW w:w="1717" w:type="dxa"/>
            <w:tcBorders>
              <w:top w:val="nil"/>
              <w:left w:val="nil"/>
              <w:bottom w:val="single" w:sz="4" w:space="0" w:color="auto"/>
              <w:right w:val="single" w:sz="8" w:space="0" w:color="000000"/>
            </w:tcBorders>
            <w:shd w:val="clear" w:color="auto" w:fill="FFFFFF"/>
            <w:vAlign w:val="center"/>
            <w:hideMark/>
          </w:tcPr>
          <w:p w14:paraId="06D950F8"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MM Btu/hr</w:t>
            </w:r>
          </w:p>
        </w:tc>
      </w:tr>
      <w:tr w:rsidR="00F10FC8" w:rsidRPr="00F10FC8" w14:paraId="2BD65711"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64F43DBE"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12</w:t>
            </w:r>
          </w:p>
        </w:tc>
        <w:tc>
          <w:tcPr>
            <w:tcW w:w="4620" w:type="dxa"/>
            <w:tcBorders>
              <w:top w:val="single" w:sz="4" w:space="0" w:color="auto"/>
              <w:left w:val="nil"/>
              <w:bottom w:val="single" w:sz="4" w:space="0" w:color="auto"/>
              <w:right w:val="single" w:sz="4" w:space="0" w:color="auto"/>
            </w:tcBorders>
            <w:shd w:val="clear" w:color="auto" w:fill="FFFFFF"/>
            <w:vAlign w:val="center"/>
            <w:hideMark/>
          </w:tcPr>
          <w:p w14:paraId="08F18AB4"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Boiler operating hours per year  </w:t>
            </w:r>
          </w:p>
        </w:tc>
        <w:tc>
          <w:tcPr>
            <w:tcW w:w="1440" w:type="dxa"/>
            <w:tcBorders>
              <w:top w:val="nil"/>
              <w:left w:val="nil"/>
              <w:bottom w:val="single" w:sz="4" w:space="0" w:color="auto"/>
              <w:right w:val="nil"/>
            </w:tcBorders>
            <w:shd w:val="clear" w:color="auto" w:fill="FFFFFF"/>
            <w:vAlign w:val="center"/>
            <w:hideMark/>
          </w:tcPr>
          <w:p w14:paraId="3562C55A"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8,760</w:t>
            </w:r>
          </w:p>
        </w:tc>
        <w:tc>
          <w:tcPr>
            <w:tcW w:w="1717" w:type="dxa"/>
            <w:tcBorders>
              <w:top w:val="nil"/>
              <w:left w:val="nil"/>
              <w:bottom w:val="single" w:sz="4" w:space="0" w:color="auto"/>
              <w:right w:val="single" w:sz="8" w:space="0" w:color="000000"/>
            </w:tcBorders>
            <w:shd w:val="clear" w:color="auto" w:fill="FFFFFF"/>
            <w:vAlign w:val="center"/>
            <w:hideMark/>
          </w:tcPr>
          <w:p w14:paraId="2939DCBF"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Hrs./year</w:t>
            </w:r>
          </w:p>
        </w:tc>
      </w:tr>
      <w:tr w:rsidR="00F10FC8" w:rsidRPr="00F10FC8" w14:paraId="791ADE61"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58D6EC2F"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13</w:t>
            </w:r>
          </w:p>
        </w:tc>
        <w:tc>
          <w:tcPr>
            <w:tcW w:w="4620" w:type="dxa"/>
            <w:tcBorders>
              <w:top w:val="single" w:sz="4" w:space="0" w:color="auto"/>
              <w:left w:val="nil"/>
              <w:bottom w:val="single" w:sz="4" w:space="0" w:color="auto"/>
              <w:right w:val="single" w:sz="4" w:space="0" w:color="auto"/>
            </w:tcBorders>
            <w:vAlign w:val="center"/>
            <w:hideMark/>
          </w:tcPr>
          <w:p w14:paraId="482FAC14"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Flue gas temperature (hot-side inlet) to the economizer</w:t>
            </w:r>
          </w:p>
        </w:tc>
        <w:tc>
          <w:tcPr>
            <w:tcW w:w="1440" w:type="dxa"/>
            <w:tcBorders>
              <w:top w:val="nil"/>
              <w:left w:val="nil"/>
              <w:bottom w:val="single" w:sz="4" w:space="0" w:color="auto"/>
              <w:right w:val="nil"/>
            </w:tcBorders>
            <w:vAlign w:val="center"/>
            <w:hideMark/>
          </w:tcPr>
          <w:p w14:paraId="67E94F68"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371</w:t>
            </w:r>
          </w:p>
        </w:tc>
        <w:tc>
          <w:tcPr>
            <w:tcW w:w="1717" w:type="dxa"/>
            <w:tcBorders>
              <w:top w:val="nil"/>
              <w:left w:val="nil"/>
              <w:bottom w:val="single" w:sz="4" w:space="0" w:color="auto"/>
              <w:right w:val="single" w:sz="8" w:space="0" w:color="000000"/>
            </w:tcBorders>
            <w:vAlign w:val="center"/>
            <w:hideMark/>
          </w:tcPr>
          <w:p w14:paraId="7C98484E"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Deg. F.</w:t>
            </w:r>
          </w:p>
        </w:tc>
      </w:tr>
      <w:tr w:rsidR="00F10FC8" w:rsidRPr="00F10FC8" w14:paraId="031D4F0A"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16D22DCC"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14</w:t>
            </w:r>
          </w:p>
        </w:tc>
        <w:tc>
          <w:tcPr>
            <w:tcW w:w="4620" w:type="dxa"/>
            <w:tcBorders>
              <w:top w:val="single" w:sz="4" w:space="0" w:color="auto"/>
              <w:left w:val="nil"/>
              <w:bottom w:val="single" w:sz="4" w:space="0" w:color="auto"/>
              <w:right w:val="single" w:sz="4" w:space="0" w:color="auto"/>
            </w:tcBorders>
            <w:vAlign w:val="center"/>
            <w:hideMark/>
          </w:tcPr>
          <w:p w14:paraId="183396A5"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Oxygen in flue gas (%, dry basis) from the boiler</w:t>
            </w:r>
          </w:p>
        </w:tc>
        <w:tc>
          <w:tcPr>
            <w:tcW w:w="1440" w:type="dxa"/>
            <w:tcBorders>
              <w:top w:val="nil"/>
              <w:left w:val="nil"/>
              <w:bottom w:val="single" w:sz="4" w:space="0" w:color="auto"/>
              <w:right w:val="nil"/>
            </w:tcBorders>
            <w:vAlign w:val="center"/>
            <w:hideMark/>
          </w:tcPr>
          <w:p w14:paraId="0E26FFE0"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3.1%</w:t>
            </w:r>
          </w:p>
        </w:tc>
        <w:tc>
          <w:tcPr>
            <w:tcW w:w="1717" w:type="dxa"/>
            <w:tcBorders>
              <w:top w:val="nil"/>
              <w:left w:val="nil"/>
              <w:bottom w:val="single" w:sz="4" w:space="0" w:color="auto"/>
              <w:right w:val="single" w:sz="8" w:space="0" w:color="000000"/>
            </w:tcBorders>
            <w:vAlign w:val="center"/>
            <w:hideMark/>
          </w:tcPr>
          <w:p w14:paraId="0932F63E"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w:t>
            </w:r>
          </w:p>
        </w:tc>
      </w:tr>
      <w:tr w:rsidR="00F10FC8" w:rsidRPr="00F10FC8" w14:paraId="286FE6B3"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166DF40C"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15</w:t>
            </w:r>
          </w:p>
        </w:tc>
        <w:tc>
          <w:tcPr>
            <w:tcW w:w="4620" w:type="dxa"/>
            <w:tcBorders>
              <w:top w:val="single" w:sz="4" w:space="0" w:color="auto"/>
              <w:left w:val="nil"/>
              <w:bottom w:val="single" w:sz="4" w:space="0" w:color="auto"/>
              <w:right w:val="single" w:sz="4" w:space="0" w:color="auto"/>
            </w:tcBorders>
            <w:shd w:val="clear" w:color="auto" w:fill="FFFFFF"/>
            <w:vAlign w:val="center"/>
            <w:hideMark/>
          </w:tcPr>
          <w:p w14:paraId="133839CB"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Excess air (%)</w:t>
            </w:r>
          </w:p>
        </w:tc>
        <w:tc>
          <w:tcPr>
            <w:tcW w:w="1440" w:type="dxa"/>
            <w:tcBorders>
              <w:top w:val="nil"/>
              <w:left w:val="nil"/>
              <w:bottom w:val="single" w:sz="4" w:space="0" w:color="auto"/>
              <w:right w:val="nil"/>
            </w:tcBorders>
            <w:shd w:val="clear" w:color="auto" w:fill="FFFF99"/>
            <w:vAlign w:val="center"/>
            <w:hideMark/>
          </w:tcPr>
          <w:p w14:paraId="6F0DEB86" w14:textId="77777777" w:rsidR="00F10FC8" w:rsidRPr="00F10FC8" w:rsidRDefault="00F10FC8" w:rsidP="00BF6FE4">
            <w:pPr>
              <w:spacing w:before="0" w:after="0" w:line="276" w:lineRule="auto"/>
              <w:jc w:val="right"/>
              <w:rPr>
                <w:rFonts w:ascii="Arial" w:eastAsia="Times New Roman" w:hAnsi="Arial" w:cs="Arial"/>
                <w:color w:val="0000FF"/>
                <w:sz w:val="18"/>
                <w:szCs w:val="18"/>
              </w:rPr>
            </w:pPr>
            <w:r w:rsidRPr="00F10FC8">
              <w:rPr>
                <w:rFonts w:ascii="Arial" w:eastAsia="Times New Roman" w:hAnsi="Arial" w:cs="Arial"/>
                <w:color w:val="0000FF"/>
                <w:sz w:val="18"/>
                <w:szCs w:val="18"/>
              </w:rPr>
              <w:t>15.1%</w:t>
            </w:r>
          </w:p>
        </w:tc>
        <w:tc>
          <w:tcPr>
            <w:tcW w:w="1717" w:type="dxa"/>
            <w:tcBorders>
              <w:top w:val="nil"/>
              <w:left w:val="nil"/>
              <w:bottom w:val="single" w:sz="4" w:space="0" w:color="auto"/>
              <w:right w:val="single" w:sz="8" w:space="0" w:color="000000"/>
            </w:tcBorders>
            <w:shd w:val="clear" w:color="auto" w:fill="FFFF99"/>
            <w:vAlign w:val="center"/>
            <w:hideMark/>
          </w:tcPr>
          <w:p w14:paraId="0411582A"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w:t>
            </w:r>
          </w:p>
        </w:tc>
      </w:tr>
      <w:tr w:rsidR="00F10FC8" w:rsidRPr="00F10FC8" w14:paraId="70818312"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67F237A4"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16</w:t>
            </w:r>
          </w:p>
        </w:tc>
        <w:tc>
          <w:tcPr>
            <w:tcW w:w="4620" w:type="dxa"/>
            <w:tcBorders>
              <w:top w:val="single" w:sz="4" w:space="0" w:color="auto"/>
              <w:left w:val="nil"/>
              <w:bottom w:val="single" w:sz="4" w:space="0" w:color="auto"/>
              <w:right w:val="single" w:sz="4" w:space="0" w:color="auto"/>
            </w:tcBorders>
            <w:vAlign w:val="center"/>
            <w:hideMark/>
          </w:tcPr>
          <w:p w14:paraId="524D8DE1"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Feed water (cold-side) water flow rate </w:t>
            </w:r>
          </w:p>
        </w:tc>
        <w:tc>
          <w:tcPr>
            <w:tcW w:w="1440" w:type="dxa"/>
            <w:tcBorders>
              <w:top w:val="nil"/>
              <w:left w:val="nil"/>
              <w:bottom w:val="single" w:sz="4" w:space="0" w:color="auto"/>
              <w:right w:val="nil"/>
            </w:tcBorders>
            <w:vAlign w:val="center"/>
            <w:hideMark/>
          </w:tcPr>
          <w:p w14:paraId="0448E1E2"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 xml:space="preserve">11,579 </w:t>
            </w:r>
          </w:p>
        </w:tc>
        <w:tc>
          <w:tcPr>
            <w:tcW w:w="1717" w:type="dxa"/>
            <w:tcBorders>
              <w:top w:val="nil"/>
              <w:left w:val="nil"/>
              <w:bottom w:val="single" w:sz="4" w:space="0" w:color="auto"/>
              <w:right w:val="single" w:sz="8" w:space="0" w:color="000000"/>
            </w:tcBorders>
            <w:shd w:val="clear" w:color="auto" w:fill="FFFFFF"/>
            <w:vAlign w:val="center"/>
            <w:hideMark/>
          </w:tcPr>
          <w:p w14:paraId="7B0E5937"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lbs./hr</w:t>
            </w:r>
          </w:p>
        </w:tc>
      </w:tr>
      <w:tr w:rsidR="00F10FC8" w:rsidRPr="00F10FC8" w14:paraId="5BC99A94"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338E3F8D"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17</w:t>
            </w:r>
          </w:p>
        </w:tc>
        <w:tc>
          <w:tcPr>
            <w:tcW w:w="4620" w:type="dxa"/>
            <w:tcBorders>
              <w:top w:val="single" w:sz="4" w:space="0" w:color="auto"/>
              <w:left w:val="nil"/>
              <w:bottom w:val="single" w:sz="4" w:space="0" w:color="auto"/>
              <w:right w:val="single" w:sz="4" w:space="0" w:color="auto"/>
            </w:tcBorders>
            <w:vAlign w:val="center"/>
            <w:hideMark/>
          </w:tcPr>
          <w:p w14:paraId="7328E15B"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Feed water (cold-side) water flow rate </w:t>
            </w:r>
          </w:p>
        </w:tc>
        <w:tc>
          <w:tcPr>
            <w:tcW w:w="1440" w:type="dxa"/>
            <w:tcBorders>
              <w:top w:val="nil"/>
              <w:left w:val="nil"/>
              <w:bottom w:val="single" w:sz="4" w:space="0" w:color="auto"/>
              <w:right w:val="nil"/>
            </w:tcBorders>
            <w:vAlign w:val="center"/>
            <w:hideMark/>
          </w:tcPr>
          <w:p w14:paraId="025A57CC" w14:textId="77777777" w:rsidR="00F10FC8" w:rsidRPr="00F10FC8" w:rsidRDefault="00F10FC8" w:rsidP="00BF6FE4">
            <w:pPr>
              <w:spacing w:before="0" w:after="0" w:line="276" w:lineRule="auto"/>
              <w:jc w:val="right"/>
              <w:rPr>
                <w:rFonts w:ascii="Arial" w:eastAsia="Times New Roman" w:hAnsi="Arial" w:cs="Arial"/>
                <w:color w:val="0000FF"/>
                <w:sz w:val="18"/>
                <w:szCs w:val="18"/>
              </w:rPr>
            </w:pPr>
            <w:r w:rsidRPr="00F10FC8">
              <w:rPr>
                <w:rFonts w:ascii="Arial" w:eastAsia="Times New Roman" w:hAnsi="Arial" w:cs="Arial"/>
                <w:color w:val="0000FF"/>
                <w:sz w:val="18"/>
                <w:szCs w:val="18"/>
              </w:rPr>
              <w:t>23.15</w:t>
            </w:r>
          </w:p>
        </w:tc>
        <w:tc>
          <w:tcPr>
            <w:tcW w:w="1717" w:type="dxa"/>
            <w:tcBorders>
              <w:top w:val="nil"/>
              <w:left w:val="nil"/>
              <w:bottom w:val="single" w:sz="4" w:space="0" w:color="auto"/>
              <w:right w:val="single" w:sz="8" w:space="0" w:color="000000"/>
            </w:tcBorders>
            <w:shd w:val="clear" w:color="auto" w:fill="FFFF99"/>
            <w:vAlign w:val="center"/>
            <w:hideMark/>
          </w:tcPr>
          <w:p w14:paraId="5EE6EAC6"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gpm</w:t>
            </w:r>
          </w:p>
        </w:tc>
      </w:tr>
      <w:tr w:rsidR="00F10FC8" w:rsidRPr="00F10FC8" w14:paraId="12B4F1ED"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603BF8C7"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18</w:t>
            </w:r>
          </w:p>
        </w:tc>
        <w:tc>
          <w:tcPr>
            <w:tcW w:w="4620" w:type="dxa"/>
            <w:tcBorders>
              <w:top w:val="single" w:sz="4" w:space="0" w:color="auto"/>
              <w:left w:val="nil"/>
              <w:bottom w:val="single" w:sz="4" w:space="0" w:color="auto"/>
              <w:right w:val="single" w:sz="4" w:space="0" w:color="auto"/>
            </w:tcBorders>
            <w:vAlign w:val="center"/>
            <w:hideMark/>
          </w:tcPr>
          <w:p w14:paraId="77C3E266"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Feed water (cold-side) pressure </w:t>
            </w:r>
          </w:p>
        </w:tc>
        <w:tc>
          <w:tcPr>
            <w:tcW w:w="1440" w:type="dxa"/>
            <w:tcBorders>
              <w:top w:val="nil"/>
              <w:left w:val="nil"/>
              <w:bottom w:val="single" w:sz="4" w:space="0" w:color="auto"/>
              <w:right w:val="nil"/>
            </w:tcBorders>
            <w:vAlign w:val="center"/>
            <w:hideMark/>
          </w:tcPr>
          <w:p w14:paraId="30D169C7"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150</w:t>
            </w:r>
          </w:p>
        </w:tc>
        <w:tc>
          <w:tcPr>
            <w:tcW w:w="1717" w:type="dxa"/>
            <w:tcBorders>
              <w:top w:val="nil"/>
              <w:left w:val="nil"/>
              <w:bottom w:val="single" w:sz="4" w:space="0" w:color="auto"/>
              <w:right w:val="single" w:sz="8" w:space="0" w:color="000000"/>
            </w:tcBorders>
            <w:vAlign w:val="center"/>
            <w:hideMark/>
          </w:tcPr>
          <w:p w14:paraId="6CD3C18B"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psig</w:t>
            </w:r>
          </w:p>
        </w:tc>
      </w:tr>
      <w:tr w:rsidR="00F10FC8" w:rsidRPr="00F10FC8" w14:paraId="317DA32E"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42B1D176"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19</w:t>
            </w:r>
          </w:p>
        </w:tc>
        <w:tc>
          <w:tcPr>
            <w:tcW w:w="4620" w:type="dxa"/>
            <w:tcBorders>
              <w:top w:val="single" w:sz="4" w:space="0" w:color="auto"/>
              <w:left w:val="nil"/>
              <w:bottom w:val="single" w:sz="4" w:space="0" w:color="auto"/>
              <w:right w:val="single" w:sz="4" w:space="0" w:color="auto"/>
            </w:tcBorders>
            <w:vAlign w:val="center"/>
            <w:hideMark/>
          </w:tcPr>
          <w:p w14:paraId="3ABD76D5"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Feed water (cold-side) inlet temperature </w:t>
            </w:r>
          </w:p>
        </w:tc>
        <w:tc>
          <w:tcPr>
            <w:tcW w:w="1440" w:type="dxa"/>
            <w:tcBorders>
              <w:top w:val="nil"/>
              <w:left w:val="nil"/>
              <w:bottom w:val="single" w:sz="4" w:space="0" w:color="auto"/>
              <w:right w:val="nil"/>
            </w:tcBorders>
            <w:vAlign w:val="center"/>
            <w:hideMark/>
          </w:tcPr>
          <w:p w14:paraId="1184907D"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225</w:t>
            </w:r>
          </w:p>
        </w:tc>
        <w:tc>
          <w:tcPr>
            <w:tcW w:w="1717" w:type="dxa"/>
            <w:tcBorders>
              <w:top w:val="nil"/>
              <w:left w:val="nil"/>
              <w:bottom w:val="single" w:sz="4" w:space="0" w:color="auto"/>
              <w:right w:val="single" w:sz="8" w:space="0" w:color="000000"/>
            </w:tcBorders>
            <w:vAlign w:val="center"/>
            <w:hideMark/>
          </w:tcPr>
          <w:p w14:paraId="25A7CD59"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Deg. F.</w:t>
            </w:r>
          </w:p>
        </w:tc>
      </w:tr>
      <w:tr w:rsidR="00F10FC8" w:rsidRPr="00F10FC8" w14:paraId="7EE0FA4C"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3BE9D901"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20</w:t>
            </w:r>
          </w:p>
        </w:tc>
        <w:tc>
          <w:tcPr>
            <w:tcW w:w="4620" w:type="dxa"/>
            <w:tcBorders>
              <w:top w:val="single" w:sz="4" w:space="0" w:color="auto"/>
              <w:left w:val="nil"/>
              <w:bottom w:val="single" w:sz="4" w:space="0" w:color="auto"/>
              <w:right w:val="single" w:sz="4" w:space="0" w:color="auto"/>
            </w:tcBorders>
            <w:vAlign w:val="center"/>
            <w:hideMark/>
          </w:tcPr>
          <w:p w14:paraId="1536C52C"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Displaced</w:t>
            </w:r>
            <w:r w:rsidRPr="00F10FC8">
              <w:rPr>
                <w:rFonts w:ascii="Arial" w:eastAsia="Times New Roman" w:hAnsi="Arial" w:cs="Arial"/>
                <w:sz w:val="18"/>
                <w:szCs w:val="18"/>
                <w:u w:val="single"/>
              </w:rPr>
              <w:t xml:space="preserve"> hot water (deaerator) heater </w:t>
            </w:r>
            <w:r w:rsidRPr="00F10FC8">
              <w:rPr>
                <w:rFonts w:ascii="Arial" w:eastAsia="Times New Roman" w:hAnsi="Arial" w:cs="Arial"/>
                <w:sz w:val="18"/>
                <w:szCs w:val="18"/>
              </w:rPr>
              <w:t>efficiency (%)</w:t>
            </w:r>
          </w:p>
        </w:tc>
        <w:tc>
          <w:tcPr>
            <w:tcW w:w="1440" w:type="dxa"/>
            <w:tcBorders>
              <w:top w:val="nil"/>
              <w:left w:val="nil"/>
              <w:bottom w:val="single" w:sz="4" w:space="0" w:color="auto"/>
              <w:right w:val="nil"/>
            </w:tcBorders>
            <w:vAlign w:val="center"/>
            <w:hideMark/>
          </w:tcPr>
          <w:p w14:paraId="7136D93C"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84%</w:t>
            </w:r>
          </w:p>
        </w:tc>
        <w:tc>
          <w:tcPr>
            <w:tcW w:w="1717" w:type="dxa"/>
            <w:tcBorders>
              <w:top w:val="nil"/>
              <w:left w:val="nil"/>
              <w:bottom w:val="single" w:sz="4" w:space="0" w:color="auto"/>
              <w:right w:val="single" w:sz="8" w:space="0" w:color="000000"/>
            </w:tcBorders>
            <w:vAlign w:val="center"/>
            <w:hideMark/>
          </w:tcPr>
          <w:p w14:paraId="6038D219"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w:t>
            </w:r>
          </w:p>
        </w:tc>
      </w:tr>
      <w:tr w:rsidR="00F10FC8" w:rsidRPr="00F10FC8" w14:paraId="65D584B4"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17EF210F"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21</w:t>
            </w:r>
          </w:p>
        </w:tc>
        <w:tc>
          <w:tcPr>
            <w:tcW w:w="4620" w:type="dxa"/>
            <w:tcBorders>
              <w:top w:val="single" w:sz="4" w:space="0" w:color="auto"/>
              <w:left w:val="nil"/>
              <w:bottom w:val="single" w:sz="4" w:space="0" w:color="auto"/>
              <w:right w:val="single" w:sz="4" w:space="0" w:color="auto"/>
            </w:tcBorders>
            <w:noWrap/>
            <w:vAlign w:val="center"/>
            <w:hideMark/>
          </w:tcPr>
          <w:p w14:paraId="4BD40235"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Economizer (Heat exchanger) effectiveness (%)</w:t>
            </w:r>
          </w:p>
        </w:tc>
        <w:tc>
          <w:tcPr>
            <w:tcW w:w="1440" w:type="dxa"/>
            <w:tcBorders>
              <w:top w:val="nil"/>
              <w:left w:val="nil"/>
              <w:bottom w:val="single" w:sz="4" w:space="0" w:color="auto"/>
              <w:right w:val="nil"/>
            </w:tcBorders>
            <w:vAlign w:val="center"/>
            <w:hideMark/>
          </w:tcPr>
          <w:p w14:paraId="1F658937"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60%</w:t>
            </w:r>
          </w:p>
        </w:tc>
        <w:tc>
          <w:tcPr>
            <w:tcW w:w="1717" w:type="dxa"/>
            <w:tcBorders>
              <w:top w:val="nil"/>
              <w:left w:val="nil"/>
              <w:bottom w:val="single" w:sz="4" w:space="0" w:color="auto"/>
              <w:right w:val="single" w:sz="8" w:space="0" w:color="000000"/>
            </w:tcBorders>
            <w:vAlign w:val="center"/>
            <w:hideMark/>
          </w:tcPr>
          <w:p w14:paraId="154DD448"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w:t>
            </w:r>
          </w:p>
        </w:tc>
      </w:tr>
      <w:tr w:rsidR="00F10FC8" w:rsidRPr="00F10FC8" w14:paraId="45B78704"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4B50D038"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22</w:t>
            </w:r>
          </w:p>
        </w:tc>
        <w:tc>
          <w:tcPr>
            <w:tcW w:w="4620" w:type="dxa"/>
            <w:tcBorders>
              <w:top w:val="single" w:sz="4" w:space="0" w:color="auto"/>
              <w:left w:val="nil"/>
              <w:bottom w:val="single" w:sz="4" w:space="0" w:color="auto"/>
              <w:right w:val="single" w:sz="4" w:space="0" w:color="auto"/>
            </w:tcBorders>
            <w:shd w:val="clear" w:color="auto" w:fill="FFFFFF"/>
            <w:vAlign w:val="center"/>
            <w:hideMark/>
          </w:tcPr>
          <w:p w14:paraId="7650E495"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Heat transferred to cold feed water </w:t>
            </w:r>
          </w:p>
        </w:tc>
        <w:tc>
          <w:tcPr>
            <w:tcW w:w="1440" w:type="dxa"/>
            <w:tcBorders>
              <w:top w:val="nil"/>
              <w:left w:val="nil"/>
              <w:bottom w:val="single" w:sz="4" w:space="0" w:color="auto"/>
              <w:right w:val="nil"/>
            </w:tcBorders>
            <w:shd w:val="clear" w:color="auto" w:fill="FFFF99"/>
            <w:vAlign w:val="center"/>
            <w:hideMark/>
          </w:tcPr>
          <w:p w14:paraId="185E2C15" w14:textId="77777777" w:rsidR="00F10FC8" w:rsidRPr="00F10FC8" w:rsidRDefault="00F10FC8" w:rsidP="00BF6FE4">
            <w:pPr>
              <w:spacing w:before="0" w:after="0" w:line="276" w:lineRule="auto"/>
              <w:jc w:val="right"/>
              <w:rPr>
                <w:rFonts w:ascii="Arial" w:eastAsia="Times New Roman" w:hAnsi="Arial" w:cs="Arial"/>
                <w:color w:val="0000FF"/>
                <w:sz w:val="18"/>
                <w:szCs w:val="18"/>
              </w:rPr>
            </w:pPr>
            <w:r w:rsidRPr="00F10FC8">
              <w:rPr>
                <w:rFonts w:ascii="Arial" w:eastAsia="Times New Roman" w:hAnsi="Arial" w:cs="Arial"/>
                <w:color w:val="0000FF"/>
                <w:sz w:val="18"/>
                <w:szCs w:val="18"/>
              </w:rPr>
              <w:t>507,742</w:t>
            </w:r>
          </w:p>
        </w:tc>
        <w:tc>
          <w:tcPr>
            <w:tcW w:w="1717" w:type="dxa"/>
            <w:tcBorders>
              <w:top w:val="nil"/>
              <w:left w:val="nil"/>
              <w:bottom w:val="single" w:sz="4" w:space="0" w:color="auto"/>
              <w:right w:val="single" w:sz="8" w:space="0" w:color="000000"/>
            </w:tcBorders>
            <w:shd w:val="clear" w:color="auto" w:fill="FFFF99"/>
            <w:vAlign w:val="center"/>
            <w:hideMark/>
          </w:tcPr>
          <w:p w14:paraId="6FCDD028"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Btu/hr.</w:t>
            </w:r>
          </w:p>
        </w:tc>
      </w:tr>
      <w:tr w:rsidR="00F10FC8" w:rsidRPr="00F10FC8" w14:paraId="53C03DB0"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2CC3814A"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23</w:t>
            </w:r>
          </w:p>
        </w:tc>
        <w:tc>
          <w:tcPr>
            <w:tcW w:w="4620" w:type="dxa"/>
            <w:tcBorders>
              <w:top w:val="single" w:sz="4" w:space="0" w:color="auto"/>
              <w:left w:val="nil"/>
              <w:bottom w:val="single" w:sz="4" w:space="0" w:color="auto"/>
              <w:right w:val="single" w:sz="4" w:space="0" w:color="auto"/>
            </w:tcBorders>
            <w:shd w:val="clear" w:color="auto" w:fill="FFFFFF"/>
            <w:vAlign w:val="center"/>
            <w:hideMark/>
          </w:tcPr>
          <w:p w14:paraId="6343CFBE"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Flue gas (hot-side) outlet temperature </w:t>
            </w:r>
          </w:p>
        </w:tc>
        <w:tc>
          <w:tcPr>
            <w:tcW w:w="1440" w:type="dxa"/>
            <w:tcBorders>
              <w:top w:val="nil"/>
              <w:left w:val="nil"/>
              <w:bottom w:val="single" w:sz="4" w:space="0" w:color="auto"/>
              <w:right w:val="nil"/>
            </w:tcBorders>
            <w:shd w:val="clear" w:color="auto" w:fill="FFFF99"/>
            <w:vAlign w:val="center"/>
            <w:hideMark/>
          </w:tcPr>
          <w:p w14:paraId="3B85A063" w14:textId="77777777" w:rsidR="00F10FC8" w:rsidRPr="00F10FC8" w:rsidRDefault="00F10FC8" w:rsidP="00BF6FE4">
            <w:pPr>
              <w:spacing w:before="0" w:after="0" w:line="276" w:lineRule="auto"/>
              <w:jc w:val="right"/>
              <w:rPr>
                <w:rFonts w:ascii="Arial" w:eastAsia="Times New Roman" w:hAnsi="Arial" w:cs="Arial"/>
                <w:color w:val="0000FF"/>
                <w:sz w:val="18"/>
                <w:szCs w:val="18"/>
              </w:rPr>
            </w:pPr>
            <w:r w:rsidRPr="00F10FC8">
              <w:rPr>
                <w:rFonts w:ascii="Arial" w:eastAsia="Times New Roman" w:hAnsi="Arial" w:cs="Arial"/>
                <w:color w:val="0000FF"/>
                <w:sz w:val="18"/>
                <w:szCs w:val="18"/>
              </w:rPr>
              <w:t>283</w:t>
            </w:r>
          </w:p>
        </w:tc>
        <w:tc>
          <w:tcPr>
            <w:tcW w:w="1717" w:type="dxa"/>
            <w:tcBorders>
              <w:top w:val="nil"/>
              <w:left w:val="nil"/>
              <w:bottom w:val="single" w:sz="4" w:space="0" w:color="auto"/>
              <w:right w:val="single" w:sz="8" w:space="0" w:color="000000"/>
            </w:tcBorders>
            <w:shd w:val="clear" w:color="auto" w:fill="FFFF99"/>
            <w:vAlign w:val="center"/>
            <w:hideMark/>
          </w:tcPr>
          <w:p w14:paraId="1066D32E"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Deg. F.</w:t>
            </w:r>
          </w:p>
        </w:tc>
      </w:tr>
      <w:tr w:rsidR="00F10FC8" w:rsidRPr="00F10FC8" w14:paraId="0F607A51"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110B68B3"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24</w:t>
            </w:r>
          </w:p>
        </w:tc>
        <w:tc>
          <w:tcPr>
            <w:tcW w:w="4620" w:type="dxa"/>
            <w:tcBorders>
              <w:top w:val="single" w:sz="4" w:space="0" w:color="auto"/>
              <w:left w:val="nil"/>
              <w:bottom w:val="single" w:sz="4" w:space="0" w:color="auto"/>
              <w:right w:val="single" w:sz="4" w:space="0" w:color="auto"/>
            </w:tcBorders>
            <w:shd w:val="clear" w:color="auto" w:fill="FFFFFF"/>
            <w:vAlign w:val="center"/>
            <w:hideMark/>
          </w:tcPr>
          <w:p w14:paraId="7DBC53BF"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Feed water outlet temperature </w:t>
            </w:r>
          </w:p>
        </w:tc>
        <w:tc>
          <w:tcPr>
            <w:tcW w:w="1440" w:type="dxa"/>
            <w:tcBorders>
              <w:top w:val="nil"/>
              <w:left w:val="nil"/>
              <w:bottom w:val="single" w:sz="4" w:space="0" w:color="auto"/>
              <w:right w:val="nil"/>
            </w:tcBorders>
            <w:shd w:val="clear" w:color="auto" w:fill="FFFF99"/>
            <w:vAlign w:val="center"/>
            <w:hideMark/>
          </w:tcPr>
          <w:p w14:paraId="3CE5B37C" w14:textId="77777777" w:rsidR="00F10FC8" w:rsidRPr="00F10FC8" w:rsidRDefault="00F10FC8" w:rsidP="00BF6FE4">
            <w:pPr>
              <w:spacing w:before="0" w:after="0" w:line="276" w:lineRule="auto"/>
              <w:jc w:val="right"/>
              <w:rPr>
                <w:rFonts w:ascii="Arial" w:eastAsia="Times New Roman" w:hAnsi="Arial" w:cs="Arial"/>
                <w:color w:val="0000FF"/>
                <w:sz w:val="18"/>
                <w:szCs w:val="18"/>
              </w:rPr>
            </w:pPr>
            <w:r w:rsidRPr="00F10FC8">
              <w:rPr>
                <w:rFonts w:ascii="Arial" w:eastAsia="Times New Roman" w:hAnsi="Arial" w:cs="Arial"/>
                <w:color w:val="0000FF"/>
                <w:sz w:val="18"/>
                <w:szCs w:val="18"/>
              </w:rPr>
              <w:t>269</w:t>
            </w:r>
          </w:p>
        </w:tc>
        <w:tc>
          <w:tcPr>
            <w:tcW w:w="1717" w:type="dxa"/>
            <w:tcBorders>
              <w:top w:val="nil"/>
              <w:left w:val="nil"/>
              <w:bottom w:val="single" w:sz="4" w:space="0" w:color="auto"/>
              <w:right w:val="single" w:sz="8" w:space="0" w:color="000000"/>
            </w:tcBorders>
            <w:shd w:val="clear" w:color="auto" w:fill="FFFF99"/>
            <w:vAlign w:val="center"/>
            <w:hideMark/>
          </w:tcPr>
          <w:p w14:paraId="53236181"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Deg. F.</w:t>
            </w:r>
          </w:p>
        </w:tc>
      </w:tr>
      <w:tr w:rsidR="00F10FC8" w:rsidRPr="00F10FC8" w14:paraId="7A6749B2"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034130D9"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25</w:t>
            </w:r>
          </w:p>
        </w:tc>
        <w:tc>
          <w:tcPr>
            <w:tcW w:w="4620" w:type="dxa"/>
            <w:tcBorders>
              <w:top w:val="single" w:sz="4" w:space="0" w:color="auto"/>
              <w:left w:val="nil"/>
              <w:bottom w:val="single" w:sz="4" w:space="0" w:color="auto"/>
              <w:right w:val="single" w:sz="4" w:space="0" w:color="auto"/>
            </w:tcBorders>
            <w:shd w:val="clear" w:color="auto" w:fill="FFFFFF"/>
            <w:vAlign w:val="center"/>
            <w:hideMark/>
          </w:tcPr>
          <w:p w14:paraId="76FBA9E1"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Energy savings (%) </w:t>
            </w:r>
          </w:p>
        </w:tc>
        <w:tc>
          <w:tcPr>
            <w:tcW w:w="1440" w:type="dxa"/>
            <w:tcBorders>
              <w:top w:val="nil"/>
              <w:left w:val="nil"/>
              <w:bottom w:val="single" w:sz="4" w:space="0" w:color="auto"/>
              <w:right w:val="nil"/>
            </w:tcBorders>
            <w:shd w:val="clear" w:color="auto" w:fill="FFFF99"/>
            <w:vAlign w:val="center"/>
            <w:hideMark/>
          </w:tcPr>
          <w:p w14:paraId="2FB10DA9" w14:textId="77777777" w:rsidR="00F10FC8" w:rsidRPr="00F10FC8" w:rsidRDefault="00F10FC8" w:rsidP="00BF6FE4">
            <w:pPr>
              <w:spacing w:before="0" w:after="0" w:line="276" w:lineRule="auto"/>
              <w:jc w:val="right"/>
              <w:rPr>
                <w:rFonts w:ascii="Arial" w:eastAsia="Times New Roman" w:hAnsi="Arial" w:cs="Arial"/>
                <w:color w:val="0000FF"/>
                <w:sz w:val="18"/>
                <w:szCs w:val="18"/>
              </w:rPr>
            </w:pPr>
            <w:r w:rsidRPr="00F10FC8">
              <w:rPr>
                <w:rFonts w:ascii="Arial" w:eastAsia="Times New Roman" w:hAnsi="Arial" w:cs="Arial"/>
                <w:color w:val="0000FF"/>
                <w:sz w:val="18"/>
                <w:szCs w:val="18"/>
              </w:rPr>
              <w:t>2.7%</w:t>
            </w:r>
          </w:p>
        </w:tc>
        <w:tc>
          <w:tcPr>
            <w:tcW w:w="1717" w:type="dxa"/>
            <w:tcBorders>
              <w:top w:val="nil"/>
              <w:left w:val="nil"/>
              <w:bottom w:val="single" w:sz="4" w:space="0" w:color="auto"/>
              <w:right w:val="single" w:sz="8" w:space="0" w:color="000000"/>
            </w:tcBorders>
            <w:shd w:val="clear" w:color="auto" w:fill="FFFF99"/>
            <w:vAlign w:val="center"/>
            <w:hideMark/>
          </w:tcPr>
          <w:p w14:paraId="3665CC9C"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w:t>
            </w:r>
          </w:p>
        </w:tc>
      </w:tr>
      <w:tr w:rsidR="00F10FC8" w:rsidRPr="00F10FC8" w14:paraId="4996DF7C"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67832760"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26</w:t>
            </w:r>
          </w:p>
        </w:tc>
        <w:tc>
          <w:tcPr>
            <w:tcW w:w="4620" w:type="dxa"/>
            <w:tcBorders>
              <w:top w:val="single" w:sz="4" w:space="0" w:color="auto"/>
              <w:left w:val="nil"/>
              <w:bottom w:val="single" w:sz="4" w:space="0" w:color="auto"/>
              <w:right w:val="single" w:sz="4" w:space="0" w:color="auto"/>
            </w:tcBorders>
            <w:shd w:val="clear" w:color="auto" w:fill="FFFFFF"/>
            <w:noWrap/>
            <w:vAlign w:val="center"/>
            <w:hideMark/>
          </w:tcPr>
          <w:p w14:paraId="2D8A7581" w14:textId="77777777" w:rsidR="00F10FC8" w:rsidRPr="00F10FC8" w:rsidRDefault="00F10FC8" w:rsidP="00F10FC8">
            <w:pPr>
              <w:spacing w:before="0" w:after="0" w:line="276" w:lineRule="auto"/>
              <w:ind w:firstLineChars="100" w:firstLine="181"/>
              <w:rPr>
                <w:rFonts w:ascii="Arial" w:eastAsia="Times New Roman" w:hAnsi="Arial" w:cs="Arial"/>
                <w:b/>
                <w:bCs/>
                <w:sz w:val="18"/>
                <w:szCs w:val="18"/>
              </w:rPr>
            </w:pPr>
            <w:r w:rsidRPr="00F10FC8">
              <w:rPr>
                <w:rFonts w:ascii="Arial" w:eastAsia="Times New Roman" w:hAnsi="Arial" w:cs="Arial"/>
                <w:b/>
                <w:bCs/>
                <w:sz w:val="18"/>
                <w:szCs w:val="18"/>
              </w:rPr>
              <w:t xml:space="preserve">Annual energy savings </w:t>
            </w:r>
          </w:p>
        </w:tc>
        <w:tc>
          <w:tcPr>
            <w:tcW w:w="1440" w:type="dxa"/>
            <w:tcBorders>
              <w:top w:val="nil"/>
              <w:left w:val="nil"/>
              <w:bottom w:val="single" w:sz="4" w:space="0" w:color="auto"/>
              <w:right w:val="nil"/>
            </w:tcBorders>
            <w:shd w:val="clear" w:color="auto" w:fill="FFFF99"/>
            <w:vAlign w:val="center"/>
            <w:hideMark/>
          </w:tcPr>
          <w:p w14:paraId="33CA915B" w14:textId="77777777" w:rsidR="00F10FC8" w:rsidRPr="00F10FC8" w:rsidRDefault="00F10FC8" w:rsidP="00BF6FE4">
            <w:pPr>
              <w:spacing w:before="0" w:after="0" w:line="276" w:lineRule="auto"/>
              <w:jc w:val="right"/>
              <w:rPr>
                <w:rFonts w:ascii="Arial" w:eastAsia="Times New Roman" w:hAnsi="Arial" w:cs="Arial"/>
                <w:b/>
                <w:bCs/>
                <w:color w:val="0000FF"/>
                <w:sz w:val="18"/>
                <w:szCs w:val="18"/>
              </w:rPr>
            </w:pPr>
            <w:r w:rsidRPr="00F10FC8">
              <w:rPr>
                <w:rFonts w:ascii="Arial" w:eastAsia="Times New Roman" w:hAnsi="Arial" w:cs="Arial"/>
                <w:b/>
                <w:bCs/>
                <w:color w:val="0000FF"/>
                <w:sz w:val="18"/>
                <w:szCs w:val="18"/>
              </w:rPr>
              <w:t>5,270</w:t>
            </w:r>
          </w:p>
        </w:tc>
        <w:tc>
          <w:tcPr>
            <w:tcW w:w="1717" w:type="dxa"/>
            <w:tcBorders>
              <w:top w:val="nil"/>
              <w:left w:val="nil"/>
              <w:bottom w:val="single" w:sz="4" w:space="0" w:color="auto"/>
              <w:right w:val="single" w:sz="8" w:space="0" w:color="000000"/>
            </w:tcBorders>
            <w:shd w:val="clear" w:color="auto" w:fill="FFFF99"/>
            <w:noWrap/>
            <w:vAlign w:val="center"/>
            <w:hideMark/>
          </w:tcPr>
          <w:p w14:paraId="7D373270" w14:textId="77777777" w:rsidR="00F10FC8" w:rsidRPr="00F10FC8" w:rsidRDefault="00F10FC8" w:rsidP="00BF6FE4">
            <w:pPr>
              <w:spacing w:before="0" w:after="0" w:line="276" w:lineRule="auto"/>
              <w:ind w:left="163"/>
              <w:rPr>
                <w:rFonts w:ascii="Arial" w:eastAsia="Times New Roman" w:hAnsi="Arial" w:cs="Arial"/>
                <w:b/>
                <w:bCs/>
                <w:sz w:val="18"/>
                <w:szCs w:val="18"/>
              </w:rPr>
            </w:pPr>
            <w:r w:rsidRPr="00F10FC8">
              <w:rPr>
                <w:rFonts w:ascii="Arial" w:eastAsia="Times New Roman" w:hAnsi="Arial" w:cs="Arial"/>
                <w:b/>
                <w:bCs/>
                <w:sz w:val="18"/>
                <w:szCs w:val="18"/>
              </w:rPr>
              <w:t>MM Btu/year</w:t>
            </w:r>
          </w:p>
        </w:tc>
      </w:tr>
      <w:tr w:rsidR="00F10FC8" w:rsidRPr="00F10FC8" w14:paraId="13FC9151"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3C0867FF"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27</w:t>
            </w:r>
          </w:p>
        </w:tc>
        <w:tc>
          <w:tcPr>
            <w:tcW w:w="4620" w:type="dxa"/>
            <w:tcBorders>
              <w:top w:val="single" w:sz="4" w:space="0" w:color="auto"/>
              <w:left w:val="nil"/>
              <w:bottom w:val="single" w:sz="4" w:space="0" w:color="auto"/>
              <w:right w:val="single" w:sz="4" w:space="0" w:color="auto"/>
            </w:tcBorders>
            <w:vAlign w:val="center"/>
            <w:hideMark/>
          </w:tcPr>
          <w:p w14:paraId="298A7436" w14:textId="77777777" w:rsidR="00F10FC8" w:rsidRPr="00F10FC8" w:rsidRDefault="00F10FC8" w:rsidP="00F10FC8">
            <w:pPr>
              <w:spacing w:before="0" w:after="0" w:line="276" w:lineRule="auto"/>
              <w:ind w:firstLineChars="100" w:firstLine="180"/>
              <w:rPr>
                <w:rFonts w:ascii="Arial" w:eastAsia="Times New Roman" w:hAnsi="Arial" w:cs="Arial"/>
                <w:sz w:val="18"/>
                <w:szCs w:val="18"/>
              </w:rPr>
            </w:pPr>
            <w:r w:rsidRPr="00F10FC8">
              <w:rPr>
                <w:rFonts w:ascii="Arial" w:eastAsia="Times New Roman" w:hAnsi="Arial" w:cs="Arial"/>
                <w:sz w:val="18"/>
                <w:szCs w:val="18"/>
              </w:rPr>
              <w:t xml:space="preserve">Energy (natural gas) cost </w:t>
            </w:r>
          </w:p>
        </w:tc>
        <w:tc>
          <w:tcPr>
            <w:tcW w:w="1440" w:type="dxa"/>
            <w:tcBorders>
              <w:top w:val="nil"/>
              <w:left w:val="nil"/>
              <w:bottom w:val="single" w:sz="4" w:space="0" w:color="auto"/>
              <w:right w:val="nil"/>
            </w:tcBorders>
            <w:vAlign w:val="center"/>
            <w:hideMark/>
          </w:tcPr>
          <w:p w14:paraId="3F98F58A" w14:textId="77777777" w:rsidR="00F10FC8" w:rsidRPr="00F10FC8" w:rsidRDefault="00F10FC8" w:rsidP="00BF6FE4">
            <w:pPr>
              <w:spacing w:before="0" w:after="0" w:line="276" w:lineRule="auto"/>
              <w:jc w:val="right"/>
              <w:rPr>
                <w:rFonts w:ascii="Arial" w:eastAsia="Times New Roman" w:hAnsi="Arial" w:cs="Arial"/>
                <w:sz w:val="18"/>
                <w:szCs w:val="18"/>
              </w:rPr>
            </w:pPr>
            <w:r w:rsidRPr="00F10FC8">
              <w:rPr>
                <w:rFonts w:ascii="Arial" w:eastAsia="Times New Roman" w:hAnsi="Arial" w:cs="Arial"/>
                <w:sz w:val="18"/>
                <w:szCs w:val="18"/>
              </w:rPr>
              <w:t>$8.00</w:t>
            </w:r>
          </w:p>
        </w:tc>
        <w:tc>
          <w:tcPr>
            <w:tcW w:w="1717" w:type="dxa"/>
            <w:tcBorders>
              <w:top w:val="nil"/>
              <w:left w:val="nil"/>
              <w:bottom w:val="single" w:sz="4" w:space="0" w:color="auto"/>
              <w:right w:val="single" w:sz="8" w:space="0" w:color="000000"/>
            </w:tcBorders>
            <w:vAlign w:val="center"/>
            <w:hideMark/>
          </w:tcPr>
          <w:p w14:paraId="6A107244" w14:textId="77777777" w:rsidR="00F10FC8" w:rsidRPr="00F10FC8" w:rsidRDefault="00F10FC8" w:rsidP="00BF6FE4">
            <w:pPr>
              <w:spacing w:before="0" w:after="0" w:line="276" w:lineRule="auto"/>
              <w:ind w:left="163"/>
              <w:rPr>
                <w:rFonts w:ascii="Arial" w:eastAsia="Times New Roman" w:hAnsi="Arial" w:cs="Arial"/>
                <w:sz w:val="18"/>
                <w:szCs w:val="18"/>
              </w:rPr>
            </w:pPr>
            <w:r w:rsidRPr="00F10FC8">
              <w:rPr>
                <w:rFonts w:ascii="Arial" w:eastAsia="Times New Roman" w:hAnsi="Arial" w:cs="Arial"/>
                <w:sz w:val="18"/>
                <w:szCs w:val="18"/>
              </w:rPr>
              <w:t>$/MM Btu</w:t>
            </w:r>
          </w:p>
        </w:tc>
      </w:tr>
      <w:tr w:rsidR="00F10FC8" w:rsidRPr="00F10FC8" w14:paraId="5E8849D6" w14:textId="77777777" w:rsidTr="00F10FC8">
        <w:trPr>
          <w:trHeight w:val="24"/>
        </w:trPr>
        <w:tc>
          <w:tcPr>
            <w:tcW w:w="680" w:type="dxa"/>
            <w:tcBorders>
              <w:top w:val="nil"/>
              <w:left w:val="single" w:sz="8" w:space="0" w:color="auto"/>
              <w:bottom w:val="single" w:sz="4" w:space="0" w:color="auto"/>
              <w:right w:val="single" w:sz="4" w:space="0" w:color="auto"/>
            </w:tcBorders>
            <w:noWrap/>
            <w:vAlign w:val="center"/>
            <w:hideMark/>
          </w:tcPr>
          <w:p w14:paraId="5B5F9881"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28</w:t>
            </w:r>
          </w:p>
        </w:tc>
        <w:tc>
          <w:tcPr>
            <w:tcW w:w="4620" w:type="dxa"/>
            <w:tcBorders>
              <w:top w:val="single" w:sz="4" w:space="0" w:color="auto"/>
              <w:left w:val="nil"/>
              <w:bottom w:val="single" w:sz="4" w:space="0" w:color="auto"/>
              <w:right w:val="single" w:sz="4" w:space="0" w:color="auto"/>
            </w:tcBorders>
            <w:noWrap/>
            <w:vAlign w:val="center"/>
            <w:hideMark/>
          </w:tcPr>
          <w:p w14:paraId="7D6A8306" w14:textId="77777777" w:rsidR="00F10FC8" w:rsidRPr="00F10FC8" w:rsidRDefault="00F10FC8" w:rsidP="00F10FC8">
            <w:pPr>
              <w:spacing w:before="0" w:after="0" w:line="276" w:lineRule="auto"/>
              <w:ind w:firstLineChars="100" w:firstLine="181"/>
              <w:rPr>
                <w:rFonts w:ascii="Arial" w:eastAsia="Times New Roman" w:hAnsi="Arial" w:cs="Arial"/>
                <w:b/>
                <w:bCs/>
                <w:sz w:val="18"/>
                <w:szCs w:val="18"/>
              </w:rPr>
            </w:pPr>
            <w:r w:rsidRPr="00F10FC8">
              <w:rPr>
                <w:rFonts w:ascii="Arial" w:eastAsia="Times New Roman" w:hAnsi="Arial" w:cs="Arial"/>
                <w:b/>
                <w:bCs/>
                <w:sz w:val="18"/>
                <w:szCs w:val="18"/>
              </w:rPr>
              <w:t xml:space="preserve">Annual cost savings </w:t>
            </w:r>
          </w:p>
        </w:tc>
        <w:tc>
          <w:tcPr>
            <w:tcW w:w="1440" w:type="dxa"/>
            <w:tcBorders>
              <w:top w:val="nil"/>
              <w:left w:val="nil"/>
              <w:bottom w:val="single" w:sz="4" w:space="0" w:color="auto"/>
              <w:right w:val="nil"/>
            </w:tcBorders>
            <w:vAlign w:val="center"/>
            <w:hideMark/>
          </w:tcPr>
          <w:p w14:paraId="7A31682D" w14:textId="77777777" w:rsidR="00F10FC8" w:rsidRPr="00F10FC8" w:rsidRDefault="00F10FC8" w:rsidP="00BF6FE4">
            <w:pPr>
              <w:spacing w:before="0" w:after="0" w:line="276" w:lineRule="auto"/>
              <w:jc w:val="right"/>
              <w:rPr>
                <w:rFonts w:ascii="Arial" w:eastAsia="Times New Roman" w:hAnsi="Arial" w:cs="Arial"/>
                <w:b/>
                <w:bCs/>
                <w:color w:val="0000FF"/>
                <w:sz w:val="18"/>
                <w:szCs w:val="18"/>
              </w:rPr>
            </w:pPr>
            <w:r w:rsidRPr="00F10FC8">
              <w:rPr>
                <w:rFonts w:ascii="Arial" w:eastAsia="Times New Roman" w:hAnsi="Arial" w:cs="Arial"/>
                <w:b/>
                <w:bCs/>
                <w:color w:val="0000FF"/>
                <w:sz w:val="18"/>
                <w:szCs w:val="18"/>
              </w:rPr>
              <w:t>$42,159</w:t>
            </w:r>
          </w:p>
        </w:tc>
        <w:tc>
          <w:tcPr>
            <w:tcW w:w="1717" w:type="dxa"/>
            <w:tcBorders>
              <w:top w:val="nil"/>
              <w:left w:val="nil"/>
              <w:bottom w:val="single" w:sz="4" w:space="0" w:color="auto"/>
              <w:right w:val="single" w:sz="8" w:space="0" w:color="000000"/>
            </w:tcBorders>
            <w:shd w:val="clear" w:color="auto" w:fill="FFFF99"/>
            <w:vAlign w:val="center"/>
            <w:hideMark/>
          </w:tcPr>
          <w:p w14:paraId="54766EDF" w14:textId="77777777" w:rsidR="00F10FC8" w:rsidRPr="00F10FC8" w:rsidRDefault="00F10FC8" w:rsidP="00BF6FE4">
            <w:pPr>
              <w:spacing w:before="0" w:after="0" w:line="276" w:lineRule="auto"/>
              <w:ind w:left="163"/>
              <w:rPr>
                <w:rFonts w:ascii="Arial" w:eastAsia="Times New Roman" w:hAnsi="Arial" w:cs="Arial"/>
                <w:b/>
                <w:bCs/>
                <w:sz w:val="18"/>
                <w:szCs w:val="18"/>
              </w:rPr>
            </w:pPr>
            <w:r w:rsidRPr="00F10FC8">
              <w:rPr>
                <w:rFonts w:ascii="Arial" w:eastAsia="Times New Roman" w:hAnsi="Arial" w:cs="Arial"/>
                <w:b/>
                <w:bCs/>
                <w:sz w:val="18"/>
                <w:szCs w:val="18"/>
              </w:rPr>
              <w:t>$/year</w:t>
            </w:r>
          </w:p>
        </w:tc>
      </w:tr>
      <w:tr w:rsidR="00F10FC8" w:rsidRPr="00F10FC8" w14:paraId="56C2CE1D" w14:textId="77777777" w:rsidTr="00F10FC8">
        <w:trPr>
          <w:trHeight w:val="24"/>
        </w:trPr>
        <w:tc>
          <w:tcPr>
            <w:tcW w:w="680" w:type="dxa"/>
            <w:tcBorders>
              <w:top w:val="nil"/>
              <w:left w:val="single" w:sz="8" w:space="0" w:color="auto"/>
              <w:bottom w:val="single" w:sz="8" w:space="0" w:color="auto"/>
              <w:right w:val="single" w:sz="4" w:space="0" w:color="auto"/>
            </w:tcBorders>
            <w:noWrap/>
            <w:vAlign w:val="center"/>
            <w:hideMark/>
          </w:tcPr>
          <w:p w14:paraId="2D857501" w14:textId="77777777" w:rsidR="00F10FC8" w:rsidRPr="00F10FC8" w:rsidRDefault="00F10FC8" w:rsidP="00F10FC8">
            <w:pPr>
              <w:spacing w:before="0" w:after="0" w:line="276" w:lineRule="auto"/>
              <w:jc w:val="center"/>
              <w:rPr>
                <w:rFonts w:ascii="Arial" w:eastAsia="Times New Roman" w:hAnsi="Arial" w:cs="Arial"/>
                <w:sz w:val="18"/>
                <w:szCs w:val="18"/>
              </w:rPr>
            </w:pPr>
            <w:r w:rsidRPr="00F10FC8">
              <w:rPr>
                <w:rFonts w:ascii="Arial" w:eastAsia="Times New Roman" w:hAnsi="Arial" w:cs="Arial"/>
                <w:sz w:val="18"/>
                <w:szCs w:val="18"/>
              </w:rPr>
              <w:t>29</w:t>
            </w:r>
          </w:p>
        </w:tc>
        <w:tc>
          <w:tcPr>
            <w:tcW w:w="4620" w:type="dxa"/>
            <w:tcBorders>
              <w:top w:val="single" w:sz="4" w:space="0" w:color="auto"/>
              <w:left w:val="nil"/>
              <w:bottom w:val="single" w:sz="8" w:space="0" w:color="auto"/>
              <w:right w:val="single" w:sz="4" w:space="0" w:color="auto"/>
            </w:tcBorders>
            <w:shd w:val="clear" w:color="auto" w:fill="FFFFFF"/>
            <w:vAlign w:val="center"/>
            <w:hideMark/>
          </w:tcPr>
          <w:p w14:paraId="73E66E2B" w14:textId="77777777" w:rsidR="00F10FC8" w:rsidRPr="00F10FC8" w:rsidRDefault="00F10FC8" w:rsidP="00F10FC8">
            <w:pPr>
              <w:spacing w:before="0" w:after="0" w:line="276" w:lineRule="auto"/>
              <w:ind w:firstLineChars="100" w:firstLine="181"/>
              <w:rPr>
                <w:rFonts w:ascii="Arial" w:eastAsia="Times New Roman" w:hAnsi="Arial" w:cs="Arial"/>
                <w:b/>
                <w:bCs/>
                <w:sz w:val="18"/>
                <w:szCs w:val="18"/>
              </w:rPr>
            </w:pPr>
            <w:r w:rsidRPr="00F10FC8">
              <w:rPr>
                <w:rFonts w:ascii="Arial" w:eastAsia="Times New Roman" w:hAnsi="Arial" w:cs="Arial"/>
                <w:b/>
                <w:bCs/>
                <w:sz w:val="18"/>
                <w:szCs w:val="18"/>
              </w:rPr>
              <w:t xml:space="preserve">Annual CO2 savings based on natural gas as fuel </w:t>
            </w:r>
          </w:p>
        </w:tc>
        <w:tc>
          <w:tcPr>
            <w:tcW w:w="1440" w:type="dxa"/>
            <w:tcBorders>
              <w:top w:val="nil"/>
              <w:left w:val="nil"/>
              <w:bottom w:val="single" w:sz="8" w:space="0" w:color="auto"/>
              <w:right w:val="nil"/>
            </w:tcBorders>
            <w:shd w:val="clear" w:color="auto" w:fill="FFFF99"/>
            <w:vAlign w:val="center"/>
            <w:hideMark/>
          </w:tcPr>
          <w:p w14:paraId="6A1D5A69" w14:textId="77777777" w:rsidR="00F10FC8" w:rsidRPr="00F10FC8" w:rsidRDefault="00F10FC8" w:rsidP="00BF6FE4">
            <w:pPr>
              <w:spacing w:before="0" w:after="0" w:line="276" w:lineRule="auto"/>
              <w:jc w:val="right"/>
              <w:rPr>
                <w:rFonts w:ascii="Arial" w:eastAsia="Times New Roman" w:hAnsi="Arial" w:cs="Arial"/>
                <w:b/>
                <w:bCs/>
                <w:color w:val="0000FF"/>
                <w:sz w:val="18"/>
                <w:szCs w:val="18"/>
              </w:rPr>
            </w:pPr>
            <w:r w:rsidRPr="00F10FC8">
              <w:rPr>
                <w:rFonts w:ascii="Arial" w:eastAsia="Times New Roman" w:hAnsi="Arial" w:cs="Arial"/>
                <w:b/>
                <w:bCs/>
                <w:color w:val="0000FF"/>
                <w:sz w:val="18"/>
                <w:szCs w:val="18"/>
              </w:rPr>
              <w:t>308</w:t>
            </w:r>
          </w:p>
        </w:tc>
        <w:tc>
          <w:tcPr>
            <w:tcW w:w="1717" w:type="dxa"/>
            <w:tcBorders>
              <w:top w:val="nil"/>
              <w:left w:val="nil"/>
              <w:bottom w:val="single" w:sz="8" w:space="0" w:color="auto"/>
              <w:right w:val="single" w:sz="8" w:space="0" w:color="000000"/>
            </w:tcBorders>
            <w:shd w:val="clear" w:color="auto" w:fill="FFFF99"/>
            <w:vAlign w:val="center"/>
            <w:hideMark/>
          </w:tcPr>
          <w:p w14:paraId="0322527A" w14:textId="77777777" w:rsidR="00F10FC8" w:rsidRPr="00F10FC8" w:rsidRDefault="00F10FC8" w:rsidP="00BF6FE4">
            <w:pPr>
              <w:spacing w:before="0" w:after="0" w:line="276" w:lineRule="auto"/>
              <w:ind w:left="163"/>
              <w:rPr>
                <w:rFonts w:ascii="Arial" w:eastAsia="Times New Roman" w:hAnsi="Arial" w:cs="Arial"/>
                <w:b/>
                <w:bCs/>
                <w:sz w:val="18"/>
                <w:szCs w:val="18"/>
              </w:rPr>
            </w:pPr>
            <w:r w:rsidRPr="00F10FC8">
              <w:rPr>
                <w:rFonts w:ascii="Arial" w:eastAsia="Times New Roman" w:hAnsi="Arial" w:cs="Arial"/>
                <w:b/>
                <w:bCs/>
                <w:sz w:val="18"/>
                <w:szCs w:val="18"/>
              </w:rPr>
              <w:t>Tons/year</w:t>
            </w:r>
          </w:p>
        </w:tc>
      </w:tr>
    </w:tbl>
    <w:p w14:paraId="0A6A066F" w14:textId="77777777" w:rsidR="00F10FC8" w:rsidRPr="00F10FC8" w:rsidRDefault="00F10FC8" w:rsidP="00F10FC8">
      <w:pPr>
        <w:spacing w:before="40" w:after="40" w:line="240" w:lineRule="auto"/>
        <w:rPr>
          <w:rFonts w:ascii="Calibri" w:eastAsia="Times New Roman" w:hAnsi="Calibri" w:cs="Times New Roman"/>
          <w:szCs w:val="22"/>
        </w:rPr>
      </w:pPr>
    </w:p>
    <w:p w14:paraId="75E4A441" w14:textId="23827132" w:rsidR="005F4D5D" w:rsidRPr="00866A68" w:rsidRDefault="00A2742E" w:rsidP="006C15D9">
      <w:pPr>
        <w:pStyle w:val="eTRMHeading4"/>
      </w:pPr>
      <w:r>
        <w:lastRenderedPageBreak/>
        <w:t xml:space="preserve">Example #2: </w:t>
      </w:r>
      <w:r w:rsidR="005F4D5D" w:rsidRPr="00866A68">
        <w:t>Dual</w:t>
      </w:r>
      <w:r w:rsidR="00E47B64">
        <w:t>-</w:t>
      </w:r>
      <w:r w:rsidR="005F4D5D" w:rsidRPr="00866A68">
        <w:t xml:space="preserve">Stage Economizer </w:t>
      </w:r>
    </w:p>
    <w:p w14:paraId="5F7E4C58" w14:textId="3DAA6E0F" w:rsidR="005F4D5D" w:rsidRDefault="005F4D5D" w:rsidP="005F4D5D">
      <w:pPr>
        <w:spacing w:after="0"/>
        <w:rPr>
          <w:rFonts w:eastAsiaTheme="minorHAnsi"/>
        </w:rPr>
      </w:pPr>
      <w:r w:rsidRPr="005F4D5D">
        <w:rPr>
          <w:rFonts w:eastAsiaTheme="minorHAnsi"/>
        </w:rPr>
        <w:t xml:space="preserve">A national vendor of heat recovery systems provided project data on a two-stage exhaust economizer. The </w:t>
      </w:r>
      <w:r w:rsidR="00CD5B38">
        <w:rPr>
          <w:rFonts w:eastAsiaTheme="minorHAnsi"/>
        </w:rPr>
        <w:t>f</w:t>
      </w:r>
      <w:r w:rsidRPr="005F4D5D">
        <w:rPr>
          <w:rFonts w:eastAsiaTheme="minorHAnsi"/>
        </w:rPr>
        <w:t xml:space="preserve">eedwater </w:t>
      </w:r>
      <w:r w:rsidR="00CD5B38">
        <w:rPr>
          <w:rFonts w:eastAsiaTheme="minorHAnsi"/>
        </w:rPr>
        <w:t>and</w:t>
      </w:r>
      <w:r w:rsidRPr="005F4D5D">
        <w:rPr>
          <w:rFonts w:eastAsiaTheme="minorHAnsi"/>
        </w:rPr>
        <w:t xml:space="preserve"> </w:t>
      </w:r>
      <w:r w:rsidR="00CD5B38">
        <w:rPr>
          <w:rFonts w:eastAsiaTheme="minorHAnsi"/>
        </w:rPr>
        <w:t>m</w:t>
      </w:r>
      <w:r w:rsidRPr="005F4D5D">
        <w:rPr>
          <w:rFonts w:eastAsiaTheme="minorHAnsi"/>
        </w:rPr>
        <w:t xml:space="preserve">akeup </w:t>
      </w:r>
      <w:r w:rsidR="00CD5B38">
        <w:rPr>
          <w:rFonts w:eastAsiaTheme="minorHAnsi"/>
        </w:rPr>
        <w:t>w</w:t>
      </w:r>
      <w:r w:rsidRPr="005F4D5D">
        <w:rPr>
          <w:rFonts w:eastAsiaTheme="minorHAnsi"/>
        </w:rPr>
        <w:t xml:space="preserve">ater </w:t>
      </w:r>
      <w:r w:rsidR="00CD5B38">
        <w:rPr>
          <w:rFonts w:eastAsiaTheme="minorHAnsi"/>
        </w:rPr>
        <w:t>p</w:t>
      </w:r>
      <w:r w:rsidRPr="005F4D5D">
        <w:rPr>
          <w:rFonts w:eastAsiaTheme="minorHAnsi"/>
        </w:rPr>
        <w:t>reheater</w:t>
      </w:r>
      <w:r w:rsidR="00A32DB7">
        <w:rPr>
          <w:rFonts w:eastAsiaTheme="minorHAnsi"/>
        </w:rPr>
        <w:t xml:space="preserve"> and heat recovery</w:t>
      </w:r>
      <w:r w:rsidRPr="005F4D5D">
        <w:rPr>
          <w:rFonts w:eastAsiaTheme="minorHAnsi"/>
        </w:rPr>
        <w:t xml:space="preserve"> </w:t>
      </w:r>
      <w:r w:rsidR="00CD5B38">
        <w:rPr>
          <w:rFonts w:eastAsiaTheme="minorHAnsi"/>
        </w:rPr>
        <w:t xml:space="preserve">calculations </w:t>
      </w:r>
      <w:r w:rsidRPr="005F4D5D">
        <w:rPr>
          <w:rFonts w:eastAsiaTheme="minorHAnsi"/>
        </w:rPr>
        <w:t xml:space="preserve">are presented </w:t>
      </w:r>
      <w:r w:rsidR="00CD5B38">
        <w:rPr>
          <w:rFonts w:eastAsiaTheme="minorHAnsi"/>
        </w:rPr>
        <w:t>below.</w:t>
      </w:r>
    </w:p>
    <w:p w14:paraId="166F2D0C" w14:textId="5F41BA08" w:rsidR="00CD5B38" w:rsidRPr="00997505" w:rsidRDefault="00CD5B38" w:rsidP="006C15D9">
      <w:pPr>
        <w:pStyle w:val="Caption"/>
        <w:rPr>
          <w:rFonts w:eastAsiaTheme="minorHAnsi"/>
        </w:rPr>
      </w:pPr>
      <w:r w:rsidRPr="00997505">
        <w:t>1,000 Horsepower Boiler Exhaust Economizer</w:t>
      </w:r>
      <w:r>
        <w:t xml:space="preserve"> Savings Calculations</w:t>
      </w:r>
    </w:p>
    <w:p w14:paraId="495CDB79" w14:textId="77777777" w:rsidR="00A7055A" w:rsidRDefault="005F4D5D" w:rsidP="004C3885">
      <w:pPr>
        <w:spacing w:after="0"/>
        <w:jc w:val="center"/>
      </w:pPr>
      <w:r>
        <w:rPr>
          <w:noProof/>
        </w:rPr>
        <w:drawing>
          <wp:inline distT="0" distB="0" distL="0" distR="0" wp14:anchorId="1ABD937A" wp14:editId="1FA4D6FC">
            <wp:extent cx="4287982" cy="2701637"/>
            <wp:effectExtent l="0" t="0" r="0" b="381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3">
                      <a:extLst>
                        <a:ext uri="{28A0092B-C50C-407E-A947-70E740481C1C}">
                          <a14:useLocalDpi xmlns:a14="http://schemas.microsoft.com/office/drawing/2010/main" val="0"/>
                        </a:ext>
                      </a:extLst>
                    </a:blip>
                    <a:stretch>
                      <a:fillRect/>
                    </a:stretch>
                  </pic:blipFill>
                  <pic:spPr>
                    <a:xfrm>
                      <a:off x="0" y="0"/>
                      <a:ext cx="4304840" cy="2712258"/>
                    </a:xfrm>
                    <a:prstGeom prst="rect">
                      <a:avLst/>
                    </a:prstGeom>
                  </pic:spPr>
                </pic:pic>
              </a:graphicData>
            </a:graphic>
          </wp:inline>
        </w:drawing>
      </w:r>
      <w:bookmarkStart w:id="48" w:name="_Toc18495743"/>
    </w:p>
    <w:p w14:paraId="7F39CEDF" w14:textId="6E622674" w:rsidR="000C6F53" w:rsidRDefault="000C6F53" w:rsidP="005F4D5D">
      <w:pPr>
        <w:spacing w:after="0"/>
        <w:rPr>
          <w:rFonts w:eastAsiaTheme="minorHAnsi"/>
          <w:b/>
          <w:sz w:val="24"/>
        </w:rPr>
      </w:pPr>
      <w:bookmarkStart w:id="49" w:name="_Toc486490859"/>
      <w:bookmarkStart w:id="50" w:name="_Toc486580930"/>
      <w:bookmarkEnd w:id="48"/>
    </w:p>
    <w:p w14:paraId="703198CD" w14:textId="3A731B33" w:rsidR="00A32DB7" w:rsidRDefault="00A32DB7" w:rsidP="00A42921">
      <w:pPr>
        <w:pStyle w:val="Caption"/>
        <w:rPr>
          <w:rFonts w:asciiTheme="minorHAnsi" w:hAnsiTheme="minorHAnsi"/>
        </w:rPr>
      </w:pPr>
      <w:r>
        <w:t xml:space="preserve">Project </w:t>
      </w:r>
      <w:r w:rsidR="00911AE5">
        <w:t>D</w:t>
      </w:r>
      <w:r>
        <w:t xml:space="preserve">ata </w:t>
      </w:r>
      <w:r w:rsidR="00911AE5">
        <w:t>S</w:t>
      </w:r>
      <w:r>
        <w:t>ubmitted by N</w:t>
      </w:r>
      <w:r w:rsidRPr="005F4D5D">
        <w:t xml:space="preserve">ational </w:t>
      </w:r>
      <w:r>
        <w:t>V</w:t>
      </w:r>
      <w:r w:rsidRPr="005F4D5D">
        <w:t xml:space="preserve">endor of </w:t>
      </w:r>
      <w:r>
        <w:t>H</w:t>
      </w:r>
      <w:r w:rsidRPr="005F4D5D">
        <w:t xml:space="preserve">eat </w:t>
      </w:r>
      <w:r>
        <w:t>R</w:t>
      </w:r>
      <w:r w:rsidRPr="005F4D5D">
        <w:t xml:space="preserve">ecovery </w:t>
      </w:r>
      <w:r>
        <w:t>S</w:t>
      </w:r>
      <w:r w:rsidRPr="005F4D5D">
        <w:t>ystems</w:t>
      </w:r>
    </w:p>
    <w:tbl>
      <w:tblPr>
        <w:tblW w:w="8895" w:type="dxa"/>
        <w:tblLayout w:type="fixed"/>
        <w:tblLook w:val="04A0" w:firstRow="1" w:lastRow="0" w:firstColumn="1" w:lastColumn="0" w:noHBand="0" w:noVBand="1"/>
      </w:tblPr>
      <w:tblGrid>
        <w:gridCol w:w="507"/>
        <w:gridCol w:w="3108"/>
        <w:gridCol w:w="1270"/>
        <w:gridCol w:w="1361"/>
        <w:gridCol w:w="2649"/>
      </w:tblGrid>
      <w:tr w:rsidR="00A32DB7" w:rsidRPr="00676F30" w14:paraId="115ED2B5" w14:textId="77777777" w:rsidTr="00A15E1E">
        <w:trPr>
          <w:trHeight w:val="161"/>
          <w:tblHeader/>
        </w:trPr>
        <w:tc>
          <w:tcPr>
            <w:tcW w:w="8895" w:type="dxa"/>
            <w:gridSpan w:val="5"/>
            <w:tcBorders>
              <w:top w:val="single" w:sz="12" w:space="0" w:color="000000"/>
              <w:left w:val="single" w:sz="12" w:space="0" w:color="000000"/>
              <w:bottom w:val="single" w:sz="4" w:space="0" w:color="A6A6A6" w:themeColor="background1" w:themeShade="A6"/>
              <w:right w:val="single" w:sz="12" w:space="0" w:color="000000"/>
            </w:tcBorders>
            <w:noWrap/>
            <w:vAlign w:val="bottom"/>
            <w:hideMark/>
          </w:tcPr>
          <w:p w14:paraId="39BFE271" w14:textId="77777777" w:rsidR="00A32DB7" w:rsidRPr="00676F30" w:rsidRDefault="00A32DB7" w:rsidP="005D34D3">
            <w:pPr>
              <w:keepNext/>
              <w:keepLines/>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r w:rsidRPr="00676F30">
              <w:rPr>
                <w:rFonts w:ascii="Calibri" w:hAnsi="Calibri" w:cs="Calibri"/>
                <w:color w:val="0070C0"/>
                <w:sz w:val="18"/>
                <w:szCs w:val="18"/>
              </w:rPr>
              <w:t>Blue indicates inputs,</w:t>
            </w:r>
            <w:r w:rsidRPr="00676F30">
              <w:rPr>
                <w:rFonts w:ascii="Calibri" w:hAnsi="Calibri" w:cs="Calibri"/>
                <w:color w:val="FF0000"/>
                <w:sz w:val="18"/>
                <w:szCs w:val="18"/>
              </w:rPr>
              <w:t xml:space="preserve"> </w:t>
            </w:r>
            <w:r w:rsidRPr="00676F30">
              <w:rPr>
                <w:rFonts w:ascii="Calibri" w:hAnsi="Calibri" w:cs="Calibri"/>
                <w:color w:val="00B050"/>
                <w:sz w:val="18"/>
                <w:szCs w:val="18"/>
              </w:rPr>
              <w:t>Green indicates reference</w:t>
            </w:r>
            <w:r w:rsidRPr="00676F30">
              <w:rPr>
                <w:rFonts w:ascii="Calibri" w:hAnsi="Calibri" w:cs="Calibri"/>
                <w:sz w:val="18"/>
                <w:szCs w:val="18"/>
              </w:rPr>
              <w:t>,</w:t>
            </w:r>
            <w:r w:rsidRPr="00676F30">
              <w:rPr>
                <w:rFonts w:ascii="Calibri" w:hAnsi="Calibri" w:cs="Calibri"/>
                <w:color w:val="FF0000"/>
                <w:sz w:val="18"/>
                <w:szCs w:val="18"/>
              </w:rPr>
              <w:t xml:space="preserve"> </w:t>
            </w:r>
            <w:r w:rsidRPr="00676F30">
              <w:rPr>
                <w:rFonts w:ascii="Calibri" w:hAnsi="Calibri" w:cs="Calibri"/>
                <w:sz w:val="18"/>
                <w:szCs w:val="18"/>
              </w:rPr>
              <w:t>Black indicates calculated</w:t>
            </w:r>
          </w:p>
        </w:tc>
      </w:tr>
      <w:tr w:rsidR="00A32DB7" w:rsidRPr="00676F30" w14:paraId="65F98E45" w14:textId="77777777" w:rsidTr="00A15E1E">
        <w:trPr>
          <w:trHeight w:val="281"/>
          <w:tblHeader/>
        </w:trPr>
        <w:tc>
          <w:tcPr>
            <w:tcW w:w="507" w:type="dxa"/>
            <w:tcBorders>
              <w:top w:val="single" w:sz="4" w:space="0" w:color="A6A6A6" w:themeColor="background1" w:themeShade="A6"/>
              <w:left w:val="single" w:sz="12" w:space="0" w:color="000000"/>
              <w:bottom w:val="double" w:sz="6" w:space="0" w:color="auto"/>
              <w:right w:val="single" w:sz="4" w:space="0" w:color="auto"/>
            </w:tcBorders>
            <w:noWrap/>
            <w:vAlign w:val="bottom"/>
            <w:hideMark/>
          </w:tcPr>
          <w:p w14:paraId="6896B778" w14:textId="77777777" w:rsidR="00A32DB7" w:rsidRPr="00676F30" w:rsidRDefault="00A32DB7" w:rsidP="005D34D3">
            <w:pPr>
              <w:keepNext/>
              <w:keepLines/>
              <w:spacing w:before="0" w:after="0" w:line="276" w:lineRule="auto"/>
              <w:jc w:val="center"/>
              <w:rPr>
                <w:rFonts w:ascii="Calibri" w:eastAsia="Times New Roman" w:hAnsi="Calibri" w:cs="Calibri"/>
                <w:color w:val="000000"/>
                <w:sz w:val="18"/>
                <w:szCs w:val="18"/>
              </w:rPr>
            </w:pPr>
            <w:r w:rsidRPr="00676F30">
              <w:rPr>
                <w:rFonts w:ascii="Calibri" w:hAnsi="Calibri" w:cs="Calibri"/>
                <w:color w:val="000000"/>
                <w:sz w:val="18"/>
                <w:szCs w:val="18"/>
              </w:rPr>
              <w:t> </w:t>
            </w:r>
          </w:p>
        </w:tc>
        <w:tc>
          <w:tcPr>
            <w:tcW w:w="3108" w:type="dxa"/>
            <w:tcBorders>
              <w:top w:val="single" w:sz="4" w:space="0" w:color="A6A6A6" w:themeColor="background1" w:themeShade="A6"/>
              <w:left w:val="nil"/>
              <w:bottom w:val="double" w:sz="6" w:space="0" w:color="auto"/>
              <w:right w:val="nil"/>
            </w:tcBorders>
            <w:shd w:val="clear" w:color="auto" w:fill="F2DCDB"/>
            <w:noWrap/>
            <w:vAlign w:val="bottom"/>
            <w:hideMark/>
          </w:tcPr>
          <w:p w14:paraId="790959F2" w14:textId="77777777" w:rsidR="00A32DB7" w:rsidRPr="00676F30" w:rsidRDefault="00A32DB7" w:rsidP="002456B2">
            <w:pPr>
              <w:keepNext/>
              <w:keepLines/>
              <w:spacing w:before="0" w:after="0" w:line="276" w:lineRule="auto"/>
              <w:rPr>
                <w:rFonts w:ascii="Calibri" w:hAnsi="Calibri" w:cs="Calibri"/>
                <w:b/>
                <w:bCs/>
                <w:sz w:val="18"/>
                <w:szCs w:val="18"/>
              </w:rPr>
            </w:pPr>
            <w:r w:rsidRPr="00676F30">
              <w:rPr>
                <w:rFonts w:ascii="Calibri" w:hAnsi="Calibri" w:cs="Calibri"/>
                <w:b/>
                <w:bCs/>
                <w:sz w:val="18"/>
                <w:szCs w:val="18"/>
              </w:rPr>
              <w:t>Parameter / Calculation</w:t>
            </w:r>
          </w:p>
        </w:tc>
        <w:tc>
          <w:tcPr>
            <w:tcW w:w="1270" w:type="dxa"/>
            <w:tcBorders>
              <w:top w:val="single" w:sz="4" w:space="0" w:color="A6A6A6" w:themeColor="background1" w:themeShade="A6"/>
              <w:left w:val="nil"/>
              <w:bottom w:val="double" w:sz="6" w:space="0" w:color="auto"/>
              <w:right w:val="nil"/>
            </w:tcBorders>
            <w:shd w:val="clear" w:color="auto" w:fill="F2DCDB"/>
            <w:noWrap/>
            <w:vAlign w:val="bottom"/>
            <w:hideMark/>
          </w:tcPr>
          <w:p w14:paraId="1C8E2F78" w14:textId="14DB5C06" w:rsidR="00A32DB7" w:rsidRPr="00676F30" w:rsidRDefault="00A32DB7" w:rsidP="005D34D3">
            <w:pPr>
              <w:keepNext/>
              <w:keepLines/>
              <w:spacing w:before="0" w:after="0" w:line="276" w:lineRule="auto"/>
              <w:jc w:val="center"/>
              <w:rPr>
                <w:rFonts w:ascii="Calibri" w:hAnsi="Calibri" w:cs="Calibri"/>
                <w:b/>
                <w:bCs/>
                <w:sz w:val="18"/>
                <w:szCs w:val="18"/>
              </w:rPr>
            </w:pPr>
            <w:r w:rsidRPr="00676F30">
              <w:rPr>
                <w:rFonts w:ascii="Calibri" w:hAnsi="Calibri" w:cs="Calibri"/>
                <w:b/>
                <w:bCs/>
                <w:sz w:val="18"/>
                <w:szCs w:val="18"/>
              </w:rPr>
              <w:t>Value</w:t>
            </w:r>
          </w:p>
        </w:tc>
        <w:tc>
          <w:tcPr>
            <w:tcW w:w="1361" w:type="dxa"/>
            <w:tcBorders>
              <w:top w:val="single" w:sz="4" w:space="0" w:color="A6A6A6" w:themeColor="background1" w:themeShade="A6"/>
              <w:left w:val="nil"/>
              <w:bottom w:val="double" w:sz="6" w:space="0" w:color="auto"/>
              <w:right w:val="nil"/>
            </w:tcBorders>
            <w:shd w:val="clear" w:color="auto" w:fill="F2DCDB"/>
            <w:vAlign w:val="bottom"/>
            <w:hideMark/>
          </w:tcPr>
          <w:p w14:paraId="15BFC3F2" w14:textId="77777777" w:rsidR="00A32DB7" w:rsidRPr="00676F30" w:rsidRDefault="00A32DB7" w:rsidP="005D34D3">
            <w:pPr>
              <w:keepNext/>
              <w:keepLines/>
              <w:spacing w:before="0" w:after="0" w:line="276" w:lineRule="auto"/>
              <w:rPr>
                <w:rFonts w:ascii="Calibri" w:hAnsi="Calibri" w:cs="Calibri"/>
                <w:b/>
                <w:bCs/>
                <w:sz w:val="18"/>
                <w:szCs w:val="18"/>
              </w:rPr>
            </w:pPr>
            <w:r w:rsidRPr="00676F30">
              <w:rPr>
                <w:rFonts w:ascii="Calibri" w:hAnsi="Calibri" w:cs="Calibri"/>
                <w:b/>
                <w:bCs/>
                <w:sz w:val="18"/>
                <w:szCs w:val="18"/>
              </w:rPr>
              <w:t>Units</w:t>
            </w:r>
          </w:p>
        </w:tc>
        <w:tc>
          <w:tcPr>
            <w:tcW w:w="2649" w:type="dxa"/>
            <w:tcBorders>
              <w:top w:val="single" w:sz="4" w:space="0" w:color="A6A6A6" w:themeColor="background1" w:themeShade="A6"/>
              <w:left w:val="nil"/>
              <w:bottom w:val="double" w:sz="6" w:space="0" w:color="auto"/>
              <w:right w:val="single" w:sz="12" w:space="0" w:color="000000"/>
            </w:tcBorders>
            <w:shd w:val="clear" w:color="auto" w:fill="F2DCDB"/>
            <w:noWrap/>
            <w:vAlign w:val="bottom"/>
            <w:hideMark/>
          </w:tcPr>
          <w:p w14:paraId="78CCDAFA" w14:textId="77777777" w:rsidR="00A32DB7" w:rsidRPr="00676F30" w:rsidRDefault="00A32DB7" w:rsidP="005D34D3">
            <w:pPr>
              <w:keepNext/>
              <w:keepLines/>
              <w:spacing w:before="0" w:after="0" w:line="276" w:lineRule="auto"/>
              <w:rPr>
                <w:rFonts w:ascii="Calibri" w:hAnsi="Calibri" w:cs="Calibri"/>
                <w:b/>
                <w:bCs/>
                <w:sz w:val="18"/>
                <w:szCs w:val="18"/>
              </w:rPr>
            </w:pPr>
            <w:r w:rsidRPr="00676F30">
              <w:rPr>
                <w:rFonts w:ascii="Calibri" w:hAnsi="Calibri" w:cs="Calibri"/>
                <w:b/>
                <w:bCs/>
                <w:sz w:val="18"/>
                <w:szCs w:val="18"/>
              </w:rPr>
              <w:t>Source</w:t>
            </w:r>
          </w:p>
        </w:tc>
      </w:tr>
      <w:tr w:rsidR="00A32DB7" w:rsidRPr="00676F30" w14:paraId="5054054B" w14:textId="77777777" w:rsidTr="00A15E1E">
        <w:trPr>
          <w:trHeight w:val="272"/>
        </w:trPr>
        <w:tc>
          <w:tcPr>
            <w:tcW w:w="507" w:type="dxa"/>
            <w:tcBorders>
              <w:top w:val="nil"/>
              <w:left w:val="single" w:sz="12" w:space="0" w:color="000000"/>
              <w:bottom w:val="nil"/>
              <w:right w:val="single" w:sz="8" w:space="0" w:color="000000"/>
            </w:tcBorders>
            <w:noWrap/>
            <w:vAlign w:val="bottom"/>
            <w:hideMark/>
          </w:tcPr>
          <w:p w14:paraId="31D3EB2C" w14:textId="77777777" w:rsidR="00A32DB7" w:rsidRPr="00676F30" w:rsidRDefault="00A32DB7" w:rsidP="005D34D3">
            <w:pPr>
              <w:keepNext/>
              <w:keepLines/>
              <w:spacing w:before="0" w:after="0" w:line="276" w:lineRule="auto"/>
              <w:jc w:val="center"/>
              <w:rPr>
                <w:rFonts w:asciiTheme="minorHAnsi" w:hAnsiTheme="minorHAnsi"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29F1C55C" w14:textId="77777777" w:rsidR="00A32DB7" w:rsidRPr="00676F30" w:rsidRDefault="00A32DB7" w:rsidP="005D34D3">
            <w:pPr>
              <w:keepNext/>
              <w:keepLines/>
              <w:spacing w:before="0" w:after="0" w:line="276" w:lineRule="auto"/>
              <w:rPr>
                <w:rFonts w:cstheme="minorHAnsi"/>
                <w:b/>
                <w:bCs/>
                <w:i/>
                <w:iCs/>
                <w:sz w:val="18"/>
                <w:szCs w:val="18"/>
              </w:rPr>
            </w:pPr>
            <w:r w:rsidRPr="00676F30">
              <w:rPr>
                <w:rFonts w:cstheme="minorHAnsi"/>
                <w:b/>
                <w:bCs/>
                <w:i/>
                <w:iCs/>
                <w:sz w:val="18"/>
                <w:szCs w:val="18"/>
              </w:rPr>
              <w:t>Reference Values</w:t>
            </w:r>
          </w:p>
        </w:tc>
        <w:tc>
          <w:tcPr>
            <w:tcW w:w="1270" w:type="dxa"/>
            <w:shd w:val="clear" w:color="auto" w:fill="FFFFFF"/>
            <w:noWrap/>
            <w:vAlign w:val="bottom"/>
            <w:hideMark/>
          </w:tcPr>
          <w:p w14:paraId="1C5838B3" w14:textId="77777777" w:rsidR="00A32DB7" w:rsidRPr="00676F30" w:rsidRDefault="00A32DB7" w:rsidP="005D34D3">
            <w:pPr>
              <w:keepNext/>
              <w:keepLines/>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7F83F880"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04E13FAA"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 </w:t>
            </w:r>
          </w:p>
        </w:tc>
      </w:tr>
      <w:tr w:rsidR="00A32DB7" w:rsidRPr="00676F30" w14:paraId="647F6B8B"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25BF25A"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A</w:t>
            </w:r>
          </w:p>
        </w:tc>
        <w:tc>
          <w:tcPr>
            <w:tcW w:w="3108" w:type="dxa"/>
            <w:tcBorders>
              <w:top w:val="nil"/>
              <w:left w:val="single" w:sz="8" w:space="0" w:color="000000"/>
              <w:bottom w:val="nil"/>
              <w:right w:val="nil"/>
            </w:tcBorders>
            <w:shd w:val="clear" w:color="auto" w:fill="FFFFFF"/>
            <w:noWrap/>
            <w:vAlign w:val="bottom"/>
            <w:hideMark/>
          </w:tcPr>
          <w:p w14:paraId="5C6D33F2"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Density of Liquid Water =</w:t>
            </w:r>
          </w:p>
        </w:tc>
        <w:tc>
          <w:tcPr>
            <w:tcW w:w="1270" w:type="dxa"/>
            <w:shd w:val="clear" w:color="auto" w:fill="FFFFFF"/>
            <w:noWrap/>
            <w:vAlign w:val="bottom"/>
            <w:hideMark/>
          </w:tcPr>
          <w:p w14:paraId="7190E435" w14:textId="77777777" w:rsidR="00A32DB7" w:rsidRPr="00676F30" w:rsidRDefault="00A32DB7" w:rsidP="005D34D3">
            <w:pPr>
              <w:keepNext/>
              <w:keepLines/>
              <w:spacing w:before="0" w:after="0" w:line="276" w:lineRule="auto"/>
              <w:jc w:val="center"/>
              <w:rPr>
                <w:rFonts w:cstheme="minorHAnsi"/>
                <w:color w:val="00B050"/>
                <w:sz w:val="18"/>
                <w:szCs w:val="18"/>
              </w:rPr>
            </w:pPr>
            <w:r w:rsidRPr="00676F30">
              <w:rPr>
                <w:rFonts w:cstheme="minorHAnsi"/>
                <w:color w:val="00B050"/>
                <w:sz w:val="18"/>
                <w:szCs w:val="18"/>
              </w:rPr>
              <w:t>8.34</w:t>
            </w:r>
          </w:p>
        </w:tc>
        <w:tc>
          <w:tcPr>
            <w:tcW w:w="1361" w:type="dxa"/>
            <w:shd w:val="clear" w:color="auto" w:fill="FFFFFF"/>
            <w:vAlign w:val="bottom"/>
            <w:hideMark/>
          </w:tcPr>
          <w:p w14:paraId="5E8FC78D"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lbm/gallon</w:t>
            </w:r>
          </w:p>
        </w:tc>
        <w:tc>
          <w:tcPr>
            <w:tcW w:w="2649" w:type="dxa"/>
            <w:tcBorders>
              <w:top w:val="nil"/>
              <w:left w:val="nil"/>
              <w:bottom w:val="nil"/>
              <w:right w:val="single" w:sz="12" w:space="0" w:color="000000"/>
            </w:tcBorders>
            <w:shd w:val="clear" w:color="auto" w:fill="FFFFFF"/>
            <w:noWrap/>
            <w:vAlign w:val="bottom"/>
            <w:hideMark/>
          </w:tcPr>
          <w:p w14:paraId="4CE767A1"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Reference</w:t>
            </w:r>
          </w:p>
        </w:tc>
      </w:tr>
      <w:tr w:rsidR="00A32DB7" w:rsidRPr="00676F30" w14:paraId="6BFADF8B"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74DAE75"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B</w:t>
            </w:r>
          </w:p>
        </w:tc>
        <w:tc>
          <w:tcPr>
            <w:tcW w:w="3108" w:type="dxa"/>
            <w:tcBorders>
              <w:top w:val="nil"/>
              <w:left w:val="single" w:sz="8" w:space="0" w:color="000000"/>
              <w:bottom w:val="nil"/>
              <w:right w:val="nil"/>
            </w:tcBorders>
            <w:shd w:val="clear" w:color="auto" w:fill="FFFFFF"/>
            <w:noWrap/>
            <w:vAlign w:val="bottom"/>
            <w:hideMark/>
          </w:tcPr>
          <w:p w14:paraId="4A2A74C0"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Specific Heat of Liquid Water =</w:t>
            </w:r>
          </w:p>
        </w:tc>
        <w:tc>
          <w:tcPr>
            <w:tcW w:w="1270" w:type="dxa"/>
            <w:shd w:val="clear" w:color="auto" w:fill="FFFFFF"/>
            <w:noWrap/>
            <w:vAlign w:val="bottom"/>
            <w:hideMark/>
          </w:tcPr>
          <w:p w14:paraId="21F62502" w14:textId="77777777" w:rsidR="00A32DB7" w:rsidRPr="00676F30" w:rsidRDefault="00A32DB7" w:rsidP="005D34D3">
            <w:pPr>
              <w:keepNext/>
              <w:keepLines/>
              <w:spacing w:before="0" w:after="0" w:line="276" w:lineRule="auto"/>
              <w:jc w:val="center"/>
              <w:rPr>
                <w:rFonts w:cstheme="minorHAnsi"/>
                <w:color w:val="00B050"/>
                <w:sz w:val="18"/>
                <w:szCs w:val="18"/>
              </w:rPr>
            </w:pPr>
            <w:r w:rsidRPr="00676F30">
              <w:rPr>
                <w:rFonts w:cstheme="minorHAnsi"/>
                <w:color w:val="00B050"/>
                <w:sz w:val="18"/>
                <w:szCs w:val="18"/>
              </w:rPr>
              <w:t>1.0</w:t>
            </w:r>
          </w:p>
        </w:tc>
        <w:tc>
          <w:tcPr>
            <w:tcW w:w="1361" w:type="dxa"/>
            <w:shd w:val="clear" w:color="auto" w:fill="FFFFFF"/>
            <w:vAlign w:val="bottom"/>
            <w:hideMark/>
          </w:tcPr>
          <w:p w14:paraId="7AF67A44"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BTU/lbm-F</w:t>
            </w:r>
          </w:p>
        </w:tc>
        <w:tc>
          <w:tcPr>
            <w:tcW w:w="2649" w:type="dxa"/>
            <w:tcBorders>
              <w:top w:val="nil"/>
              <w:left w:val="nil"/>
              <w:bottom w:val="nil"/>
              <w:right w:val="single" w:sz="12" w:space="0" w:color="000000"/>
            </w:tcBorders>
            <w:shd w:val="clear" w:color="auto" w:fill="FFFFFF"/>
            <w:noWrap/>
            <w:vAlign w:val="bottom"/>
            <w:hideMark/>
          </w:tcPr>
          <w:p w14:paraId="5CBD79EA"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Reference</w:t>
            </w:r>
          </w:p>
        </w:tc>
      </w:tr>
      <w:tr w:rsidR="00A32DB7" w:rsidRPr="00676F30" w14:paraId="31D78D0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25EDA06"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C</w:t>
            </w:r>
          </w:p>
        </w:tc>
        <w:tc>
          <w:tcPr>
            <w:tcW w:w="3108" w:type="dxa"/>
            <w:tcBorders>
              <w:top w:val="nil"/>
              <w:left w:val="single" w:sz="8" w:space="0" w:color="000000"/>
              <w:bottom w:val="nil"/>
              <w:right w:val="nil"/>
            </w:tcBorders>
            <w:shd w:val="clear" w:color="auto" w:fill="FFFFFF"/>
            <w:noWrap/>
            <w:vAlign w:val="bottom"/>
            <w:hideMark/>
          </w:tcPr>
          <w:p w14:paraId="5BDEDBD7"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Stack Exhaust Specific Heat = </w:t>
            </w:r>
          </w:p>
        </w:tc>
        <w:tc>
          <w:tcPr>
            <w:tcW w:w="1270" w:type="dxa"/>
            <w:shd w:val="clear" w:color="auto" w:fill="FFFFFF"/>
            <w:noWrap/>
            <w:vAlign w:val="bottom"/>
            <w:hideMark/>
          </w:tcPr>
          <w:p w14:paraId="347E21AE" w14:textId="77777777" w:rsidR="00A32DB7" w:rsidRPr="00676F30" w:rsidRDefault="00A32DB7" w:rsidP="005D34D3">
            <w:pPr>
              <w:keepNext/>
              <w:keepLines/>
              <w:spacing w:before="0" w:after="0" w:line="276" w:lineRule="auto"/>
              <w:jc w:val="center"/>
              <w:rPr>
                <w:rFonts w:cstheme="minorHAnsi"/>
                <w:color w:val="538DD5"/>
                <w:sz w:val="18"/>
                <w:szCs w:val="18"/>
              </w:rPr>
            </w:pPr>
            <w:r w:rsidRPr="00676F30">
              <w:rPr>
                <w:rFonts w:cstheme="minorHAnsi"/>
                <w:color w:val="538DD5"/>
                <w:sz w:val="18"/>
                <w:szCs w:val="18"/>
              </w:rPr>
              <w:t>0.2647</w:t>
            </w:r>
          </w:p>
        </w:tc>
        <w:tc>
          <w:tcPr>
            <w:tcW w:w="1361" w:type="dxa"/>
            <w:shd w:val="clear" w:color="auto" w:fill="FFFFFF"/>
            <w:vAlign w:val="bottom"/>
            <w:hideMark/>
          </w:tcPr>
          <w:p w14:paraId="65DEE28E"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Btu/lb/°F</w:t>
            </w:r>
          </w:p>
        </w:tc>
        <w:tc>
          <w:tcPr>
            <w:tcW w:w="2649" w:type="dxa"/>
            <w:tcBorders>
              <w:top w:val="nil"/>
              <w:left w:val="nil"/>
              <w:bottom w:val="nil"/>
              <w:right w:val="single" w:sz="12" w:space="0" w:color="000000"/>
            </w:tcBorders>
            <w:shd w:val="clear" w:color="auto" w:fill="FFFFFF"/>
            <w:noWrap/>
            <w:vAlign w:val="bottom"/>
            <w:hideMark/>
          </w:tcPr>
          <w:p w14:paraId="32A65354"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 stack temp</w:t>
            </w:r>
          </w:p>
        </w:tc>
      </w:tr>
      <w:tr w:rsidR="00A32DB7" w:rsidRPr="00676F30" w14:paraId="33312CC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549A194"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D</w:t>
            </w:r>
          </w:p>
        </w:tc>
        <w:tc>
          <w:tcPr>
            <w:tcW w:w="3108" w:type="dxa"/>
            <w:tcBorders>
              <w:top w:val="nil"/>
              <w:left w:val="single" w:sz="8" w:space="0" w:color="000000"/>
              <w:bottom w:val="nil"/>
              <w:right w:val="nil"/>
            </w:tcBorders>
            <w:shd w:val="clear" w:color="auto" w:fill="FFFFFF"/>
            <w:noWrap/>
            <w:vAlign w:val="bottom"/>
            <w:hideMark/>
          </w:tcPr>
          <w:p w14:paraId="64C87D69"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Stack Exhaust Density =</w:t>
            </w:r>
          </w:p>
        </w:tc>
        <w:tc>
          <w:tcPr>
            <w:tcW w:w="1270" w:type="dxa"/>
            <w:shd w:val="clear" w:color="auto" w:fill="FFFFFF"/>
            <w:noWrap/>
            <w:vAlign w:val="bottom"/>
            <w:hideMark/>
          </w:tcPr>
          <w:p w14:paraId="48D3D73D" w14:textId="77777777" w:rsidR="00A32DB7" w:rsidRPr="00676F30" w:rsidRDefault="00A32DB7" w:rsidP="005D34D3">
            <w:pPr>
              <w:keepNext/>
              <w:keepLines/>
              <w:spacing w:before="0" w:after="0" w:line="276" w:lineRule="auto"/>
              <w:jc w:val="center"/>
              <w:rPr>
                <w:rFonts w:cstheme="minorHAnsi"/>
                <w:color w:val="538DD5"/>
                <w:sz w:val="18"/>
                <w:szCs w:val="18"/>
              </w:rPr>
            </w:pPr>
            <w:r w:rsidRPr="00676F30">
              <w:rPr>
                <w:rFonts w:cstheme="minorHAnsi"/>
                <w:color w:val="538DD5"/>
                <w:sz w:val="18"/>
                <w:szCs w:val="18"/>
              </w:rPr>
              <w:t>0.0429</w:t>
            </w:r>
          </w:p>
        </w:tc>
        <w:tc>
          <w:tcPr>
            <w:tcW w:w="1361" w:type="dxa"/>
            <w:shd w:val="clear" w:color="auto" w:fill="FFFFFF"/>
            <w:vAlign w:val="bottom"/>
            <w:hideMark/>
          </w:tcPr>
          <w:p w14:paraId="01F50AB1"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Lb/ft^3</w:t>
            </w:r>
          </w:p>
        </w:tc>
        <w:tc>
          <w:tcPr>
            <w:tcW w:w="2649" w:type="dxa"/>
            <w:tcBorders>
              <w:top w:val="nil"/>
              <w:left w:val="nil"/>
              <w:bottom w:val="nil"/>
              <w:right w:val="single" w:sz="12" w:space="0" w:color="000000"/>
            </w:tcBorders>
            <w:shd w:val="clear" w:color="auto" w:fill="FFFFFF"/>
            <w:noWrap/>
            <w:vAlign w:val="bottom"/>
            <w:hideMark/>
          </w:tcPr>
          <w:p w14:paraId="30A7DF60"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 stack temp</w:t>
            </w:r>
          </w:p>
        </w:tc>
      </w:tr>
      <w:tr w:rsidR="00A32DB7" w:rsidRPr="00676F30" w14:paraId="2879CE7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08EF8E1"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E</w:t>
            </w:r>
          </w:p>
        </w:tc>
        <w:tc>
          <w:tcPr>
            <w:tcW w:w="3108" w:type="dxa"/>
            <w:tcBorders>
              <w:top w:val="nil"/>
              <w:left w:val="single" w:sz="8" w:space="0" w:color="000000"/>
              <w:bottom w:val="nil"/>
              <w:right w:val="nil"/>
            </w:tcBorders>
            <w:shd w:val="clear" w:color="auto" w:fill="FFFFFF"/>
            <w:noWrap/>
            <w:vAlign w:val="bottom"/>
            <w:hideMark/>
          </w:tcPr>
          <w:p w14:paraId="07EE8085"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Steam Enthalpy =</w:t>
            </w:r>
          </w:p>
        </w:tc>
        <w:tc>
          <w:tcPr>
            <w:tcW w:w="1270" w:type="dxa"/>
            <w:shd w:val="clear" w:color="auto" w:fill="FFFFFF"/>
            <w:noWrap/>
            <w:vAlign w:val="bottom"/>
            <w:hideMark/>
          </w:tcPr>
          <w:p w14:paraId="19ABB890" w14:textId="77777777" w:rsidR="00A32DB7" w:rsidRPr="00676F30" w:rsidRDefault="00A32DB7" w:rsidP="005D34D3">
            <w:pPr>
              <w:keepNext/>
              <w:keepLines/>
              <w:spacing w:before="0" w:after="0" w:line="276" w:lineRule="auto"/>
              <w:jc w:val="center"/>
              <w:rPr>
                <w:rFonts w:cstheme="minorHAnsi"/>
                <w:color w:val="00B050"/>
                <w:sz w:val="18"/>
                <w:szCs w:val="18"/>
              </w:rPr>
            </w:pPr>
            <w:r w:rsidRPr="00676F30">
              <w:rPr>
                <w:rFonts w:cstheme="minorHAnsi"/>
                <w:color w:val="00B050"/>
                <w:sz w:val="18"/>
                <w:szCs w:val="18"/>
              </w:rPr>
              <w:t>970</w:t>
            </w:r>
          </w:p>
        </w:tc>
        <w:tc>
          <w:tcPr>
            <w:tcW w:w="1361" w:type="dxa"/>
            <w:shd w:val="clear" w:color="auto" w:fill="FFFFFF"/>
            <w:vAlign w:val="bottom"/>
            <w:hideMark/>
          </w:tcPr>
          <w:p w14:paraId="6BD43477"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Btu/lb</w:t>
            </w:r>
          </w:p>
        </w:tc>
        <w:tc>
          <w:tcPr>
            <w:tcW w:w="2649" w:type="dxa"/>
            <w:tcBorders>
              <w:top w:val="nil"/>
              <w:left w:val="nil"/>
              <w:bottom w:val="nil"/>
              <w:right w:val="single" w:sz="12" w:space="0" w:color="000000"/>
            </w:tcBorders>
            <w:shd w:val="clear" w:color="auto" w:fill="FFFFFF"/>
            <w:noWrap/>
            <w:vAlign w:val="bottom"/>
            <w:hideMark/>
          </w:tcPr>
          <w:p w14:paraId="46EDB65C"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(1150-180) @212°F sat.</w:t>
            </w:r>
          </w:p>
        </w:tc>
      </w:tr>
      <w:tr w:rsidR="00A32DB7" w:rsidRPr="00676F30" w14:paraId="2E232442"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63F1E240"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F</w:t>
            </w:r>
          </w:p>
        </w:tc>
        <w:tc>
          <w:tcPr>
            <w:tcW w:w="3108" w:type="dxa"/>
            <w:tcBorders>
              <w:top w:val="nil"/>
              <w:left w:val="single" w:sz="8" w:space="0" w:color="000000"/>
              <w:bottom w:val="nil"/>
              <w:right w:val="nil"/>
            </w:tcBorders>
            <w:shd w:val="clear" w:color="auto" w:fill="FFFFFF"/>
            <w:noWrap/>
            <w:vAlign w:val="bottom"/>
            <w:hideMark/>
          </w:tcPr>
          <w:p w14:paraId="51818E3C"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kBTU to therm</w:t>
            </w:r>
          </w:p>
        </w:tc>
        <w:tc>
          <w:tcPr>
            <w:tcW w:w="1270" w:type="dxa"/>
            <w:shd w:val="clear" w:color="auto" w:fill="FFFFFF"/>
            <w:noWrap/>
            <w:vAlign w:val="bottom"/>
            <w:hideMark/>
          </w:tcPr>
          <w:p w14:paraId="64D913A3" w14:textId="77777777" w:rsidR="00A32DB7" w:rsidRPr="00676F30" w:rsidRDefault="00A32DB7" w:rsidP="005D34D3">
            <w:pPr>
              <w:keepNext/>
              <w:keepLines/>
              <w:spacing w:before="0" w:after="0" w:line="276" w:lineRule="auto"/>
              <w:jc w:val="center"/>
              <w:rPr>
                <w:rFonts w:cstheme="minorHAnsi"/>
                <w:color w:val="00B050"/>
                <w:sz w:val="18"/>
                <w:szCs w:val="18"/>
              </w:rPr>
            </w:pPr>
            <w:r w:rsidRPr="00676F30">
              <w:rPr>
                <w:rFonts w:cstheme="minorHAnsi"/>
                <w:color w:val="00B050"/>
                <w:sz w:val="18"/>
                <w:szCs w:val="18"/>
              </w:rPr>
              <w:t>100</w:t>
            </w:r>
          </w:p>
        </w:tc>
        <w:tc>
          <w:tcPr>
            <w:tcW w:w="1361" w:type="dxa"/>
            <w:shd w:val="clear" w:color="auto" w:fill="FFFFFF"/>
            <w:vAlign w:val="bottom"/>
            <w:hideMark/>
          </w:tcPr>
          <w:p w14:paraId="76D352D7"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kBTU/therm</w:t>
            </w:r>
          </w:p>
        </w:tc>
        <w:tc>
          <w:tcPr>
            <w:tcW w:w="2649" w:type="dxa"/>
            <w:tcBorders>
              <w:top w:val="nil"/>
              <w:left w:val="nil"/>
              <w:bottom w:val="nil"/>
              <w:right w:val="single" w:sz="12" w:space="0" w:color="000000"/>
            </w:tcBorders>
            <w:shd w:val="clear" w:color="auto" w:fill="FFFFFF"/>
            <w:noWrap/>
            <w:vAlign w:val="bottom"/>
            <w:hideMark/>
          </w:tcPr>
          <w:p w14:paraId="241E0143"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Reference</w:t>
            </w:r>
          </w:p>
        </w:tc>
      </w:tr>
      <w:tr w:rsidR="00A32DB7" w:rsidRPr="00676F30" w14:paraId="3021146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532C54E"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G</w:t>
            </w:r>
          </w:p>
        </w:tc>
        <w:tc>
          <w:tcPr>
            <w:tcW w:w="3108" w:type="dxa"/>
            <w:tcBorders>
              <w:top w:val="nil"/>
              <w:left w:val="single" w:sz="8" w:space="0" w:color="000000"/>
              <w:bottom w:val="nil"/>
              <w:right w:val="nil"/>
            </w:tcBorders>
            <w:shd w:val="clear" w:color="auto" w:fill="FFFFFF"/>
            <w:noWrap/>
            <w:vAlign w:val="bottom"/>
            <w:hideMark/>
          </w:tcPr>
          <w:p w14:paraId="57C80632"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Steam Boiler HP</w:t>
            </w:r>
          </w:p>
        </w:tc>
        <w:tc>
          <w:tcPr>
            <w:tcW w:w="1270" w:type="dxa"/>
            <w:shd w:val="clear" w:color="auto" w:fill="FFFFFF"/>
            <w:noWrap/>
            <w:vAlign w:val="bottom"/>
            <w:hideMark/>
          </w:tcPr>
          <w:p w14:paraId="48F032B4" w14:textId="77777777" w:rsidR="00A32DB7" w:rsidRPr="00676F30" w:rsidRDefault="00A32DB7" w:rsidP="005D34D3">
            <w:pPr>
              <w:keepNext/>
              <w:keepLines/>
              <w:spacing w:before="0" w:after="0" w:line="276" w:lineRule="auto"/>
              <w:jc w:val="center"/>
              <w:rPr>
                <w:rFonts w:cstheme="minorHAnsi"/>
                <w:color w:val="538DD5"/>
                <w:sz w:val="18"/>
                <w:szCs w:val="18"/>
              </w:rPr>
            </w:pPr>
            <w:r w:rsidRPr="00676F30">
              <w:rPr>
                <w:rFonts w:cstheme="minorHAnsi"/>
                <w:color w:val="538DD5"/>
                <w:sz w:val="18"/>
                <w:szCs w:val="18"/>
              </w:rPr>
              <w:t>1,000</w:t>
            </w:r>
          </w:p>
        </w:tc>
        <w:tc>
          <w:tcPr>
            <w:tcW w:w="1361" w:type="dxa"/>
            <w:shd w:val="clear" w:color="auto" w:fill="FFFFFF"/>
            <w:vAlign w:val="bottom"/>
            <w:hideMark/>
          </w:tcPr>
          <w:p w14:paraId="41D60A1E"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BHP</w:t>
            </w:r>
          </w:p>
        </w:tc>
        <w:tc>
          <w:tcPr>
            <w:tcW w:w="2649" w:type="dxa"/>
            <w:tcBorders>
              <w:top w:val="nil"/>
              <w:left w:val="nil"/>
              <w:bottom w:val="nil"/>
              <w:right w:val="single" w:sz="12" w:space="0" w:color="000000"/>
            </w:tcBorders>
            <w:shd w:val="clear" w:color="auto" w:fill="FFFFFF"/>
            <w:noWrap/>
            <w:vAlign w:val="bottom"/>
            <w:hideMark/>
          </w:tcPr>
          <w:p w14:paraId="4B4EFBDC"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Specification</w:t>
            </w:r>
          </w:p>
        </w:tc>
      </w:tr>
      <w:tr w:rsidR="00A32DB7" w:rsidRPr="00676F30" w14:paraId="11A81341"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01828A2"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H</w:t>
            </w:r>
          </w:p>
        </w:tc>
        <w:tc>
          <w:tcPr>
            <w:tcW w:w="3108" w:type="dxa"/>
            <w:tcBorders>
              <w:top w:val="nil"/>
              <w:left w:val="single" w:sz="8" w:space="0" w:color="000000"/>
              <w:bottom w:val="nil"/>
              <w:right w:val="nil"/>
            </w:tcBorders>
            <w:shd w:val="clear" w:color="auto" w:fill="FFFFFF"/>
            <w:noWrap/>
            <w:vAlign w:val="bottom"/>
            <w:hideMark/>
          </w:tcPr>
          <w:p w14:paraId="39DB7C55"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1 Boiler HP</w:t>
            </w:r>
          </w:p>
        </w:tc>
        <w:tc>
          <w:tcPr>
            <w:tcW w:w="1270" w:type="dxa"/>
            <w:shd w:val="clear" w:color="auto" w:fill="FFFFFF"/>
            <w:noWrap/>
            <w:vAlign w:val="bottom"/>
            <w:hideMark/>
          </w:tcPr>
          <w:p w14:paraId="4AB67F7B" w14:textId="77777777" w:rsidR="00A32DB7" w:rsidRPr="00676F30" w:rsidRDefault="00A32DB7" w:rsidP="005D34D3">
            <w:pPr>
              <w:keepNext/>
              <w:keepLines/>
              <w:spacing w:before="0" w:after="0" w:line="276" w:lineRule="auto"/>
              <w:jc w:val="center"/>
              <w:rPr>
                <w:rFonts w:cstheme="minorHAnsi"/>
                <w:color w:val="00B050"/>
                <w:sz w:val="18"/>
                <w:szCs w:val="18"/>
              </w:rPr>
            </w:pPr>
            <w:r w:rsidRPr="00676F30">
              <w:rPr>
                <w:rFonts w:cstheme="minorHAnsi"/>
                <w:color w:val="00B050"/>
                <w:sz w:val="18"/>
                <w:szCs w:val="18"/>
              </w:rPr>
              <w:t>33,475</w:t>
            </w:r>
          </w:p>
        </w:tc>
        <w:tc>
          <w:tcPr>
            <w:tcW w:w="1361" w:type="dxa"/>
            <w:shd w:val="clear" w:color="auto" w:fill="FFFFFF"/>
            <w:vAlign w:val="bottom"/>
            <w:hideMark/>
          </w:tcPr>
          <w:p w14:paraId="56457BDB"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Btuh</w:t>
            </w:r>
          </w:p>
        </w:tc>
        <w:tc>
          <w:tcPr>
            <w:tcW w:w="2649" w:type="dxa"/>
            <w:tcBorders>
              <w:top w:val="nil"/>
              <w:left w:val="nil"/>
              <w:bottom w:val="nil"/>
              <w:right w:val="single" w:sz="12" w:space="0" w:color="000000"/>
            </w:tcBorders>
            <w:shd w:val="clear" w:color="auto" w:fill="FFFFFF"/>
            <w:noWrap/>
            <w:vAlign w:val="bottom"/>
            <w:hideMark/>
          </w:tcPr>
          <w:p w14:paraId="42AD6929"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Constant</w:t>
            </w:r>
          </w:p>
        </w:tc>
      </w:tr>
      <w:tr w:rsidR="00A32DB7" w:rsidRPr="00676F30" w14:paraId="5E25EEC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7F7516B"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I</w:t>
            </w:r>
          </w:p>
        </w:tc>
        <w:tc>
          <w:tcPr>
            <w:tcW w:w="3108" w:type="dxa"/>
            <w:tcBorders>
              <w:top w:val="nil"/>
              <w:left w:val="single" w:sz="8" w:space="0" w:color="000000"/>
              <w:bottom w:val="nil"/>
              <w:right w:val="nil"/>
            </w:tcBorders>
            <w:shd w:val="clear" w:color="auto" w:fill="FFFFFF"/>
            <w:noWrap/>
            <w:vAlign w:val="bottom"/>
            <w:hideMark/>
          </w:tcPr>
          <w:p w14:paraId="65FB6789"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Boiler thermal efficiency =</w:t>
            </w:r>
          </w:p>
        </w:tc>
        <w:tc>
          <w:tcPr>
            <w:tcW w:w="1270" w:type="dxa"/>
            <w:shd w:val="clear" w:color="auto" w:fill="FFFFFF"/>
            <w:noWrap/>
            <w:vAlign w:val="bottom"/>
            <w:hideMark/>
          </w:tcPr>
          <w:p w14:paraId="6C700486" w14:textId="77777777" w:rsidR="00A32DB7" w:rsidRPr="00676F30" w:rsidRDefault="00A32DB7" w:rsidP="005D34D3">
            <w:pPr>
              <w:keepNext/>
              <w:keepLines/>
              <w:spacing w:before="0" w:after="0" w:line="276" w:lineRule="auto"/>
              <w:jc w:val="center"/>
              <w:rPr>
                <w:rFonts w:cstheme="minorHAnsi"/>
                <w:b/>
                <w:bCs/>
                <w:color w:val="0070C0"/>
                <w:sz w:val="18"/>
                <w:szCs w:val="18"/>
              </w:rPr>
            </w:pPr>
            <w:r w:rsidRPr="00676F30">
              <w:rPr>
                <w:rFonts w:cstheme="minorHAnsi"/>
                <w:b/>
                <w:bCs/>
                <w:color w:val="0070C0"/>
                <w:sz w:val="18"/>
                <w:szCs w:val="18"/>
              </w:rPr>
              <w:t>80.8%</w:t>
            </w:r>
          </w:p>
        </w:tc>
        <w:tc>
          <w:tcPr>
            <w:tcW w:w="1361" w:type="dxa"/>
            <w:shd w:val="clear" w:color="auto" w:fill="FFFFFF"/>
            <w:vAlign w:val="bottom"/>
            <w:hideMark/>
          </w:tcPr>
          <w:p w14:paraId="206A73E8"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2EED3C10"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Reference</w:t>
            </w:r>
          </w:p>
        </w:tc>
      </w:tr>
      <w:tr w:rsidR="00A32DB7" w:rsidRPr="00676F30" w14:paraId="66C73FA8"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0472921"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7501BE16" w14:textId="77777777" w:rsidR="00A32DB7" w:rsidRPr="00676F30" w:rsidRDefault="00A32DB7" w:rsidP="005D34D3">
            <w:pPr>
              <w:keepNext/>
              <w:keepLines/>
              <w:spacing w:before="0" w:after="0" w:line="276" w:lineRule="auto"/>
              <w:rPr>
                <w:rFonts w:cstheme="minorHAnsi"/>
                <w:b/>
                <w:bCs/>
                <w:i/>
                <w:iCs/>
                <w:sz w:val="18"/>
                <w:szCs w:val="18"/>
              </w:rPr>
            </w:pPr>
            <w:r w:rsidRPr="00676F30">
              <w:rPr>
                <w:rFonts w:cstheme="minorHAnsi"/>
                <w:b/>
                <w:bCs/>
                <w:i/>
                <w:iCs/>
                <w:sz w:val="18"/>
                <w:szCs w:val="18"/>
              </w:rPr>
              <w:t>Baseline Calculation</w:t>
            </w:r>
          </w:p>
        </w:tc>
        <w:tc>
          <w:tcPr>
            <w:tcW w:w="1270" w:type="dxa"/>
            <w:shd w:val="clear" w:color="auto" w:fill="FFFFFF"/>
            <w:noWrap/>
            <w:vAlign w:val="bottom"/>
            <w:hideMark/>
          </w:tcPr>
          <w:p w14:paraId="67DDA380" w14:textId="77777777" w:rsidR="00A32DB7" w:rsidRPr="00676F30" w:rsidRDefault="00A32DB7" w:rsidP="005D34D3">
            <w:pPr>
              <w:keepNext/>
              <w:keepLines/>
              <w:spacing w:before="0" w:after="0" w:line="276" w:lineRule="auto"/>
              <w:jc w:val="center"/>
              <w:rPr>
                <w:rFonts w:cstheme="minorHAnsi"/>
                <w:color w:val="00B050"/>
                <w:sz w:val="18"/>
                <w:szCs w:val="18"/>
              </w:rPr>
            </w:pPr>
            <w:r w:rsidRPr="00676F30">
              <w:rPr>
                <w:rFonts w:cstheme="minorHAnsi"/>
                <w:color w:val="00B050"/>
                <w:sz w:val="18"/>
                <w:szCs w:val="18"/>
              </w:rPr>
              <w:t> </w:t>
            </w:r>
          </w:p>
        </w:tc>
        <w:tc>
          <w:tcPr>
            <w:tcW w:w="1361" w:type="dxa"/>
            <w:shd w:val="clear" w:color="auto" w:fill="FFFFFF"/>
            <w:vAlign w:val="bottom"/>
            <w:hideMark/>
          </w:tcPr>
          <w:p w14:paraId="3CD649FB"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03E0EBEB"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 </w:t>
            </w:r>
          </w:p>
        </w:tc>
      </w:tr>
      <w:tr w:rsidR="00A32DB7" w:rsidRPr="00676F30" w14:paraId="39C6396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4E1ED19"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J</w:t>
            </w:r>
          </w:p>
        </w:tc>
        <w:tc>
          <w:tcPr>
            <w:tcW w:w="3108" w:type="dxa"/>
            <w:tcBorders>
              <w:top w:val="nil"/>
              <w:left w:val="single" w:sz="8" w:space="0" w:color="000000"/>
              <w:bottom w:val="nil"/>
              <w:right w:val="nil"/>
            </w:tcBorders>
            <w:shd w:val="clear" w:color="auto" w:fill="FFFFFF"/>
            <w:noWrap/>
            <w:vAlign w:val="bottom"/>
            <w:hideMark/>
          </w:tcPr>
          <w:p w14:paraId="6A517C1F"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Boiler Connected Load =</w:t>
            </w:r>
          </w:p>
        </w:tc>
        <w:tc>
          <w:tcPr>
            <w:tcW w:w="1270" w:type="dxa"/>
            <w:shd w:val="clear" w:color="auto" w:fill="FFFFFF"/>
            <w:noWrap/>
            <w:vAlign w:val="bottom"/>
            <w:hideMark/>
          </w:tcPr>
          <w:p w14:paraId="324123A0" w14:textId="77777777" w:rsidR="00A32DB7" w:rsidRPr="00676F30" w:rsidRDefault="00A32DB7" w:rsidP="005D34D3">
            <w:pPr>
              <w:keepNext/>
              <w:keepLines/>
              <w:spacing w:before="0" w:after="0" w:line="276" w:lineRule="auto"/>
              <w:jc w:val="center"/>
              <w:rPr>
                <w:rFonts w:cstheme="minorHAnsi"/>
                <w:sz w:val="18"/>
                <w:szCs w:val="18"/>
              </w:rPr>
            </w:pPr>
            <w:r w:rsidRPr="00676F30">
              <w:rPr>
                <w:rFonts w:cstheme="minorHAnsi"/>
                <w:sz w:val="18"/>
                <w:szCs w:val="18"/>
              </w:rPr>
              <w:t>33,475</w:t>
            </w:r>
          </w:p>
        </w:tc>
        <w:tc>
          <w:tcPr>
            <w:tcW w:w="1361" w:type="dxa"/>
            <w:shd w:val="clear" w:color="auto" w:fill="FFFFFF"/>
            <w:vAlign w:val="bottom"/>
            <w:hideMark/>
          </w:tcPr>
          <w:p w14:paraId="0800796F"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kBtu/hr</w:t>
            </w:r>
          </w:p>
        </w:tc>
        <w:tc>
          <w:tcPr>
            <w:tcW w:w="2649" w:type="dxa"/>
            <w:tcBorders>
              <w:top w:val="nil"/>
              <w:left w:val="nil"/>
              <w:bottom w:val="nil"/>
              <w:right w:val="single" w:sz="12" w:space="0" w:color="000000"/>
            </w:tcBorders>
            <w:shd w:val="clear" w:color="auto" w:fill="FFFFFF"/>
            <w:noWrap/>
            <w:vAlign w:val="bottom"/>
            <w:hideMark/>
          </w:tcPr>
          <w:p w14:paraId="153F55AB"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=G*H</w:t>
            </w:r>
          </w:p>
        </w:tc>
      </w:tr>
      <w:tr w:rsidR="00A32DB7" w:rsidRPr="00676F30" w14:paraId="677D63B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4949AFB"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K</w:t>
            </w:r>
          </w:p>
        </w:tc>
        <w:tc>
          <w:tcPr>
            <w:tcW w:w="3108" w:type="dxa"/>
            <w:tcBorders>
              <w:top w:val="nil"/>
              <w:left w:val="single" w:sz="8" w:space="0" w:color="000000"/>
              <w:bottom w:val="nil"/>
              <w:right w:val="nil"/>
            </w:tcBorders>
            <w:shd w:val="clear" w:color="auto" w:fill="FFFFFF"/>
            <w:noWrap/>
            <w:vAlign w:val="bottom"/>
            <w:hideMark/>
          </w:tcPr>
          <w:p w14:paraId="540A4701"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Boiler Rated Input Capacity =</w:t>
            </w:r>
          </w:p>
        </w:tc>
        <w:tc>
          <w:tcPr>
            <w:tcW w:w="1270" w:type="dxa"/>
            <w:shd w:val="clear" w:color="auto" w:fill="FFFFFF"/>
            <w:noWrap/>
            <w:vAlign w:val="bottom"/>
            <w:hideMark/>
          </w:tcPr>
          <w:p w14:paraId="1B09BCAA" w14:textId="77777777" w:rsidR="00A32DB7" w:rsidRPr="00676F30" w:rsidRDefault="00A32DB7" w:rsidP="005D34D3">
            <w:pPr>
              <w:keepNext/>
              <w:keepLines/>
              <w:spacing w:before="0" w:after="0" w:line="276" w:lineRule="auto"/>
              <w:jc w:val="center"/>
              <w:rPr>
                <w:rFonts w:cstheme="minorHAnsi"/>
                <w:sz w:val="18"/>
                <w:szCs w:val="18"/>
              </w:rPr>
            </w:pPr>
            <w:r w:rsidRPr="00676F30">
              <w:rPr>
                <w:rFonts w:cstheme="minorHAnsi"/>
                <w:sz w:val="18"/>
                <w:szCs w:val="18"/>
              </w:rPr>
              <w:t>41,429</w:t>
            </w:r>
          </w:p>
        </w:tc>
        <w:tc>
          <w:tcPr>
            <w:tcW w:w="1361" w:type="dxa"/>
            <w:shd w:val="clear" w:color="auto" w:fill="FFFFFF"/>
            <w:vAlign w:val="bottom"/>
            <w:hideMark/>
          </w:tcPr>
          <w:p w14:paraId="5F978512"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kBtu/hr</w:t>
            </w:r>
          </w:p>
        </w:tc>
        <w:tc>
          <w:tcPr>
            <w:tcW w:w="2649" w:type="dxa"/>
            <w:tcBorders>
              <w:top w:val="nil"/>
              <w:left w:val="nil"/>
              <w:bottom w:val="nil"/>
              <w:right w:val="single" w:sz="12" w:space="0" w:color="000000"/>
            </w:tcBorders>
            <w:shd w:val="clear" w:color="auto" w:fill="FFFFFF"/>
            <w:noWrap/>
            <w:vAlign w:val="bottom"/>
            <w:hideMark/>
          </w:tcPr>
          <w:p w14:paraId="52D8F009"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=J/I</w:t>
            </w:r>
          </w:p>
        </w:tc>
      </w:tr>
      <w:tr w:rsidR="00A32DB7" w:rsidRPr="00676F30" w14:paraId="6E7AF75C"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066F9CF"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L</w:t>
            </w:r>
          </w:p>
        </w:tc>
        <w:tc>
          <w:tcPr>
            <w:tcW w:w="3108" w:type="dxa"/>
            <w:tcBorders>
              <w:top w:val="nil"/>
              <w:left w:val="single" w:sz="8" w:space="0" w:color="000000"/>
              <w:bottom w:val="nil"/>
              <w:right w:val="nil"/>
            </w:tcBorders>
            <w:shd w:val="clear" w:color="auto" w:fill="FFFFFF"/>
            <w:noWrap/>
            <w:vAlign w:val="bottom"/>
            <w:hideMark/>
          </w:tcPr>
          <w:p w14:paraId="198A58FC"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Operating Hours =</w:t>
            </w:r>
          </w:p>
        </w:tc>
        <w:tc>
          <w:tcPr>
            <w:tcW w:w="1270" w:type="dxa"/>
            <w:shd w:val="clear" w:color="auto" w:fill="FFFFFF"/>
            <w:noWrap/>
            <w:vAlign w:val="bottom"/>
            <w:hideMark/>
          </w:tcPr>
          <w:p w14:paraId="7D735D40" w14:textId="77777777" w:rsidR="00A32DB7" w:rsidRPr="00676F30" w:rsidRDefault="00A32DB7" w:rsidP="005D34D3">
            <w:pPr>
              <w:keepNext/>
              <w:keepLines/>
              <w:spacing w:before="0" w:after="0" w:line="276" w:lineRule="auto"/>
              <w:jc w:val="center"/>
              <w:rPr>
                <w:rFonts w:cstheme="minorHAnsi"/>
                <w:color w:val="538DD5"/>
                <w:sz w:val="18"/>
                <w:szCs w:val="18"/>
              </w:rPr>
            </w:pPr>
            <w:r w:rsidRPr="00676F30">
              <w:rPr>
                <w:rFonts w:cstheme="minorHAnsi"/>
                <w:color w:val="538DD5"/>
                <w:sz w:val="18"/>
                <w:szCs w:val="18"/>
              </w:rPr>
              <w:t>4,000</w:t>
            </w:r>
          </w:p>
        </w:tc>
        <w:tc>
          <w:tcPr>
            <w:tcW w:w="1361" w:type="dxa"/>
            <w:shd w:val="clear" w:color="auto" w:fill="FFFFFF"/>
            <w:vAlign w:val="bottom"/>
            <w:hideMark/>
          </w:tcPr>
          <w:p w14:paraId="4DCD5716"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hr/yr</w:t>
            </w:r>
          </w:p>
        </w:tc>
        <w:tc>
          <w:tcPr>
            <w:tcW w:w="2649" w:type="dxa"/>
            <w:tcBorders>
              <w:top w:val="nil"/>
              <w:left w:val="nil"/>
              <w:bottom w:val="nil"/>
              <w:right w:val="single" w:sz="12" w:space="0" w:color="000000"/>
            </w:tcBorders>
            <w:shd w:val="clear" w:color="auto" w:fill="FFFFFF"/>
            <w:noWrap/>
            <w:vAlign w:val="bottom"/>
            <w:hideMark/>
          </w:tcPr>
          <w:p w14:paraId="5992C420"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Reference</w:t>
            </w:r>
          </w:p>
        </w:tc>
      </w:tr>
      <w:tr w:rsidR="00A32DB7" w:rsidRPr="00676F30" w14:paraId="506E1CBC"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E70684C" w14:textId="77777777" w:rsidR="00A32DB7" w:rsidRPr="00676F30" w:rsidRDefault="00A32DB7" w:rsidP="005D34D3">
            <w:pPr>
              <w:keepNext/>
              <w:keepLines/>
              <w:spacing w:before="0" w:after="0" w:line="276" w:lineRule="auto"/>
              <w:jc w:val="center"/>
              <w:rPr>
                <w:rFonts w:cstheme="minorHAnsi"/>
                <w:color w:val="000000"/>
                <w:sz w:val="18"/>
                <w:szCs w:val="18"/>
              </w:rPr>
            </w:pPr>
            <w:r w:rsidRPr="00676F30">
              <w:rPr>
                <w:rFonts w:cstheme="minorHAnsi"/>
                <w:color w:val="000000"/>
                <w:sz w:val="18"/>
                <w:szCs w:val="18"/>
              </w:rPr>
              <w:t>M</w:t>
            </w:r>
          </w:p>
        </w:tc>
        <w:tc>
          <w:tcPr>
            <w:tcW w:w="3108" w:type="dxa"/>
            <w:tcBorders>
              <w:top w:val="nil"/>
              <w:left w:val="single" w:sz="8" w:space="0" w:color="000000"/>
              <w:bottom w:val="nil"/>
              <w:right w:val="nil"/>
            </w:tcBorders>
            <w:shd w:val="clear" w:color="auto" w:fill="FFFFFF"/>
            <w:noWrap/>
            <w:vAlign w:val="bottom"/>
            <w:hideMark/>
          </w:tcPr>
          <w:p w14:paraId="395E30C2" w14:textId="77777777" w:rsidR="00A32DB7" w:rsidRPr="00676F30" w:rsidRDefault="00A32DB7" w:rsidP="005D34D3">
            <w:pPr>
              <w:keepNext/>
              <w:keepLines/>
              <w:spacing w:before="0" w:after="0" w:line="276" w:lineRule="auto"/>
              <w:jc w:val="right"/>
              <w:rPr>
                <w:rFonts w:cstheme="minorHAnsi"/>
                <w:sz w:val="18"/>
                <w:szCs w:val="18"/>
              </w:rPr>
            </w:pPr>
            <w:r w:rsidRPr="00676F30">
              <w:rPr>
                <w:rFonts w:cstheme="minorHAnsi"/>
                <w:sz w:val="18"/>
                <w:szCs w:val="18"/>
              </w:rPr>
              <w:t>Load of Maximum Output =</w:t>
            </w:r>
          </w:p>
        </w:tc>
        <w:tc>
          <w:tcPr>
            <w:tcW w:w="1270" w:type="dxa"/>
            <w:shd w:val="clear" w:color="auto" w:fill="FFFFFF"/>
            <w:noWrap/>
            <w:vAlign w:val="bottom"/>
            <w:hideMark/>
          </w:tcPr>
          <w:p w14:paraId="2BA1ADF0" w14:textId="77777777" w:rsidR="00A32DB7" w:rsidRPr="00676F30" w:rsidRDefault="00A32DB7" w:rsidP="005D34D3">
            <w:pPr>
              <w:keepNext/>
              <w:keepLines/>
              <w:spacing w:before="0" w:after="0" w:line="276" w:lineRule="auto"/>
              <w:jc w:val="center"/>
              <w:rPr>
                <w:rFonts w:cstheme="minorHAnsi"/>
                <w:b/>
                <w:color w:val="538DD5"/>
                <w:sz w:val="18"/>
                <w:szCs w:val="18"/>
              </w:rPr>
            </w:pPr>
            <w:r w:rsidRPr="00676F30">
              <w:rPr>
                <w:rFonts w:cstheme="minorHAnsi"/>
                <w:b/>
                <w:color w:val="538DD5"/>
                <w:sz w:val="18"/>
                <w:szCs w:val="18"/>
              </w:rPr>
              <w:t>100%</w:t>
            </w:r>
          </w:p>
        </w:tc>
        <w:tc>
          <w:tcPr>
            <w:tcW w:w="1361" w:type="dxa"/>
            <w:shd w:val="clear" w:color="auto" w:fill="FFFFFF"/>
            <w:vAlign w:val="bottom"/>
            <w:hideMark/>
          </w:tcPr>
          <w:p w14:paraId="749A9A10" w14:textId="77777777" w:rsidR="00A32DB7" w:rsidRPr="00676F30" w:rsidRDefault="00A32DB7" w:rsidP="005D34D3">
            <w:pPr>
              <w:keepNext/>
              <w:keepLines/>
              <w:spacing w:before="0" w:after="0" w:line="276" w:lineRule="auto"/>
              <w:rPr>
                <w:rFonts w:cstheme="minorHAnsi"/>
                <w:color w:val="000000"/>
                <w:sz w:val="18"/>
                <w:szCs w:val="18"/>
              </w:rPr>
            </w:pPr>
            <w:r w:rsidRPr="00676F30">
              <w:rPr>
                <w:rFonts w:cstheme="minorHAnsi"/>
                <w:color w:val="000000"/>
                <w:sz w:val="18"/>
                <w:szCs w:val="18"/>
              </w:rPr>
              <w:t>%</w:t>
            </w:r>
          </w:p>
        </w:tc>
        <w:tc>
          <w:tcPr>
            <w:tcW w:w="2649" w:type="dxa"/>
            <w:tcBorders>
              <w:top w:val="nil"/>
              <w:left w:val="nil"/>
              <w:bottom w:val="nil"/>
              <w:right w:val="single" w:sz="12" w:space="0" w:color="000000"/>
            </w:tcBorders>
            <w:shd w:val="clear" w:color="auto" w:fill="FFFFFF"/>
            <w:noWrap/>
            <w:vAlign w:val="bottom"/>
            <w:hideMark/>
          </w:tcPr>
          <w:p w14:paraId="6A155BC2" w14:textId="77777777" w:rsidR="00A32DB7" w:rsidRPr="00676F30" w:rsidRDefault="00A32DB7" w:rsidP="005D34D3">
            <w:pPr>
              <w:keepNext/>
              <w:keepLines/>
              <w:spacing w:before="0" w:after="0" w:line="276" w:lineRule="auto"/>
              <w:rPr>
                <w:rFonts w:cstheme="minorHAnsi"/>
                <w:sz w:val="18"/>
                <w:szCs w:val="18"/>
              </w:rPr>
            </w:pPr>
            <w:r w:rsidRPr="00676F30">
              <w:rPr>
                <w:rFonts w:cstheme="minorHAnsi"/>
                <w:sz w:val="18"/>
                <w:szCs w:val="18"/>
              </w:rPr>
              <w:t>Specification</w:t>
            </w:r>
          </w:p>
        </w:tc>
      </w:tr>
      <w:tr w:rsidR="00A32DB7" w:rsidRPr="00676F30" w14:paraId="6F438458"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B512A6B"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63D527B5" w14:textId="77777777" w:rsidR="00A32DB7" w:rsidRPr="00676F30" w:rsidRDefault="00A32DB7" w:rsidP="005D34D3">
            <w:pPr>
              <w:spacing w:before="0" w:after="0" w:line="276" w:lineRule="auto"/>
              <w:rPr>
                <w:rFonts w:cstheme="minorHAnsi"/>
                <w:b/>
                <w:bCs/>
                <w:i/>
                <w:iCs/>
                <w:sz w:val="18"/>
                <w:szCs w:val="18"/>
              </w:rPr>
            </w:pPr>
            <w:r w:rsidRPr="00676F30">
              <w:rPr>
                <w:rFonts w:cstheme="minorHAnsi"/>
                <w:b/>
                <w:bCs/>
                <w:i/>
                <w:iCs/>
                <w:sz w:val="18"/>
                <w:szCs w:val="18"/>
              </w:rPr>
              <w:t>Flow Rate Calculation</w:t>
            </w:r>
          </w:p>
        </w:tc>
        <w:tc>
          <w:tcPr>
            <w:tcW w:w="1270" w:type="dxa"/>
            <w:shd w:val="clear" w:color="auto" w:fill="FFFFFF"/>
            <w:noWrap/>
            <w:vAlign w:val="bottom"/>
            <w:hideMark/>
          </w:tcPr>
          <w:p w14:paraId="1BF3AB45" w14:textId="77777777" w:rsidR="00A32DB7" w:rsidRPr="00676F30" w:rsidRDefault="00A32DB7" w:rsidP="005D34D3">
            <w:pPr>
              <w:spacing w:before="0" w:after="0" w:line="276" w:lineRule="auto"/>
              <w:jc w:val="center"/>
              <w:rPr>
                <w:rFonts w:cstheme="minorHAnsi"/>
                <w:color w:val="00B050"/>
                <w:sz w:val="18"/>
                <w:szCs w:val="18"/>
              </w:rPr>
            </w:pPr>
            <w:r w:rsidRPr="00676F30">
              <w:rPr>
                <w:rFonts w:cstheme="minorHAnsi"/>
                <w:color w:val="00B050"/>
                <w:sz w:val="18"/>
                <w:szCs w:val="18"/>
              </w:rPr>
              <w:t> </w:t>
            </w:r>
          </w:p>
        </w:tc>
        <w:tc>
          <w:tcPr>
            <w:tcW w:w="1361" w:type="dxa"/>
            <w:shd w:val="clear" w:color="auto" w:fill="FFFFFF"/>
            <w:vAlign w:val="bottom"/>
            <w:hideMark/>
          </w:tcPr>
          <w:p w14:paraId="6DFE280B"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4A530DC1"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r>
      <w:tr w:rsidR="00A32DB7" w:rsidRPr="00676F30" w14:paraId="59B99DC7"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C391F01"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N</w:t>
            </w:r>
          </w:p>
        </w:tc>
        <w:tc>
          <w:tcPr>
            <w:tcW w:w="3108" w:type="dxa"/>
            <w:tcBorders>
              <w:top w:val="nil"/>
              <w:left w:val="single" w:sz="8" w:space="0" w:color="000000"/>
              <w:bottom w:val="nil"/>
              <w:right w:val="nil"/>
            </w:tcBorders>
            <w:shd w:val="clear" w:color="auto" w:fill="FFFFFF"/>
            <w:noWrap/>
            <w:vAlign w:val="bottom"/>
            <w:hideMark/>
          </w:tcPr>
          <w:p w14:paraId="066726BC"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 xml:space="preserve">Flue Exhaust Flow Rate = </w:t>
            </w:r>
          </w:p>
        </w:tc>
        <w:tc>
          <w:tcPr>
            <w:tcW w:w="1270" w:type="dxa"/>
            <w:shd w:val="clear" w:color="auto" w:fill="FFFFFF"/>
            <w:noWrap/>
            <w:vAlign w:val="bottom"/>
            <w:hideMark/>
          </w:tcPr>
          <w:p w14:paraId="11471E91"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8,320</w:t>
            </w:r>
          </w:p>
        </w:tc>
        <w:tc>
          <w:tcPr>
            <w:tcW w:w="1361" w:type="dxa"/>
            <w:shd w:val="clear" w:color="auto" w:fill="FFFFFF"/>
            <w:vAlign w:val="bottom"/>
            <w:hideMark/>
          </w:tcPr>
          <w:p w14:paraId="706C67EE"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SCFM</w:t>
            </w:r>
          </w:p>
        </w:tc>
        <w:tc>
          <w:tcPr>
            <w:tcW w:w="2649" w:type="dxa"/>
            <w:tcBorders>
              <w:top w:val="nil"/>
              <w:left w:val="nil"/>
              <w:bottom w:val="nil"/>
              <w:right w:val="single" w:sz="12" w:space="0" w:color="000000"/>
            </w:tcBorders>
            <w:shd w:val="clear" w:color="auto" w:fill="FFFFFF"/>
            <w:noWrap/>
            <w:vAlign w:val="bottom"/>
            <w:hideMark/>
          </w:tcPr>
          <w:p w14:paraId="09DC0BB4"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Spec</w:t>
            </w:r>
          </w:p>
        </w:tc>
      </w:tr>
      <w:tr w:rsidR="00A32DB7" w:rsidRPr="00676F30" w14:paraId="1F553CD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0E6CDA2"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O</w:t>
            </w:r>
          </w:p>
        </w:tc>
        <w:tc>
          <w:tcPr>
            <w:tcW w:w="3108" w:type="dxa"/>
            <w:tcBorders>
              <w:top w:val="nil"/>
              <w:left w:val="single" w:sz="8" w:space="0" w:color="000000"/>
              <w:bottom w:val="nil"/>
              <w:right w:val="nil"/>
            </w:tcBorders>
            <w:shd w:val="clear" w:color="auto" w:fill="FFFFFF"/>
            <w:noWrap/>
            <w:vAlign w:val="bottom"/>
            <w:hideMark/>
          </w:tcPr>
          <w:p w14:paraId="716BA0BB"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Steam Flow Rate =</w:t>
            </w:r>
          </w:p>
        </w:tc>
        <w:tc>
          <w:tcPr>
            <w:tcW w:w="1270" w:type="dxa"/>
            <w:shd w:val="clear" w:color="auto" w:fill="FFFFFF"/>
            <w:noWrap/>
            <w:vAlign w:val="bottom"/>
            <w:hideMark/>
          </w:tcPr>
          <w:p w14:paraId="4C41F71E"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34,510</w:t>
            </w:r>
          </w:p>
        </w:tc>
        <w:tc>
          <w:tcPr>
            <w:tcW w:w="1361" w:type="dxa"/>
            <w:shd w:val="clear" w:color="auto" w:fill="FFFFFF"/>
            <w:vAlign w:val="bottom"/>
            <w:hideMark/>
          </w:tcPr>
          <w:p w14:paraId="19B2140A"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Lbm/hr</w:t>
            </w:r>
          </w:p>
        </w:tc>
        <w:tc>
          <w:tcPr>
            <w:tcW w:w="2649" w:type="dxa"/>
            <w:tcBorders>
              <w:top w:val="nil"/>
              <w:left w:val="nil"/>
              <w:bottom w:val="nil"/>
              <w:right w:val="single" w:sz="12" w:space="0" w:color="000000"/>
            </w:tcBorders>
            <w:shd w:val="clear" w:color="auto" w:fill="FFFFFF"/>
            <w:noWrap/>
            <w:vAlign w:val="bottom"/>
            <w:hideMark/>
          </w:tcPr>
          <w:p w14:paraId="5FB78AD0"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=J*1000*M/E</w:t>
            </w:r>
          </w:p>
        </w:tc>
      </w:tr>
      <w:tr w:rsidR="00A32DB7" w:rsidRPr="00676F30" w14:paraId="62BB7EA8"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40B871B"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P</w:t>
            </w:r>
          </w:p>
        </w:tc>
        <w:tc>
          <w:tcPr>
            <w:tcW w:w="3108" w:type="dxa"/>
            <w:tcBorders>
              <w:top w:val="nil"/>
              <w:left w:val="single" w:sz="8" w:space="0" w:color="000000"/>
              <w:bottom w:val="nil"/>
              <w:right w:val="nil"/>
            </w:tcBorders>
            <w:noWrap/>
            <w:vAlign w:val="bottom"/>
            <w:hideMark/>
          </w:tcPr>
          <w:p w14:paraId="694AD479" w14:textId="77777777" w:rsidR="00A32DB7" w:rsidRPr="00676F30" w:rsidRDefault="00A32DB7" w:rsidP="005D34D3">
            <w:pPr>
              <w:spacing w:before="0" w:after="0" w:line="276" w:lineRule="auto"/>
              <w:jc w:val="right"/>
              <w:rPr>
                <w:rFonts w:cstheme="minorHAnsi"/>
                <w:color w:val="000000"/>
                <w:sz w:val="18"/>
                <w:szCs w:val="18"/>
              </w:rPr>
            </w:pPr>
            <w:r w:rsidRPr="00676F30">
              <w:rPr>
                <w:rFonts w:cstheme="minorHAnsi"/>
                <w:color w:val="000000"/>
                <w:sz w:val="18"/>
                <w:szCs w:val="18"/>
              </w:rPr>
              <w:t>Natural gas consumption =</w:t>
            </w:r>
          </w:p>
        </w:tc>
        <w:tc>
          <w:tcPr>
            <w:tcW w:w="1270" w:type="dxa"/>
            <w:shd w:val="clear" w:color="auto" w:fill="FFFFFF"/>
            <w:noWrap/>
            <w:vAlign w:val="bottom"/>
            <w:hideMark/>
          </w:tcPr>
          <w:p w14:paraId="3961D2AE"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41,429,455</w:t>
            </w:r>
          </w:p>
        </w:tc>
        <w:tc>
          <w:tcPr>
            <w:tcW w:w="1361" w:type="dxa"/>
            <w:shd w:val="clear" w:color="auto" w:fill="FFFFFF"/>
            <w:vAlign w:val="bottom"/>
            <w:hideMark/>
          </w:tcPr>
          <w:p w14:paraId="78DC1D59"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Btu/lb</w:t>
            </w:r>
          </w:p>
        </w:tc>
        <w:tc>
          <w:tcPr>
            <w:tcW w:w="2649" w:type="dxa"/>
            <w:tcBorders>
              <w:top w:val="nil"/>
              <w:left w:val="nil"/>
              <w:bottom w:val="nil"/>
              <w:right w:val="single" w:sz="12" w:space="0" w:color="000000"/>
            </w:tcBorders>
            <w:shd w:val="clear" w:color="auto" w:fill="FFFFFF"/>
            <w:noWrap/>
            <w:vAlign w:val="bottom"/>
            <w:hideMark/>
          </w:tcPr>
          <w:p w14:paraId="2F5ECBC1"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=O*E/I</w:t>
            </w:r>
          </w:p>
        </w:tc>
      </w:tr>
      <w:tr w:rsidR="00A32DB7" w:rsidRPr="00676F30" w14:paraId="610CAEA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DF6E12D"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Q</w:t>
            </w:r>
          </w:p>
        </w:tc>
        <w:tc>
          <w:tcPr>
            <w:tcW w:w="3108" w:type="dxa"/>
            <w:tcBorders>
              <w:top w:val="nil"/>
              <w:left w:val="single" w:sz="8" w:space="0" w:color="000000"/>
              <w:bottom w:val="nil"/>
              <w:right w:val="nil"/>
            </w:tcBorders>
            <w:shd w:val="clear" w:color="auto" w:fill="FFFFFF"/>
            <w:noWrap/>
            <w:vAlign w:val="bottom"/>
            <w:hideMark/>
          </w:tcPr>
          <w:p w14:paraId="132955A4"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Feedwater Flow Rate =</w:t>
            </w:r>
          </w:p>
        </w:tc>
        <w:tc>
          <w:tcPr>
            <w:tcW w:w="1270" w:type="dxa"/>
            <w:shd w:val="clear" w:color="auto" w:fill="FFFFFF"/>
            <w:noWrap/>
            <w:vAlign w:val="bottom"/>
            <w:hideMark/>
          </w:tcPr>
          <w:p w14:paraId="0AE346C2"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68.0</w:t>
            </w:r>
          </w:p>
        </w:tc>
        <w:tc>
          <w:tcPr>
            <w:tcW w:w="1361" w:type="dxa"/>
            <w:shd w:val="clear" w:color="auto" w:fill="FFFFFF"/>
            <w:vAlign w:val="bottom"/>
            <w:hideMark/>
          </w:tcPr>
          <w:p w14:paraId="4C1E3740"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gallons/min</w:t>
            </w:r>
          </w:p>
        </w:tc>
        <w:tc>
          <w:tcPr>
            <w:tcW w:w="2649" w:type="dxa"/>
            <w:tcBorders>
              <w:top w:val="nil"/>
              <w:left w:val="nil"/>
              <w:bottom w:val="nil"/>
              <w:right w:val="single" w:sz="12" w:space="0" w:color="000000"/>
            </w:tcBorders>
            <w:shd w:val="clear" w:color="auto" w:fill="FFFFFF"/>
            <w:noWrap/>
            <w:vAlign w:val="bottom"/>
            <w:hideMark/>
          </w:tcPr>
          <w:p w14:paraId="3E3A639F"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Spec</w:t>
            </w:r>
          </w:p>
        </w:tc>
      </w:tr>
      <w:tr w:rsidR="00A32DB7" w:rsidRPr="00676F30" w14:paraId="420A822F"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E94A84A"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lastRenderedPageBreak/>
              <w:t> </w:t>
            </w:r>
          </w:p>
        </w:tc>
        <w:tc>
          <w:tcPr>
            <w:tcW w:w="3108" w:type="dxa"/>
            <w:tcBorders>
              <w:top w:val="nil"/>
              <w:left w:val="single" w:sz="8" w:space="0" w:color="000000"/>
              <w:bottom w:val="nil"/>
              <w:right w:val="nil"/>
            </w:tcBorders>
            <w:shd w:val="clear" w:color="auto" w:fill="FFFFFF"/>
            <w:noWrap/>
            <w:vAlign w:val="bottom"/>
            <w:hideMark/>
          </w:tcPr>
          <w:p w14:paraId="6808E922" w14:textId="77777777" w:rsidR="00A32DB7" w:rsidRPr="00676F30" w:rsidRDefault="00A32DB7" w:rsidP="005D34D3">
            <w:pPr>
              <w:spacing w:before="0" w:after="0" w:line="276" w:lineRule="auto"/>
              <w:rPr>
                <w:rFonts w:cstheme="minorHAnsi"/>
                <w:b/>
                <w:bCs/>
                <w:i/>
                <w:iCs/>
                <w:sz w:val="18"/>
                <w:szCs w:val="18"/>
              </w:rPr>
            </w:pPr>
            <w:r w:rsidRPr="00676F30">
              <w:rPr>
                <w:rFonts w:cstheme="minorHAnsi"/>
                <w:b/>
                <w:bCs/>
                <w:i/>
                <w:iCs/>
                <w:sz w:val="18"/>
                <w:szCs w:val="18"/>
              </w:rPr>
              <w:t>Stage 1</w:t>
            </w:r>
          </w:p>
        </w:tc>
        <w:tc>
          <w:tcPr>
            <w:tcW w:w="1270" w:type="dxa"/>
            <w:shd w:val="clear" w:color="auto" w:fill="FFFFFF"/>
            <w:noWrap/>
            <w:vAlign w:val="bottom"/>
            <w:hideMark/>
          </w:tcPr>
          <w:p w14:paraId="5F247509"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14AACFFC"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77F9B7BB"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r>
      <w:tr w:rsidR="00A32DB7" w:rsidRPr="00676F30" w14:paraId="53496FDA"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8312BA7"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R</w:t>
            </w:r>
          </w:p>
        </w:tc>
        <w:tc>
          <w:tcPr>
            <w:tcW w:w="3108" w:type="dxa"/>
            <w:tcBorders>
              <w:top w:val="nil"/>
              <w:left w:val="single" w:sz="8" w:space="0" w:color="000000"/>
              <w:bottom w:val="nil"/>
              <w:right w:val="nil"/>
            </w:tcBorders>
            <w:shd w:val="clear" w:color="auto" w:fill="FFFFFF"/>
            <w:noWrap/>
            <w:vAlign w:val="bottom"/>
            <w:hideMark/>
          </w:tcPr>
          <w:p w14:paraId="016472B3"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Exhaust Flow Rate =</w:t>
            </w:r>
          </w:p>
        </w:tc>
        <w:tc>
          <w:tcPr>
            <w:tcW w:w="1270" w:type="dxa"/>
            <w:shd w:val="clear" w:color="auto" w:fill="FFFFFF"/>
            <w:noWrap/>
            <w:vAlign w:val="bottom"/>
            <w:hideMark/>
          </w:tcPr>
          <w:p w14:paraId="5CEDC1F6"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23,279</w:t>
            </w:r>
          </w:p>
        </w:tc>
        <w:tc>
          <w:tcPr>
            <w:tcW w:w="1361" w:type="dxa"/>
            <w:shd w:val="clear" w:color="auto" w:fill="FFFFFF"/>
            <w:vAlign w:val="bottom"/>
            <w:hideMark/>
          </w:tcPr>
          <w:p w14:paraId="2836E7E0"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lbm/hr</w:t>
            </w:r>
          </w:p>
        </w:tc>
        <w:tc>
          <w:tcPr>
            <w:tcW w:w="2649" w:type="dxa"/>
            <w:tcBorders>
              <w:top w:val="nil"/>
              <w:left w:val="nil"/>
              <w:bottom w:val="nil"/>
              <w:right w:val="single" w:sz="12" w:space="0" w:color="000000"/>
            </w:tcBorders>
            <w:shd w:val="clear" w:color="auto" w:fill="FFFFFF"/>
            <w:noWrap/>
            <w:vAlign w:val="bottom"/>
            <w:hideMark/>
          </w:tcPr>
          <w:p w14:paraId="5D6A54F0"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=N*D*60</w:t>
            </w:r>
          </w:p>
        </w:tc>
      </w:tr>
      <w:tr w:rsidR="00A32DB7" w:rsidRPr="00676F30" w14:paraId="293F817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354D0EB"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S</w:t>
            </w:r>
          </w:p>
        </w:tc>
        <w:tc>
          <w:tcPr>
            <w:tcW w:w="3108" w:type="dxa"/>
            <w:tcBorders>
              <w:top w:val="nil"/>
              <w:left w:val="single" w:sz="8" w:space="0" w:color="000000"/>
              <w:bottom w:val="nil"/>
              <w:right w:val="nil"/>
            </w:tcBorders>
            <w:shd w:val="clear" w:color="auto" w:fill="FFFFFF"/>
            <w:noWrap/>
            <w:vAlign w:val="bottom"/>
            <w:hideMark/>
          </w:tcPr>
          <w:p w14:paraId="27DF8F3B"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Inlet stack temperature =</w:t>
            </w:r>
          </w:p>
        </w:tc>
        <w:tc>
          <w:tcPr>
            <w:tcW w:w="1270" w:type="dxa"/>
            <w:shd w:val="clear" w:color="auto" w:fill="FFFFFF"/>
            <w:noWrap/>
            <w:vAlign w:val="bottom"/>
            <w:hideMark/>
          </w:tcPr>
          <w:p w14:paraId="237460FE" w14:textId="77777777" w:rsidR="00A32DB7" w:rsidRPr="00676F30" w:rsidRDefault="00A32DB7" w:rsidP="005D34D3">
            <w:pPr>
              <w:spacing w:before="0" w:after="0" w:line="276" w:lineRule="auto"/>
              <w:jc w:val="center"/>
              <w:rPr>
                <w:rFonts w:cstheme="minorHAnsi"/>
                <w:color w:val="0070C0"/>
                <w:sz w:val="18"/>
                <w:szCs w:val="18"/>
              </w:rPr>
            </w:pPr>
            <w:r w:rsidRPr="00676F30">
              <w:rPr>
                <w:rFonts w:cstheme="minorHAnsi"/>
                <w:color w:val="0070C0"/>
                <w:sz w:val="18"/>
                <w:szCs w:val="18"/>
              </w:rPr>
              <w:t>490</w:t>
            </w:r>
          </w:p>
        </w:tc>
        <w:tc>
          <w:tcPr>
            <w:tcW w:w="1361" w:type="dxa"/>
            <w:shd w:val="clear" w:color="auto" w:fill="FFFFFF"/>
            <w:vAlign w:val="bottom"/>
            <w:hideMark/>
          </w:tcPr>
          <w:p w14:paraId="42B9BD3A" w14:textId="00BD0AF9" w:rsidR="00A32DB7" w:rsidRPr="00676F30" w:rsidRDefault="00DB0922" w:rsidP="005D34D3">
            <w:pPr>
              <w:spacing w:before="0" w:after="0" w:line="276" w:lineRule="auto"/>
              <w:rPr>
                <w:rFonts w:cstheme="minorHAnsi"/>
                <w:sz w:val="18"/>
                <w:szCs w:val="18"/>
              </w:rPr>
            </w:pPr>
            <w:r>
              <w:rPr>
                <w:rFonts w:cstheme="minorHAnsi"/>
                <w:sz w:val="18"/>
                <w:szCs w:val="18"/>
              </w:rPr>
              <w:t>°</w:t>
            </w:r>
            <w:r w:rsidR="00A32DB7" w:rsidRPr="00676F30">
              <w:rPr>
                <w:rFonts w:cstheme="minorHAnsi"/>
                <w:sz w:val="18"/>
                <w:szCs w:val="18"/>
              </w:rPr>
              <w:t>F</w:t>
            </w:r>
          </w:p>
        </w:tc>
        <w:tc>
          <w:tcPr>
            <w:tcW w:w="2649" w:type="dxa"/>
            <w:tcBorders>
              <w:top w:val="nil"/>
              <w:left w:val="nil"/>
              <w:bottom w:val="nil"/>
              <w:right w:val="single" w:sz="12" w:space="0" w:color="000000"/>
            </w:tcBorders>
            <w:shd w:val="clear" w:color="auto" w:fill="FFFFFF"/>
            <w:noWrap/>
            <w:vAlign w:val="bottom"/>
            <w:hideMark/>
          </w:tcPr>
          <w:p w14:paraId="6A9D2273"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r w:rsidRPr="003C44AD">
              <w:rPr>
                <w:rFonts w:cstheme="minorHAnsi"/>
                <w:sz w:val="18"/>
                <w:szCs w:val="18"/>
              </w:rPr>
              <w:t>Specification</w:t>
            </w:r>
          </w:p>
        </w:tc>
      </w:tr>
      <w:tr w:rsidR="00A32DB7" w:rsidRPr="00676F30" w14:paraId="08AD795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455F34B"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T</w:t>
            </w:r>
          </w:p>
        </w:tc>
        <w:tc>
          <w:tcPr>
            <w:tcW w:w="3108" w:type="dxa"/>
            <w:tcBorders>
              <w:top w:val="nil"/>
              <w:left w:val="single" w:sz="8" w:space="0" w:color="000000"/>
              <w:bottom w:val="nil"/>
              <w:right w:val="nil"/>
            </w:tcBorders>
            <w:shd w:val="clear" w:color="auto" w:fill="FFFFFF"/>
            <w:noWrap/>
            <w:vAlign w:val="bottom"/>
            <w:hideMark/>
          </w:tcPr>
          <w:p w14:paraId="706347E7"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Outlet stack temperature =</w:t>
            </w:r>
          </w:p>
        </w:tc>
        <w:tc>
          <w:tcPr>
            <w:tcW w:w="1270" w:type="dxa"/>
            <w:shd w:val="clear" w:color="auto" w:fill="FFFFFF"/>
            <w:noWrap/>
            <w:vAlign w:val="bottom"/>
            <w:hideMark/>
          </w:tcPr>
          <w:p w14:paraId="6D8A45C0" w14:textId="77777777" w:rsidR="00A32DB7" w:rsidRPr="00676F30" w:rsidRDefault="00A32DB7" w:rsidP="005D34D3">
            <w:pPr>
              <w:spacing w:before="0" w:after="0" w:line="276" w:lineRule="auto"/>
              <w:jc w:val="center"/>
              <w:rPr>
                <w:rFonts w:cstheme="minorHAnsi"/>
                <w:color w:val="0070C0"/>
                <w:sz w:val="18"/>
                <w:szCs w:val="18"/>
              </w:rPr>
            </w:pPr>
            <w:r w:rsidRPr="00676F30">
              <w:rPr>
                <w:rFonts w:cstheme="minorHAnsi"/>
                <w:color w:val="0070C0"/>
                <w:sz w:val="18"/>
                <w:szCs w:val="18"/>
              </w:rPr>
              <w:t>200</w:t>
            </w:r>
          </w:p>
        </w:tc>
        <w:tc>
          <w:tcPr>
            <w:tcW w:w="1361" w:type="dxa"/>
            <w:shd w:val="clear" w:color="auto" w:fill="FFFFFF"/>
            <w:vAlign w:val="bottom"/>
            <w:hideMark/>
          </w:tcPr>
          <w:p w14:paraId="6CA2C737" w14:textId="6F5AA5B5" w:rsidR="00A32DB7" w:rsidRPr="00676F30" w:rsidRDefault="00DB0922" w:rsidP="005D34D3">
            <w:pPr>
              <w:spacing w:before="0" w:after="0" w:line="276" w:lineRule="auto"/>
              <w:rPr>
                <w:rFonts w:cstheme="minorHAnsi"/>
                <w:sz w:val="18"/>
                <w:szCs w:val="18"/>
              </w:rPr>
            </w:pPr>
            <w:r>
              <w:rPr>
                <w:rFonts w:cstheme="minorHAnsi"/>
                <w:sz w:val="18"/>
                <w:szCs w:val="18"/>
              </w:rPr>
              <w:t>°</w:t>
            </w:r>
            <w:r w:rsidR="00A32DB7" w:rsidRPr="00676F30">
              <w:rPr>
                <w:rFonts w:cstheme="minorHAnsi"/>
                <w:sz w:val="18"/>
                <w:szCs w:val="18"/>
              </w:rPr>
              <w:t>F</w:t>
            </w:r>
          </w:p>
        </w:tc>
        <w:tc>
          <w:tcPr>
            <w:tcW w:w="2649" w:type="dxa"/>
            <w:tcBorders>
              <w:top w:val="nil"/>
              <w:left w:val="nil"/>
              <w:bottom w:val="nil"/>
              <w:right w:val="single" w:sz="12" w:space="0" w:color="000000"/>
            </w:tcBorders>
            <w:shd w:val="clear" w:color="auto" w:fill="FFFFFF"/>
            <w:noWrap/>
            <w:vAlign w:val="bottom"/>
            <w:hideMark/>
          </w:tcPr>
          <w:p w14:paraId="3BC17B8C" w14:textId="77777777" w:rsidR="00A32DB7" w:rsidRPr="00676F30" w:rsidRDefault="00A32DB7" w:rsidP="005D34D3">
            <w:pPr>
              <w:spacing w:before="0" w:after="0" w:line="276" w:lineRule="auto"/>
              <w:rPr>
                <w:rFonts w:cstheme="minorHAnsi"/>
                <w:sz w:val="18"/>
                <w:szCs w:val="18"/>
              </w:rPr>
            </w:pPr>
            <w:r w:rsidRPr="003C44AD">
              <w:rPr>
                <w:rFonts w:cstheme="minorHAnsi"/>
                <w:sz w:val="18"/>
                <w:szCs w:val="18"/>
              </w:rPr>
              <w:t>(trial &amp; error)</w:t>
            </w:r>
            <w:r w:rsidRPr="00676F30">
              <w:rPr>
                <w:rFonts w:cstheme="minorHAnsi"/>
                <w:sz w:val="18"/>
                <w:szCs w:val="18"/>
              </w:rPr>
              <w:t> </w:t>
            </w:r>
          </w:p>
        </w:tc>
      </w:tr>
      <w:tr w:rsidR="00A32DB7" w:rsidRPr="00676F30" w14:paraId="11530642"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2158D8D"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U</w:t>
            </w:r>
          </w:p>
        </w:tc>
        <w:tc>
          <w:tcPr>
            <w:tcW w:w="3108" w:type="dxa"/>
            <w:tcBorders>
              <w:top w:val="nil"/>
              <w:left w:val="single" w:sz="8" w:space="0" w:color="000000"/>
              <w:bottom w:val="nil"/>
              <w:right w:val="nil"/>
            </w:tcBorders>
            <w:shd w:val="clear" w:color="auto" w:fill="FFFFFF"/>
            <w:noWrap/>
            <w:vAlign w:val="bottom"/>
            <w:hideMark/>
          </w:tcPr>
          <w:p w14:paraId="0FE40682"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Feedwater Flow Rate =</w:t>
            </w:r>
          </w:p>
        </w:tc>
        <w:tc>
          <w:tcPr>
            <w:tcW w:w="1270" w:type="dxa"/>
            <w:shd w:val="clear" w:color="auto" w:fill="FFFFFF"/>
            <w:noWrap/>
            <w:vAlign w:val="bottom"/>
            <w:hideMark/>
          </w:tcPr>
          <w:p w14:paraId="45B2BCED"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34,027</w:t>
            </w:r>
          </w:p>
        </w:tc>
        <w:tc>
          <w:tcPr>
            <w:tcW w:w="1361" w:type="dxa"/>
            <w:shd w:val="clear" w:color="auto" w:fill="FFFFFF"/>
            <w:vAlign w:val="bottom"/>
            <w:hideMark/>
          </w:tcPr>
          <w:p w14:paraId="7506BBD7"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lbm/hr</w:t>
            </w:r>
          </w:p>
        </w:tc>
        <w:tc>
          <w:tcPr>
            <w:tcW w:w="2649" w:type="dxa"/>
            <w:tcBorders>
              <w:top w:val="nil"/>
              <w:left w:val="nil"/>
              <w:bottom w:val="nil"/>
              <w:right w:val="single" w:sz="12" w:space="0" w:color="000000"/>
            </w:tcBorders>
            <w:shd w:val="clear" w:color="auto" w:fill="FFFFFF"/>
            <w:noWrap/>
            <w:vAlign w:val="bottom"/>
            <w:hideMark/>
          </w:tcPr>
          <w:p w14:paraId="1E612EF4"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=Q*A*60</w:t>
            </w:r>
          </w:p>
        </w:tc>
      </w:tr>
      <w:tr w:rsidR="00A32DB7" w:rsidRPr="00676F30" w14:paraId="577ACC8A"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923CD9F"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V</w:t>
            </w:r>
          </w:p>
        </w:tc>
        <w:tc>
          <w:tcPr>
            <w:tcW w:w="3108" w:type="dxa"/>
            <w:tcBorders>
              <w:top w:val="nil"/>
              <w:left w:val="single" w:sz="8" w:space="0" w:color="000000"/>
              <w:bottom w:val="nil"/>
              <w:right w:val="nil"/>
            </w:tcBorders>
            <w:shd w:val="clear" w:color="auto" w:fill="FFFFFF"/>
            <w:noWrap/>
            <w:vAlign w:val="bottom"/>
            <w:hideMark/>
          </w:tcPr>
          <w:p w14:paraId="2D9416B8"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Feedwater Inlet Temperature =</w:t>
            </w:r>
          </w:p>
        </w:tc>
        <w:tc>
          <w:tcPr>
            <w:tcW w:w="1270" w:type="dxa"/>
            <w:shd w:val="clear" w:color="auto" w:fill="FFFFFF"/>
            <w:noWrap/>
            <w:vAlign w:val="bottom"/>
            <w:hideMark/>
          </w:tcPr>
          <w:p w14:paraId="45F5E19F"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240</w:t>
            </w:r>
          </w:p>
        </w:tc>
        <w:tc>
          <w:tcPr>
            <w:tcW w:w="1361" w:type="dxa"/>
            <w:shd w:val="clear" w:color="auto" w:fill="FFFFFF"/>
            <w:vAlign w:val="bottom"/>
            <w:hideMark/>
          </w:tcPr>
          <w:p w14:paraId="04DD6E34" w14:textId="0393F3E4" w:rsidR="00A32DB7" w:rsidRPr="00676F30" w:rsidRDefault="00DB0922" w:rsidP="005D34D3">
            <w:pPr>
              <w:spacing w:before="0" w:after="0" w:line="276" w:lineRule="auto"/>
              <w:rPr>
                <w:rFonts w:cstheme="minorHAnsi"/>
                <w:sz w:val="18"/>
                <w:szCs w:val="18"/>
              </w:rPr>
            </w:pPr>
            <w:r>
              <w:rPr>
                <w:rFonts w:cstheme="minorHAnsi"/>
                <w:sz w:val="18"/>
                <w:szCs w:val="18"/>
              </w:rPr>
              <w:t>°</w:t>
            </w:r>
            <w:r w:rsidR="00A32DB7" w:rsidRPr="00676F30">
              <w:rPr>
                <w:rFonts w:cstheme="minorHAnsi"/>
                <w:sz w:val="18"/>
                <w:szCs w:val="18"/>
              </w:rPr>
              <w:t>F</w:t>
            </w:r>
          </w:p>
        </w:tc>
        <w:tc>
          <w:tcPr>
            <w:tcW w:w="2649" w:type="dxa"/>
            <w:tcBorders>
              <w:top w:val="nil"/>
              <w:left w:val="nil"/>
              <w:bottom w:val="nil"/>
              <w:right w:val="single" w:sz="12" w:space="0" w:color="000000"/>
            </w:tcBorders>
            <w:shd w:val="clear" w:color="auto" w:fill="FFFFFF"/>
            <w:noWrap/>
            <w:vAlign w:val="bottom"/>
            <w:hideMark/>
          </w:tcPr>
          <w:p w14:paraId="3DD96169"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Spec</w:t>
            </w:r>
          </w:p>
        </w:tc>
      </w:tr>
      <w:tr w:rsidR="00A32DB7" w:rsidRPr="00676F30" w14:paraId="4FF69108"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D05AA58"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W</w:t>
            </w:r>
          </w:p>
        </w:tc>
        <w:tc>
          <w:tcPr>
            <w:tcW w:w="3108" w:type="dxa"/>
            <w:tcBorders>
              <w:top w:val="nil"/>
              <w:left w:val="single" w:sz="8" w:space="0" w:color="000000"/>
              <w:bottom w:val="nil"/>
              <w:right w:val="nil"/>
            </w:tcBorders>
            <w:shd w:val="clear" w:color="auto" w:fill="FFFFFF"/>
            <w:noWrap/>
            <w:vAlign w:val="bottom"/>
            <w:hideMark/>
          </w:tcPr>
          <w:p w14:paraId="7D64AE22"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Feedwater Outlet Temperature =</w:t>
            </w:r>
          </w:p>
        </w:tc>
        <w:tc>
          <w:tcPr>
            <w:tcW w:w="1270" w:type="dxa"/>
            <w:shd w:val="clear" w:color="auto" w:fill="FFFFFF"/>
            <w:noWrap/>
            <w:vAlign w:val="bottom"/>
            <w:hideMark/>
          </w:tcPr>
          <w:p w14:paraId="1DF59E17"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292</w:t>
            </w:r>
          </w:p>
        </w:tc>
        <w:tc>
          <w:tcPr>
            <w:tcW w:w="1361" w:type="dxa"/>
            <w:shd w:val="clear" w:color="auto" w:fill="FFFFFF"/>
            <w:vAlign w:val="bottom"/>
            <w:hideMark/>
          </w:tcPr>
          <w:p w14:paraId="72BEA95A" w14:textId="5E001677" w:rsidR="00A32DB7" w:rsidRPr="00676F30" w:rsidRDefault="00DB0922" w:rsidP="005D34D3">
            <w:pPr>
              <w:spacing w:before="0" w:after="0" w:line="276" w:lineRule="auto"/>
              <w:rPr>
                <w:rFonts w:cstheme="minorHAnsi"/>
                <w:sz w:val="18"/>
                <w:szCs w:val="18"/>
              </w:rPr>
            </w:pPr>
            <w:r>
              <w:rPr>
                <w:rFonts w:cstheme="minorHAnsi"/>
                <w:sz w:val="18"/>
                <w:szCs w:val="18"/>
              </w:rPr>
              <w:t>°</w:t>
            </w:r>
            <w:r w:rsidR="00A32DB7" w:rsidRPr="00676F30">
              <w:rPr>
                <w:rFonts w:cstheme="minorHAnsi"/>
                <w:sz w:val="18"/>
                <w:szCs w:val="18"/>
              </w:rPr>
              <w:t>F</w:t>
            </w:r>
          </w:p>
        </w:tc>
        <w:tc>
          <w:tcPr>
            <w:tcW w:w="2649" w:type="dxa"/>
            <w:tcBorders>
              <w:top w:val="nil"/>
              <w:left w:val="nil"/>
              <w:bottom w:val="nil"/>
              <w:right w:val="single" w:sz="12" w:space="0" w:color="000000"/>
            </w:tcBorders>
            <w:shd w:val="clear" w:color="auto" w:fill="FFFFFF"/>
            <w:noWrap/>
            <w:vAlign w:val="bottom"/>
            <w:hideMark/>
          </w:tcPr>
          <w:p w14:paraId="1773C919"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Spec</w:t>
            </w:r>
          </w:p>
        </w:tc>
      </w:tr>
      <w:tr w:rsidR="00A32DB7" w:rsidRPr="00676F30" w14:paraId="6BBE0CBA"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126CEA7"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X</w:t>
            </w:r>
          </w:p>
        </w:tc>
        <w:tc>
          <w:tcPr>
            <w:tcW w:w="3108" w:type="dxa"/>
            <w:tcBorders>
              <w:top w:val="nil"/>
              <w:left w:val="single" w:sz="8" w:space="0" w:color="000000"/>
              <w:bottom w:val="nil"/>
              <w:right w:val="nil"/>
            </w:tcBorders>
            <w:shd w:val="clear" w:color="auto" w:fill="FFFFFF"/>
            <w:noWrap/>
            <w:vAlign w:val="bottom"/>
            <w:hideMark/>
          </w:tcPr>
          <w:p w14:paraId="08D2A1FB"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Sensible heat load =</w:t>
            </w:r>
          </w:p>
        </w:tc>
        <w:tc>
          <w:tcPr>
            <w:tcW w:w="1270" w:type="dxa"/>
            <w:shd w:val="clear" w:color="auto" w:fill="FFFFFF"/>
            <w:noWrap/>
            <w:vAlign w:val="bottom"/>
            <w:hideMark/>
          </w:tcPr>
          <w:p w14:paraId="1E588495"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1,786,966</w:t>
            </w:r>
          </w:p>
        </w:tc>
        <w:tc>
          <w:tcPr>
            <w:tcW w:w="1361" w:type="dxa"/>
            <w:shd w:val="clear" w:color="auto" w:fill="FFFFFF"/>
            <w:vAlign w:val="bottom"/>
            <w:hideMark/>
          </w:tcPr>
          <w:p w14:paraId="44E319BA"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575ED27E"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=R*C*(S-T)</w:t>
            </w:r>
          </w:p>
        </w:tc>
      </w:tr>
      <w:tr w:rsidR="00A32DB7" w:rsidRPr="00676F30" w14:paraId="49D20E0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4FB3D6B"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657029D4" w14:textId="77777777" w:rsidR="00A32DB7" w:rsidRPr="00676F30" w:rsidRDefault="00A32DB7" w:rsidP="005D34D3">
            <w:pPr>
              <w:spacing w:before="0" w:after="0" w:line="276" w:lineRule="auto"/>
              <w:rPr>
                <w:rFonts w:cstheme="minorHAnsi"/>
                <w:b/>
                <w:bCs/>
                <w:i/>
                <w:iCs/>
                <w:sz w:val="18"/>
                <w:szCs w:val="18"/>
              </w:rPr>
            </w:pPr>
            <w:r w:rsidRPr="00676F30">
              <w:rPr>
                <w:rFonts w:cstheme="minorHAnsi"/>
                <w:b/>
                <w:bCs/>
                <w:i/>
                <w:iCs/>
                <w:sz w:val="18"/>
                <w:szCs w:val="18"/>
              </w:rPr>
              <w:t>Stage 2</w:t>
            </w:r>
          </w:p>
        </w:tc>
        <w:tc>
          <w:tcPr>
            <w:tcW w:w="1270" w:type="dxa"/>
            <w:shd w:val="clear" w:color="auto" w:fill="FFFFFF"/>
            <w:noWrap/>
            <w:vAlign w:val="bottom"/>
            <w:hideMark/>
          </w:tcPr>
          <w:p w14:paraId="25A2018F"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53229AD2"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719A5C41"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r>
      <w:tr w:rsidR="00A32DB7" w:rsidRPr="00676F30" w14:paraId="4274898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A709895"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Y</w:t>
            </w:r>
          </w:p>
        </w:tc>
        <w:tc>
          <w:tcPr>
            <w:tcW w:w="3108" w:type="dxa"/>
            <w:tcBorders>
              <w:top w:val="nil"/>
              <w:left w:val="single" w:sz="8" w:space="0" w:color="000000"/>
              <w:bottom w:val="nil"/>
              <w:right w:val="nil"/>
            </w:tcBorders>
            <w:shd w:val="clear" w:color="auto" w:fill="FFFFFF"/>
            <w:noWrap/>
            <w:vAlign w:val="bottom"/>
            <w:hideMark/>
          </w:tcPr>
          <w:p w14:paraId="6C9A3988"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Inlet stack temperature =</w:t>
            </w:r>
          </w:p>
        </w:tc>
        <w:tc>
          <w:tcPr>
            <w:tcW w:w="1270" w:type="dxa"/>
            <w:shd w:val="clear" w:color="auto" w:fill="FFFFFF"/>
            <w:noWrap/>
            <w:vAlign w:val="bottom"/>
            <w:hideMark/>
          </w:tcPr>
          <w:p w14:paraId="1C801127" w14:textId="77777777" w:rsidR="00A32DB7" w:rsidRPr="00676F30" w:rsidRDefault="00A32DB7" w:rsidP="005D34D3">
            <w:pPr>
              <w:spacing w:before="0" w:after="0" w:line="276" w:lineRule="auto"/>
              <w:jc w:val="center"/>
              <w:rPr>
                <w:rFonts w:cstheme="minorHAnsi"/>
                <w:color w:val="0070C0"/>
                <w:sz w:val="18"/>
                <w:szCs w:val="18"/>
              </w:rPr>
            </w:pPr>
            <w:r w:rsidRPr="00676F30">
              <w:rPr>
                <w:rFonts w:cstheme="minorHAnsi"/>
                <w:color w:val="0070C0"/>
                <w:sz w:val="18"/>
                <w:szCs w:val="18"/>
              </w:rPr>
              <w:t>200</w:t>
            </w:r>
          </w:p>
        </w:tc>
        <w:tc>
          <w:tcPr>
            <w:tcW w:w="1361" w:type="dxa"/>
            <w:shd w:val="clear" w:color="auto" w:fill="FFFFFF"/>
            <w:vAlign w:val="bottom"/>
            <w:hideMark/>
          </w:tcPr>
          <w:p w14:paraId="781EBE1C" w14:textId="446ACC9D" w:rsidR="00A32DB7" w:rsidRPr="00676F30" w:rsidRDefault="00DB0922" w:rsidP="005D34D3">
            <w:pPr>
              <w:spacing w:before="0" w:after="0" w:line="276" w:lineRule="auto"/>
              <w:rPr>
                <w:rFonts w:cstheme="minorHAnsi"/>
                <w:sz w:val="18"/>
                <w:szCs w:val="18"/>
              </w:rPr>
            </w:pPr>
            <w:r>
              <w:rPr>
                <w:rFonts w:cstheme="minorHAnsi"/>
                <w:sz w:val="18"/>
                <w:szCs w:val="18"/>
              </w:rPr>
              <w:t>°</w:t>
            </w:r>
            <w:r w:rsidR="00A32DB7" w:rsidRPr="00676F30">
              <w:rPr>
                <w:rFonts w:cstheme="minorHAnsi"/>
                <w:sz w:val="18"/>
                <w:szCs w:val="18"/>
              </w:rPr>
              <w:t>F</w:t>
            </w:r>
          </w:p>
        </w:tc>
        <w:tc>
          <w:tcPr>
            <w:tcW w:w="2649" w:type="dxa"/>
            <w:tcBorders>
              <w:top w:val="nil"/>
              <w:left w:val="nil"/>
              <w:bottom w:val="nil"/>
              <w:right w:val="single" w:sz="12" w:space="0" w:color="000000"/>
            </w:tcBorders>
            <w:shd w:val="clear" w:color="auto" w:fill="FFFFFF"/>
            <w:noWrap/>
            <w:vAlign w:val="bottom"/>
            <w:hideMark/>
          </w:tcPr>
          <w:p w14:paraId="4E703A2C"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r>
              <w:rPr>
                <w:rFonts w:cstheme="minorHAnsi"/>
                <w:sz w:val="18"/>
                <w:szCs w:val="18"/>
              </w:rPr>
              <w:t>=T</w:t>
            </w:r>
          </w:p>
        </w:tc>
      </w:tr>
      <w:tr w:rsidR="00A32DB7" w:rsidRPr="00676F30" w14:paraId="257AECC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BCC7D80"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Z</w:t>
            </w:r>
          </w:p>
        </w:tc>
        <w:tc>
          <w:tcPr>
            <w:tcW w:w="3108" w:type="dxa"/>
            <w:tcBorders>
              <w:top w:val="nil"/>
              <w:left w:val="single" w:sz="8" w:space="0" w:color="000000"/>
              <w:bottom w:val="nil"/>
              <w:right w:val="nil"/>
            </w:tcBorders>
            <w:shd w:val="clear" w:color="auto" w:fill="FFFFFF"/>
            <w:noWrap/>
            <w:vAlign w:val="bottom"/>
            <w:hideMark/>
          </w:tcPr>
          <w:p w14:paraId="3EF7443C" w14:textId="77777777" w:rsidR="00A32DB7" w:rsidRPr="00676F30" w:rsidRDefault="00A32DB7" w:rsidP="005D34D3">
            <w:pPr>
              <w:spacing w:before="0" w:after="0" w:line="276" w:lineRule="auto"/>
              <w:jc w:val="right"/>
              <w:rPr>
                <w:rFonts w:cstheme="minorHAnsi"/>
                <w:sz w:val="18"/>
                <w:szCs w:val="18"/>
              </w:rPr>
            </w:pPr>
            <w:r w:rsidRPr="00676F30">
              <w:rPr>
                <w:rFonts w:cstheme="minorHAnsi"/>
                <w:sz w:val="18"/>
                <w:szCs w:val="18"/>
              </w:rPr>
              <w:t>Outlet stack temperature =</w:t>
            </w:r>
          </w:p>
        </w:tc>
        <w:tc>
          <w:tcPr>
            <w:tcW w:w="1270" w:type="dxa"/>
            <w:shd w:val="clear" w:color="auto" w:fill="FFFFFF"/>
            <w:noWrap/>
            <w:vAlign w:val="bottom"/>
            <w:hideMark/>
          </w:tcPr>
          <w:p w14:paraId="1ECED03C" w14:textId="076788F9" w:rsidR="00A32DB7" w:rsidRPr="00676F30" w:rsidRDefault="00A32DB7" w:rsidP="005D34D3">
            <w:pPr>
              <w:spacing w:before="0" w:after="0" w:line="276" w:lineRule="auto"/>
              <w:jc w:val="center"/>
              <w:rPr>
                <w:rFonts w:cstheme="minorHAnsi"/>
                <w:color w:val="0070C0"/>
                <w:sz w:val="18"/>
                <w:szCs w:val="18"/>
              </w:rPr>
            </w:pPr>
            <w:r w:rsidRPr="00676F30">
              <w:rPr>
                <w:rFonts w:cstheme="minorHAnsi"/>
                <w:color w:val="0070C0"/>
                <w:sz w:val="18"/>
                <w:szCs w:val="18"/>
              </w:rPr>
              <w:t>170</w:t>
            </w:r>
            <w:r w:rsidR="00851A07">
              <w:rPr>
                <w:rFonts w:cstheme="minorHAnsi"/>
                <w:color w:val="0070C0"/>
                <w:sz w:val="18"/>
                <w:szCs w:val="18"/>
              </w:rPr>
              <w:t xml:space="preserve"> *</w:t>
            </w:r>
          </w:p>
        </w:tc>
        <w:tc>
          <w:tcPr>
            <w:tcW w:w="1361" w:type="dxa"/>
            <w:shd w:val="clear" w:color="auto" w:fill="FFFFFF"/>
            <w:vAlign w:val="bottom"/>
            <w:hideMark/>
          </w:tcPr>
          <w:p w14:paraId="7F176396" w14:textId="503886C4" w:rsidR="00A32DB7" w:rsidRPr="00676F30" w:rsidRDefault="00DB0922" w:rsidP="005D34D3">
            <w:pPr>
              <w:spacing w:before="0" w:after="0" w:line="276" w:lineRule="auto"/>
              <w:rPr>
                <w:rFonts w:cstheme="minorHAnsi"/>
                <w:sz w:val="18"/>
                <w:szCs w:val="18"/>
              </w:rPr>
            </w:pPr>
            <w:r>
              <w:rPr>
                <w:rFonts w:cstheme="minorHAnsi"/>
                <w:sz w:val="18"/>
                <w:szCs w:val="18"/>
              </w:rPr>
              <w:t>°</w:t>
            </w:r>
            <w:r w:rsidR="00A32DB7" w:rsidRPr="00676F30">
              <w:rPr>
                <w:rFonts w:cstheme="minorHAnsi"/>
                <w:sz w:val="18"/>
                <w:szCs w:val="18"/>
              </w:rPr>
              <w:t>F</w:t>
            </w:r>
          </w:p>
        </w:tc>
        <w:tc>
          <w:tcPr>
            <w:tcW w:w="2649" w:type="dxa"/>
            <w:tcBorders>
              <w:top w:val="nil"/>
              <w:left w:val="nil"/>
              <w:bottom w:val="nil"/>
              <w:right w:val="single" w:sz="12" w:space="0" w:color="000000"/>
            </w:tcBorders>
            <w:shd w:val="clear" w:color="auto" w:fill="FFFFFF"/>
            <w:noWrap/>
            <w:vAlign w:val="bottom"/>
            <w:hideMark/>
          </w:tcPr>
          <w:p w14:paraId="3F5470DF"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Spec</w:t>
            </w:r>
          </w:p>
        </w:tc>
      </w:tr>
      <w:tr w:rsidR="00A32DB7" w:rsidRPr="00676F30" w14:paraId="4C96D9A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7D9AED5"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AA</w:t>
            </w:r>
          </w:p>
        </w:tc>
        <w:tc>
          <w:tcPr>
            <w:tcW w:w="3108" w:type="dxa"/>
            <w:tcBorders>
              <w:top w:val="nil"/>
              <w:left w:val="single" w:sz="8" w:space="0" w:color="000000"/>
              <w:bottom w:val="nil"/>
              <w:right w:val="nil"/>
            </w:tcBorders>
            <w:shd w:val="clear" w:color="auto" w:fill="FFFFFF"/>
            <w:noWrap/>
            <w:vAlign w:val="bottom"/>
            <w:hideMark/>
          </w:tcPr>
          <w:p w14:paraId="751511D8"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Sensible heat load =</w:t>
            </w:r>
          </w:p>
        </w:tc>
        <w:tc>
          <w:tcPr>
            <w:tcW w:w="1270" w:type="dxa"/>
            <w:shd w:val="clear" w:color="auto" w:fill="FFFFFF"/>
            <w:noWrap/>
            <w:vAlign w:val="bottom"/>
            <w:hideMark/>
          </w:tcPr>
          <w:p w14:paraId="0551CAB2"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184,859</w:t>
            </w:r>
          </w:p>
        </w:tc>
        <w:tc>
          <w:tcPr>
            <w:tcW w:w="1361" w:type="dxa"/>
            <w:shd w:val="clear" w:color="auto" w:fill="FFFFFF"/>
            <w:vAlign w:val="bottom"/>
            <w:hideMark/>
          </w:tcPr>
          <w:p w14:paraId="2DD9BAF3"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14E5BD2B"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=R*C*(Y-Z)</w:t>
            </w:r>
          </w:p>
        </w:tc>
      </w:tr>
      <w:tr w:rsidR="00A32DB7" w:rsidRPr="00676F30" w14:paraId="2C5D96E2"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22812D6"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AB</w:t>
            </w:r>
          </w:p>
        </w:tc>
        <w:tc>
          <w:tcPr>
            <w:tcW w:w="3108" w:type="dxa"/>
            <w:tcBorders>
              <w:top w:val="nil"/>
              <w:left w:val="single" w:sz="8" w:space="0" w:color="000000"/>
              <w:bottom w:val="nil"/>
              <w:right w:val="nil"/>
            </w:tcBorders>
            <w:noWrap/>
            <w:vAlign w:val="bottom"/>
            <w:hideMark/>
          </w:tcPr>
          <w:p w14:paraId="666786AA" w14:textId="77777777" w:rsidR="00A32DB7" w:rsidRPr="00676F30" w:rsidRDefault="00A32DB7" w:rsidP="005D34D3">
            <w:pPr>
              <w:spacing w:before="0" w:after="0" w:line="276" w:lineRule="auto"/>
              <w:jc w:val="right"/>
              <w:rPr>
                <w:rFonts w:cstheme="minorHAnsi"/>
                <w:color w:val="000000"/>
                <w:sz w:val="18"/>
                <w:szCs w:val="18"/>
              </w:rPr>
            </w:pPr>
            <w:r w:rsidRPr="00676F30">
              <w:rPr>
                <w:rFonts w:cstheme="minorHAnsi"/>
                <w:color w:val="000000"/>
                <w:sz w:val="18"/>
                <w:szCs w:val="18"/>
              </w:rPr>
              <w:t>Water vapor flow @ inlet =</w:t>
            </w:r>
          </w:p>
        </w:tc>
        <w:tc>
          <w:tcPr>
            <w:tcW w:w="1270" w:type="dxa"/>
            <w:shd w:val="clear" w:color="auto" w:fill="FFFFFF"/>
            <w:noWrap/>
            <w:vAlign w:val="bottom"/>
            <w:hideMark/>
          </w:tcPr>
          <w:p w14:paraId="7FD55DBD"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2,561</w:t>
            </w:r>
          </w:p>
        </w:tc>
        <w:tc>
          <w:tcPr>
            <w:tcW w:w="1361" w:type="dxa"/>
            <w:shd w:val="clear" w:color="auto" w:fill="FFFFFF"/>
            <w:vAlign w:val="bottom"/>
            <w:hideMark/>
          </w:tcPr>
          <w:p w14:paraId="377A1079"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Lbm/hr</w:t>
            </w:r>
          </w:p>
        </w:tc>
        <w:tc>
          <w:tcPr>
            <w:tcW w:w="2649" w:type="dxa"/>
            <w:tcBorders>
              <w:top w:val="nil"/>
              <w:left w:val="nil"/>
              <w:bottom w:val="nil"/>
              <w:right w:val="single" w:sz="12" w:space="0" w:color="000000"/>
            </w:tcBorders>
            <w:shd w:val="clear" w:color="auto" w:fill="FFFFFF"/>
            <w:noWrap/>
            <w:vAlign w:val="bottom"/>
            <w:hideMark/>
          </w:tcPr>
          <w:p w14:paraId="60D6D2B0"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=R*11%</w:t>
            </w:r>
          </w:p>
        </w:tc>
      </w:tr>
      <w:tr w:rsidR="00A32DB7" w:rsidRPr="00676F30" w14:paraId="705B136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D7239FD"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AC</w:t>
            </w:r>
          </w:p>
        </w:tc>
        <w:tc>
          <w:tcPr>
            <w:tcW w:w="3108" w:type="dxa"/>
            <w:tcBorders>
              <w:top w:val="nil"/>
              <w:left w:val="single" w:sz="8" w:space="0" w:color="000000"/>
              <w:bottom w:val="nil"/>
              <w:right w:val="nil"/>
            </w:tcBorders>
            <w:noWrap/>
            <w:vAlign w:val="bottom"/>
            <w:hideMark/>
          </w:tcPr>
          <w:p w14:paraId="4227693D" w14:textId="77777777" w:rsidR="00A32DB7" w:rsidRPr="00676F30" w:rsidRDefault="00A32DB7" w:rsidP="005D34D3">
            <w:pPr>
              <w:spacing w:before="0" w:after="0" w:line="276" w:lineRule="auto"/>
              <w:jc w:val="right"/>
              <w:rPr>
                <w:rFonts w:cstheme="minorHAnsi"/>
                <w:color w:val="000000"/>
                <w:sz w:val="18"/>
                <w:szCs w:val="18"/>
              </w:rPr>
            </w:pPr>
            <w:r w:rsidRPr="00676F30">
              <w:rPr>
                <w:rFonts w:cstheme="minorHAnsi"/>
                <w:color w:val="000000"/>
                <w:sz w:val="18"/>
                <w:szCs w:val="18"/>
              </w:rPr>
              <w:t>Water vapor flow @ outlet =</w:t>
            </w:r>
          </w:p>
        </w:tc>
        <w:tc>
          <w:tcPr>
            <w:tcW w:w="1270" w:type="dxa"/>
            <w:shd w:val="clear" w:color="auto" w:fill="FFFFFF"/>
            <w:noWrap/>
            <w:vAlign w:val="bottom"/>
            <w:hideMark/>
          </w:tcPr>
          <w:p w14:paraId="52D3BD87"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1,057</w:t>
            </w:r>
          </w:p>
        </w:tc>
        <w:tc>
          <w:tcPr>
            <w:tcW w:w="1361" w:type="dxa"/>
            <w:shd w:val="clear" w:color="auto" w:fill="FFFFFF"/>
            <w:vAlign w:val="bottom"/>
            <w:hideMark/>
          </w:tcPr>
          <w:p w14:paraId="201ABDCF"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Lbm/hr</w:t>
            </w:r>
          </w:p>
        </w:tc>
        <w:tc>
          <w:tcPr>
            <w:tcW w:w="2649" w:type="dxa"/>
            <w:tcBorders>
              <w:top w:val="nil"/>
              <w:left w:val="nil"/>
              <w:bottom w:val="nil"/>
              <w:right w:val="single" w:sz="12" w:space="0" w:color="000000"/>
            </w:tcBorders>
            <w:shd w:val="clear" w:color="auto" w:fill="FFFFFF"/>
            <w:noWrap/>
            <w:vAlign w:val="bottom"/>
            <w:hideMark/>
          </w:tcPr>
          <w:p w14:paraId="3CF078E7" w14:textId="17DD8930" w:rsidR="00A32DB7" w:rsidRPr="00676F30" w:rsidRDefault="00A32DB7" w:rsidP="005D34D3">
            <w:pPr>
              <w:spacing w:before="0" w:after="0" w:line="276" w:lineRule="auto"/>
              <w:rPr>
                <w:rFonts w:cstheme="minorHAnsi"/>
                <w:sz w:val="18"/>
                <w:szCs w:val="18"/>
              </w:rPr>
            </w:pPr>
            <w:r w:rsidRPr="00676F30">
              <w:rPr>
                <w:rFonts w:cstheme="minorHAnsi"/>
                <w:sz w:val="18"/>
                <w:szCs w:val="18"/>
              </w:rPr>
              <w:t>=R*</w:t>
            </w:r>
            <w:r w:rsidR="00851A07">
              <w:rPr>
                <w:rFonts w:cstheme="minorHAnsi"/>
                <w:sz w:val="18"/>
                <w:szCs w:val="18"/>
              </w:rPr>
              <w:t>4.5</w:t>
            </w:r>
            <w:r w:rsidRPr="00676F30">
              <w:rPr>
                <w:rFonts w:cstheme="minorHAnsi"/>
                <w:sz w:val="18"/>
                <w:szCs w:val="18"/>
              </w:rPr>
              <w:t>%</w:t>
            </w:r>
          </w:p>
        </w:tc>
      </w:tr>
      <w:tr w:rsidR="00A32DB7" w:rsidRPr="00676F30" w14:paraId="58F133F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10530CF"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AD</w:t>
            </w:r>
          </w:p>
        </w:tc>
        <w:tc>
          <w:tcPr>
            <w:tcW w:w="3108" w:type="dxa"/>
            <w:tcBorders>
              <w:top w:val="nil"/>
              <w:left w:val="single" w:sz="8" w:space="0" w:color="000000"/>
              <w:bottom w:val="nil"/>
              <w:right w:val="nil"/>
            </w:tcBorders>
            <w:noWrap/>
            <w:vAlign w:val="bottom"/>
            <w:hideMark/>
          </w:tcPr>
          <w:p w14:paraId="6F2E6AE9" w14:textId="77777777" w:rsidR="00A32DB7" w:rsidRPr="00676F30" w:rsidRDefault="00A32DB7" w:rsidP="005D34D3">
            <w:pPr>
              <w:spacing w:before="0" w:after="0" w:line="276" w:lineRule="auto"/>
              <w:jc w:val="right"/>
              <w:rPr>
                <w:rFonts w:cstheme="minorHAnsi"/>
                <w:color w:val="000000"/>
                <w:sz w:val="18"/>
                <w:szCs w:val="18"/>
              </w:rPr>
            </w:pPr>
            <w:r w:rsidRPr="00676F30">
              <w:rPr>
                <w:rFonts w:cstheme="minorHAnsi"/>
                <w:color w:val="000000"/>
                <w:sz w:val="18"/>
                <w:szCs w:val="18"/>
              </w:rPr>
              <w:t>Condensed Water =</w:t>
            </w:r>
          </w:p>
        </w:tc>
        <w:tc>
          <w:tcPr>
            <w:tcW w:w="1270" w:type="dxa"/>
            <w:shd w:val="clear" w:color="auto" w:fill="FFFFFF"/>
            <w:noWrap/>
            <w:vAlign w:val="bottom"/>
            <w:hideMark/>
          </w:tcPr>
          <w:p w14:paraId="06406BFD"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1,504</w:t>
            </w:r>
          </w:p>
        </w:tc>
        <w:tc>
          <w:tcPr>
            <w:tcW w:w="1361" w:type="dxa"/>
            <w:shd w:val="clear" w:color="auto" w:fill="FFFFFF"/>
            <w:vAlign w:val="bottom"/>
            <w:hideMark/>
          </w:tcPr>
          <w:p w14:paraId="707B8B38"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Lbm/hr</w:t>
            </w:r>
          </w:p>
        </w:tc>
        <w:tc>
          <w:tcPr>
            <w:tcW w:w="2649" w:type="dxa"/>
            <w:tcBorders>
              <w:top w:val="nil"/>
              <w:left w:val="nil"/>
              <w:bottom w:val="nil"/>
              <w:right w:val="single" w:sz="12" w:space="0" w:color="000000"/>
            </w:tcBorders>
            <w:shd w:val="clear" w:color="auto" w:fill="FFFFFF"/>
            <w:noWrap/>
            <w:vAlign w:val="bottom"/>
            <w:hideMark/>
          </w:tcPr>
          <w:p w14:paraId="4E98DA08"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=AB-AC</w:t>
            </w:r>
          </w:p>
        </w:tc>
      </w:tr>
      <w:tr w:rsidR="00A32DB7" w:rsidRPr="00676F30" w14:paraId="27DA1FA9"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86309AF"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AE</w:t>
            </w:r>
          </w:p>
        </w:tc>
        <w:tc>
          <w:tcPr>
            <w:tcW w:w="3108" w:type="dxa"/>
            <w:tcBorders>
              <w:top w:val="nil"/>
              <w:left w:val="single" w:sz="8" w:space="0" w:color="000000"/>
              <w:bottom w:val="nil"/>
              <w:right w:val="nil"/>
            </w:tcBorders>
            <w:shd w:val="clear" w:color="auto" w:fill="FFFFFF"/>
            <w:noWrap/>
            <w:vAlign w:val="bottom"/>
            <w:hideMark/>
          </w:tcPr>
          <w:p w14:paraId="4A774395"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Latent heat load =</w:t>
            </w:r>
          </w:p>
        </w:tc>
        <w:tc>
          <w:tcPr>
            <w:tcW w:w="1270" w:type="dxa"/>
            <w:shd w:val="clear" w:color="auto" w:fill="FFFFFF"/>
            <w:noWrap/>
            <w:vAlign w:val="bottom"/>
            <w:hideMark/>
          </w:tcPr>
          <w:p w14:paraId="4A13AD4D"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1,458,709</w:t>
            </w:r>
          </w:p>
        </w:tc>
        <w:tc>
          <w:tcPr>
            <w:tcW w:w="1361" w:type="dxa"/>
            <w:shd w:val="clear" w:color="auto" w:fill="FFFFFF"/>
            <w:vAlign w:val="bottom"/>
            <w:hideMark/>
          </w:tcPr>
          <w:p w14:paraId="6FEC42A7"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55C5FF25"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=AD*E</w:t>
            </w:r>
          </w:p>
        </w:tc>
      </w:tr>
      <w:tr w:rsidR="00A32DB7" w:rsidRPr="00676F30" w14:paraId="07D2CD48"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5FD5B7A"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AF</w:t>
            </w:r>
          </w:p>
        </w:tc>
        <w:tc>
          <w:tcPr>
            <w:tcW w:w="3108" w:type="dxa"/>
            <w:tcBorders>
              <w:top w:val="nil"/>
              <w:left w:val="single" w:sz="8" w:space="0" w:color="000000"/>
              <w:bottom w:val="nil"/>
              <w:right w:val="nil"/>
            </w:tcBorders>
            <w:shd w:val="clear" w:color="auto" w:fill="FFFFFF"/>
            <w:noWrap/>
            <w:vAlign w:val="bottom"/>
            <w:hideMark/>
          </w:tcPr>
          <w:p w14:paraId="13AB434C"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Stage-2, Sensible + Latent heat Load =</w:t>
            </w:r>
          </w:p>
        </w:tc>
        <w:tc>
          <w:tcPr>
            <w:tcW w:w="1270" w:type="dxa"/>
            <w:shd w:val="clear" w:color="auto" w:fill="FFFFFF"/>
            <w:noWrap/>
            <w:vAlign w:val="bottom"/>
            <w:hideMark/>
          </w:tcPr>
          <w:p w14:paraId="7422745C"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1,643,567</w:t>
            </w:r>
          </w:p>
        </w:tc>
        <w:tc>
          <w:tcPr>
            <w:tcW w:w="1361" w:type="dxa"/>
            <w:shd w:val="clear" w:color="auto" w:fill="FFFFFF"/>
            <w:vAlign w:val="bottom"/>
            <w:hideMark/>
          </w:tcPr>
          <w:p w14:paraId="68D6D7AB"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151CAAD8"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=AA+AE</w:t>
            </w:r>
          </w:p>
        </w:tc>
      </w:tr>
      <w:tr w:rsidR="00A32DB7" w:rsidRPr="00676F30" w14:paraId="414C5B9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D19E819"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25E9CF9D" w14:textId="77777777" w:rsidR="00A32DB7" w:rsidRPr="00676F30" w:rsidRDefault="00A32DB7" w:rsidP="005D34D3">
            <w:pPr>
              <w:spacing w:before="0" w:after="0" w:line="276" w:lineRule="auto"/>
              <w:rPr>
                <w:rFonts w:cstheme="minorHAnsi"/>
                <w:b/>
                <w:bCs/>
                <w:i/>
                <w:iCs/>
                <w:sz w:val="18"/>
                <w:szCs w:val="18"/>
              </w:rPr>
            </w:pPr>
            <w:r w:rsidRPr="00676F30">
              <w:rPr>
                <w:rFonts w:cstheme="minorHAnsi"/>
                <w:b/>
                <w:bCs/>
                <w:i/>
                <w:iCs/>
                <w:sz w:val="18"/>
                <w:szCs w:val="18"/>
              </w:rPr>
              <w:t>Dual-Stages</w:t>
            </w:r>
          </w:p>
        </w:tc>
        <w:tc>
          <w:tcPr>
            <w:tcW w:w="1270" w:type="dxa"/>
            <w:shd w:val="clear" w:color="auto" w:fill="FFFFFF"/>
            <w:noWrap/>
            <w:vAlign w:val="bottom"/>
            <w:hideMark/>
          </w:tcPr>
          <w:p w14:paraId="441EA15F"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66218D21"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3030201A"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r>
      <w:tr w:rsidR="00A32DB7" w:rsidRPr="00676F30" w14:paraId="3D114D3E"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9636B88"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AG</w:t>
            </w:r>
          </w:p>
        </w:tc>
        <w:tc>
          <w:tcPr>
            <w:tcW w:w="3108" w:type="dxa"/>
            <w:tcBorders>
              <w:top w:val="nil"/>
              <w:left w:val="single" w:sz="8" w:space="0" w:color="000000"/>
              <w:bottom w:val="nil"/>
              <w:right w:val="nil"/>
            </w:tcBorders>
            <w:shd w:val="clear" w:color="auto" w:fill="FFFFFF"/>
            <w:noWrap/>
            <w:vAlign w:val="bottom"/>
            <w:hideMark/>
          </w:tcPr>
          <w:p w14:paraId="6620FD8C"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Total Recovered heat =</w:t>
            </w:r>
          </w:p>
        </w:tc>
        <w:tc>
          <w:tcPr>
            <w:tcW w:w="1270" w:type="dxa"/>
            <w:shd w:val="clear" w:color="auto" w:fill="FFFFFF"/>
            <w:noWrap/>
            <w:vAlign w:val="bottom"/>
            <w:hideMark/>
          </w:tcPr>
          <w:p w14:paraId="5814F92C"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3,430,533</w:t>
            </w:r>
          </w:p>
        </w:tc>
        <w:tc>
          <w:tcPr>
            <w:tcW w:w="1361" w:type="dxa"/>
            <w:shd w:val="clear" w:color="auto" w:fill="FFFFFF"/>
            <w:vAlign w:val="bottom"/>
            <w:hideMark/>
          </w:tcPr>
          <w:p w14:paraId="37A7DECF"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3E1B6C2A"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=X+AF</w:t>
            </w:r>
          </w:p>
        </w:tc>
      </w:tr>
      <w:tr w:rsidR="00A32DB7" w:rsidRPr="00676F30" w14:paraId="106D0CBA"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BCD1006"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AH</w:t>
            </w:r>
          </w:p>
        </w:tc>
        <w:tc>
          <w:tcPr>
            <w:tcW w:w="3108" w:type="dxa"/>
            <w:tcBorders>
              <w:top w:val="nil"/>
              <w:left w:val="single" w:sz="8" w:space="0" w:color="000000"/>
              <w:bottom w:val="nil"/>
              <w:right w:val="nil"/>
            </w:tcBorders>
            <w:shd w:val="clear" w:color="auto" w:fill="FFFFFF"/>
            <w:noWrap/>
            <w:vAlign w:val="bottom"/>
            <w:hideMark/>
          </w:tcPr>
          <w:p w14:paraId="64ECA17A"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Economizer Fuel  savings =</w:t>
            </w:r>
          </w:p>
        </w:tc>
        <w:tc>
          <w:tcPr>
            <w:tcW w:w="1270" w:type="dxa"/>
            <w:shd w:val="clear" w:color="auto" w:fill="FFFFFF"/>
            <w:noWrap/>
            <w:vAlign w:val="bottom"/>
            <w:hideMark/>
          </w:tcPr>
          <w:p w14:paraId="0FE3F2F2"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4,245,709</w:t>
            </w:r>
          </w:p>
        </w:tc>
        <w:tc>
          <w:tcPr>
            <w:tcW w:w="1361" w:type="dxa"/>
            <w:shd w:val="clear" w:color="auto" w:fill="FFFFFF"/>
            <w:vAlign w:val="bottom"/>
            <w:hideMark/>
          </w:tcPr>
          <w:p w14:paraId="36EBEAC2"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1399DAD6"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=AG/I</w:t>
            </w:r>
          </w:p>
        </w:tc>
      </w:tr>
      <w:tr w:rsidR="00A32DB7" w:rsidRPr="00676F30" w14:paraId="3DC735A0"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28DEBE6"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AI</w:t>
            </w:r>
          </w:p>
        </w:tc>
        <w:tc>
          <w:tcPr>
            <w:tcW w:w="3108" w:type="dxa"/>
            <w:tcBorders>
              <w:top w:val="nil"/>
              <w:left w:val="single" w:sz="8" w:space="0" w:color="000000"/>
              <w:bottom w:val="nil"/>
              <w:right w:val="nil"/>
            </w:tcBorders>
            <w:shd w:val="clear" w:color="auto" w:fill="FFFFFF"/>
            <w:noWrap/>
            <w:vAlign w:val="bottom"/>
            <w:hideMark/>
          </w:tcPr>
          <w:p w14:paraId="599FB676"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Proposed gas  consumption =</w:t>
            </w:r>
          </w:p>
        </w:tc>
        <w:tc>
          <w:tcPr>
            <w:tcW w:w="1270" w:type="dxa"/>
            <w:shd w:val="clear" w:color="auto" w:fill="FFFFFF"/>
            <w:noWrap/>
            <w:vAlign w:val="bottom"/>
            <w:hideMark/>
          </w:tcPr>
          <w:p w14:paraId="027EF600" w14:textId="77777777" w:rsidR="00A32DB7" w:rsidRPr="00676F30" w:rsidRDefault="00A32DB7" w:rsidP="005D34D3">
            <w:pPr>
              <w:spacing w:before="0" w:after="0" w:line="276" w:lineRule="auto"/>
              <w:jc w:val="center"/>
              <w:rPr>
                <w:rFonts w:cstheme="minorHAnsi"/>
                <w:sz w:val="18"/>
                <w:szCs w:val="18"/>
              </w:rPr>
            </w:pPr>
            <w:r w:rsidRPr="00676F30">
              <w:rPr>
                <w:rFonts w:cstheme="minorHAnsi"/>
                <w:sz w:val="18"/>
                <w:szCs w:val="18"/>
              </w:rPr>
              <w:t>37,183,746</w:t>
            </w:r>
          </w:p>
        </w:tc>
        <w:tc>
          <w:tcPr>
            <w:tcW w:w="1361" w:type="dxa"/>
            <w:shd w:val="clear" w:color="auto" w:fill="FFFFFF"/>
            <w:vAlign w:val="bottom"/>
            <w:hideMark/>
          </w:tcPr>
          <w:p w14:paraId="5BB0190B"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Btu/hr</w:t>
            </w:r>
          </w:p>
        </w:tc>
        <w:tc>
          <w:tcPr>
            <w:tcW w:w="2649" w:type="dxa"/>
            <w:tcBorders>
              <w:top w:val="nil"/>
              <w:left w:val="nil"/>
              <w:bottom w:val="nil"/>
              <w:right w:val="single" w:sz="12" w:space="0" w:color="000000"/>
            </w:tcBorders>
            <w:shd w:val="clear" w:color="auto" w:fill="FFFFFF"/>
            <w:noWrap/>
            <w:vAlign w:val="bottom"/>
            <w:hideMark/>
          </w:tcPr>
          <w:p w14:paraId="0DBD99F0"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=P-AH</w:t>
            </w:r>
          </w:p>
        </w:tc>
      </w:tr>
      <w:tr w:rsidR="00A32DB7" w:rsidRPr="00676F30" w14:paraId="4F208F6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E60FFC3"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AJ</w:t>
            </w:r>
          </w:p>
        </w:tc>
        <w:tc>
          <w:tcPr>
            <w:tcW w:w="3108" w:type="dxa"/>
            <w:tcBorders>
              <w:top w:val="nil"/>
              <w:left w:val="single" w:sz="8" w:space="0" w:color="000000"/>
              <w:bottom w:val="nil"/>
              <w:right w:val="nil"/>
            </w:tcBorders>
            <w:shd w:val="clear" w:color="auto" w:fill="FFFFFF"/>
            <w:noWrap/>
            <w:vAlign w:val="bottom"/>
            <w:hideMark/>
          </w:tcPr>
          <w:p w14:paraId="0A409E01"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Annual NG Therm Savings =</w:t>
            </w:r>
          </w:p>
        </w:tc>
        <w:tc>
          <w:tcPr>
            <w:tcW w:w="1270" w:type="dxa"/>
            <w:shd w:val="clear" w:color="auto" w:fill="FFFFFF"/>
            <w:noWrap/>
            <w:vAlign w:val="bottom"/>
            <w:hideMark/>
          </w:tcPr>
          <w:p w14:paraId="6B97B7FF" w14:textId="77777777" w:rsidR="00A32DB7" w:rsidRPr="00676F30" w:rsidRDefault="00A32DB7" w:rsidP="005D34D3">
            <w:pPr>
              <w:spacing w:before="0" w:after="0" w:line="276" w:lineRule="auto"/>
              <w:jc w:val="center"/>
              <w:rPr>
                <w:rFonts w:cstheme="minorHAnsi"/>
                <w:b/>
                <w:bCs/>
                <w:sz w:val="18"/>
                <w:szCs w:val="18"/>
              </w:rPr>
            </w:pPr>
            <w:r w:rsidRPr="00676F30">
              <w:rPr>
                <w:rFonts w:cstheme="minorHAnsi"/>
                <w:b/>
                <w:bCs/>
                <w:sz w:val="18"/>
                <w:szCs w:val="18"/>
              </w:rPr>
              <w:t>169,828</w:t>
            </w:r>
          </w:p>
        </w:tc>
        <w:tc>
          <w:tcPr>
            <w:tcW w:w="1361" w:type="dxa"/>
            <w:shd w:val="clear" w:color="auto" w:fill="FFFFFF"/>
            <w:vAlign w:val="bottom"/>
            <w:hideMark/>
          </w:tcPr>
          <w:p w14:paraId="367AAB19"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therms/yr</w:t>
            </w:r>
          </w:p>
        </w:tc>
        <w:tc>
          <w:tcPr>
            <w:tcW w:w="2649" w:type="dxa"/>
            <w:tcBorders>
              <w:top w:val="nil"/>
              <w:left w:val="nil"/>
              <w:bottom w:val="nil"/>
              <w:right w:val="single" w:sz="12" w:space="0" w:color="000000"/>
            </w:tcBorders>
            <w:shd w:val="clear" w:color="auto" w:fill="FFFFFF"/>
            <w:noWrap/>
            <w:vAlign w:val="bottom"/>
            <w:hideMark/>
          </w:tcPr>
          <w:p w14:paraId="1B02A27F"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=AH*L/10^5</w:t>
            </w:r>
          </w:p>
        </w:tc>
      </w:tr>
      <w:tr w:rsidR="00A32DB7" w:rsidRPr="00676F30" w14:paraId="5A28FA8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F29E471"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AK</w:t>
            </w:r>
          </w:p>
        </w:tc>
        <w:tc>
          <w:tcPr>
            <w:tcW w:w="3108" w:type="dxa"/>
            <w:tcBorders>
              <w:top w:val="nil"/>
              <w:left w:val="single" w:sz="8" w:space="0" w:color="000000"/>
              <w:bottom w:val="nil"/>
              <w:right w:val="nil"/>
            </w:tcBorders>
            <w:shd w:val="clear" w:color="auto" w:fill="FFFFFF"/>
            <w:noWrap/>
            <w:vAlign w:val="bottom"/>
            <w:hideMark/>
          </w:tcPr>
          <w:p w14:paraId="752D9937"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Dual-Stage efficiency =</w:t>
            </w:r>
          </w:p>
        </w:tc>
        <w:tc>
          <w:tcPr>
            <w:tcW w:w="1270" w:type="dxa"/>
            <w:shd w:val="clear" w:color="auto" w:fill="FFFFFF"/>
            <w:noWrap/>
            <w:vAlign w:val="bottom"/>
            <w:hideMark/>
          </w:tcPr>
          <w:p w14:paraId="20F6F211" w14:textId="77777777" w:rsidR="00A32DB7" w:rsidRPr="00676F30" w:rsidRDefault="00A32DB7" w:rsidP="005D34D3">
            <w:pPr>
              <w:spacing w:before="0" w:after="0" w:line="276" w:lineRule="auto"/>
              <w:jc w:val="center"/>
              <w:rPr>
                <w:rFonts w:cstheme="minorHAnsi"/>
                <w:b/>
                <w:bCs/>
                <w:sz w:val="18"/>
                <w:szCs w:val="18"/>
              </w:rPr>
            </w:pPr>
            <w:r w:rsidRPr="00676F30">
              <w:rPr>
                <w:rFonts w:cstheme="minorHAnsi"/>
                <w:b/>
                <w:bCs/>
                <w:sz w:val="18"/>
                <w:szCs w:val="18"/>
              </w:rPr>
              <w:t>90.0%</w:t>
            </w:r>
          </w:p>
        </w:tc>
        <w:tc>
          <w:tcPr>
            <w:tcW w:w="1361" w:type="dxa"/>
            <w:shd w:val="clear" w:color="auto" w:fill="FFFFFF"/>
            <w:vAlign w:val="bottom"/>
            <w:hideMark/>
          </w:tcPr>
          <w:p w14:paraId="3CB13185"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74C58FC2"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=O*E/AI</w:t>
            </w:r>
          </w:p>
        </w:tc>
      </w:tr>
      <w:tr w:rsidR="00A32DB7" w:rsidRPr="00676F30" w14:paraId="4992E70B"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11F694D"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AL</w:t>
            </w:r>
          </w:p>
        </w:tc>
        <w:tc>
          <w:tcPr>
            <w:tcW w:w="3108" w:type="dxa"/>
            <w:tcBorders>
              <w:top w:val="nil"/>
              <w:left w:val="single" w:sz="8" w:space="0" w:color="000000"/>
              <w:bottom w:val="nil"/>
              <w:right w:val="nil"/>
            </w:tcBorders>
            <w:shd w:val="clear" w:color="auto" w:fill="FFFFFF"/>
            <w:noWrap/>
            <w:vAlign w:val="bottom"/>
            <w:hideMark/>
          </w:tcPr>
          <w:p w14:paraId="5D179686"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Final efficiency improvement =</w:t>
            </w:r>
          </w:p>
        </w:tc>
        <w:tc>
          <w:tcPr>
            <w:tcW w:w="1270" w:type="dxa"/>
            <w:shd w:val="clear" w:color="auto" w:fill="FFFFFF"/>
            <w:noWrap/>
            <w:vAlign w:val="bottom"/>
            <w:hideMark/>
          </w:tcPr>
          <w:p w14:paraId="460F90B3" w14:textId="77777777" w:rsidR="00A32DB7" w:rsidRPr="00676F30" w:rsidRDefault="00A32DB7" w:rsidP="005D34D3">
            <w:pPr>
              <w:spacing w:before="0" w:after="0" w:line="276" w:lineRule="auto"/>
              <w:jc w:val="center"/>
              <w:rPr>
                <w:rFonts w:cstheme="minorHAnsi"/>
                <w:b/>
                <w:bCs/>
                <w:sz w:val="18"/>
                <w:szCs w:val="18"/>
              </w:rPr>
            </w:pPr>
            <w:r w:rsidRPr="00676F30">
              <w:rPr>
                <w:rFonts w:cstheme="minorHAnsi"/>
                <w:b/>
                <w:bCs/>
                <w:sz w:val="18"/>
                <w:szCs w:val="18"/>
              </w:rPr>
              <w:t>9.2%</w:t>
            </w:r>
          </w:p>
        </w:tc>
        <w:tc>
          <w:tcPr>
            <w:tcW w:w="1361" w:type="dxa"/>
            <w:shd w:val="clear" w:color="auto" w:fill="FFFFFF"/>
            <w:vAlign w:val="bottom"/>
            <w:hideMark/>
          </w:tcPr>
          <w:p w14:paraId="5E2F052F"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 </w:t>
            </w:r>
          </w:p>
        </w:tc>
        <w:tc>
          <w:tcPr>
            <w:tcW w:w="2649" w:type="dxa"/>
            <w:tcBorders>
              <w:top w:val="nil"/>
              <w:left w:val="nil"/>
              <w:bottom w:val="nil"/>
              <w:right w:val="single" w:sz="12" w:space="0" w:color="000000"/>
            </w:tcBorders>
            <w:shd w:val="clear" w:color="auto" w:fill="FFFFFF"/>
            <w:noWrap/>
            <w:vAlign w:val="bottom"/>
            <w:hideMark/>
          </w:tcPr>
          <w:p w14:paraId="4CE6B3F7" w14:textId="77777777" w:rsidR="00A32DB7" w:rsidRPr="00676F30" w:rsidRDefault="00A32DB7" w:rsidP="005D34D3">
            <w:pPr>
              <w:spacing w:before="0" w:after="0" w:line="276" w:lineRule="auto"/>
              <w:rPr>
                <w:rFonts w:cstheme="minorHAnsi"/>
                <w:sz w:val="18"/>
                <w:szCs w:val="18"/>
              </w:rPr>
            </w:pPr>
            <w:r w:rsidRPr="00676F30">
              <w:rPr>
                <w:rFonts w:cstheme="minorHAnsi"/>
                <w:sz w:val="18"/>
                <w:szCs w:val="18"/>
              </w:rPr>
              <w:t>=AK-I</w:t>
            </w:r>
          </w:p>
        </w:tc>
      </w:tr>
      <w:tr w:rsidR="00A32DB7" w:rsidRPr="00676F30" w14:paraId="6D035392"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3B66272" w14:textId="77777777" w:rsidR="00A32DB7" w:rsidRPr="00676F30" w:rsidRDefault="00A32DB7" w:rsidP="005D34D3">
            <w:pPr>
              <w:spacing w:before="0" w:after="0" w:line="276" w:lineRule="auto"/>
              <w:jc w:val="center"/>
              <w:rPr>
                <w:rFonts w:cstheme="minorHAnsi"/>
                <w:color w:val="000000"/>
                <w:sz w:val="18"/>
                <w:szCs w:val="18"/>
              </w:rPr>
            </w:pPr>
            <w:r w:rsidRPr="00676F30">
              <w:rPr>
                <w:rFonts w:cstheme="minorHAnsi"/>
                <w:color w:val="000000"/>
                <w:sz w:val="18"/>
                <w:szCs w:val="18"/>
              </w:rPr>
              <w:t>AM</w:t>
            </w:r>
          </w:p>
        </w:tc>
        <w:tc>
          <w:tcPr>
            <w:tcW w:w="3108" w:type="dxa"/>
            <w:tcBorders>
              <w:top w:val="nil"/>
              <w:left w:val="single" w:sz="8" w:space="0" w:color="000000"/>
              <w:bottom w:val="nil"/>
              <w:right w:val="nil"/>
            </w:tcBorders>
            <w:shd w:val="clear" w:color="auto" w:fill="FFFFFF"/>
            <w:noWrap/>
            <w:vAlign w:val="bottom"/>
            <w:hideMark/>
          </w:tcPr>
          <w:p w14:paraId="26EB73E6" w14:textId="77777777" w:rsidR="00A32DB7" w:rsidRPr="00676F30" w:rsidRDefault="00A32DB7" w:rsidP="005D34D3">
            <w:pPr>
              <w:spacing w:before="0" w:after="0" w:line="276" w:lineRule="auto"/>
              <w:jc w:val="right"/>
              <w:rPr>
                <w:rFonts w:cstheme="minorHAnsi"/>
                <w:b/>
                <w:bCs/>
                <w:sz w:val="18"/>
                <w:szCs w:val="18"/>
              </w:rPr>
            </w:pPr>
            <w:r w:rsidRPr="00676F30">
              <w:rPr>
                <w:rFonts w:cstheme="minorHAnsi"/>
                <w:b/>
                <w:bCs/>
                <w:sz w:val="18"/>
                <w:szCs w:val="18"/>
              </w:rPr>
              <w:t>Dual-Stage Economizer energy savings =</w:t>
            </w:r>
          </w:p>
        </w:tc>
        <w:tc>
          <w:tcPr>
            <w:tcW w:w="1270" w:type="dxa"/>
            <w:shd w:val="clear" w:color="auto" w:fill="FFFFFF"/>
            <w:noWrap/>
            <w:vAlign w:val="bottom"/>
            <w:hideMark/>
          </w:tcPr>
          <w:p w14:paraId="1C9F6815" w14:textId="77777777" w:rsidR="00A32DB7" w:rsidRPr="00676F30" w:rsidRDefault="00A32DB7" w:rsidP="005D34D3">
            <w:pPr>
              <w:spacing w:before="0" w:after="0" w:line="276" w:lineRule="auto"/>
              <w:jc w:val="center"/>
              <w:rPr>
                <w:rFonts w:cstheme="minorHAnsi"/>
                <w:b/>
                <w:bCs/>
                <w:sz w:val="18"/>
                <w:szCs w:val="18"/>
              </w:rPr>
            </w:pPr>
            <w:r w:rsidRPr="00676F30">
              <w:rPr>
                <w:rFonts w:cstheme="minorHAnsi"/>
                <w:b/>
                <w:bCs/>
                <w:sz w:val="18"/>
                <w:szCs w:val="18"/>
              </w:rPr>
              <w:t>4.10</w:t>
            </w:r>
          </w:p>
        </w:tc>
        <w:tc>
          <w:tcPr>
            <w:tcW w:w="1361" w:type="dxa"/>
            <w:shd w:val="clear" w:color="auto" w:fill="FFFFFF"/>
            <w:vAlign w:val="center"/>
            <w:hideMark/>
          </w:tcPr>
          <w:p w14:paraId="2A68BF9A"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therms/kBtuh input cap.</w:t>
            </w:r>
          </w:p>
        </w:tc>
        <w:tc>
          <w:tcPr>
            <w:tcW w:w="2649" w:type="dxa"/>
            <w:tcBorders>
              <w:top w:val="nil"/>
              <w:left w:val="nil"/>
              <w:bottom w:val="nil"/>
              <w:right w:val="single" w:sz="12" w:space="0" w:color="000000"/>
            </w:tcBorders>
            <w:shd w:val="clear" w:color="auto" w:fill="FFFFFF"/>
            <w:noWrap/>
            <w:vAlign w:val="center"/>
            <w:hideMark/>
          </w:tcPr>
          <w:p w14:paraId="0F8B45D9" w14:textId="77777777" w:rsidR="00A32DB7" w:rsidRPr="00676F30" w:rsidRDefault="00A32DB7" w:rsidP="005D34D3">
            <w:pPr>
              <w:spacing w:before="0" w:after="0" w:line="276" w:lineRule="auto"/>
              <w:rPr>
                <w:rFonts w:cstheme="minorHAnsi"/>
                <w:color w:val="000000"/>
                <w:sz w:val="18"/>
                <w:szCs w:val="18"/>
              </w:rPr>
            </w:pPr>
            <w:r w:rsidRPr="00676F30">
              <w:rPr>
                <w:rFonts w:cstheme="minorHAnsi"/>
                <w:color w:val="000000"/>
                <w:sz w:val="18"/>
                <w:szCs w:val="18"/>
              </w:rPr>
              <w:t>=AJ/K</w:t>
            </w:r>
          </w:p>
        </w:tc>
      </w:tr>
      <w:tr w:rsidR="00A32DB7" w:rsidRPr="00676F30" w14:paraId="588591D7" w14:textId="77777777" w:rsidTr="00A15E1E">
        <w:trPr>
          <w:trHeight w:val="196"/>
        </w:trPr>
        <w:tc>
          <w:tcPr>
            <w:tcW w:w="507" w:type="dxa"/>
            <w:tcBorders>
              <w:top w:val="nil"/>
              <w:left w:val="single" w:sz="12" w:space="0" w:color="000000"/>
              <w:bottom w:val="single" w:sz="12" w:space="0" w:color="000000"/>
              <w:right w:val="single" w:sz="8" w:space="0" w:color="000000"/>
            </w:tcBorders>
            <w:noWrap/>
            <w:vAlign w:val="bottom"/>
            <w:hideMark/>
          </w:tcPr>
          <w:p w14:paraId="33A9FBA8" w14:textId="77777777" w:rsidR="00A32DB7" w:rsidRPr="00676F30" w:rsidRDefault="00A32DB7" w:rsidP="005D34D3">
            <w:pPr>
              <w:spacing w:before="0" w:after="0" w:line="276" w:lineRule="auto"/>
              <w:jc w:val="center"/>
              <w:rPr>
                <w:rFonts w:ascii="Calibri" w:hAnsi="Calibri" w:cs="Calibri"/>
                <w:color w:val="000000"/>
                <w:sz w:val="18"/>
                <w:szCs w:val="18"/>
              </w:rPr>
            </w:pPr>
            <w:r w:rsidRPr="00676F30">
              <w:rPr>
                <w:rFonts w:ascii="Calibri" w:hAnsi="Calibri" w:cs="Calibri"/>
                <w:color w:val="000000"/>
                <w:sz w:val="18"/>
                <w:szCs w:val="18"/>
              </w:rPr>
              <w:t> </w:t>
            </w:r>
          </w:p>
        </w:tc>
        <w:tc>
          <w:tcPr>
            <w:tcW w:w="3108" w:type="dxa"/>
            <w:tcBorders>
              <w:top w:val="nil"/>
              <w:left w:val="single" w:sz="8" w:space="0" w:color="000000"/>
              <w:bottom w:val="single" w:sz="12" w:space="0" w:color="000000"/>
              <w:right w:val="nil"/>
            </w:tcBorders>
            <w:noWrap/>
            <w:vAlign w:val="bottom"/>
            <w:hideMark/>
          </w:tcPr>
          <w:p w14:paraId="1B281A00" w14:textId="77777777" w:rsidR="00A32DB7" w:rsidRPr="00676F30" w:rsidRDefault="00A32DB7" w:rsidP="005D34D3">
            <w:pPr>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p>
        </w:tc>
        <w:tc>
          <w:tcPr>
            <w:tcW w:w="1270" w:type="dxa"/>
            <w:tcBorders>
              <w:top w:val="nil"/>
              <w:left w:val="nil"/>
              <w:bottom w:val="single" w:sz="12" w:space="0" w:color="000000"/>
              <w:right w:val="nil"/>
            </w:tcBorders>
            <w:noWrap/>
            <w:vAlign w:val="bottom"/>
            <w:hideMark/>
          </w:tcPr>
          <w:p w14:paraId="57F4F59A" w14:textId="77777777" w:rsidR="00A32DB7" w:rsidRPr="00676F30" w:rsidRDefault="00A32DB7" w:rsidP="005D34D3">
            <w:pPr>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p>
        </w:tc>
        <w:tc>
          <w:tcPr>
            <w:tcW w:w="1361" w:type="dxa"/>
            <w:tcBorders>
              <w:top w:val="nil"/>
              <w:left w:val="nil"/>
              <w:bottom w:val="single" w:sz="12" w:space="0" w:color="000000"/>
              <w:right w:val="nil"/>
            </w:tcBorders>
          </w:tcPr>
          <w:p w14:paraId="6B7EED5C" w14:textId="77777777" w:rsidR="00A32DB7" w:rsidRPr="00676F30" w:rsidRDefault="00A32DB7" w:rsidP="005D34D3">
            <w:pPr>
              <w:spacing w:before="0" w:after="0" w:line="276" w:lineRule="auto"/>
              <w:rPr>
                <w:rFonts w:ascii="Calibri" w:hAnsi="Calibri" w:cs="Calibri"/>
                <w:color w:val="000000"/>
                <w:sz w:val="18"/>
                <w:szCs w:val="18"/>
              </w:rPr>
            </w:pPr>
          </w:p>
        </w:tc>
        <w:tc>
          <w:tcPr>
            <w:tcW w:w="2649" w:type="dxa"/>
            <w:tcBorders>
              <w:top w:val="nil"/>
              <w:left w:val="nil"/>
              <w:bottom w:val="single" w:sz="12" w:space="0" w:color="000000"/>
              <w:right w:val="single" w:sz="12" w:space="0" w:color="000000"/>
            </w:tcBorders>
            <w:noWrap/>
            <w:vAlign w:val="bottom"/>
            <w:hideMark/>
          </w:tcPr>
          <w:p w14:paraId="7F64C925" w14:textId="77777777" w:rsidR="00A32DB7" w:rsidRPr="00676F30" w:rsidRDefault="00A32DB7" w:rsidP="005D34D3">
            <w:pPr>
              <w:spacing w:before="0" w:after="0" w:line="276" w:lineRule="auto"/>
              <w:rPr>
                <w:rFonts w:ascii="Calibri" w:hAnsi="Calibri" w:cs="Calibri"/>
                <w:color w:val="000000"/>
                <w:sz w:val="18"/>
                <w:szCs w:val="18"/>
              </w:rPr>
            </w:pPr>
          </w:p>
        </w:tc>
      </w:tr>
    </w:tbl>
    <w:p w14:paraId="1738D99F" w14:textId="1D981952" w:rsidR="00A32DB7" w:rsidRDefault="00A32DB7" w:rsidP="00A32DB7">
      <w:pPr>
        <w:rPr>
          <w:w w:val="102"/>
        </w:rPr>
      </w:pPr>
    </w:p>
    <w:p w14:paraId="6F101E1A" w14:textId="24B812AC" w:rsidR="00172A08" w:rsidRDefault="000D33BC" w:rsidP="00A1612B">
      <w:pPr>
        <w:ind w:left="360"/>
        <w:rPr>
          <w:w w:val="102"/>
        </w:rPr>
      </w:pPr>
      <w:r>
        <w:rPr>
          <w:w w:val="102"/>
        </w:rPr>
        <w:t xml:space="preserve">* </w:t>
      </w:r>
      <w:r w:rsidR="00172A08">
        <w:rPr>
          <w:w w:val="102"/>
        </w:rPr>
        <w:t xml:space="preserve">The </w:t>
      </w:r>
      <w:r>
        <w:rPr>
          <w:w w:val="102"/>
        </w:rPr>
        <w:t xml:space="preserve">calculations show that </w:t>
      </w:r>
      <w:r w:rsidR="00167843">
        <w:rPr>
          <w:w w:val="102"/>
        </w:rPr>
        <w:t xml:space="preserve">a </w:t>
      </w:r>
      <w:r w:rsidR="00450D5A">
        <w:rPr>
          <w:w w:val="102"/>
        </w:rPr>
        <w:t>certain amount of the</w:t>
      </w:r>
      <w:r w:rsidR="00F67C8A">
        <w:rPr>
          <w:w w:val="102"/>
        </w:rPr>
        <w:t xml:space="preserve"> </w:t>
      </w:r>
      <w:r w:rsidR="009F50FE" w:rsidRPr="009F50FE">
        <w:rPr>
          <w:w w:val="102"/>
        </w:rPr>
        <w:t>water vapor</w:t>
      </w:r>
      <w:r w:rsidR="00567024">
        <w:rPr>
          <w:w w:val="102"/>
        </w:rPr>
        <w:t xml:space="preserve"> that </w:t>
      </w:r>
      <w:r w:rsidR="00A21E2E">
        <w:rPr>
          <w:w w:val="102"/>
        </w:rPr>
        <w:t>is</w:t>
      </w:r>
      <w:r w:rsidR="009F50FE" w:rsidRPr="009F50FE">
        <w:rPr>
          <w:w w:val="102"/>
        </w:rPr>
        <w:t xml:space="preserve"> carried by the flue stack </w:t>
      </w:r>
      <w:r w:rsidR="00450D5A">
        <w:rPr>
          <w:w w:val="102"/>
        </w:rPr>
        <w:t>change</w:t>
      </w:r>
      <w:r w:rsidR="00567024">
        <w:rPr>
          <w:w w:val="102"/>
        </w:rPr>
        <w:t>s</w:t>
      </w:r>
      <w:r w:rsidR="00450D5A">
        <w:rPr>
          <w:w w:val="102"/>
        </w:rPr>
        <w:t xml:space="preserve"> phase and </w:t>
      </w:r>
      <w:r w:rsidR="009F50FE" w:rsidRPr="009F50FE">
        <w:rPr>
          <w:w w:val="102"/>
        </w:rPr>
        <w:t xml:space="preserve">condenses when it </w:t>
      </w:r>
      <w:r w:rsidR="00F67C8A">
        <w:rPr>
          <w:w w:val="102"/>
        </w:rPr>
        <w:t>passes across</w:t>
      </w:r>
      <w:r w:rsidR="009F50FE" w:rsidRPr="009F50FE">
        <w:rPr>
          <w:w w:val="102"/>
        </w:rPr>
        <w:t xml:space="preserve"> the </w:t>
      </w:r>
      <w:r w:rsidR="00F67C8A">
        <w:rPr>
          <w:w w:val="102"/>
        </w:rPr>
        <w:t xml:space="preserve">tubes carrying the </w:t>
      </w:r>
      <w:r w:rsidR="009F50FE" w:rsidRPr="009F50FE">
        <w:rPr>
          <w:w w:val="102"/>
        </w:rPr>
        <w:t xml:space="preserve">cold make-up water. </w:t>
      </w:r>
      <w:r>
        <w:rPr>
          <w:w w:val="102"/>
        </w:rPr>
        <w:t xml:space="preserve">The </w:t>
      </w:r>
      <w:r w:rsidR="00A53F5F">
        <w:rPr>
          <w:w w:val="102"/>
        </w:rPr>
        <w:t>“</w:t>
      </w:r>
      <w:r>
        <w:rPr>
          <w:w w:val="102"/>
        </w:rPr>
        <w:t>bulk</w:t>
      </w:r>
      <w:r w:rsidR="00A53F5F">
        <w:rPr>
          <w:w w:val="102"/>
        </w:rPr>
        <w:t>”</w:t>
      </w:r>
      <w:r>
        <w:rPr>
          <w:w w:val="102"/>
        </w:rPr>
        <w:t xml:space="preserve"> </w:t>
      </w:r>
      <w:r w:rsidR="009F50FE">
        <w:rPr>
          <w:w w:val="102"/>
        </w:rPr>
        <w:t xml:space="preserve">outlet stack </w:t>
      </w:r>
      <w:r>
        <w:rPr>
          <w:w w:val="102"/>
        </w:rPr>
        <w:t xml:space="preserve">temperature </w:t>
      </w:r>
      <w:r w:rsidR="009F50FE">
        <w:rPr>
          <w:w w:val="102"/>
        </w:rPr>
        <w:t>wa</w:t>
      </w:r>
      <w:r>
        <w:rPr>
          <w:w w:val="102"/>
        </w:rPr>
        <w:t>s measured at 170°F</w:t>
      </w:r>
      <w:r w:rsidR="00207A5B">
        <w:rPr>
          <w:w w:val="102"/>
        </w:rPr>
        <w:t xml:space="preserve"> due to the presence of uncondensed water vapor in the flue stack</w:t>
      </w:r>
      <w:r w:rsidR="001D3312">
        <w:rPr>
          <w:w w:val="102"/>
        </w:rPr>
        <w:t xml:space="preserve"> leaving the economizer.</w:t>
      </w:r>
    </w:p>
    <w:p w14:paraId="7542861A" w14:textId="77777777" w:rsidR="00A74C19" w:rsidRDefault="00A74C19" w:rsidP="00A32DB7">
      <w:pPr>
        <w:rPr>
          <w:w w:val="102"/>
        </w:rPr>
      </w:pPr>
    </w:p>
    <w:p w14:paraId="5C6503AA" w14:textId="4848EABE" w:rsidR="005F4D5D" w:rsidRPr="00866A68" w:rsidRDefault="00CD5B38" w:rsidP="002456B2">
      <w:pPr>
        <w:pStyle w:val="eTRMHeading4"/>
      </w:pPr>
      <w:r>
        <w:t xml:space="preserve">Example #3: </w:t>
      </w:r>
      <w:r w:rsidR="005F4D5D" w:rsidRPr="00866A68">
        <w:t>Dual</w:t>
      </w:r>
      <w:r w:rsidR="00E47B64">
        <w:t>-</w:t>
      </w:r>
      <w:r w:rsidR="005F4D5D" w:rsidRPr="00866A68">
        <w:t xml:space="preserve">Stage Economizer </w:t>
      </w:r>
    </w:p>
    <w:p w14:paraId="446112BB" w14:textId="072203E8" w:rsidR="005F4D5D" w:rsidRDefault="005F4D5D" w:rsidP="005F4D5D">
      <w:pPr>
        <w:spacing w:after="0"/>
        <w:rPr>
          <w:rFonts w:eastAsiaTheme="minorHAnsi"/>
        </w:rPr>
      </w:pPr>
      <w:r w:rsidRPr="005F4D5D">
        <w:rPr>
          <w:rFonts w:eastAsiaTheme="minorHAnsi"/>
        </w:rPr>
        <w:t xml:space="preserve">A </w:t>
      </w:r>
      <w:r w:rsidR="00CD5B38">
        <w:rPr>
          <w:rFonts w:eastAsiaTheme="minorHAnsi"/>
        </w:rPr>
        <w:t>s</w:t>
      </w:r>
      <w:r w:rsidRPr="005F4D5D">
        <w:rPr>
          <w:rFonts w:eastAsiaTheme="minorHAnsi"/>
        </w:rPr>
        <w:t xml:space="preserve">team </w:t>
      </w:r>
      <w:r w:rsidR="00CD5B38">
        <w:rPr>
          <w:rFonts w:eastAsiaTheme="minorHAnsi"/>
        </w:rPr>
        <w:t>b</w:t>
      </w:r>
      <w:r w:rsidRPr="005F4D5D">
        <w:rPr>
          <w:rFonts w:eastAsiaTheme="minorHAnsi"/>
        </w:rPr>
        <w:t xml:space="preserve">oiler manufacturer provided design data for one of their projects on two-stage exhaust economizer. The </w:t>
      </w:r>
      <w:r w:rsidR="00CD5B38">
        <w:rPr>
          <w:rFonts w:eastAsiaTheme="minorHAnsi"/>
        </w:rPr>
        <w:t>f</w:t>
      </w:r>
      <w:r w:rsidRPr="005F4D5D">
        <w:rPr>
          <w:rFonts w:eastAsiaTheme="minorHAnsi"/>
        </w:rPr>
        <w:t xml:space="preserve">eedwater </w:t>
      </w:r>
      <w:r w:rsidR="00CD5B38">
        <w:rPr>
          <w:rFonts w:eastAsiaTheme="minorHAnsi"/>
        </w:rPr>
        <w:t>and</w:t>
      </w:r>
      <w:r w:rsidRPr="005F4D5D">
        <w:rPr>
          <w:rFonts w:eastAsiaTheme="minorHAnsi"/>
        </w:rPr>
        <w:t xml:space="preserve"> </w:t>
      </w:r>
      <w:r w:rsidR="00CD5B38">
        <w:rPr>
          <w:rFonts w:eastAsiaTheme="minorHAnsi"/>
        </w:rPr>
        <w:t>m</w:t>
      </w:r>
      <w:r w:rsidRPr="005F4D5D">
        <w:rPr>
          <w:rFonts w:eastAsiaTheme="minorHAnsi"/>
        </w:rPr>
        <w:t xml:space="preserve">akeup </w:t>
      </w:r>
      <w:r w:rsidR="00CD5B38">
        <w:rPr>
          <w:rFonts w:eastAsiaTheme="minorHAnsi"/>
        </w:rPr>
        <w:t>w</w:t>
      </w:r>
      <w:r w:rsidRPr="005F4D5D">
        <w:rPr>
          <w:rFonts w:eastAsiaTheme="minorHAnsi"/>
        </w:rPr>
        <w:t xml:space="preserve">ater </w:t>
      </w:r>
      <w:r w:rsidR="00CD5B38">
        <w:rPr>
          <w:rFonts w:eastAsiaTheme="minorHAnsi"/>
        </w:rPr>
        <w:t>p</w:t>
      </w:r>
      <w:r w:rsidRPr="005F4D5D">
        <w:rPr>
          <w:rFonts w:eastAsiaTheme="minorHAnsi"/>
        </w:rPr>
        <w:t xml:space="preserve">reheater </w:t>
      </w:r>
      <w:r w:rsidR="008E32D9">
        <w:rPr>
          <w:rFonts w:eastAsiaTheme="minorHAnsi"/>
        </w:rPr>
        <w:t xml:space="preserve">application data </w:t>
      </w:r>
      <w:r w:rsidR="00A32DB7">
        <w:rPr>
          <w:rFonts w:eastAsiaTheme="minorHAnsi"/>
        </w:rPr>
        <w:t xml:space="preserve">and heat recovery calculations </w:t>
      </w:r>
      <w:r w:rsidRPr="005F4D5D">
        <w:rPr>
          <w:rFonts w:eastAsiaTheme="minorHAnsi"/>
        </w:rPr>
        <w:t xml:space="preserve">are presented </w:t>
      </w:r>
      <w:r w:rsidR="00CD5B38">
        <w:rPr>
          <w:rFonts w:eastAsiaTheme="minorHAnsi"/>
        </w:rPr>
        <w:t xml:space="preserve">below. </w:t>
      </w:r>
    </w:p>
    <w:p w14:paraId="084A222D" w14:textId="2358AD97" w:rsidR="00A7055A" w:rsidRPr="00820DC7" w:rsidRDefault="00A7055A" w:rsidP="00820DC7">
      <w:pPr>
        <w:spacing w:after="0"/>
        <w:jc w:val="center"/>
        <w:rPr>
          <w:rFonts w:eastAsiaTheme="minorHAnsi"/>
        </w:rPr>
      </w:pPr>
      <w:r>
        <w:rPr>
          <w:noProof/>
        </w:rPr>
        <w:lastRenderedPageBreak/>
        <w:drawing>
          <wp:inline distT="0" distB="0" distL="0" distR="0" wp14:anchorId="0C03B45E" wp14:editId="78E7A804">
            <wp:extent cx="5928360" cy="4606637"/>
            <wp:effectExtent l="0" t="0" r="0" b="3810"/>
            <wp:docPr id="4" name="Picture 8">
              <a:extLst xmlns:a="http://schemas.openxmlformats.org/drawingml/2006/main">
                <a:ext uri="{FF2B5EF4-FFF2-40B4-BE49-F238E27FC236}">
                  <a16:creationId xmlns:a16="http://schemas.microsoft.com/office/drawing/2014/main" id="{BF5564EC-9085-4F40-85FB-8019C439554F}"/>
                </a:ext>
              </a:extLst>
            </wp:docPr>
            <wp:cNvGraphicFramePr/>
            <a:graphic xmlns:a="http://schemas.openxmlformats.org/drawingml/2006/main">
              <a:graphicData uri="http://schemas.openxmlformats.org/drawingml/2006/picture">
                <pic:pic xmlns:pic="http://schemas.openxmlformats.org/drawingml/2006/picture">
                  <pic:nvPicPr>
                    <pic:cNvPr id="11" name="Picture 8">
                      <a:extLst>
                        <a:ext uri="{FF2B5EF4-FFF2-40B4-BE49-F238E27FC236}">
                          <a16:creationId xmlns:a16="http://schemas.microsoft.com/office/drawing/2014/main" id="{BF5564EC-9085-4F40-85FB-8019C439554F}"/>
                        </a:ext>
                      </a:extLst>
                    </pic:cNvPr>
                    <pic:cNvPicPr/>
                  </pic:nvPicPr>
                  <pic:blipFill rotWithShape="1">
                    <a:blip r:embed="rId24">
                      <a:extLst>
                        <a:ext uri="{28A0092B-C50C-407E-A947-70E740481C1C}">
                          <a14:useLocalDpi xmlns:a14="http://schemas.microsoft.com/office/drawing/2010/main" val="0"/>
                        </a:ext>
                      </a:extLst>
                    </a:blip>
                    <a:srcRect t="24119" b="1513"/>
                    <a:stretch/>
                  </pic:blipFill>
                  <pic:spPr bwMode="auto">
                    <a:xfrm>
                      <a:off x="0" y="0"/>
                      <a:ext cx="5934941" cy="4611750"/>
                    </a:xfrm>
                    <a:prstGeom prst="rect">
                      <a:avLst/>
                    </a:prstGeom>
                    <a:ln>
                      <a:noFill/>
                    </a:ln>
                    <a:extLst>
                      <a:ext uri="{53640926-AAD7-44D8-BBD7-CCE9431645EC}">
                        <a14:shadowObscured xmlns:a14="http://schemas.microsoft.com/office/drawing/2010/main"/>
                      </a:ext>
                    </a:extLst>
                  </pic:spPr>
                </pic:pic>
              </a:graphicData>
            </a:graphic>
          </wp:inline>
        </w:drawing>
      </w:r>
    </w:p>
    <w:p w14:paraId="7C9A1DB1" w14:textId="4ADFB68B" w:rsidR="001C4763" w:rsidRDefault="001C4763" w:rsidP="00A42921">
      <w:pPr>
        <w:pStyle w:val="Caption"/>
        <w:rPr>
          <w:rFonts w:asciiTheme="minorHAnsi" w:hAnsiTheme="minorHAnsi"/>
        </w:rPr>
      </w:pPr>
      <w:bookmarkStart w:id="51" w:name="_Toc18495746"/>
      <w:r>
        <w:t xml:space="preserve">Project data submitted by </w:t>
      </w:r>
      <w:r w:rsidR="00EB5DB8">
        <w:t>Boiler Manufacturer</w:t>
      </w:r>
      <w:r>
        <w:t xml:space="preserve"> </w:t>
      </w:r>
      <w:bookmarkEnd w:id="51"/>
    </w:p>
    <w:tbl>
      <w:tblPr>
        <w:tblW w:w="9525" w:type="dxa"/>
        <w:tblLayout w:type="fixed"/>
        <w:tblLook w:val="04A0" w:firstRow="1" w:lastRow="0" w:firstColumn="1" w:lastColumn="0" w:noHBand="0" w:noVBand="1"/>
      </w:tblPr>
      <w:tblGrid>
        <w:gridCol w:w="507"/>
        <w:gridCol w:w="3108"/>
        <w:gridCol w:w="1270"/>
        <w:gridCol w:w="1270"/>
        <w:gridCol w:w="1361"/>
        <w:gridCol w:w="2009"/>
      </w:tblGrid>
      <w:tr w:rsidR="001C4763" w:rsidRPr="00676F30" w14:paraId="177BA629" w14:textId="77777777" w:rsidTr="00A15E1E">
        <w:trPr>
          <w:trHeight w:val="161"/>
          <w:tblHeader/>
        </w:trPr>
        <w:tc>
          <w:tcPr>
            <w:tcW w:w="9525" w:type="dxa"/>
            <w:gridSpan w:val="6"/>
            <w:tcBorders>
              <w:top w:val="single" w:sz="12" w:space="0" w:color="000000"/>
              <w:left w:val="single" w:sz="12" w:space="0" w:color="000000"/>
              <w:bottom w:val="single" w:sz="8" w:space="0" w:color="auto"/>
              <w:right w:val="single" w:sz="12" w:space="0" w:color="000000"/>
            </w:tcBorders>
            <w:noWrap/>
            <w:vAlign w:val="bottom"/>
            <w:hideMark/>
          </w:tcPr>
          <w:p w14:paraId="3F721AD1" w14:textId="77777777" w:rsidR="001C4763" w:rsidRPr="00676F30" w:rsidRDefault="001C4763" w:rsidP="00964752">
            <w:pPr>
              <w:keepNext/>
              <w:keepLines/>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r w:rsidRPr="00676F30">
              <w:rPr>
                <w:rFonts w:ascii="Calibri" w:hAnsi="Calibri" w:cs="Calibri"/>
                <w:color w:val="0070C0"/>
                <w:sz w:val="18"/>
                <w:szCs w:val="18"/>
              </w:rPr>
              <w:t>Blue indicates inputs,</w:t>
            </w:r>
            <w:r w:rsidRPr="00676F30">
              <w:rPr>
                <w:rFonts w:ascii="Calibri" w:hAnsi="Calibri" w:cs="Calibri"/>
                <w:color w:val="FF0000"/>
                <w:sz w:val="18"/>
                <w:szCs w:val="18"/>
              </w:rPr>
              <w:t xml:space="preserve"> </w:t>
            </w:r>
            <w:r w:rsidRPr="00676F30">
              <w:rPr>
                <w:rFonts w:ascii="Calibri" w:hAnsi="Calibri" w:cs="Calibri"/>
                <w:color w:val="00B050"/>
                <w:sz w:val="18"/>
                <w:szCs w:val="18"/>
              </w:rPr>
              <w:t>Green indicates reference</w:t>
            </w:r>
            <w:r w:rsidRPr="00676F30">
              <w:rPr>
                <w:rFonts w:ascii="Calibri" w:hAnsi="Calibri" w:cs="Calibri"/>
                <w:sz w:val="18"/>
                <w:szCs w:val="18"/>
              </w:rPr>
              <w:t>,</w:t>
            </w:r>
            <w:r w:rsidRPr="00676F30">
              <w:rPr>
                <w:rFonts w:ascii="Calibri" w:hAnsi="Calibri" w:cs="Calibri"/>
                <w:color w:val="FF0000"/>
                <w:sz w:val="18"/>
                <w:szCs w:val="18"/>
              </w:rPr>
              <w:t xml:space="preserve"> </w:t>
            </w:r>
            <w:r w:rsidRPr="00676F30">
              <w:rPr>
                <w:rFonts w:ascii="Calibri" w:hAnsi="Calibri" w:cs="Calibri"/>
                <w:sz w:val="18"/>
                <w:szCs w:val="18"/>
              </w:rPr>
              <w:t>Black indicates calculated</w:t>
            </w:r>
          </w:p>
        </w:tc>
      </w:tr>
      <w:tr w:rsidR="00900AFC" w:rsidRPr="00676F30" w14:paraId="4E5E5323" w14:textId="77777777" w:rsidTr="00A15E1E">
        <w:trPr>
          <w:trHeight w:val="281"/>
          <w:tblHeader/>
        </w:trPr>
        <w:tc>
          <w:tcPr>
            <w:tcW w:w="507" w:type="dxa"/>
            <w:tcBorders>
              <w:top w:val="single" w:sz="4" w:space="0" w:color="A6A6A6" w:themeColor="background1" w:themeShade="A6"/>
              <w:left w:val="single" w:sz="12" w:space="0" w:color="000000"/>
              <w:bottom w:val="double" w:sz="6" w:space="0" w:color="auto"/>
              <w:right w:val="single" w:sz="4" w:space="0" w:color="auto"/>
            </w:tcBorders>
            <w:noWrap/>
            <w:vAlign w:val="bottom"/>
            <w:hideMark/>
          </w:tcPr>
          <w:p w14:paraId="515DC68F" w14:textId="77777777" w:rsidR="00900AFC" w:rsidRPr="00676F30" w:rsidRDefault="00900AFC" w:rsidP="00964752">
            <w:pPr>
              <w:keepNext/>
              <w:keepLines/>
              <w:spacing w:before="0" w:after="0" w:line="276" w:lineRule="auto"/>
              <w:jc w:val="center"/>
              <w:rPr>
                <w:rFonts w:ascii="Calibri" w:eastAsia="Times New Roman" w:hAnsi="Calibri" w:cs="Calibri"/>
                <w:color w:val="000000"/>
                <w:sz w:val="18"/>
                <w:szCs w:val="18"/>
              </w:rPr>
            </w:pPr>
            <w:r w:rsidRPr="00676F30">
              <w:rPr>
                <w:rFonts w:ascii="Calibri" w:hAnsi="Calibri" w:cs="Calibri"/>
                <w:color w:val="000000"/>
                <w:sz w:val="18"/>
                <w:szCs w:val="18"/>
              </w:rPr>
              <w:t> </w:t>
            </w:r>
          </w:p>
        </w:tc>
        <w:tc>
          <w:tcPr>
            <w:tcW w:w="3108" w:type="dxa"/>
            <w:tcBorders>
              <w:top w:val="single" w:sz="4" w:space="0" w:color="A6A6A6" w:themeColor="background1" w:themeShade="A6"/>
              <w:left w:val="nil"/>
              <w:bottom w:val="double" w:sz="6" w:space="0" w:color="auto"/>
              <w:right w:val="nil"/>
            </w:tcBorders>
            <w:shd w:val="clear" w:color="auto" w:fill="F2DCDB"/>
            <w:noWrap/>
            <w:vAlign w:val="bottom"/>
            <w:hideMark/>
          </w:tcPr>
          <w:p w14:paraId="15974A3F" w14:textId="77777777" w:rsidR="00900AFC" w:rsidRPr="00676F30" w:rsidRDefault="00900AFC" w:rsidP="00964752">
            <w:pPr>
              <w:keepNext/>
              <w:keepLines/>
              <w:spacing w:before="0" w:after="0" w:line="276" w:lineRule="auto"/>
              <w:jc w:val="right"/>
              <w:rPr>
                <w:rFonts w:ascii="Calibri" w:hAnsi="Calibri" w:cs="Calibri"/>
                <w:b/>
                <w:bCs/>
                <w:sz w:val="18"/>
                <w:szCs w:val="18"/>
              </w:rPr>
            </w:pPr>
            <w:r w:rsidRPr="00676F30">
              <w:rPr>
                <w:rFonts w:ascii="Calibri" w:hAnsi="Calibri" w:cs="Calibri"/>
                <w:b/>
                <w:bCs/>
                <w:sz w:val="18"/>
                <w:szCs w:val="18"/>
              </w:rPr>
              <w:t>Parameter / Calculation</w:t>
            </w:r>
          </w:p>
        </w:tc>
        <w:tc>
          <w:tcPr>
            <w:tcW w:w="1270" w:type="dxa"/>
            <w:tcBorders>
              <w:top w:val="single" w:sz="4" w:space="0" w:color="A6A6A6" w:themeColor="background1" w:themeShade="A6"/>
              <w:left w:val="nil"/>
              <w:bottom w:val="double" w:sz="6" w:space="0" w:color="auto"/>
              <w:right w:val="nil"/>
            </w:tcBorders>
            <w:shd w:val="clear" w:color="auto" w:fill="F2DCDB"/>
            <w:noWrap/>
            <w:vAlign w:val="bottom"/>
            <w:hideMark/>
          </w:tcPr>
          <w:p w14:paraId="680814BF" w14:textId="77777777" w:rsidR="00900AFC" w:rsidRPr="00676F30" w:rsidRDefault="00900AFC" w:rsidP="00964752">
            <w:pPr>
              <w:keepNext/>
              <w:keepLines/>
              <w:spacing w:before="0" w:after="0" w:line="276" w:lineRule="auto"/>
              <w:jc w:val="center"/>
              <w:rPr>
                <w:rFonts w:ascii="Calibri" w:hAnsi="Calibri" w:cs="Calibri"/>
                <w:b/>
                <w:bCs/>
                <w:sz w:val="18"/>
                <w:szCs w:val="18"/>
              </w:rPr>
            </w:pPr>
            <w:r w:rsidRPr="00676F30">
              <w:rPr>
                <w:rFonts w:ascii="Calibri" w:hAnsi="Calibri" w:cs="Calibri"/>
                <w:b/>
                <w:bCs/>
                <w:sz w:val="18"/>
                <w:szCs w:val="18"/>
              </w:rPr>
              <w:t>Value1</w:t>
            </w:r>
          </w:p>
        </w:tc>
        <w:tc>
          <w:tcPr>
            <w:tcW w:w="1270" w:type="dxa"/>
            <w:tcBorders>
              <w:top w:val="single" w:sz="4" w:space="0" w:color="A6A6A6" w:themeColor="background1" w:themeShade="A6"/>
              <w:left w:val="nil"/>
              <w:bottom w:val="double" w:sz="6" w:space="0" w:color="auto"/>
              <w:right w:val="nil"/>
            </w:tcBorders>
            <w:shd w:val="clear" w:color="auto" w:fill="F2DCDB"/>
            <w:noWrap/>
            <w:vAlign w:val="bottom"/>
            <w:hideMark/>
          </w:tcPr>
          <w:p w14:paraId="1910D6A1" w14:textId="77777777" w:rsidR="00900AFC" w:rsidRPr="00676F30" w:rsidRDefault="00900AFC" w:rsidP="00964752">
            <w:pPr>
              <w:keepNext/>
              <w:keepLines/>
              <w:spacing w:before="0" w:after="0" w:line="276" w:lineRule="auto"/>
              <w:jc w:val="center"/>
              <w:rPr>
                <w:rFonts w:ascii="Calibri" w:hAnsi="Calibri" w:cs="Calibri"/>
                <w:b/>
                <w:bCs/>
                <w:sz w:val="18"/>
                <w:szCs w:val="18"/>
              </w:rPr>
            </w:pPr>
            <w:r w:rsidRPr="00676F30">
              <w:rPr>
                <w:rFonts w:ascii="Calibri" w:hAnsi="Calibri" w:cs="Calibri"/>
                <w:b/>
                <w:bCs/>
                <w:sz w:val="18"/>
                <w:szCs w:val="18"/>
              </w:rPr>
              <w:t>Value2</w:t>
            </w:r>
          </w:p>
        </w:tc>
        <w:tc>
          <w:tcPr>
            <w:tcW w:w="1361" w:type="dxa"/>
            <w:tcBorders>
              <w:top w:val="single" w:sz="4" w:space="0" w:color="A6A6A6" w:themeColor="background1" w:themeShade="A6"/>
              <w:left w:val="nil"/>
              <w:bottom w:val="double" w:sz="6" w:space="0" w:color="auto"/>
              <w:right w:val="nil"/>
            </w:tcBorders>
            <w:shd w:val="clear" w:color="auto" w:fill="F2DCDB"/>
            <w:vAlign w:val="bottom"/>
            <w:hideMark/>
          </w:tcPr>
          <w:p w14:paraId="37312A59" w14:textId="77777777" w:rsidR="00900AFC" w:rsidRPr="00676F30" w:rsidRDefault="00900AFC" w:rsidP="00964752">
            <w:pPr>
              <w:keepNext/>
              <w:keepLines/>
              <w:spacing w:before="0" w:after="0" w:line="276" w:lineRule="auto"/>
              <w:rPr>
                <w:rFonts w:ascii="Calibri" w:hAnsi="Calibri" w:cs="Calibri"/>
                <w:b/>
                <w:bCs/>
                <w:sz w:val="18"/>
                <w:szCs w:val="18"/>
              </w:rPr>
            </w:pPr>
            <w:r w:rsidRPr="00676F30">
              <w:rPr>
                <w:rFonts w:ascii="Calibri" w:hAnsi="Calibri" w:cs="Calibri"/>
                <w:b/>
                <w:bCs/>
                <w:sz w:val="18"/>
                <w:szCs w:val="18"/>
              </w:rPr>
              <w:t>Units</w:t>
            </w:r>
          </w:p>
        </w:tc>
        <w:tc>
          <w:tcPr>
            <w:tcW w:w="2009" w:type="dxa"/>
            <w:tcBorders>
              <w:top w:val="single" w:sz="4" w:space="0" w:color="A6A6A6" w:themeColor="background1" w:themeShade="A6"/>
              <w:left w:val="nil"/>
              <w:bottom w:val="double" w:sz="6" w:space="0" w:color="auto"/>
              <w:right w:val="single" w:sz="12" w:space="0" w:color="000000"/>
            </w:tcBorders>
            <w:shd w:val="clear" w:color="auto" w:fill="F2DCDB"/>
            <w:noWrap/>
            <w:vAlign w:val="bottom"/>
            <w:hideMark/>
          </w:tcPr>
          <w:p w14:paraId="74327278" w14:textId="77777777" w:rsidR="00900AFC" w:rsidRPr="00676F30" w:rsidRDefault="00900AFC" w:rsidP="00964752">
            <w:pPr>
              <w:keepNext/>
              <w:keepLines/>
              <w:spacing w:before="0" w:after="0" w:line="276" w:lineRule="auto"/>
              <w:rPr>
                <w:rFonts w:ascii="Calibri" w:hAnsi="Calibri" w:cs="Calibri"/>
                <w:b/>
                <w:bCs/>
                <w:sz w:val="18"/>
                <w:szCs w:val="18"/>
              </w:rPr>
            </w:pPr>
            <w:r w:rsidRPr="00676F30">
              <w:rPr>
                <w:rFonts w:ascii="Calibri" w:hAnsi="Calibri" w:cs="Calibri"/>
                <w:b/>
                <w:bCs/>
                <w:sz w:val="18"/>
                <w:szCs w:val="18"/>
              </w:rPr>
              <w:t>Source</w:t>
            </w:r>
          </w:p>
        </w:tc>
      </w:tr>
      <w:tr w:rsidR="00900AFC" w:rsidRPr="00676F30" w14:paraId="58FCBFE8" w14:textId="77777777" w:rsidTr="00A15E1E">
        <w:trPr>
          <w:trHeight w:val="272"/>
        </w:trPr>
        <w:tc>
          <w:tcPr>
            <w:tcW w:w="507" w:type="dxa"/>
            <w:tcBorders>
              <w:top w:val="nil"/>
              <w:left w:val="single" w:sz="12" w:space="0" w:color="000000"/>
              <w:bottom w:val="nil"/>
              <w:right w:val="single" w:sz="8" w:space="0" w:color="000000"/>
            </w:tcBorders>
            <w:noWrap/>
            <w:vAlign w:val="bottom"/>
            <w:hideMark/>
          </w:tcPr>
          <w:p w14:paraId="13A85523" w14:textId="77777777" w:rsidR="00900AFC" w:rsidRPr="00676F30" w:rsidRDefault="00900AFC" w:rsidP="00964752">
            <w:pPr>
              <w:keepNext/>
              <w:keepLines/>
              <w:spacing w:before="0" w:after="0" w:line="276" w:lineRule="auto"/>
              <w:jc w:val="center"/>
              <w:rPr>
                <w:rFonts w:asciiTheme="minorHAnsi" w:hAnsiTheme="minorHAnsi"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3BD6D703" w14:textId="77777777" w:rsidR="00900AFC" w:rsidRPr="00676F30" w:rsidRDefault="00900AFC" w:rsidP="00964752">
            <w:pPr>
              <w:keepNext/>
              <w:keepLines/>
              <w:spacing w:before="0" w:after="0" w:line="276" w:lineRule="auto"/>
              <w:rPr>
                <w:rFonts w:cstheme="minorHAnsi"/>
                <w:b/>
                <w:bCs/>
                <w:i/>
                <w:iCs/>
                <w:sz w:val="18"/>
                <w:szCs w:val="18"/>
              </w:rPr>
            </w:pPr>
            <w:r w:rsidRPr="00676F30">
              <w:rPr>
                <w:rFonts w:cstheme="minorHAnsi"/>
                <w:b/>
                <w:bCs/>
                <w:i/>
                <w:iCs/>
                <w:sz w:val="18"/>
                <w:szCs w:val="18"/>
              </w:rPr>
              <w:t>Reference Values</w:t>
            </w:r>
          </w:p>
        </w:tc>
        <w:tc>
          <w:tcPr>
            <w:tcW w:w="1270" w:type="dxa"/>
            <w:shd w:val="clear" w:color="auto" w:fill="FFFFFF"/>
            <w:noWrap/>
            <w:vAlign w:val="bottom"/>
            <w:hideMark/>
          </w:tcPr>
          <w:p w14:paraId="3C0369E1" w14:textId="77777777" w:rsidR="00900AFC" w:rsidRPr="00676F30" w:rsidRDefault="00900AFC" w:rsidP="00964752">
            <w:pPr>
              <w:keepNext/>
              <w:keepLines/>
              <w:spacing w:before="0" w:after="0" w:line="276" w:lineRule="auto"/>
              <w:jc w:val="center"/>
              <w:rPr>
                <w:rFonts w:cstheme="minorHAnsi"/>
                <w:sz w:val="18"/>
                <w:szCs w:val="18"/>
              </w:rPr>
            </w:pPr>
            <w:r w:rsidRPr="00676F30">
              <w:rPr>
                <w:rFonts w:cstheme="minorHAnsi"/>
                <w:sz w:val="18"/>
                <w:szCs w:val="18"/>
              </w:rPr>
              <w:t> </w:t>
            </w:r>
          </w:p>
        </w:tc>
        <w:tc>
          <w:tcPr>
            <w:tcW w:w="1270" w:type="dxa"/>
            <w:shd w:val="clear" w:color="auto" w:fill="FFFFFF"/>
            <w:noWrap/>
            <w:vAlign w:val="bottom"/>
            <w:hideMark/>
          </w:tcPr>
          <w:p w14:paraId="6A01A3C5" w14:textId="77777777" w:rsidR="00900AFC" w:rsidRPr="00676F30" w:rsidRDefault="00900AFC" w:rsidP="00964752">
            <w:pPr>
              <w:keepNext/>
              <w:keepLines/>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525A5885"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6F02C998"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 </w:t>
            </w:r>
          </w:p>
        </w:tc>
      </w:tr>
      <w:tr w:rsidR="00900AFC" w:rsidRPr="00676F30" w14:paraId="09D9B25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35B1280"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A</w:t>
            </w:r>
          </w:p>
        </w:tc>
        <w:tc>
          <w:tcPr>
            <w:tcW w:w="3108" w:type="dxa"/>
            <w:tcBorders>
              <w:top w:val="nil"/>
              <w:left w:val="single" w:sz="8" w:space="0" w:color="000000"/>
              <w:bottom w:val="nil"/>
              <w:right w:val="nil"/>
            </w:tcBorders>
            <w:shd w:val="clear" w:color="auto" w:fill="FFFFFF"/>
            <w:noWrap/>
            <w:vAlign w:val="bottom"/>
            <w:hideMark/>
          </w:tcPr>
          <w:p w14:paraId="07E1B5EF"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Density of Liquid Water =</w:t>
            </w:r>
          </w:p>
        </w:tc>
        <w:tc>
          <w:tcPr>
            <w:tcW w:w="1270" w:type="dxa"/>
            <w:shd w:val="clear" w:color="auto" w:fill="FFFFFF"/>
            <w:noWrap/>
            <w:vAlign w:val="bottom"/>
            <w:hideMark/>
          </w:tcPr>
          <w:p w14:paraId="790D47FF"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8.34</w:t>
            </w:r>
          </w:p>
        </w:tc>
        <w:tc>
          <w:tcPr>
            <w:tcW w:w="1270" w:type="dxa"/>
            <w:shd w:val="clear" w:color="auto" w:fill="FFFFFF"/>
            <w:noWrap/>
            <w:vAlign w:val="bottom"/>
            <w:hideMark/>
          </w:tcPr>
          <w:p w14:paraId="0D8FE7FE"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8.34</w:t>
            </w:r>
          </w:p>
        </w:tc>
        <w:tc>
          <w:tcPr>
            <w:tcW w:w="1361" w:type="dxa"/>
            <w:shd w:val="clear" w:color="auto" w:fill="FFFFFF"/>
            <w:vAlign w:val="bottom"/>
            <w:hideMark/>
          </w:tcPr>
          <w:p w14:paraId="42CBC525"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lbm/gallon</w:t>
            </w:r>
          </w:p>
        </w:tc>
        <w:tc>
          <w:tcPr>
            <w:tcW w:w="2009" w:type="dxa"/>
            <w:tcBorders>
              <w:top w:val="nil"/>
              <w:left w:val="nil"/>
              <w:bottom w:val="nil"/>
              <w:right w:val="single" w:sz="12" w:space="0" w:color="000000"/>
            </w:tcBorders>
            <w:shd w:val="clear" w:color="auto" w:fill="FFFFFF"/>
            <w:noWrap/>
            <w:vAlign w:val="bottom"/>
            <w:hideMark/>
          </w:tcPr>
          <w:p w14:paraId="1E56FAA1"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Reference</w:t>
            </w:r>
          </w:p>
        </w:tc>
      </w:tr>
      <w:tr w:rsidR="00900AFC" w:rsidRPr="00676F30" w14:paraId="2B210697"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F9B110F"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B</w:t>
            </w:r>
          </w:p>
        </w:tc>
        <w:tc>
          <w:tcPr>
            <w:tcW w:w="3108" w:type="dxa"/>
            <w:tcBorders>
              <w:top w:val="nil"/>
              <w:left w:val="single" w:sz="8" w:space="0" w:color="000000"/>
              <w:bottom w:val="nil"/>
              <w:right w:val="nil"/>
            </w:tcBorders>
            <w:shd w:val="clear" w:color="auto" w:fill="FFFFFF"/>
            <w:noWrap/>
            <w:vAlign w:val="bottom"/>
            <w:hideMark/>
          </w:tcPr>
          <w:p w14:paraId="7AEA76C3"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Specific Heat of Liquid Water =</w:t>
            </w:r>
          </w:p>
        </w:tc>
        <w:tc>
          <w:tcPr>
            <w:tcW w:w="1270" w:type="dxa"/>
            <w:shd w:val="clear" w:color="auto" w:fill="FFFFFF"/>
            <w:noWrap/>
            <w:vAlign w:val="bottom"/>
            <w:hideMark/>
          </w:tcPr>
          <w:p w14:paraId="0FDB2309"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1.0</w:t>
            </w:r>
          </w:p>
        </w:tc>
        <w:tc>
          <w:tcPr>
            <w:tcW w:w="1270" w:type="dxa"/>
            <w:shd w:val="clear" w:color="auto" w:fill="FFFFFF"/>
            <w:noWrap/>
            <w:vAlign w:val="bottom"/>
            <w:hideMark/>
          </w:tcPr>
          <w:p w14:paraId="64DBBE0C"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1.0</w:t>
            </w:r>
          </w:p>
        </w:tc>
        <w:tc>
          <w:tcPr>
            <w:tcW w:w="1361" w:type="dxa"/>
            <w:shd w:val="clear" w:color="auto" w:fill="FFFFFF"/>
            <w:vAlign w:val="bottom"/>
            <w:hideMark/>
          </w:tcPr>
          <w:p w14:paraId="4F7ED126"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BTU/lbm-F</w:t>
            </w:r>
          </w:p>
        </w:tc>
        <w:tc>
          <w:tcPr>
            <w:tcW w:w="2009" w:type="dxa"/>
            <w:tcBorders>
              <w:top w:val="nil"/>
              <w:left w:val="nil"/>
              <w:bottom w:val="nil"/>
              <w:right w:val="single" w:sz="12" w:space="0" w:color="000000"/>
            </w:tcBorders>
            <w:shd w:val="clear" w:color="auto" w:fill="FFFFFF"/>
            <w:noWrap/>
            <w:vAlign w:val="bottom"/>
            <w:hideMark/>
          </w:tcPr>
          <w:p w14:paraId="4F2A76EB"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Reference</w:t>
            </w:r>
          </w:p>
        </w:tc>
      </w:tr>
      <w:tr w:rsidR="00900AFC" w:rsidRPr="00676F30" w14:paraId="3C94D64F"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D0693F1"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C</w:t>
            </w:r>
          </w:p>
        </w:tc>
        <w:tc>
          <w:tcPr>
            <w:tcW w:w="3108" w:type="dxa"/>
            <w:tcBorders>
              <w:top w:val="nil"/>
              <w:left w:val="single" w:sz="8" w:space="0" w:color="000000"/>
              <w:bottom w:val="nil"/>
              <w:right w:val="nil"/>
            </w:tcBorders>
            <w:shd w:val="clear" w:color="auto" w:fill="FFFFFF"/>
            <w:noWrap/>
            <w:vAlign w:val="bottom"/>
            <w:hideMark/>
          </w:tcPr>
          <w:p w14:paraId="70664A28"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Stack Exhaust Specific Heat = </w:t>
            </w:r>
          </w:p>
        </w:tc>
        <w:tc>
          <w:tcPr>
            <w:tcW w:w="1270" w:type="dxa"/>
            <w:shd w:val="clear" w:color="auto" w:fill="FFFFFF"/>
            <w:noWrap/>
            <w:vAlign w:val="bottom"/>
            <w:hideMark/>
          </w:tcPr>
          <w:p w14:paraId="1F37D6EC"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0.2624</w:t>
            </w:r>
          </w:p>
        </w:tc>
        <w:tc>
          <w:tcPr>
            <w:tcW w:w="1270" w:type="dxa"/>
            <w:shd w:val="clear" w:color="auto" w:fill="FFFFFF"/>
            <w:noWrap/>
            <w:vAlign w:val="bottom"/>
            <w:hideMark/>
          </w:tcPr>
          <w:p w14:paraId="3C3CCEE9"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0.2612</w:t>
            </w:r>
          </w:p>
        </w:tc>
        <w:tc>
          <w:tcPr>
            <w:tcW w:w="1361" w:type="dxa"/>
            <w:shd w:val="clear" w:color="auto" w:fill="FFFFFF"/>
            <w:vAlign w:val="bottom"/>
            <w:hideMark/>
          </w:tcPr>
          <w:p w14:paraId="74BE74B5"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Btu/lb/°F</w:t>
            </w:r>
          </w:p>
        </w:tc>
        <w:tc>
          <w:tcPr>
            <w:tcW w:w="2009" w:type="dxa"/>
            <w:tcBorders>
              <w:top w:val="nil"/>
              <w:left w:val="nil"/>
              <w:bottom w:val="nil"/>
              <w:right w:val="single" w:sz="12" w:space="0" w:color="000000"/>
            </w:tcBorders>
            <w:shd w:val="clear" w:color="auto" w:fill="FFFFFF"/>
            <w:noWrap/>
            <w:vAlign w:val="bottom"/>
            <w:hideMark/>
          </w:tcPr>
          <w:p w14:paraId="499036D8"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 stack temp</w:t>
            </w:r>
          </w:p>
        </w:tc>
      </w:tr>
      <w:tr w:rsidR="00900AFC" w:rsidRPr="00676F30" w14:paraId="2EF213FB"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4EE665F"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D</w:t>
            </w:r>
          </w:p>
        </w:tc>
        <w:tc>
          <w:tcPr>
            <w:tcW w:w="3108" w:type="dxa"/>
            <w:tcBorders>
              <w:top w:val="nil"/>
              <w:left w:val="single" w:sz="8" w:space="0" w:color="000000"/>
              <w:bottom w:val="nil"/>
              <w:right w:val="nil"/>
            </w:tcBorders>
            <w:shd w:val="clear" w:color="auto" w:fill="FFFFFF"/>
            <w:noWrap/>
            <w:vAlign w:val="bottom"/>
            <w:hideMark/>
          </w:tcPr>
          <w:p w14:paraId="38DA23E7"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Stack Exhaust Density =</w:t>
            </w:r>
          </w:p>
        </w:tc>
        <w:tc>
          <w:tcPr>
            <w:tcW w:w="1270" w:type="dxa"/>
            <w:shd w:val="clear" w:color="auto" w:fill="FFFFFF"/>
            <w:noWrap/>
            <w:vAlign w:val="bottom"/>
            <w:hideMark/>
          </w:tcPr>
          <w:p w14:paraId="23A02325"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0.0460</w:t>
            </w:r>
          </w:p>
        </w:tc>
        <w:tc>
          <w:tcPr>
            <w:tcW w:w="1270" w:type="dxa"/>
            <w:shd w:val="clear" w:color="auto" w:fill="FFFFFF"/>
            <w:noWrap/>
            <w:vAlign w:val="bottom"/>
            <w:hideMark/>
          </w:tcPr>
          <w:p w14:paraId="51710E31"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0.0481</w:t>
            </w:r>
          </w:p>
        </w:tc>
        <w:tc>
          <w:tcPr>
            <w:tcW w:w="1361" w:type="dxa"/>
            <w:shd w:val="clear" w:color="auto" w:fill="FFFFFF"/>
            <w:vAlign w:val="bottom"/>
            <w:hideMark/>
          </w:tcPr>
          <w:p w14:paraId="4F8725F6"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Lb/ft^3</w:t>
            </w:r>
          </w:p>
        </w:tc>
        <w:tc>
          <w:tcPr>
            <w:tcW w:w="2009" w:type="dxa"/>
            <w:tcBorders>
              <w:top w:val="nil"/>
              <w:left w:val="nil"/>
              <w:bottom w:val="nil"/>
              <w:right w:val="single" w:sz="12" w:space="0" w:color="000000"/>
            </w:tcBorders>
            <w:shd w:val="clear" w:color="auto" w:fill="FFFFFF"/>
            <w:noWrap/>
            <w:vAlign w:val="bottom"/>
            <w:hideMark/>
          </w:tcPr>
          <w:p w14:paraId="0EC822F7"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 stack temp</w:t>
            </w:r>
          </w:p>
        </w:tc>
      </w:tr>
      <w:tr w:rsidR="00900AFC" w:rsidRPr="00676F30" w14:paraId="4F4DA08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7F54B25"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E</w:t>
            </w:r>
          </w:p>
        </w:tc>
        <w:tc>
          <w:tcPr>
            <w:tcW w:w="3108" w:type="dxa"/>
            <w:tcBorders>
              <w:top w:val="nil"/>
              <w:left w:val="single" w:sz="8" w:space="0" w:color="000000"/>
              <w:bottom w:val="nil"/>
              <w:right w:val="nil"/>
            </w:tcBorders>
            <w:shd w:val="clear" w:color="auto" w:fill="FFFFFF"/>
            <w:noWrap/>
            <w:vAlign w:val="bottom"/>
            <w:hideMark/>
          </w:tcPr>
          <w:p w14:paraId="38507E71"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Steam Enthalpy =</w:t>
            </w:r>
          </w:p>
        </w:tc>
        <w:tc>
          <w:tcPr>
            <w:tcW w:w="1270" w:type="dxa"/>
            <w:shd w:val="clear" w:color="auto" w:fill="FFFFFF"/>
            <w:noWrap/>
            <w:vAlign w:val="bottom"/>
            <w:hideMark/>
          </w:tcPr>
          <w:p w14:paraId="030F9124"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970</w:t>
            </w:r>
          </w:p>
        </w:tc>
        <w:tc>
          <w:tcPr>
            <w:tcW w:w="1270" w:type="dxa"/>
            <w:shd w:val="clear" w:color="auto" w:fill="FFFFFF"/>
            <w:noWrap/>
            <w:vAlign w:val="bottom"/>
            <w:hideMark/>
          </w:tcPr>
          <w:p w14:paraId="073FCEA0"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970</w:t>
            </w:r>
          </w:p>
        </w:tc>
        <w:tc>
          <w:tcPr>
            <w:tcW w:w="1361" w:type="dxa"/>
            <w:shd w:val="clear" w:color="auto" w:fill="FFFFFF"/>
            <w:vAlign w:val="bottom"/>
            <w:hideMark/>
          </w:tcPr>
          <w:p w14:paraId="65FAA321"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Btu/lb</w:t>
            </w:r>
          </w:p>
        </w:tc>
        <w:tc>
          <w:tcPr>
            <w:tcW w:w="2009" w:type="dxa"/>
            <w:tcBorders>
              <w:top w:val="nil"/>
              <w:left w:val="nil"/>
              <w:bottom w:val="nil"/>
              <w:right w:val="single" w:sz="12" w:space="0" w:color="000000"/>
            </w:tcBorders>
            <w:shd w:val="clear" w:color="auto" w:fill="FFFFFF"/>
            <w:noWrap/>
            <w:vAlign w:val="bottom"/>
            <w:hideMark/>
          </w:tcPr>
          <w:p w14:paraId="5B510C31"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(1150-180) @212°F sat.</w:t>
            </w:r>
          </w:p>
        </w:tc>
      </w:tr>
      <w:tr w:rsidR="00900AFC" w:rsidRPr="00676F30" w14:paraId="09761A6B"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013FDA8"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F</w:t>
            </w:r>
          </w:p>
        </w:tc>
        <w:tc>
          <w:tcPr>
            <w:tcW w:w="3108" w:type="dxa"/>
            <w:tcBorders>
              <w:top w:val="nil"/>
              <w:left w:val="single" w:sz="8" w:space="0" w:color="000000"/>
              <w:bottom w:val="nil"/>
              <w:right w:val="nil"/>
            </w:tcBorders>
            <w:shd w:val="clear" w:color="auto" w:fill="FFFFFF"/>
            <w:noWrap/>
            <w:vAlign w:val="bottom"/>
            <w:hideMark/>
          </w:tcPr>
          <w:p w14:paraId="49F71316"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kBTU to therm</w:t>
            </w:r>
          </w:p>
        </w:tc>
        <w:tc>
          <w:tcPr>
            <w:tcW w:w="1270" w:type="dxa"/>
            <w:shd w:val="clear" w:color="auto" w:fill="FFFFFF"/>
            <w:noWrap/>
            <w:vAlign w:val="bottom"/>
            <w:hideMark/>
          </w:tcPr>
          <w:p w14:paraId="26A412FA"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100</w:t>
            </w:r>
          </w:p>
        </w:tc>
        <w:tc>
          <w:tcPr>
            <w:tcW w:w="1270" w:type="dxa"/>
            <w:shd w:val="clear" w:color="auto" w:fill="FFFFFF"/>
            <w:noWrap/>
            <w:vAlign w:val="bottom"/>
            <w:hideMark/>
          </w:tcPr>
          <w:p w14:paraId="7F78CE71"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100</w:t>
            </w:r>
          </w:p>
        </w:tc>
        <w:tc>
          <w:tcPr>
            <w:tcW w:w="1361" w:type="dxa"/>
            <w:shd w:val="clear" w:color="auto" w:fill="FFFFFF"/>
            <w:vAlign w:val="bottom"/>
            <w:hideMark/>
          </w:tcPr>
          <w:p w14:paraId="5F689476"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kBTU/therm</w:t>
            </w:r>
          </w:p>
        </w:tc>
        <w:tc>
          <w:tcPr>
            <w:tcW w:w="2009" w:type="dxa"/>
            <w:tcBorders>
              <w:top w:val="nil"/>
              <w:left w:val="nil"/>
              <w:bottom w:val="nil"/>
              <w:right w:val="single" w:sz="12" w:space="0" w:color="000000"/>
            </w:tcBorders>
            <w:shd w:val="clear" w:color="auto" w:fill="FFFFFF"/>
            <w:noWrap/>
            <w:vAlign w:val="bottom"/>
            <w:hideMark/>
          </w:tcPr>
          <w:p w14:paraId="4A1457B8"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Reference</w:t>
            </w:r>
          </w:p>
        </w:tc>
      </w:tr>
      <w:tr w:rsidR="00900AFC" w:rsidRPr="00676F30" w14:paraId="229CFB2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2E035EB"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G</w:t>
            </w:r>
          </w:p>
        </w:tc>
        <w:tc>
          <w:tcPr>
            <w:tcW w:w="3108" w:type="dxa"/>
            <w:tcBorders>
              <w:top w:val="nil"/>
              <w:left w:val="single" w:sz="8" w:space="0" w:color="000000"/>
              <w:bottom w:val="nil"/>
              <w:right w:val="nil"/>
            </w:tcBorders>
            <w:shd w:val="clear" w:color="auto" w:fill="FFFFFF"/>
            <w:noWrap/>
            <w:vAlign w:val="bottom"/>
            <w:hideMark/>
          </w:tcPr>
          <w:p w14:paraId="3E8130F1"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Steam Boiler HP</w:t>
            </w:r>
          </w:p>
        </w:tc>
        <w:tc>
          <w:tcPr>
            <w:tcW w:w="1270" w:type="dxa"/>
            <w:shd w:val="clear" w:color="auto" w:fill="FFFFFF"/>
            <w:noWrap/>
            <w:vAlign w:val="bottom"/>
            <w:hideMark/>
          </w:tcPr>
          <w:p w14:paraId="7D3F6CB5"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600</w:t>
            </w:r>
          </w:p>
        </w:tc>
        <w:tc>
          <w:tcPr>
            <w:tcW w:w="1270" w:type="dxa"/>
            <w:shd w:val="clear" w:color="auto" w:fill="FFFFFF"/>
            <w:noWrap/>
            <w:vAlign w:val="bottom"/>
            <w:hideMark/>
          </w:tcPr>
          <w:p w14:paraId="053A4FD2"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600</w:t>
            </w:r>
          </w:p>
        </w:tc>
        <w:tc>
          <w:tcPr>
            <w:tcW w:w="1361" w:type="dxa"/>
            <w:shd w:val="clear" w:color="auto" w:fill="FFFFFF"/>
            <w:vAlign w:val="bottom"/>
            <w:hideMark/>
          </w:tcPr>
          <w:p w14:paraId="22C97ED3"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BHP</w:t>
            </w:r>
          </w:p>
        </w:tc>
        <w:tc>
          <w:tcPr>
            <w:tcW w:w="2009" w:type="dxa"/>
            <w:tcBorders>
              <w:top w:val="nil"/>
              <w:left w:val="nil"/>
              <w:bottom w:val="nil"/>
              <w:right w:val="single" w:sz="12" w:space="0" w:color="000000"/>
            </w:tcBorders>
            <w:shd w:val="clear" w:color="auto" w:fill="FFFFFF"/>
            <w:noWrap/>
            <w:vAlign w:val="bottom"/>
            <w:hideMark/>
          </w:tcPr>
          <w:p w14:paraId="2713186E"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Specification</w:t>
            </w:r>
          </w:p>
        </w:tc>
      </w:tr>
      <w:tr w:rsidR="00900AFC" w:rsidRPr="00676F30" w14:paraId="0D8D8FF6"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B5B8358"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H</w:t>
            </w:r>
          </w:p>
        </w:tc>
        <w:tc>
          <w:tcPr>
            <w:tcW w:w="3108" w:type="dxa"/>
            <w:tcBorders>
              <w:top w:val="nil"/>
              <w:left w:val="single" w:sz="8" w:space="0" w:color="000000"/>
              <w:bottom w:val="nil"/>
              <w:right w:val="nil"/>
            </w:tcBorders>
            <w:shd w:val="clear" w:color="auto" w:fill="FFFFFF"/>
            <w:noWrap/>
            <w:vAlign w:val="bottom"/>
            <w:hideMark/>
          </w:tcPr>
          <w:p w14:paraId="00CABD0F"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1 Boiler HP</w:t>
            </w:r>
          </w:p>
        </w:tc>
        <w:tc>
          <w:tcPr>
            <w:tcW w:w="1270" w:type="dxa"/>
            <w:shd w:val="clear" w:color="auto" w:fill="FFFFFF"/>
            <w:noWrap/>
            <w:vAlign w:val="bottom"/>
            <w:hideMark/>
          </w:tcPr>
          <w:p w14:paraId="7CC3A61D"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33,475</w:t>
            </w:r>
          </w:p>
        </w:tc>
        <w:tc>
          <w:tcPr>
            <w:tcW w:w="1270" w:type="dxa"/>
            <w:shd w:val="clear" w:color="auto" w:fill="FFFFFF"/>
            <w:noWrap/>
            <w:vAlign w:val="bottom"/>
            <w:hideMark/>
          </w:tcPr>
          <w:p w14:paraId="78C8932E"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33,475</w:t>
            </w:r>
          </w:p>
        </w:tc>
        <w:tc>
          <w:tcPr>
            <w:tcW w:w="1361" w:type="dxa"/>
            <w:shd w:val="clear" w:color="auto" w:fill="FFFFFF"/>
            <w:vAlign w:val="bottom"/>
            <w:hideMark/>
          </w:tcPr>
          <w:p w14:paraId="7A6CB6F6"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Btuh</w:t>
            </w:r>
          </w:p>
        </w:tc>
        <w:tc>
          <w:tcPr>
            <w:tcW w:w="2009" w:type="dxa"/>
            <w:tcBorders>
              <w:top w:val="nil"/>
              <w:left w:val="nil"/>
              <w:bottom w:val="nil"/>
              <w:right w:val="single" w:sz="12" w:space="0" w:color="000000"/>
            </w:tcBorders>
            <w:shd w:val="clear" w:color="auto" w:fill="FFFFFF"/>
            <w:noWrap/>
            <w:vAlign w:val="bottom"/>
            <w:hideMark/>
          </w:tcPr>
          <w:p w14:paraId="37B3F367"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Constant</w:t>
            </w:r>
          </w:p>
        </w:tc>
      </w:tr>
      <w:tr w:rsidR="00900AFC" w:rsidRPr="00676F30" w14:paraId="294896BE"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AD8862B"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I</w:t>
            </w:r>
          </w:p>
        </w:tc>
        <w:tc>
          <w:tcPr>
            <w:tcW w:w="3108" w:type="dxa"/>
            <w:tcBorders>
              <w:top w:val="nil"/>
              <w:left w:val="single" w:sz="8" w:space="0" w:color="000000"/>
              <w:bottom w:val="nil"/>
              <w:right w:val="nil"/>
            </w:tcBorders>
            <w:shd w:val="clear" w:color="auto" w:fill="FFFFFF"/>
            <w:noWrap/>
            <w:vAlign w:val="bottom"/>
            <w:hideMark/>
          </w:tcPr>
          <w:p w14:paraId="2F9FE322"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Boiler thermal efficiency =</w:t>
            </w:r>
          </w:p>
        </w:tc>
        <w:tc>
          <w:tcPr>
            <w:tcW w:w="1270" w:type="dxa"/>
            <w:shd w:val="clear" w:color="auto" w:fill="FFFFFF"/>
            <w:noWrap/>
            <w:vAlign w:val="bottom"/>
            <w:hideMark/>
          </w:tcPr>
          <w:p w14:paraId="23D95C15" w14:textId="77777777" w:rsidR="00900AFC" w:rsidRPr="00676F30" w:rsidRDefault="00900AFC" w:rsidP="00964752">
            <w:pPr>
              <w:keepNext/>
              <w:keepLines/>
              <w:spacing w:before="0" w:after="0" w:line="276" w:lineRule="auto"/>
              <w:jc w:val="center"/>
              <w:rPr>
                <w:rFonts w:cstheme="minorHAnsi"/>
                <w:b/>
                <w:bCs/>
                <w:color w:val="0070C0"/>
                <w:sz w:val="18"/>
                <w:szCs w:val="18"/>
              </w:rPr>
            </w:pPr>
            <w:r w:rsidRPr="00676F30">
              <w:rPr>
                <w:rFonts w:cstheme="minorHAnsi"/>
                <w:b/>
                <w:bCs/>
                <w:color w:val="0070C0"/>
                <w:sz w:val="18"/>
                <w:szCs w:val="18"/>
              </w:rPr>
              <w:t>82%</w:t>
            </w:r>
          </w:p>
        </w:tc>
        <w:tc>
          <w:tcPr>
            <w:tcW w:w="1270" w:type="dxa"/>
            <w:shd w:val="clear" w:color="auto" w:fill="FFFFFF"/>
            <w:noWrap/>
            <w:vAlign w:val="bottom"/>
            <w:hideMark/>
          </w:tcPr>
          <w:p w14:paraId="64AE451A" w14:textId="77777777" w:rsidR="00900AFC" w:rsidRPr="00676F30" w:rsidRDefault="00900AFC" w:rsidP="00964752">
            <w:pPr>
              <w:keepNext/>
              <w:keepLines/>
              <w:spacing w:before="0" w:after="0" w:line="276" w:lineRule="auto"/>
              <w:jc w:val="center"/>
              <w:rPr>
                <w:rFonts w:cstheme="minorHAnsi"/>
                <w:b/>
                <w:bCs/>
                <w:color w:val="0070C0"/>
                <w:sz w:val="18"/>
                <w:szCs w:val="18"/>
              </w:rPr>
            </w:pPr>
            <w:r w:rsidRPr="00676F30">
              <w:rPr>
                <w:rFonts w:cstheme="minorHAnsi"/>
                <w:b/>
                <w:bCs/>
                <w:color w:val="0070C0"/>
                <w:sz w:val="18"/>
                <w:szCs w:val="18"/>
              </w:rPr>
              <w:t>82%</w:t>
            </w:r>
          </w:p>
        </w:tc>
        <w:tc>
          <w:tcPr>
            <w:tcW w:w="1361" w:type="dxa"/>
            <w:shd w:val="clear" w:color="auto" w:fill="FFFFFF"/>
            <w:vAlign w:val="bottom"/>
            <w:hideMark/>
          </w:tcPr>
          <w:p w14:paraId="21D2BE13"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2CD2AD21"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Reference</w:t>
            </w:r>
          </w:p>
        </w:tc>
      </w:tr>
      <w:tr w:rsidR="00900AFC" w:rsidRPr="00676F30" w14:paraId="45488BC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60CBC300"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0404B7E3" w14:textId="77777777" w:rsidR="00900AFC" w:rsidRPr="00676F30" w:rsidRDefault="00900AFC" w:rsidP="00964752">
            <w:pPr>
              <w:keepNext/>
              <w:keepLines/>
              <w:spacing w:before="0" w:after="0" w:line="276" w:lineRule="auto"/>
              <w:rPr>
                <w:rFonts w:cstheme="minorHAnsi"/>
                <w:b/>
                <w:bCs/>
                <w:i/>
                <w:iCs/>
                <w:sz w:val="18"/>
                <w:szCs w:val="18"/>
              </w:rPr>
            </w:pPr>
            <w:r w:rsidRPr="00676F30">
              <w:rPr>
                <w:rFonts w:cstheme="minorHAnsi"/>
                <w:b/>
                <w:bCs/>
                <w:i/>
                <w:iCs/>
                <w:sz w:val="18"/>
                <w:szCs w:val="18"/>
              </w:rPr>
              <w:t>Baseline Calculation</w:t>
            </w:r>
          </w:p>
        </w:tc>
        <w:tc>
          <w:tcPr>
            <w:tcW w:w="1270" w:type="dxa"/>
            <w:shd w:val="clear" w:color="auto" w:fill="FFFFFF"/>
            <w:noWrap/>
            <w:vAlign w:val="bottom"/>
            <w:hideMark/>
          </w:tcPr>
          <w:p w14:paraId="440F2D9F"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 </w:t>
            </w:r>
          </w:p>
        </w:tc>
        <w:tc>
          <w:tcPr>
            <w:tcW w:w="1270" w:type="dxa"/>
            <w:shd w:val="clear" w:color="auto" w:fill="FFFFFF"/>
            <w:noWrap/>
            <w:vAlign w:val="bottom"/>
            <w:hideMark/>
          </w:tcPr>
          <w:p w14:paraId="15560268" w14:textId="77777777" w:rsidR="00900AFC" w:rsidRPr="00676F30" w:rsidRDefault="00900AFC" w:rsidP="00964752">
            <w:pPr>
              <w:keepNext/>
              <w:keepLines/>
              <w:spacing w:before="0" w:after="0" w:line="276" w:lineRule="auto"/>
              <w:jc w:val="center"/>
              <w:rPr>
                <w:rFonts w:cstheme="minorHAnsi"/>
                <w:color w:val="00B050"/>
                <w:sz w:val="18"/>
                <w:szCs w:val="18"/>
              </w:rPr>
            </w:pPr>
            <w:r w:rsidRPr="00676F30">
              <w:rPr>
                <w:rFonts w:cstheme="minorHAnsi"/>
                <w:color w:val="00B050"/>
                <w:sz w:val="18"/>
                <w:szCs w:val="18"/>
              </w:rPr>
              <w:t> </w:t>
            </w:r>
          </w:p>
        </w:tc>
        <w:tc>
          <w:tcPr>
            <w:tcW w:w="1361" w:type="dxa"/>
            <w:shd w:val="clear" w:color="auto" w:fill="FFFFFF"/>
            <w:vAlign w:val="bottom"/>
            <w:hideMark/>
          </w:tcPr>
          <w:p w14:paraId="68BE43E9"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66402140"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 </w:t>
            </w:r>
          </w:p>
        </w:tc>
      </w:tr>
      <w:tr w:rsidR="00900AFC" w:rsidRPr="00676F30" w14:paraId="5C2DE0D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B2686D1"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J</w:t>
            </w:r>
          </w:p>
        </w:tc>
        <w:tc>
          <w:tcPr>
            <w:tcW w:w="3108" w:type="dxa"/>
            <w:tcBorders>
              <w:top w:val="nil"/>
              <w:left w:val="single" w:sz="8" w:space="0" w:color="000000"/>
              <w:bottom w:val="nil"/>
              <w:right w:val="nil"/>
            </w:tcBorders>
            <w:shd w:val="clear" w:color="auto" w:fill="FFFFFF"/>
            <w:noWrap/>
            <w:vAlign w:val="bottom"/>
            <w:hideMark/>
          </w:tcPr>
          <w:p w14:paraId="600EC4A2"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Boiler Connected Load =</w:t>
            </w:r>
          </w:p>
        </w:tc>
        <w:tc>
          <w:tcPr>
            <w:tcW w:w="1270" w:type="dxa"/>
            <w:shd w:val="clear" w:color="auto" w:fill="FFFFFF"/>
            <w:noWrap/>
            <w:vAlign w:val="bottom"/>
            <w:hideMark/>
          </w:tcPr>
          <w:p w14:paraId="319A6A59" w14:textId="77777777" w:rsidR="00900AFC" w:rsidRPr="00676F30" w:rsidRDefault="00900AFC" w:rsidP="00964752">
            <w:pPr>
              <w:keepNext/>
              <w:keepLines/>
              <w:spacing w:before="0" w:after="0" w:line="276" w:lineRule="auto"/>
              <w:jc w:val="center"/>
              <w:rPr>
                <w:rFonts w:cstheme="minorHAnsi"/>
                <w:sz w:val="18"/>
                <w:szCs w:val="18"/>
              </w:rPr>
            </w:pPr>
            <w:r w:rsidRPr="00676F30">
              <w:rPr>
                <w:rFonts w:cstheme="minorHAnsi"/>
                <w:sz w:val="18"/>
                <w:szCs w:val="18"/>
              </w:rPr>
              <w:t>20,085</w:t>
            </w:r>
          </w:p>
        </w:tc>
        <w:tc>
          <w:tcPr>
            <w:tcW w:w="1270" w:type="dxa"/>
            <w:shd w:val="clear" w:color="auto" w:fill="FFFFFF"/>
            <w:noWrap/>
            <w:vAlign w:val="bottom"/>
            <w:hideMark/>
          </w:tcPr>
          <w:p w14:paraId="0BEE969A" w14:textId="77777777" w:rsidR="00900AFC" w:rsidRPr="00676F30" w:rsidRDefault="00900AFC" w:rsidP="00964752">
            <w:pPr>
              <w:keepNext/>
              <w:keepLines/>
              <w:spacing w:before="0" w:after="0" w:line="276" w:lineRule="auto"/>
              <w:jc w:val="center"/>
              <w:rPr>
                <w:rFonts w:cstheme="minorHAnsi"/>
                <w:sz w:val="18"/>
                <w:szCs w:val="18"/>
              </w:rPr>
            </w:pPr>
            <w:r w:rsidRPr="00676F30">
              <w:rPr>
                <w:rFonts w:cstheme="minorHAnsi"/>
                <w:sz w:val="18"/>
                <w:szCs w:val="18"/>
              </w:rPr>
              <w:t>20,085</w:t>
            </w:r>
          </w:p>
        </w:tc>
        <w:tc>
          <w:tcPr>
            <w:tcW w:w="1361" w:type="dxa"/>
            <w:shd w:val="clear" w:color="auto" w:fill="FFFFFF"/>
            <w:vAlign w:val="bottom"/>
            <w:hideMark/>
          </w:tcPr>
          <w:p w14:paraId="3364B5A8"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kBtu/hr</w:t>
            </w:r>
          </w:p>
        </w:tc>
        <w:tc>
          <w:tcPr>
            <w:tcW w:w="2009" w:type="dxa"/>
            <w:tcBorders>
              <w:top w:val="nil"/>
              <w:left w:val="nil"/>
              <w:bottom w:val="nil"/>
              <w:right w:val="single" w:sz="12" w:space="0" w:color="000000"/>
            </w:tcBorders>
            <w:shd w:val="clear" w:color="auto" w:fill="FFFFFF"/>
            <w:noWrap/>
            <w:vAlign w:val="bottom"/>
            <w:hideMark/>
          </w:tcPr>
          <w:p w14:paraId="3999CBD8"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=G*H</w:t>
            </w:r>
          </w:p>
        </w:tc>
      </w:tr>
      <w:tr w:rsidR="00900AFC" w:rsidRPr="00676F30" w14:paraId="2E37A9C3"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67170A2B"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K</w:t>
            </w:r>
          </w:p>
        </w:tc>
        <w:tc>
          <w:tcPr>
            <w:tcW w:w="3108" w:type="dxa"/>
            <w:tcBorders>
              <w:top w:val="nil"/>
              <w:left w:val="single" w:sz="8" w:space="0" w:color="000000"/>
              <w:bottom w:val="nil"/>
              <w:right w:val="nil"/>
            </w:tcBorders>
            <w:shd w:val="clear" w:color="auto" w:fill="FFFFFF"/>
            <w:noWrap/>
            <w:vAlign w:val="bottom"/>
            <w:hideMark/>
          </w:tcPr>
          <w:p w14:paraId="79EDF5B3"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Boiler Rated Input Capacity =</w:t>
            </w:r>
          </w:p>
        </w:tc>
        <w:tc>
          <w:tcPr>
            <w:tcW w:w="1270" w:type="dxa"/>
            <w:shd w:val="clear" w:color="auto" w:fill="FFFFFF"/>
            <w:noWrap/>
            <w:vAlign w:val="bottom"/>
            <w:hideMark/>
          </w:tcPr>
          <w:p w14:paraId="38F7CB50" w14:textId="77777777" w:rsidR="00900AFC" w:rsidRPr="00676F30" w:rsidRDefault="00900AFC" w:rsidP="00964752">
            <w:pPr>
              <w:keepNext/>
              <w:keepLines/>
              <w:spacing w:before="0" w:after="0" w:line="276" w:lineRule="auto"/>
              <w:jc w:val="center"/>
              <w:rPr>
                <w:rFonts w:cstheme="minorHAnsi"/>
                <w:sz w:val="18"/>
                <w:szCs w:val="18"/>
              </w:rPr>
            </w:pPr>
            <w:r w:rsidRPr="00676F30">
              <w:rPr>
                <w:rFonts w:cstheme="minorHAnsi"/>
                <w:sz w:val="18"/>
                <w:szCs w:val="18"/>
              </w:rPr>
              <w:t>24,494</w:t>
            </w:r>
          </w:p>
        </w:tc>
        <w:tc>
          <w:tcPr>
            <w:tcW w:w="1270" w:type="dxa"/>
            <w:shd w:val="clear" w:color="auto" w:fill="FFFFFF"/>
            <w:noWrap/>
            <w:vAlign w:val="bottom"/>
            <w:hideMark/>
          </w:tcPr>
          <w:p w14:paraId="153F9C80" w14:textId="77777777" w:rsidR="00900AFC" w:rsidRPr="00676F30" w:rsidRDefault="00900AFC" w:rsidP="00964752">
            <w:pPr>
              <w:keepNext/>
              <w:keepLines/>
              <w:spacing w:before="0" w:after="0" w:line="276" w:lineRule="auto"/>
              <w:jc w:val="center"/>
              <w:rPr>
                <w:rFonts w:cstheme="minorHAnsi"/>
                <w:sz w:val="18"/>
                <w:szCs w:val="18"/>
              </w:rPr>
            </w:pPr>
            <w:r w:rsidRPr="00676F30">
              <w:rPr>
                <w:rFonts w:cstheme="minorHAnsi"/>
                <w:sz w:val="18"/>
                <w:szCs w:val="18"/>
              </w:rPr>
              <w:t>24,494</w:t>
            </w:r>
          </w:p>
        </w:tc>
        <w:tc>
          <w:tcPr>
            <w:tcW w:w="1361" w:type="dxa"/>
            <w:shd w:val="clear" w:color="auto" w:fill="FFFFFF"/>
            <w:vAlign w:val="bottom"/>
            <w:hideMark/>
          </w:tcPr>
          <w:p w14:paraId="38FA30A0"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kBtu/hr</w:t>
            </w:r>
          </w:p>
        </w:tc>
        <w:tc>
          <w:tcPr>
            <w:tcW w:w="2009" w:type="dxa"/>
            <w:tcBorders>
              <w:top w:val="nil"/>
              <w:left w:val="nil"/>
              <w:bottom w:val="nil"/>
              <w:right w:val="single" w:sz="12" w:space="0" w:color="000000"/>
            </w:tcBorders>
            <w:shd w:val="clear" w:color="auto" w:fill="FFFFFF"/>
            <w:noWrap/>
            <w:vAlign w:val="bottom"/>
            <w:hideMark/>
          </w:tcPr>
          <w:p w14:paraId="712832F4"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=J/I</w:t>
            </w:r>
          </w:p>
        </w:tc>
      </w:tr>
      <w:tr w:rsidR="00900AFC" w:rsidRPr="00676F30" w14:paraId="2871D30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8785FB4"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L</w:t>
            </w:r>
          </w:p>
        </w:tc>
        <w:tc>
          <w:tcPr>
            <w:tcW w:w="3108" w:type="dxa"/>
            <w:tcBorders>
              <w:top w:val="nil"/>
              <w:left w:val="single" w:sz="8" w:space="0" w:color="000000"/>
              <w:bottom w:val="nil"/>
              <w:right w:val="nil"/>
            </w:tcBorders>
            <w:shd w:val="clear" w:color="auto" w:fill="FFFFFF"/>
            <w:noWrap/>
            <w:vAlign w:val="bottom"/>
            <w:hideMark/>
          </w:tcPr>
          <w:p w14:paraId="2CFC4945"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Operating Hours =</w:t>
            </w:r>
          </w:p>
        </w:tc>
        <w:tc>
          <w:tcPr>
            <w:tcW w:w="1270" w:type="dxa"/>
            <w:shd w:val="clear" w:color="auto" w:fill="FFFFFF"/>
            <w:noWrap/>
            <w:vAlign w:val="bottom"/>
            <w:hideMark/>
          </w:tcPr>
          <w:p w14:paraId="65939D7A"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4,000</w:t>
            </w:r>
          </w:p>
        </w:tc>
        <w:tc>
          <w:tcPr>
            <w:tcW w:w="1270" w:type="dxa"/>
            <w:shd w:val="clear" w:color="auto" w:fill="FFFFFF"/>
            <w:noWrap/>
            <w:vAlign w:val="bottom"/>
            <w:hideMark/>
          </w:tcPr>
          <w:p w14:paraId="6B0D411C" w14:textId="77777777" w:rsidR="00900AFC" w:rsidRPr="00676F30" w:rsidRDefault="00900AFC" w:rsidP="00964752">
            <w:pPr>
              <w:keepNext/>
              <w:keepLines/>
              <w:spacing w:before="0" w:after="0" w:line="276" w:lineRule="auto"/>
              <w:jc w:val="center"/>
              <w:rPr>
                <w:rFonts w:cstheme="minorHAnsi"/>
                <w:color w:val="538DD5"/>
                <w:sz w:val="18"/>
                <w:szCs w:val="18"/>
              </w:rPr>
            </w:pPr>
            <w:r w:rsidRPr="00676F30">
              <w:rPr>
                <w:rFonts w:cstheme="minorHAnsi"/>
                <w:color w:val="538DD5"/>
                <w:sz w:val="18"/>
                <w:szCs w:val="18"/>
              </w:rPr>
              <w:t>4,000</w:t>
            </w:r>
          </w:p>
        </w:tc>
        <w:tc>
          <w:tcPr>
            <w:tcW w:w="1361" w:type="dxa"/>
            <w:shd w:val="clear" w:color="auto" w:fill="FFFFFF"/>
            <w:vAlign w:val="bottom"/>
            <w:hideMark/>
          </w:tcPr>
          <w:p w14:paraId="5336E71B"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hr/yr</w:t>
            </w:r>
          </w:p>
        </w:tc>
        <w:tc>
          <w:tcPr>
            <w:tcW w:w="2009" w:type="dxa"/>
            <w:tcBorders>
              <w:top w:val="nil"/>
              <w:left w:val="nil"/>
              <w:bottom w:val="nil"/>
              <w:right w:val="single" w:sz="12" w:space="0" w:color="000000"/>
            </w:tcBorders>
            <w:shd w:val="clear" w:color="auto" w:fill="FFFFFF"/>
            <w:noWrap/>
            <w:vAlign w:val="bottom"/>
            <w:hideMark/>
          </w:tcPr>
          <w:p w14:paraId="7C4CC6C1" w14:textId="46B09CAD"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Reference</w:t>
            </w:r>
          </w:p>
        </w:tc>
      </w:tr>
      <w:tr w:rsidR="00900AFC" w:rsidRPr="00676F30" w14:paraId="016408FF"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1BA53CB" w14:textId="77777777" w:rsidR="00900AFC" w:rsidRPr="00676F30" w:rsidRDefault="00900AFC" w:rsidP="00964752">
            <w:pPr>
              <w:keepNext/>
              <w:keepLines/>
              <w:spacing w:before="0" w:after="0" w:line="276" w:lineRule="auto"/>
              <w:jc w:val="center"/>
              <w:rPr>
                <w:rFonts w:cstheme="minorHAnsi"/>
                <w:color w:val="000000"/>
                <w:sz w:val="18"/>
                <w:szCs w:val="18"/>
              </w:rPr>
            </w:pPr>
            <w:r w:rsidRPr="00676F30">
              <w:rPr>
                <w:rFonts w:cstheme="minorHAnsi"/>
                <w:color w:val="000000"/>
                <w:sz w:val="18"/>
                <w:szCs w:val="18"/>
              </w:rPr>
              <w:t>M</w:t>
            </w:r>
          </w:p>
        </w:tc>
        <w:tc>
          <w:tcPr>
            <w:tcW w:w="3108" w:type="dxa"/>
            <w:tcBorders>
              <w:top w:val="nil"/>
              <w:left w:val="single" w:sz="8" w:space="0" w:color="000000"/>
              <w:bottom w:val="nil"/>
              <w:right w:val="nil"/>
            </w:tcBorders>
            <w:shd w:val="clear" w:color="auto" w:fill="FFFFFF"/>
            <w:noWrap/>
            <w:vAlign w:val="bottom"/>
            <w:hideMark/>
          </w:tcPr>
          <w:p w14:paraId="542D63D1" w14:textId="77777777" w:rsidR="00900AFC" w:rsidRPr="00676F30" w:rsidRDefault="00900AFC" w:rsidP="00964752">
            <w:pPr>
              <w:keepNext/>
              <w:keepLines/>
              <w:spacing w:before="0" w:after="0" w:line="276" w:lineRule="auto"/>
              <w:jc w:val="right"/>
              <w:rPr>
                <w:rFonts w:cstheme="minorHAnsi"/>
                <w:sz w:val="18"/>
                <w:szCs w:val="18"/>
              </w:rPr>
            </w:pPr>
            <w:r w:rsidRPr="00676F30">
              <w:rPr>
                <w:rFonts w:cstheme="minorHAnsi"/>
                <w:sz w:val="18"/>
                <w:szCs w:val="18"/>
              </w:rPr>
              <w:t>Load of Maximum Output =</w:t>
            </w:r>
          </w:p>
        </w:tc>
        <w:tc>
          <w:tcPr>
            <w:tcW w:w="1270" w:type="dxa"/>
            <w:shd w:val="clear" w:color="auto" w:fill="FFFFFF"/>
            <w:noWrap/>
            <w:vAlign w:val="bottom"/>
            <w:hideMark/>
          </w:tcPr>
          <w:p w14:paraId="6C5B374B" w14:textId="77777777" w:rsidR="00900AFC" w:rsidRPr="00676F30" w:rsidRDefault="00900AFC" w:rsidP="00964752">
            <w:pPr>
              <w:keepNext/>
              <w:keepLines/>
              <w:spacing w:before="0" w:after="0" w:line="276" w:lineRule="auto"/>
              <w:jc w:val="center"/>
              <w:rPr>
                <w:rFonts w:cstheme="minorHAnsi"/>
                <w:b/>
                <w:color w:val="538DD5"/>
                <w:sz w:val="18"/>
                <w:szCs w:val="18"/>
              </w:rPr>
            </w:pPr>
            <w:r w:rsidRPr="00676F30">
              <w:rPr>
                <w:rFonts w:cstheme="minorHAnsi"/>
                <w:b/>
                <w:color w:val="538DD5"/>
                <w:sz w:val="18"/>
                <w:szCs w:val="18"/>
              </w:rPr>
              <w:t>100%</w:t>
            </w:r>
          </w:p>
        </w:tc>
        <w:tc>
          <w:tcPr>
            <w:tcW w:w="1270" w:type="dxa"/>
            <w:shd w:val="clear" w:color="auto" w:fill="FFFFFF"/>
            <w:noWrap/>
            <w:vAlign w:val="bottom"/>
            <w:hideMark/>
          </w:tcPr>
          <w:p w14:paraId="02652772" w14:textId="77777777" w:rsidR="00900AFC" w:rsidRPr="00676F30" w:rsidRDefault="00900AFC" w:rsidP="00964752">
            <w:pPr>
              <w:keepNext/>
              <w:keepLines/>
              <w:spacing w:before="0" w:after="0" w:line="276" w:lineRule="auto"/>
              <w:jc w:val="center"/>
              <w:rPr>
                <w:rFonts w:cstheme="minorHAnsi"/>
                <w:b/>
                <w:color w:val="538DD5"/>
                <w:sz w:val="18"/>
                <w:szCs w:val="18"/>
              </w:rPr>
            </w:pPr>
            <w:r w:rsidRPr="00676F30">
              <w:rPr>
                <w:rFonts w:cstheme="minorHAnsi"/>
                <w:b/>
                <w:color w:val="538DD5"/>
                <w:sz w:val="18"/>
                <w:szCs w:val="18"/>
              </w:rPr>
              <w:t>50%</w:t>
            </w:r>
          </w:p>
        </w:tc>
        <w:tc>
          <w:tcPr>
            <w:tcW w:w="1361" w:type="dxa"/>
            <w:shd w:val="clear" w:color="auto" w:fill="FFFFFF"/>
            <w:vAlign w:val="bottom"/>
            <w:hideMark/>
          </w:tcPr>
          <w:p w14:paraId="0657E0FE" w14:textId="77777777" w:rsidR="00900AFC" w:rsidRPr="00676F30" w:rsidRDefault="00900AFC" w:rsidP="00964752">
            <w:pPr>
              <w:keepNext/>
              <w:keepLines/>
              <w:spacing w:before="0" w:after="0" w:line="276" w:lineRule="auto"/>
              <w:rPr>
                <w:rFonts w:cstheme="minorHAnsi"/>
                <w:color w:val="000000"/>
                <w:sz w:val="18"/>
                <w:szCs w:val="18"/>
              </w:rPr>
            </w:pPr>
            <w:r w:rsidRPr="00676F30">
              <w:rPr>
                <w:rFonts w:cstheme="minorHAnsi"/>
                <w:color w:val="000000"/>
                <w:sz w:val="18"/>
                <w:szCs w:val="18"/>
              </w:rPr>
              <w:t>%</w:t>
            </w:r>
          </w:p>
        </w:tc>
        <w:tc>
          <w:tcPr>
            <w:tcW w:w="2009" w:type="dxa"/>
            <w:tcBorders>
              <w:top w:val="nil"/>
              <w:left w:val="nil"/>
              <w:bottom w:val="nil"/>
              <w:right w:val="single" w:sz="12" w:space="0" w:color="000000"/>
            </w:tcBorders>
            <w:shd w:val="clear" w:color="auto" w:fill="FFFFFF"/>
            <w:noWrap/>
            <w:vAlign w:val="bottom"/>
            <w:hideMark/>
          </w:tcPr>
          <w:p w14:paraId="745F26E5" w14:textId="77777777" w:rsidR="00900AFC" w:rsidRPr="00676F30" w:rsidRDefault="00900AFC" w:rsidP="00964752">
            <w:pPr>
              <w:keepNext/>
              <w:keepLines/>
              <w:spacing w:before="0" w:after="0" w:line="276" w:lineRule="auto"/>
              <w:rPr>
                <w:rFonts w:cstheme="minorHAnsi"/>
                <w:sz w:val="18"/>
                <w:szCs w:val="18"/>
              </w:rPr>
            </w:pPr>
            <w:r w:rsidRPr="00676F30">
              <w:rPr>
                <w:rFonts w:cstheme="minorHAnsi"/>
                <w:sz w:val="18"/>
                <w:szCs w:val="18"/>
              </w:rPr>
              <w:t>Specification</w:t>
            </w:r>
          </w:p>
        </w:tc>
      </w:tr>
      <w:tr w:rsidR="00900AFC" w:rsidRPr="00676F30" w14:paraId="0D444C3A"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5B9BE07"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71BC16DD" w14:textId="77777777" w:rsidR="00900AFC" w:rsidRPr="00676F30" w:rsidRDefault="00900AFC" w:rsidP="00676F30">
            <w:pPr>
              <w:spacing w:before="0" w:after="0" w:line="276" w:lineRule="auto"/>
              <w:rPr>
                <w:rFonts w:cstheme="minorHAnsi"/>
                <w:b/>
                <w:bCs/>
                <w:i/>
                <w:iCs/>
                <w:sz w:val="18"/>
                <w:szCs w:val="18"/>
              </w:rPr>
            </w:pPr>
            <w:r w:rsidRPr="00676F30">
              <w:rPr>
                <w:rFonts w:cstheme="minorHAnsi"/>
                <w:b/>
                <w:bCs/>
                <w:i/>
                <w:iCs/>
                <w:sz w:val="18"/>
                <w:szCs w:val="18"/>
              </w:rPr>
              <w:t>Flow Rate Calculation</w:t>
            </w:r>
          </w:p>
        </w:tc>
        <w:tc>
          <w:tcPr>
            <w:tcW w:w="1270" w:type="dxa"/>
            <w:shd w:val="clear" w:color="auto" w:fill="FFFFFF"/>
            <w:noWrap/>
            <w:vAlign w:val="bottom"/>
            <w:hideMark/>
          </w:tcPr>
          <w:p w14:paraId="57C61F7C" w14:textId="77777777" w:rsidR="00900AFC" w:rsidRPr="00676F30" w:rsidRDefault="00900AFC" w:rsidP="00676F30">
            <w:pPr>
              <w:spacing w:before="0" w:after="0" w:line="276" w:lineRule="auto"/>
              <w:jc w:val="center"/>
              <w:rPr>
                <w:rFonts w:cstheme="minorHAnsi"/>
                <w:color w:val="00B050"/>
                <w:sz w:val="18"/>
                <w:szCs w:val="18"/>
              </w:rPr>
            </w:pPr>
            <w:r w:rsidRPr="00676F30">
              <w:rPr>
                <w:rFonts w:cstheme="minorHAnsi"/>
                <w:color w:val="00B050"/>
                <w:sz w:val="18"/>
                <w:szCs w:val="18"/>
              </w:rPr>
              <w:t> </w:t>
            </w:r>
          </w:p>
        </w:tc>
        <w:tc>
          <w:tcPr>
            <w:tcW w:w="1270" w:type="dxa"/>
            <w:shd w:val="clear" w:color="auto" w:fill="FFFFFF"/>
            <w:noWrap/>
            <w:vAlign w:val="bottom"/>
            <w:hideMark/>
          </w:tcPr>
          <w:p w14:paraId="66B2B3FB" w14:textId="77777777" w:rsidR="00900AFC" w:rsidRPr="00676F30" w:rsidRDefault="00900AFC" w:rsidP="00676F30">
            <w:pPr>
              <w:spacing w:before="0" w:after="0" w:line="276" w:lineRule="auto"/>
              <w:jc w:val="center"/>
              <w:rPr>
                <w:rFonts w:cstheme="minorHAnsi"/>
                <w:color w:val="00B050"/>
                <w:sz w:val="18"/>
                <w:szCs w:val="18"/>
              </w:rPr>
            </w:pPr>
            <w:r w:rsidRPr="00676F30">
              <w:rPr>
                <w:rFonts w:cstheme="minorHAnsi"/>
                <w:color w:val="00B050"/>
                <w:sz w:val="18"/>
                <w:szCs w:val="18"/>
              </w:rPr>
              <w:t> </w:t>
            </w:r>
          </w:p>
        </w:tc>
        <w:tc>
          <w:tcPr>
            <w:tcW w:w="1361" w:type="dxa"/>
            <w:shd w:val="clear" w:color="auto" w:fill="FFFFFF"/>
            <w:vAlign w:val="bottom"/>
            <w:hideMark/>
          </w:tcPr>
          <w:p w14:paraId="1C87640C"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1115D2CA"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r>
      <w:tr w:rsidR="00900AFC" w:rsidRPr="00676F30" w14:paraId="26406541"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02D136E"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lastRenderedPageBreak/>
              <w:t>N</w:t>
            </w:r>
          </w:p>
        </w:tc>
        <w:tc>
          <w:tcPr>
            <w:tcW w:w="3108" w:type="dxa"/>
            <w:tcBorders>
              <w:top w:val="nil"/>
              <w:left w:val="single" w:sz="8" w:space="0" w:color="000000"/>
              <w:bottom w:val="nil"/>
              <w:right w:val="nil"/>
            </w:tcBorders>
            <w:shd w:val="clear" w:color="auto" w:fill="FFFFFF"/>
            <w:noWrap/>
            <w:vAlign w:val="bottom"/>
            <w:hideMark/>
          </w:tcPr>
          <w:p w14:paraId="2C4F2BF1"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 xml:space="preserve">Flue Exhaust Flow Rate = </w:t>
            </w:r>
          </w:p>
        </w:tc>
        <w:tc>
          <w:tcPr>
            <w:tcW w:w="1270" w:type="dxa"/>
            <w:shd w:val="clear" w:color="auto" w:fill="FFFFFF"/>
            <w:noWrap/>
            <w:vAlign w:val="bottom"/>
            <w:hideMark/>
          </w:tcPr>
          <w:p w14:paraId="7455933D"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4,792</w:t>
            </w:r>
          </w:p>
        </w:tc>
        <w:tc>
          <w:tcPr>
            <w:tcW w:w="1270" w:type="dxa"/>
            <w:shd w:val="clear" w:color="auto" w:fill="FFFFFF"/>
            <w:noWrap/>
            <w:vAlign w:val="bottom"/>
            <w:hideMark/>
          </w:tcPr>
          <w:p w14:paraId="11FE916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2,382</w:t>
            </w:r>
          </w:p>
        </w:tc>
        <w:tc>
          <w:tcPr>
            <w:tcW w:w="1361" w:type="dxa"/>
            <w:shd w:val="clear" w:color="auto" w:fill="FFFFFF"/>
            <w:vAlign w:val="bottom"/>
            <w:hideMark/>
          </w:tcPr>
          <w:p w14:paraId="133E230A"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SCFM</w:t>
            </w:r>
          </w:p>
        </w:tc>
        <w:tc>
          <w:tcPr>
            <w:tcW w:w="2009" w:type="dxa"/>
            <w:tcBorders>
              <w:top w:val="nil"/>
              <w:left w:val="nil"/>
              <w:bottom w:val="nil"/>
              <w:right w:val="single" w:sz="12" w:space="0" w:color="000000"/>
            </w:tcBorders>
            <w:shd w:val="clear" w:color="auto" w:fill="FFFFFF"/>
            <w:noWrap/>
            <w:vAlign w:val="bottom"/>
            <w:hideMark/>
          </w:tcPr>
          <w:p w14:paraId="51D2FCFD"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Spec</w:t>
            </w:r>
          </w:p>
        </w:tc>
      </w:tr>
      <w:tr w:rsidR="00900AFC" w:rsidRPr="00676F30" w14:paraId="0B65C84E"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F79454F"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O</w:t>
            </w:r>
          </w:p>
        </w:tc>
        <w:tc>
          <w:tcPr>
            <w:tcW w:w="3108" w:type="dxa"/>
            <w:tcBorders>
              <w:top w:val="nil"/>
              <w:left w:val="single" w:sz="8" w:space="0" w:color="000000"/>
              <w:bottom w:val="nil"/>
              <w:right w:val="nil"/>
            </w:tcBorders>
            <w:shd w:val="clear" w:color="auto" w:fill="FFFFFF"/>
            <w:noWrap/>
            <w:vAlign w:val="bottom"/>
            <w:hideMark/>
          </w:tcPr>
          <w:p w14:paraId="3A64A13F"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Steam Flow Rate =</w:t>
            </w:r>
          </w:p>
        </w:tc>
        <w:tc>
          <w:tcPr>
            <w:tcW w:w="1270" w:type="dxa"/>
            <w:shd w:val="clear" w:color="auto" w:fill="FFFFFF"/>
            <w:noWrap/>
            <w:vAlign w:val="bottom"/>
            <w:hideMark/>
          </w:tcPr>
          <w:p w14:paraId="418AB48B"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20,706</w:t>
            </w:r>
          </w:p>
        </w:tc>
        <w:tc>
          <w:tcPr>
            <w:tcW w:w="1270" w:type="dxa"/>
            <w:shd w:val="clear" w:color="auto" w:fill="FFFFFF"/>
            <w:noWrap/>
            <w:vAlign w:val="bottom"/>
            <w:hideMark/>
          </w:tcPr>
          <w:p w14:paraId="013D1D5B"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10,353</w:t>
            </w:r>
          </w:p>
        </w:tc>
        <w:tc>
          <w:tcPr>
            <w:tcW w:w="1361" w:type="dxa"/>
            <w:shd w:val="clear" w:color="auto" w:fill="FFFFFF"/>
            <w:vAlign w:val="bottom"/>
            <w:hideMark/>
          </w:tcPr>
          <w:p w14:paraId="13EA3E54"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Lbm/hr</w:t>
            </w:r>
          </w:p>
        </w:tc>
        <w:tc>
          <w:tcPr>
            <w:tcW w:w="2009" w:type="dxa"/>
            <w:tcBorders>
              <w:top w:val="nil"/>
              <w:left w:val="nil"/>
              <w:bottom w:val="nil"/>
              <w:right w:val="single" w:sz="12" w:space="0" w:color="000000"/>
            </w:tcBorders>
            <w:shd w:val="clear" w:color="auto" w:fill="FFFFFF"/>
            <w:noWrap/>
            <w:vAlign w:val="bottom"/>
            <w:hideMark/>
          </w:tcPr>
          <w:p w14:paraId="1C65E097"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=J*1000*M/E</w:t>
            </w:r>
          </w:p>
        </w:tc>
      </w:tr>
      <w:tr w:rsidR="00900AFC" w:rsidRPr="00676F30" w14:paraId="7AC4D15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AC20016"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P</w:t>
            </w:r>
          </w:p>
        </w:tc>
        <w:tc>
          <w:tcPr>
            <w:tcW w:w="3108" w:type="dxa"/>
            <w:tcBorders>
              <w:top w:val="nil"/>
              <w:left w:val="single" w:sz="8" w:space="0" w:color="000000"/>
              <w:bottom w:val="nil"/>
              <w:right w:val="nil"/>
            </w:tcBorders>
            <w:noWrap/>
            <w:vAlign w:val="bottom"/>
            <w:hideMark/>
          </w:tcPr>
          <w:p w14:paraId="5F8A2079" w14:textId="77777777" w:rsidR="00900AFC" w:rsidRPr="00676F30" w:rsidRDefault="00900AFC" w:rsidP="00676F30">
            <w:pPr>
              <w:spacing w:before="0" w:after="0" w:line="276" w:lineRule="auto"/>
              <w:jc w:val="right"/>
              <w:rPr>
                <w:rFonts w:cstheme="minorHAnsi"/>
                <w:color w:val="000000"/>
                <w:sz w:val="18"/>
                <w:szCs w:val="18"/>
              </w:rPr>
            </w:pPr>
            <w:r w:rsidRPr="00676F30">
              <w:rPr>
                <w:rFonts w:cstheme="minorHAnsi"/>
                <w:color w:val="000000"/>
                <w:sz w:val="18"/>
                <w:szCs w:val="18"/>
              </w:rPr>
              <w:t>Natural gas consumption =</w:t>
            </w:r>
          </w:p>
        </w:tc>
        <w:tc>
          <w:tcPr>
            <w:tcW w:w="1270" w:type="dxa"/>
            <w:shd w:val="clear" w:color="auto" w:fill="FFFFFF"/>
            <w:noWrap/>
            <w:vAlign w:val="bottom"/>
            <w:hideMark/>
          </w:tcPr>
          <w:p w14:paraId="510CA742"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24,493,902</w:t>
            </w:r>
          </w:p>
        </w:tc>
        <w:tc>
          <w:tcPr>
            <w:tcW w:w="1270" w:type="dxa"/>
            <w:shd w:val="clear" w:color="auto" w:fill="FFFFFF"/>
            <w:noWrap/>
            <w:vAlign w:val="bottom"/>
            <w:hideMark/>
          </w:tcPr>
          <w:p w14:paraId="6D797EFE"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12,246,951</w:t>
            </w:r>
          </w:p>
        </w:tc>
        <w:tc>
          <w:tcPr>
            <w:tcW w:w="1361" w:type="dxa"/>
            <w:shd w:val="clear" w:color="auto" w:fill="FFFFFF"/>
            <w:vAlign w:val="bottom"/>
            <w:hideMark/>
          </w:tcPr>
          <w:p w14:paraId="36E395C2"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Btu/lb</w:t>
            </w:r>
          </w:p>
        </w:tc>
        <w:tc>
          <w:tcPr>
            <w:tcW w:w="2009" w:type="dxa"/>
            <w:tcBorders>
              <w:top w:val="nil"/>
              <w:left w:val="nil"/>
              <w:bottom w:val="nil"/>
              <w:right w:val="single" w:sz="12" w:space="0" w:color="000000"/>
            </w:tcBorders>
            <w:shd w:val="clear" w:color="auto" w:fill="FFFFFF"/>
            <w:noWrap/>
            <w:vAlign w:val="bottom"/>
            <w:hideMark/>
          </w:tcPr>
          <w:p w14:paraId="53F50B71"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=O*E/I</w:t>
            </w:r>
          </w:p>
        </w:tc>
      </w:tr>
      <w:tr w:rsidR="00900AFC" w:rsidRPr="00676F30" w14:paraId="0CD83840"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6B9F7734"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Q</w:t>
            </w:r>
          </w:p>
        </w:tc>
        <w:tc>
          <w:tcPr>
            <w:tcW w:w="3108" w:type="dxa"/>
            <w:tcBorders>
              <w:top w:val="nil"/>
              <w:left w:val="single" w:sz="8" w:space="0" w:color="000000"/>
              <w:bottom w:val="nil"/>
              <w:right w:val="nil"/>
            </w:tcBorders>
            <w:shd w:val="clear" w:color="auto" w:fill="FFFFFF"/>
            <w:noWrap/>
            <w:vAlign w:val="bottom"/>
            <w:hideMark/>
          </w:tcPr>
          <w:p w14:paraId="5FACF11D"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Feedwater Flow Rate =</w:t>
            </w:r>
          </w:p>
        </w:tc>
        <w:tc>
          <w:tcPr>
            <w:tcW w:w="1270" w:type="dxa"/>
            <w:shd w:val="clear" w:color="auto" w:fill="FFFFFF"/>
            <w:noWrap/>
            <w:vAlign w:val="bottom"/>
            <w:hideMark/>
          </w:tcPr>
          <w:p w14:paraId="08AABCAE"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41.9</w:t>
            </w:r>
          </w:p>
        </w:tc>
        <w:tc>
          <w:tcPr>
            <w:tcW w:w="1270" w:type="dxa"/>
            <w:shd w:val="clear" w:color="auto" w:fill="FFFFFF"/>
            <w:noWrap/>
            <w:vAlign w:val="bottom"/>
            <w:hideMark/>
          </w:tcPr>
          <w:p w14:paraId="19151C35"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21.0</w:t>
            </w:r>
          </w:p>
        </w:tc>
        <w:tc>
          <w:tcPr>
            <w:tcW w:w="1361" w:type="dxa"/>
            <w:shd w:val="clear" w:color="auto" w:fill="FFFFFF"/>
            <w:vAlign w:val="bottom"/>
            <w:hideMark/>
          </w:tcPr>
          <w:p w14:paraId="2C6AB12D"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gallons/min</w:t>
            </w:r>
          </w:p>
        </w:tc>
        <w:tc>
          <w:tcPr>
            <w:tcW w:w="2009" w:type="dxa"/>
            <w:tcBorders>
              <w:top w:val="nil"/>
              <w:left w:val="nil"/>
              <w:bottom w:val="nil"/>
              <w:right w:val="single" w:sz="12" w:space="0" w:color="000000"/>
            </w:tcBorders>
            <w:shd w:val="clear" w:color="auto" w:fill="FFFFFF"/>
            <w:noWrap/>
            <w:vAlign w:val="bottom"/>
            <w:hideMark/>
          </w:tcPr>
          <w:p w14:paraId="141BE2CB"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Spec</w:t>
            </w:r>
          </w:p>
        </w:tc>
      </w:tr>
      <w:tr w:rsidR="00900AFC" w:rsidRPr="00676F30" w14:paraId="01682DE8"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DF2B30F"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42CC2F0D" w14:textId="77777777" w:rsidR="00900AFC" w:rsidRPr="00676F30" w:rsidRDefault="00900AFC" w:rsidP="00676F30">
            <w:pPr>
              <w:spacing w:before="0" w:after="0" w:line="276" w:lineRule="auto"/>
              <w:rPr>
                <w:rFonts w:cstheme="minorHAnsi"/>
                <w:b/>
                <w:bCs/>
                <w:i/>
                <w:iCs/>
                <w:sz w:val="18"/>
                <w:szCs w:val="18"/>
              </w:rPr>
            </w:pPr>
            <w:r w:rsidRPr="00676F30">
              <w:rPr>
                <w:rFonts w:cstheme="minorHAnsi"/>
                <w:b/>
                <w:bCs/>
                <w:i/>
                <w:iCs/>
                <w:sz w:val="18"/>
                <w:szCs w:val="18"/>
              </w:rPr>
              <w:t>Stage 1</w:t>
            </w:r>
          </w:p>
        </w:tc>
        <w:tc>
          <w:tcPr>
            <w:tcW w:w="1270" w:type="dxa"/>
            <w:shd w:val="clear" w:color="auto" w:fill="FFFFFF"/>
            <w:noWrap/>
            <w:vAlign w:val="bottom"/>
            <w:hideMark/>
          </w:tcPr>
          <w:p w14:paraId="2E35CF14"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 </w:t>
            </w:r>
          </w:p>
        </w:tc>
        <w:tc>
          <w:tcPr>
            <w:tcW w:w="1270" w:type="dxa"/>
            <w:shd w:val="clear" w:color="auto" w:fill="FFFFFF"/>
            <w:noWrap/>
            <w:vAlign w:val="bottom"/>
            <w:hideMark/>
          </w:tcPr>
          <w:p w14:paraId="6156056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01FE2CCF"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0F09AE16"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r>
      <w:tr w:rsidR="00900AFC" w:rsidRPr="00676F30" w14:paraId="6E86A0F1"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4B5D255"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R</w:t>
            </w:r>
          </w:p>
        </w:tc>
        <w:tc>
          <w:tcPr>
            <w:tcW w:w="3108" w:type="dxa"/>
            <w:tcBorders>
              <w:top w:val="nil"/>
              <w:left w:val="single" w:sz="8" w:space="0" w:color="000000"/>
              <w:bottom w:val="nil"/>
              <w:right w:val="nil"/>
            </w:tcBorders>
            <w:shd w:val="clear" w:color="auto" w:fill="FFFFFF"/>
            <w:noWrap/>
            <w:vAlign w:val="bottom"/>
            <w:hideMark/>
          </w:tcPr>
          <w:p w14:paraId="1E52D170"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Exhaust Flow Rate =</w:t>
            </w:r>
          </w:p>
        </w:tc>
        <w:tc>
          <w:tcPr>
            <w:tcW w:w="1270" w:type="dxa"/>
            <w:shd w:val="clear" w:color="auto" w:fill="FFFFFF"/>
            <w:noWrap/>
            <w:vAlign w:val="bottom"/>
            <w:hideMark/>
          </w:tcPr>
          <w:p w14:paraId="6A396A66"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13,238</w:t>
            </w:r>
          </w:p>
        </w:tc>
        <w:tc>
          <w:tcPr>
            <w:tcW w:w="1270" w:type="dxa"/>
            <w:shd w:val="clear" w:color="auto" w:fill="FFFFFF"/>
            <w:noWrap/>
            <w:vAlign w:val="bottom"/>
            <w:hideMark/>
          </w:tcPr>
          <w:p w14:paraId="37B3AFCC"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6,872</w:t>
            </w:r>
          </w:p>
        </w:tc>
        <w:tc>
          <w:tcPr>
            <w:tcW w:w="1361" w:type="dxa"/>
            <w:shd w:val="clear" w:color="auto" w:fill="FFFFFF"/>
            <w:vAlign w:val="bottom"/>
            <w:hideMark/>
          </w:tcPr>
          <w:p w14:paraId="5F7FB4B3"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lbm/hr</w:t>
            </w:r>
          </w:p>
        </w:tc>
        <w:tc>
          <w:tcPr>
            <w:tcW w:w="2009" w:type="dxa"/>
            <w:tcBorders>
              <w:top w:val="nil"/>
              <w:left w:val="nil"/>
              <w:bottom w:val="nil"/>
              <w:right w:val="single" w:sz="12" w:space="0" w:color="000000"/>
            </w:tcBorders>
            <w:shd w:val="clear" w:color="auto" w:fill="FFFFFF"/>
            <w:noWrap/>
            <w:vAlign w:val="bottom"/>
            <w:hideMark/>
          </w:tcPr>
          <w:p w14:paraId="41442685"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=N*D*60</w:t>
            </w:r>
          </w:p>
        </w:tc>
      </w:tr>
      <w:tr w:rsidR="00900AFC" w:rsidRPr="00676F30" w14:paraId="35B696B9"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DD93B95"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S</w:t>
            </w:r>
          </w:p>
        </w:tc>
        <w:tc>
          <w:tcPr>
            <w:tcW w:w="3108" w:type="dxa"/>
            <w:tcBorders>
              <w:top w:val="nil"/>
              <w:left w:val="single" w:sz="8" w:space="0" w:color="000000"/>
              <w:bottom w:val="nil"/>
              <w:right w:val="nil"/>
            </w:tcBorders>
            <w:shd w:val="clear" w:color="auto" w:fill="FFFFFF"/>
            <w:noWrap/>
            <w:vAlign w:val="bottom"/>
            <w:hideMark/>
          </w:tcPr>
          <w:p w14:paraId="51CF8AAF"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Inlet stack temperature =</w:t>
            </w:r>
          </w:p>
        </w:tc>
        <w:tc>
          <w:tcPr>
            <w:tcW w:w="1270" w:type="dxa"/>
            <w:shd w:val="clear" w:color="auto" w:fill="FFFFFF"/>
            <w:noWrap/>
            <w:vAlign w:val="bottom"/>
            <w:hideMark/>
          </w:tcPr>
          <w:p w14:paraId="22084753"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407</w:t>
            </w:r>
          </w:p>
        </w:tc>
        <w:tc>
          <w:tcPr>
            <w:tcW w:w="1270" w:type="dxa"/>
            <w:shd w:val="clear" w:color="auto" w:fill="FFFFFF"/>
            <w:noWrap/>
            <w:vAlign w:val="bottom"/>
            <w:hideMark/>
          </w:tcPr>
          <w:p w14:paraId="32A4F646"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372</w:t>
            </w:r>
          </w:p>
        </w:tc>
        <w:tc>
          <w:tcPr>
            <w:tcW w:w="1361" w:type="dxa"/>
            <w:shd w:val="clear" w:color="auto" w:fill="FFFFFF"/>
            <w:vAlign w:val="bottom"/>
            <w:hideMark/>
          </w:tcPr>
          <w:p w14:paraId="7CADF721" w14:textId="120AB47A" w:rsidR="00900AFC" w:rsidRPr="00676F30" w:rsidRDefault="00DB0922" w:rsidP="00676F30">
            <w:pPr>
              <w:spacing w:before="0" w:after="0" w:line="276" w:lineRule="auto"/>
              <w:rPr>
                <w:rFonts w:cstheme="minorHAnsi"/>
                <w:sz w:val="18"/>
                <w:szCs w:val="18"/>
              </w:rPr>
            </w:pPr>
            <w:r>
              <w:rPr>
                <w:rFonts w:cstheme="minorHAnsi"/>
                <w:sz w:val="18"/>
                <w:szCs w:val="18"/>
              </w:rPr>
              <w:t>°</w:t>
            </w:r>
            <w:r w:rsidR="00900AFC" w:rsidRPr="00676F30">
              <w:rPr>
                <w:rFonts w:cstheme="minorHAnsi"/>
                <w:sz w:val="18"/>
                <w:szCs w:val="18"/>
              </w:rPr>
              <w:t>F</w:t>
            </w:r>
          </w:p>
        </w:tc>
        <w:tc>
          <w:tcPr>
            <w:tcW w:w="2009" w:type="dxa"/>
            <w:tcBorders>
              <w:top w:val="nil"/>
              <w:left w:val="nil"/>
              <w:bottom w:val="nil"/>
              <w:right w:val="single" w:sz="12" w:space="0" w:color="000000"/>
            </w:tcBorders>
            <w:shd w:val="clear" w:color="auto" w:fill="FFFFFF"/>
            <w:noWrap/>
            <w:vAlign w:val="bottom"/>
            <w:hideMark/>
          </w:tcPr>
          <w:p w14:paraId="38EEA181" w14:textId="47A14298"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r w:rsidRPr="003C44AD">
              <w:rPr>
                <w:rFonts w:cstheme="minorHAnsi"/>
                <w:sz w:val="18"/>
                <w:szCs w:val="18"/>
              </w:rPr>
              <w:t>Specification</w:t>
            </w:r>
          </w:p>
        </w:tc>
      </w:tr>
      <w:tr w:rsidR="00900AFC" w:rsidRPr="00676F30" w14:paraId="3217592E"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8C10E46"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T</w:t>
            </w:r>
          </w:p>
        </w:tc>
        <w:tc>
          <w:tcPr>
            <w:tcW w:w="3108" w:type="dxa"/>
            <w:tcBorders>
              <w:top w:val="nil"/>
              <w:left w:val="single" w:sz="8" w:space="0" w:color="000000"/>
              <w:bottom w:val="nil"/>
              <w:right w:val="nil"/>
            </w:tcBorders>
            <w:shd w:val="clear" w:color="auto" w:fill="FFFFFF"/>
            <w:noWrap/>
            <w:vAlign w:val="bottom"/>
            <w:hideMark/>
          </w:tcPr>
          <w:p w14:paraId="614D6FD1"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Outlet stack temperature =</w:t>
            </w:r>
          </w:p>
        </w:tc>
        <w:tc>
          <w:tcPr>
            <w:tcW w:w="1270" w:type="dxa"/>
            <w:shd w:val="clear" w:color="auto" w:fill="FFFFFF"/>
            <w:noWrap/>
            <w:vAlign w:val="bottom"/>
            <w:hideMark/>
          </w:tcPr>
          <w:p w14:paraId="72C77D57"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270</w:t>
            </w:r>
          </w:p>
        </w:tc>
        <w:tc>
          <w:tcPr>
            <w:tcW w:w="1270" w:type="dxa"/>
            <w:shd w:val="clear" w:color="auto" w:fill="FFFFFF"/>
            <w:noWrap/>
            <w:vAlign w:val="bottom"/>
            <w:hideMark/>
          </w:tcPr>
          <w:p w14:paraId="6A205954"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272</w:t>
            </w:r>
          </w:p>
        </w:tc>
        <w:tc>
          <w:tcPr>
            <w:tcW w:w="1361" w:type="dxa"/>
            <w:shd w:val="clear" w:color="auto" w:fill="FFFFFF"/>
            <w:vAlign w:val="bottom"/>
            <w:hideMark/>
          </w:tcPr>
          <w:p w14:paraId="5C00C172" w14:textId="3FBA705B" w:rsidR="00900AFC" w:rsidRPr="00676F30" w:rsidRDefault="00DB0922" w:rsidP="00676F30">
            <w:pPr>
              <w:spacing w:before="0" w:after="0" w:line="276" w:lineRule="auto"/>
              <w:rPr>
                <w:rFonts w:cstheme="minorHAnsi"/>
                <w:sz w:val="18"/>
                <w:szCs w:val="18"/>
              </w:rPr>
            </w:pPr>
            <w:r>
              <w:rPr>
                <w:rFonts w:cstheme="minorHAnsi"/>
                <w:sz w:val="18"/>
                <w:szCs w:val="18"/>
              </w:rPr>
              <w:t>°</w:t>
            </w:r>
            <w:r w:rsidR="00900AFC" w:rsidRPr="00676F30">
              <w:rPr>
                <w:rFonts w:cstheme="minorHAnsi"/>
                <w:sz w:val="18"/>
                <w:szCs w:val="18"/>
              </w:rPr>
              <w:t>F</w:t>
            </w:r>
          </w:p>
        </w:tc>
        <w:tc>
          <w:tcPr>
            <w:tcW w:w="2009" w:type="dxa"/>
            <w:tcBorders>
              <w:top w:val="nil"/>
              <w:left w:val="nil"/>
              <w:bottom w:val="nil"/>
              <w:right w:val="single" w:sz="12" w:space="0" w:color="000000"/>
            </w:tcBorders>
            <w:shd w:val="clear" w:color="auto" w:fill="FFFFFF"/>
            <w:noWrap/>
            <w:vAlign w:val="bottom"/>
            <w:hideMark/>
          </w:tcPr>
          <w:p w14:paraId="240A16BF" w14:textId="33C745FB" w:rsidR="00900AFC" w:rsidRPr="00676F30" w:rsidRDefault="00900AFC" w:rsidP="00676F30">
            <w:pPr>
              <w:spacing w:before="0" w:after="0" w:line="276" w:lineRule="auto"/>
              <w:rPr>
                <w:rFonts w:cstheme="minorHAnsi"/>
                <w:sz w:val="18"/>
                <w:szCs w:val="18"/>
              </w:rPr>
            </w:pPr>
            <w:r w:rsidRPr="003C44AD">
              <w:rPr>
                <w:rFonts w:cstheme="minorHAnsi"/>
                <w:sz w:val="18"/>
                <w:szCs w:val="18"/>
              </w:rPr>
              <w:t>(trial &amp; error)</w:t>
            </w:r>
            <w:r w:rsidRPr="00676F30">
              <w:rPr>
                <w:rFonts w:cstheme="minorHAnsi"/>
                <w:sz w:val="18"/>
                <w:szCs w:val="18"/>
              </w:rPr>
              <w:t> </w:t>
            </w:r>
          </w:p>
        </w:tc>
      </w:tr>
      <w:tr w:rsidR="00900AFC" w:rsidRPr="00676F30" w14:paraId="11A45B7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4C5119A"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U</w:t>
            </w:r>
          </w:p>
        </w:tc>
        <w:tc>
          <w:tcPr>
            <w:tcW w:w="3108" w:type="dxa"/>
            <w:tcBorders>
              <w:top w:val="nil"/>
              <w:left w:val="single" w:sz="8" w:space="0" w:color="000000"/>
              <w:bottom w:val="nil"/>
              <w:right w:val="nil"/>
            </w:tcBorders>
            <w:shd w:val="clear" w:color="auto" w:fill="FFFFFF"/>
            <w:noWrap/>
            <w:vAlign w:val="bottom"/>
            <w:hideMark/>
          </w:tcPr>
          <w:p w14:paraId="57411D42"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Feedwater Flow Rate =</w:t>
            </w:r>
          </w:p>
        </w:tc>
        <w:tc>
          <w:tcPr>
            <w:tcW w:w="1270" w:type="dxa"/>
            <w:shd w:val="clear" w:color="auto" w:fill="FFFFFF"/>
            <w:noWrap/>
            <w:vAlign w:val="bottom"/>
            <w:hideMark/>
          </w:tcPr>
          <w:p w14:paraId="780C3E6C"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20,967</w:t>
            </w:r>
          </w:p>
        </w:tc>
        <w:tc>
          <w:tcPr>
            <w:tcW w:w="1270" w:type="dxa"/>
            <w:shd w:val="clear" w:color="auto" w:fill="FFFFFF"/>
            <w:noWrap/>
            <w:vAlign w:val="bottom"/>
            <w:hideMark/>
          </w:tcPr>
          <w:p w14:paraId="08C3A016"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10,508</w:t>
            </w:r>
          </w:p>
        </w:tc>
        <w:tc>
          <w:tcPr>
            <w:tcW w:w="1361" w:type="dxa"/>
            <w:shd w:val="clear" w:color="auto" w:fill="FFFFFF"/>
            <w:vAlign w:val="bottom"/>
            <w:hideMark/>
          </w:tcPr>
          <w:p w14:paraId="7EA38EB6"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lbm/hr</w:t>
            </w:r>
          </w:p>
        </w:tc>
        <w:tc>
          <w:tcPr>
            <w:tcW w:w="2009" w:type="dxa"/>
            <w:tcBorders>
              <w:top w:val="nil"/>
              <w:left w:val="nil"/>
              <w:bottom w:val="nil"/>
              <w:right w:val="single" w:sz="12" w:space="0" w:color="000000"/>
            </w:tcBorders>
            <w:shd w:val="clear" w:color="auto" w:fill="FFFFFF"/>
            <w:noWrap/>
            <w:vAlign w:val="bottom"/>
            <w:hideMark/>
          </w:tcPr>
          <w:p w14:paraId="63A6D0C7"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=Q*A*60</w:t>
            </w:r>
          </w:p>
        </w:tc>
      </w:tr>
      <w:tr w:rsidR="00900AFC" w:rsidRPr="00676F30" w14:paraId="66927D4C"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69553FF7"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V</w:t>
            </w:r>
          </w:p>
        </w:tc>
        <w:tc>
          <w:tcPr>
            <w:tcW w:w="3108" w:type="dxa"/>
            <w:tcBorders>
              <w:top w:val="nil"/>
              <w:left w:val="single" w:sz="8" w:space="0" w:color="000000"/>
              <w:bottom w:val="nil"/>
              <w:right w:val="nil"/>
            </w:tcBorders>
            <w:shd w:val="clear" w:color="auto" w:fill="FFFFFF"/>
            <w:noWrap/>
            <w:vAlign w:val="bottom"/>
            <w:hideMark/>
          </w:tcPr>
          <w:p w14:paraId="0683C3DF"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Feedwater Inlet Temperature =</w:t>
            </w:r>
          </w:p>
        </w:tc>
        <w:tc>
          <w:tcPr>
            <w:tcW w:w="1270" w:type="dxa"/>
            <w:shd w:val="clear" w:color="auto" w:fill="FFFFFF"/>
            <w:noWrap/>
            <w:vAlign w:val="bottom"/>
            <w:hideMark/>
          </w:tcPr>
          <w:p w14:paraId="07FDED06"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227</w:t>
            </w:r>
          </w:p>
        </w:tc>
        <w:tc>
          <w:tcPr>
            <w:tcW w:w="1270" w:type="dxa"/>
            <w:shd w:val="clear" w:color="auto" w:fill="FFFFFF"/>
            <w:noWrap/>
            <w:vAlign w:val="bottom"/>
            <w:hideMark/>
          </w:tcPr>
          <w:p w14:paraId="337ABCB2"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227</w:t>
            </w:r>
          </w:p>
        </w:tc>
        <w:tc>
          <w:tcPr>
            <w:tcW w:w="1361" w:type="dxa"/>
            <w:shd w:val="clear" w:color="auto" w:fill="FFFFFF"/>
            <w:vAlign w:val="bottom"/>
            <w:hideMark/>
          </w:tcPr>
          <w:p w14:paraId="23444822" w14:textId="6E752A33" w:rsidR="00900AFC" w:rsidRPr="00676F30" w:rsidRDefault="00DB0922" w:rsidP="00676F30">
            <w:pPr>
              <w:spacing w:before="0" w:after="0" w:line="276" w:lineRule="auto"/>
              <w:rPr>
                <w:rFonts w:cstheme="minorHAnsi"/>
                <w:sz w:val="18"/>
                <w:szCs w:val="18"/>
              </w:rPr>
            </w:pPr>
            <w:r>
              <w:rPr>
                <w:rFonts w:cstheme="minorHAnsi"/>
                <w:sz w:val="18"/>
                <w:szCs w:val="18"/>
              </w:rPr>
              <w:t>°</w:t>
            </w:r>
            <w:r w:rsidR="00900AFC" w:rsidRPr="00676F30">
              <w:rPr>
                <w:rFonts w:cstheme="minorHAnsi"/>
                <w:sz w:val="18"/>
                <w:szCs w:val="18"/>
              </w:rPr>
              <w:t>F</w:t>
            </w:r>
          </w:p>
        </w:tc>
        <w:tc>
          <w:tcPr>
            <w:tcW w:w="2009" w:type="dxa"/>
            <w:tcBorders>
              <w:top w:val="nil"/>
              <w:left w:val="nil"/>
              <w:bottom w:val="nil"/>
              <w:right w:val="single" w:sz="12" w:space="0" w:color="000000"/>
            </w:tcBorders>
            <w:shd w:val="clear" w:color="auto" w:fill="FFFFFF"/>
            <w:noWrap/>
            <w:vAlign w:val="bottom"/>
            <w:hideMark/>
          </w:tcPr>
          <w:p w14:paraId="0D8FF40E" w14:textId="70411BA8"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Spec</w:t>
            </w:r>
          </w:p>
        </w:tc>
      </w:tr>
      <w:tr w:rsidR="00900AFC" w:rsidRPr="00676F30" w14:paraId="3361D6DE"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CDDC000"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W</w:t>
            </w:r>
          </w:p>
        </w:tc>
        <w:tc>
          <w:tcPr>
            <w:tcW w:w="3108" w:type="dxa"/>
            <w:tcBorders>
              <w:top w:val="nil"/>
              <w:left w:val="single" w:sz="8" w:space="0" w:color="000000"/>
              <w:bottom w:val="nil"/>
              <w:right w:val="nil"/>
            </w:tcBorders>
            <w:shd w:val="clear" w:color="auto" w:fill="FFFFFF"/>
            <w:noWrap/>
            <w:vAlign w:val="bottom"/>
            <w:hideMark/>
          </w:tcPr>
          <w:p w14:paraId="021B8F5A"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Feedwater Outlet Temperature =</w:t>
            </w:r>
          </w:p>
        </w:tc>
        <w:tc>
          <w:tcPr>
            <w:tcW w:w="1270" w:type="dxa"/>
            <w:shd w:val="clear" w:color="auto" w:fill="FFFFFF"/>
            <w:noWrap/>
            <w:vAlign w:val="bottom"/>
            <w:hideMark/>
          </w:tcPr>
          <w:p w14:paraId="765730E1"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250</w:t>
            </w:r>
          </w:p>
        </w:tc>
        <w:tc>
          <w:tcPr>
            <w:tcW w:w="1270" w:type="dxa"/>
            <w:shd w:val="clear" w:color="auto" w:fill="FFFFFF"/>
            <w:noWrap/>
            <w:vAlign w:val="bottom"/>
            <w:hideMark/>
          </w:tcPr>
          <w:p w14:paraId="09FB28F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244</w:t>
            </w:r>
          </w:p>
        </w:tc>
        <w:tc>
          <w:tcPr>
            <w:tcW w:w="1361" w:type="dxa"/>
            <w:shd w:val="clear" w:color="auto" w:fill="FFFFFF"/>
            <w:vAlign w:val="bottom"/>
            <w:hideMark/>
          </w:tcPr>
          <w:p w14:paraId="259F18DD" w14:textId="1FE0C9E2" w:rsidR="00900AFC" w:rsidRPr="00676F30" w:rsidRDefault="00DB0922" w:rsidP="00676F30">
            <w:pPr>
              <w:spacing w:before="0" w:after="0" w:line="276" w:lineRule="auto"/>
              <w:rPr>
                <w:rFonts w:cstheme="minorHAnsi"/>
                <w:sz w:val="18"/>
                <w:szCs w:val="18"/>
              </w:rPr>
            </w:pPr>
            <w:r>
              <w:rPr>
                <w:rFonts w:cstheme="minorHAnsi"/>
                <w:sz w:val="18"/>
                <w:szCs w:val="18"/>
              </w:rPr>
              <w:t>°</w:t>
            </w:r>
            <w:r w:rsidR="00900AFC" w:rsidRPr="00676F30">
              <w:rPr>
                <w:rFonts w:cstheme="minorHAnsi"/>
                <w:sz w:val="18"/>
                <w:szCs w:val="18"/>
              </w:rPr>
              <w:t>F</w:t>
            </w:r>
          </w:p>
        </w:tc>
        <w:tc>
          <w:tcPr>
            <w:tcW w:w="2009" w:type="dxa"/>
            <w:tcBorders>
              <w:top w:val="nil"/>
              <w:left w:val="nil"/>
              <w:bottom w:val="nil"/>
              <w:right w:val="single" w:sz="12" w:space="0" w:color="000000"/>
            </w:tcBorders>
            <w:shd w:val="clear" w:color="auto" w:fill="FFFFFF"/>
            <w:noWrap/>
            <w:vAlign w:val="bottom"/>
            <w:hideMark/>
          </w:tcPr>
          <w:p w14:paraId="6389AA94" w14:textId="15EF31A0"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Spec</w:t>
            </w:r>
          </w:p>
        </w:tc>
      </w:tr>
      <w:tr w:rsidR="00900AFC" w:rsidRPr="00676F30" w14:paraId="74C33931"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B7CDA17"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X</w:t>
            </w:r>
          </w:p>
        </w:tc>
        <w:tc>
          <w:tcPr>
            <w:tcW w:w="3108" w:type="dxa"/>
            <w:tcBorders>
              <w:top w:val="nil"/>
              <w:left w:val="single" w:sz="8" w:space="0" w:color="000000"/>
              <w:bottom w:val="nil"/>
              <w:right w:val="nil"/>
            </w:tcBorders>
            <w:shd w:val="clear" w:color="auto" w:fill="FFFFFF"/>
            <w:noWrap/>
            <w:vAlign w:val="bottom"/>
            <w:hideMark/>
          </w:tcPr>
          <w:p w14:paraId="0FC77D39"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Sensible heat load =</w:t>
            </w:r>
          </w:p>
        </w:tc>
        <w:tc>
          <w:tcPr>
            <w:tcW w:w="1270" w:type="dxa"/>
            <w:shd w:val="clear" w:color="auto" w:fill="FFFFFF"/>
            <w:noWrap/>
            <w:vAlign w:val="bottom"/>
            <w:hideMark/>
          </w:tcPr>
          <w:p w14:paraId="731BB784"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475,890</w:t>
            </w:r>
          </w:p>
        </w:tc>
        <w:tc>
          <w:tcPr>
            <w:tcW w:w="1270" w:type="dxa"/>
            <w:shd w:val="clear" w:color="auto" w:fill="FFFFFF"/>
            <w:noWrap/>
            <w:vAlign w:val="bottom"/>
            <w:hideMark/>
          </w:tcPr>
          <w:p w14:paraId="095C2B8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179,504</w:t>
            </w:r>
          </w:p>
        </w:tc>
        <w:tc>
          <w:tcPr>
            <w:tcW w:w="1361" w:type="dxa"/>
            <w:shd w:val="clear" w:color="auto" w:fill="FFFFFF"/>
            <w:vAlign w:val="bottom"/>
            <w:hideMark/>
          </w:tcPr>
          <w:p w14:paraId="7F0D83B8"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44831B83"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=R*C*(S-T)</w:t>
            </w:r>
          </w:p>
        </w:tc>
      </w:tr>
      <w:tr w:rsidR="00900AFC" w:rsidRPr="00676F30" w14:paraId="6891A58F"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0760D62"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4BEC1063" w14:textId="77777777" w:rsidR="00900AFC" w:rsidRPr="00676F30" w:rsidRDefault="00900AFC" w:rsidP="00676F30">
            <w:pPr>
              <w:spacing w:before="0" w:after="0" w:line="276" w:lineRule="auto"/>
              <w:rPr>
                <w:rFonts w:cstheme="minorHAnsi"/>
                <w:b/>
                <w:bCs/>
                <w:i/>
                <w:iCs/>
                <w:sz w:val="18"/>
                <w:szCs w:val="18"/>
              </w:rPr>
            </w:pPr>
            <w:r w:rsidRPr="00676F30">
              <w:rPr>
                <w:rFonts w:cstheme="minorHAnsi"/>
                <w:b/>
                <w:bCs/>
                <w:i/>
                <w:iCs/>
                <w:sz w:val="18"/>
                <w:szCs w:val="18"/>
              </w:rPr>
              <w:t>Stage 2</w:t>
            </w:r>
          </w:p>
        </w:tc>
        <w:tc>
          <w:tcPr>
            <w:tcW w:w="1270" w:type="dxa"/>
            <w:shd w:val="clear" w:color="auto" w:fill="FFFFFF"/>
            <w:noWrap/>
            <w:vAlign w:val="bottom"/>
            <w:hideMark/>
          </w:tcPr>
          <w:p w14:paraId="3A3D911D"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 </w:t>
            </w:r>
          </w:p>
        </w:tc>
        <w:tc>
          <w:tcPr>
            <w:tcW w:w="1270" w:type="dxa"/>
            <w:shd w:val="clear" w:color="auto" w:fill="FFFFFF"/>
            <w:noWrap/>
            <w:vAlign w:val="bottom"/>
            <w:hideMark/>
          </w:tcPr>
          <w:p w14:paraId="66F4E118"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65F552BB"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0F73CD24"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r>
      <w:tr w:rsidR="00900AFC" w:rsidRPr="00676F30" w14:paraId="39A8CAC0"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68943BB"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Y</w:t>
            </w:r>
          </w:p>
        </w:tc>
        <w:tc>
          <w:tcPr>
            <w:tcW w:w="3108" w:type="dxa"/>
            <w:tcBorders>
              <w:top w:val="nil"/>
              <w:left w:val="single" w:sz="8" w:space="0" w:color="000000"/>
              <w:bottom w:val="nil"/>
              <w:right w:val="nil"/>
            </w:tcBorders>
            <w:shd w:val="clear" w:color="auto" w:fill="FFFFFF"/>
            <w:noWrap/>
            <w:vAlign w:val="bottom"/>
            <w:hideMark/>
          </w:tcPr>
          <w:p w14:paraId="4AF81C2C" w14:textId="77777777"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Inlet stack temperature =</w:t>
            </w:r>
          </w:p>
        </w:tc>
        <w:tc>
          <w:tcPr>
            <w:tcW w:w="1270" w:type="dxa"/>
            <w:shd w:val="clear" w:color="auto" w:fill="FFFFFF"/>
            <w:noWrap/>
            <w:vAlign w:val="bottom"/>
            <w:hideMark/>
          </w:tcPr>
          <w:p w14:paraId="2B5DA984"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270</w:t>
            </w:r>
          </w:p>
        </w:tc>
        <w:tc>
          <w:tcPr>
            <w:tcW w:w="1270" w:type="dxa"/>
            <w:shd w:val="clear" w:color="auto" w:fill="FFFFFF"/>
            <w:noWrap/>
            <w:vAlign w:val="bottom"/>
            <w:hideMark/>
          </w:tcPr>
          <w:p w14:paraId="433CE526"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272</w:t>
            </w:r>
          </w:p>
        </w:tc>
        <w:tc>
          <w:tcPr>
            <w:tcW w:w="1361" w:type="dxa"/>
            <w:shd w:val="clear" w:color="auto" w:fill="FFFFFF"/>
            <w:vAlign w:val="bottom"/>
            <w:hideMark/>
          </w:tcPr>
          <w:p w14:paraId="4DB8085A" w14:textId="0DADB78D" w:rsidR="00900AFC" w:rsidRPr="00676F30" w:rsidRDefault="00DB0922" w:rsidP="00676F30">
            <w:pPr>
              <w:spacing w:before="0" w:after="0" w:line="276" w:lineRule="auto"/>
              <w:rPr>
                <w:rFonts w:cstheme="minorHAnsi"/>
                <w:sz w:val="18"/>
                <w:szCs w:val="18"/>
              </w:rPr>
            </w:pPr>
            <w:r>
              <w:rPr>
                <w:rFonts w:cstheme="minorHAnsi"/>
                <w:sz w:val="18"/>
                <w:szCs w:val="18"/>
              </w:rPr>
              <w:t>°</w:t>
            </w:r>
            <w:r w:rsidR="00900AFC" w:rsidRPr="00676F30">
              <w:rPr>
                <w:rFonts w:cstheme="minorHAnsi"/>
                <w:sz w:val="18"/>
                <w:szCs w:val="18"/>
              </w:rPr>
              <w:t>F</w:t>
            </w:r>
          </w:p>
        </w:tc>
        <w:tc>
          <w:tcPr>
            <w:tcW w:w="2009" w:type="dxa"/>
            <w:tcBorders>
              <w:top w:val="nil"/>
              <w:left w:val="nil"/>
              <w:bottom w:val="nil"/>
              <w:right w:val="single" w:sz="12" w:space="0" w:color="000000"/>
            </w:tcBorders>
            <w:shd w:val="clear" w:color="auto" w:fill="FFFFFF"/>
            <w:noWrap/>
            <w:vAlign w:val="bottom"/>
            <w:hideMark/>
          </w:tcPr>
          <w:p w14:paraId="28254A86" w14:textId="6052E458"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r>
              <w:rPr>
                <w:rFonts w:cstheme="minorHAnsi"/>
                <w:sz w:val="18"/>
                <w:szCs w:val="18"/>
              </w:rPr>
              <w:t>=T</w:t>
            </w:r>
          </w:p>
        </w:tc>
      </w:tr>
      <w:tr w:rsidR="00900AFC" w:rsidRPr="00676F30" w14:paraId="5B53EBC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B76F9F3"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Z</w:t>
            </w:r>
          </w:p>
        </w:tc>
        <w:tc>
          <w:tcPr>
            <w:tcW w:w="3108" w:type="dxa"/>
            <w:tcBorders>
              <w:top w:val="nil"/>
              <w:left w:val="single" w:sz="8" w:space="0" w:color="000000"/>
              <w:bottom w:val="nil"/>
              <w:right w:val="nil"/>
            </w:tcBorders>
            <w:shd w:val="clear" w:color="auto" w:fill="FFFFFF"/>
            <w:noWrap/>
            <w:vAlign w:val="bottom"/>
            <w:hideMark/>
          </w:tcPr>
          <w:p w14:paraId="3E5F9CB8" w14:textId="746CFB63" w:rsidR="00900AFC" w:rsidRPr="00676F30" w:rsidRDefault="00900AFC" w:rsidP="00676F30">
            <w:pPr>
              <w:spacing w:before="0" w:after="0" w:line="276" w:lineRule="auto"/>
              <w:jc w:val="right"/>
              <w:rPr>
                <w:rFonts w:cstheme="minorHAnsi"/>
                <w:sz w:val="18"/>
                <w:szCs w:val="18"/>
              </w:rPr>
            </w:pPr>
            <w:r w:rsidRPr="00676F30">
              <w:rPr>
                <w:rFonts w:cstheme="minorHAnsi"/>
                <w:sz w:val="18"/>
                <w:szCs w:val="18"/>
              </w:rPr>
              <w:t>Outlet stack temperature</w:t>
            </w:r>
            <w:r w:rsidR="000D33BC">
              <w:rPr>
                <w:rFonts w:cstheme="minorHAnsi"/>
                <w:sz w:val="18"/>
                <w:szCs w:val="18"/>
              </w:rPr>
              <w:t xml:space="preserve">* </w:t>
            </w:r>
            <w:r w:rsidRPr="00676F30">
              <w:rPr>
                <w:rFonts w:cstheme="minorHAnsi"/>
                <w:sz w:val="18"/>
                <w:szCs w:val="18"/>
              </w:rPr>
              <w:t>=</w:t>
            </w:r>
          </w:p>
        </w:tc>
        <w:tc>
          <w:tcPr>
            <w:tcW w:w="1270" w:type="dxa"/>
            <w:shd w:val="clear" w:color="auto" w:fill="FFFFFF"/>
            <w:noWrap/>
            <w:vAlign w:val="bottom"/>
            <w:hideMark/>
          </w:tcPr>
          <w:p w14:paraId="750C1695"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176</w:t>
            </w:r>
          </w:p>
        </w:tc>
        <w:tc>
          <w:tcPr>
            <w:tcW w:w="1270" w:type="dxa"/>
            <w:shd w:val="clear" w:color="auto" w:fill="FFFFFF"/>
            <w:noWrap/>
            <w:vAlign w:val="bottom"/>
            <w:hideMark/>
          </w:tcPr>
          <w:p w14:paraId="6BCB46DD" w14:textId="77777777" w:rsidR="00900AFC" w:rsidRPr="00676F30" w:rsidRDefault="00900AFC" w:rsidP="00676F30">
            <w:pPr>
              <w:spacing w:before="0" w:after="0" w:line="276" w:lineRule="auto"/>
              <w:jc w:val="center"/>
              <w:rPr>
                <w:rFonts w:cstheme="minorHAnsi"/>
                <w:color w:val="0070C0"/>
                <w:sz w:val="18"/>
                <w:szCs w:val="18"/>
              </w:rPr>
            </w:pPr>
            <w:r w:rsidRPr="00676F30">
              <w:rPr>
                <w:rFonts w:cstheme="minorHAnsi"/>
                <w:color w:val="0070C0"/>
                <w:sz w:val="18"/>
                <w:szCs w:val="18"/>
              </w:rPr>
              <w:t>156</w:t>
            </w:r>
          </w:p>
        </w:tc>
        <w:tc>
          <w:tcPr>
            <w:tcW w:w="1361" w:type="dxa"/>
            <w:shd w:val="clear" w:color="auto" w:fill="FFFFFF"/>
            <w:vAlign w:val="bottom"/>
            <w:hideMark/>
          </w:tcPr>
          <w:p w14:paraId="429C6928" w14:textId="5C674488" w:rsidR="00900AFC" w:rsidRPr="00676F30" w:rsidRDefault="00DB0922" w:rsidP="00676F30">
            <w:pPr>
              <w:spacing w:before="0" w:after="0" w:line="276" w:lineRule="auto"/>
              <w:rPr>
                <w:rFonts w:cstheme="minorHAnsi"/>
                <w:sz w:val="18"/>
                <w:szCs w:val="18"/>
              </w:rPr>
            </w:pPr>
            <w:r>
              <w:rPr>
                <w:rFonts w:cstheme="minorHAnsi"/>
                <w:sz w:val="18"/>
                <w:szCs w:val="18"/>
              </w:rPr>
              <w:t>°</w:t>
            </w:r>
            <w:r w:rsidR="00900AFC" w:rsidRPr="00676F30">
              <w:rPr>
                <w:rFonts w:cstheme="minorHAnsi"/>
                <w:sz w:val="18"/>
                <w:szCs w:val="18"/>
              </w:rPr>
              <w:t>F</w:t>
            </w:r>
          </w:p>
        </w:tc>
        <w:tc>
          <w:tcPr>
            <w:tcW w:w="2009" w:type="dxa"/>
            <w:tcBorders>
              <w:top w:val="nil"/>
              <w:left w:val="nil"/>
              <w:bottom w:val="nil"/>
              <w:right w:val="single" w:sz="12" w:space="0" w:color="000000"/>
            </w:tcBorders>
            <w:shd w:val="clear" w:color="auto" w:fill="FFFFFF"/>
            <w:noWrap/>
            <w:vAlign w:val="bottom"/>
            <w:hideMark/>
          </w:tcPr>
          <w:p w14:paraId="057B03F8" w14:textId="3D40866B"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r w:rsidRPr="0038221E">
              <w:rPr>
                <w:rFonts w:cstheme="minorHAnsi"/>
                <w:sz w:val="18"/>
                <w:szCs w:val="18"/>
              </w:rPr>
              <w:t>Spec</w:t>
            </w:r>
          </w:p>
        </w:tc>
      </w:tr>
      <w:tr w:rsidR="00900AFC" w:rsidRPr="00676F30" w14:paraId="29AD690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D8A05D8"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AA</w:t>
            </w:r>
          </w:p>
        </w:tc>
        <w:tc>
          <w:tcPr>
            <w:tcW w:w="3108" w:type="dxa"/>
            <w:tcBorders>
              <w:top w:val="nil"/>
              <w:left w:val="single" w:sz="8" w:space="0" w:color="000000"/>
              <w:bottom w:val="nil"/>
              <w:right w:val="nil"/>
            </w:tcBorders>
            <w:shd w:val="clear" w:color="auto" w:fill="FFFFFF"/>
            <w:noWrap/>
            <w:vAlign w:val="bottom"/>
            <w:hideMark/>
          </w:tcPr>
          <w:p w14:paraId="730EF84C"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Sensible heat load =</w:t>
            </w:r>
          </w:p>
        </w:tc>
        <w:tc>
          <w:tcPr>
            <w:tcW w:w="1270" w:type="dxa"/>
            <w:shd w:val="clear" w:color="auto" w:fill="FFFFFF"/>
            <w:noWrap/>
            <w:vAlign w:val="bottom"/>
            <w:hideMark/>
          </w:tcPr>
          <w:p w14:paraId="20586ABB"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326,523</w:t>
            </w:r>
          </w:p>
        </w:tc>
        <w:tc>
          <w:tcPr>
            <w:tcW w:w="1270" w:type="dxa"/>
            <w:shd w:val="clear" w:color="auto" w:fill="FFFFFF"/>
            <w:noWrap/>
            <w:vAlign w:val="bottom"/>
            <w:hideMark/>
          </w:tcPr>
          <w:p w14:paraId="7B0349CB"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208,225</w:t>
            </w:r>
          </w:p>
        </w:tc>
        <w:tc>
          <w:tcPr>
            <w:tcW w:w="1361" w:type="dxa"/>
            <w:shd w:val="clear" w:color="auto" w:fill="FFFFFF"/>
            <w:vAlign w:val="bottom"/>
            <w:hideMark/>
          </w:tcPr>
          <w:p w14:paraId="63612278"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20745353"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=R*C*(Y-Z)</w:t>
            </w:r>
          </w:p>
        </w:tc>
      </w:tr>
      <w:tr w:rsidR="00900AFC" w:rsidRPr="00676F30" w14:paraId="37B24081"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CA3DFA7"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AB</w:t>
            </w:r>
          </w:p>
        </w:tc>
        <w:tc>
          <w:tcPr>
            <w:tcW w:w="3108" w:type="dxa"/>
            <w:tcBorders>
              <w:top w:val="nil"/>
              <w:left w:val="single" w:sz="8" w:space="0" w:color="000000"/>
              <w:bottom w:val="nil"/>
              <w:right w:val="nil"/>
            </w:tcBorders>
            <w:noWrap/>
            <w:vAlign w:val="bottom"/>
            <w:hideMark/>
          </w:tcPr>
          <w:p w14:paraId="35C7F1E5" w14:textId="77777777" w:rsidR="00900AFC" w:rsidRPr="00676F30" w:rsidRDefault="00900AFC" w:rsidP="00676F30">
            <w:pPr>
              <w:spacing w:before="0" w:after="0" w:line="276" w:lineRule="auto"/>
              <w:jc w:val="right"/>
              <w:rPr>
                <w:rFonts w:cstheme="minorHAnsi"/>
                <w:color w:val="000000"/>
                <w:sz w:val="18"/>
                <w:szCs w:val="18"/>
              </w:rPr>
            </w:pPr>
            <w:r w:rsidRPr="00676F30">
              <w:rPr>
                <w:rFonts w:cstheme="minorHAnsi"/>
                <w:color w:val="000000"/>
                <w:sz w:val="18"/>
                <w:szCs w:val="18"/>
              </w:rPr>
              <w:t>Water vapor flow @ inlet =</w:t>
            </w:r>
          </w:p>
        </w:tc>
        <w:tc>
          <w:tcPr>
            <w:tcW w:w="1270" w:type="dxa"/>
            <w:shd w:val="clear" w:color="auto" w:fill="FFFFFF"/>
            <w:noWrap/>
            <w:vAlign w:val="bottom"/>
            <w:hideMark/>
          </w:tcPr>
          <w:p w14:paraId="5297AB24"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1,456</w:t>
            </w:r>
          </w:p>
        </w:tc>
        <w:tc>
          <w:tcPr>
            <w:tcW w:w="1270" w:type="dxa"/>
            <w:shd w:val="clear" w:color="auto" w:fill="FFFFFF"/>
            <w:noWrap/>
            <w:vAlign w:val="bottom"/>
            <w:hideMark/>
          </w:tcPr>
          <w:p w14:paraId="1F8D72D3"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756</w:t>
            </w:r>
          </w:p>
        </w:tc>
        <w:tc>
          <w:tcPr>
            <w:tcW w:w="1361" w:type="dxa"/>
            <w:shd w:val="clear" w:color="auto" w:fill="FFFFFF"/>
            <w:vAlign w:val="bottom"/>
            <w:hideMark/>
          </w:tcPr>
          <w:p w14:paraId="523C30E1"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Lbm/hr</w:t>
            </w:r>
          </w:p>
        </w:tc>
        <w:tc>
          <w:tcPr>
            <w:tcW w:w="2009" w:type="dxa"/>
            <w:tcBorders>
              <w:top w:val="nil"/>
              <w:left w:val="nil"/>
              <w:bottom w:val="nil"/>
              <w:right w:val="single" w:sz="12" w:space="0" w:color="000000"/>
            </w:tcBorders>
            <w:shd w:val="clear" w:color="auto" w:fill="FFFFFF"/>
            <w:noWrap/>
            <w:vAlign w:val="bottom"/>
            <w:hideMark/>
          </w:tcPr>
          <w:p w14:paraId="6A2C11C2"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=R*11%</w:t>
            </w:r>
          </w:p>
        </w:tc>
      </w:tr>
      <w:tr w:rsidR="00900AFC" w:rsidRPr="00676F30" w14:paraId="22F4211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C616676"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AC</w:t>
            </w:r>
          </w:p>
        </w:tc>
        <w:tc>
          <w:tcPr>
            <w:tcW w:w="3108" w:type="dxa"/>
            <w:tcBorders>
              <w:top w:val="nil"/>
              <w:left w:val="single" w:sz="8" w:space="0" w:color="000000"/>
              <w:bottom w:val="nil"/>
              <w:right w:val="nil"/>
            </w:tcBorders>
            <w:noWrap/>
            <w:vAlign w:val="bottom"/>
            <w:hideMark/>
          </w:tcPr>
          <w:p w14:paraId="4FA48F4A" w14:textId="77777777" w:rsidR="00900AFC" w:rsidRPr="00676F30" w:rsidRDefault="00900AFC" w:rsidP="00676F30">
            <w:pPr>
              <w:spacing w:before="0" w:after="0" w:line="276" w:lineRule="auto"/>
              <w:jc w:val="right"/>
              <w:rPr>
                <w:rFonts w:cstheme="minorHAnsi"/>
                <w:color w:val="000000"/>
                <w:sz w:val="18"/>
                <w:szCs w:val="18"/>
              </w:rPr>
            </w:pPr>
            <w:r w:rsidRPr="00676F30">
              <w:rPr>
                <w:rFonts w:cstheme="minorHAnsi"/>
                <w:color w:val="000000"/>
                <w:sz w:val="18"/>
                <w:szCs w:val="18"/>
              </w:rPr>
              <w:t>Water vapor flow @ outlet =</w:t>
            </w:r>
          </w:p>
        </w:tc>
        <w:tc>
          <w:tcPr>
            <w:tcW w:w="1270" w:type="dxa"/>
            <w:shd w:val="clear" w:color="auto" w:fill="FFFFFF"/>
            <w:noWrap/>
            <w:vAlign w:val="bottom"/>
            <w:hideMark/>
          </w:tcPr>
          <w:p w14:paraId="7719DC3A"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348</w:t>
            </w:r>
          </w:p>
        </w:tc>
        <w:tc>
          <w:tcPr>
            <w:tcW w:w="1270" w:type="dxa"/>
            <w:shd w:val="clear" w:color="auto" w:fill="FFFFFF"/>
            <w:noWrap/>
            <w:vAlign w:val="bottom"/>
            <w:hideMark/>
          </w:tcPr>
          <w:p w14:paraId="36228ED0"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220</w:t>
            </w:r>
          </w:p>
        </w:tc>
        <w:tc>
          <w:tcPr>
            <w:tcW w:w="1361" w:type="dxa"/>
            <w:shd w:val="clear" w:color="auto" w:fill="FFFFFF"/>
            <w:vAlign w:val="bottom"/>
            <w:hideMark/>
          </w:tcPr>
          <w:p w14:paraId="7748A1AD"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Lbm/hr</w:t>
            </w:r>
          </w:p>
        </w:tc>
        <w:tc>
          <w:tcPr>
            <w:tcW w:w="2009" w:type="dxa"/>
            <w:tcBorders>
              <w:top w:val="nil"/>
              <w:left w:val="nil"/>
              <w:bottom w:val="nil"/>
              <w:right w:val="single" w:sz="12" w:space="0" w:color="000000"/>
            </w:tcBorders>
            <w:shd w:val="clear" w:color="auto" w:fill="FFFFFF"/>
            <w:noWrap/>
            <w:vAlign w:val="bottom"/>
            <w:hideMark/>
          </w:tcPr>
          <w:p w14:paraId="386F5A9E"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=R*2.63%</w:t>
            </w:r>
          </w:p>
        </w:tc>
      </w:tr>
      <w:tr w:rsidR="00900AFC" w:rsidRPr="00676F30" w14:paraId="1E4A30E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0AA7147A"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AD</w:t>
            </w:r>
          </w:p>
        </w:tc>
        <w:tc>
          <w:tcPr>
            <w:tcW w:w="3108" w:type="dxa"/>
            <w:tcBorders>
              <w:top w:val="nil"/>
              <w:left w:val="single" w:sz="8" w:space="0" w:color="000000"/>
              <w:bottom w:val="nil"/>
              <w:right w:val="nil"/>
            </w:tcBorders>
            <w:noWrap/>
            <w:vAlign w:val="bottom"/>
            <w:hideMark/>
          </w:tcPr>
          <w:p w14:paraId="46C955FA" w14:textId="77777777" w:rsidR="00900AFC" w:rsidRPr="00676F30" w:rsidRDefault="00900AFC" w:rsidP="00676F30">
            <w:pPr>
              <w:spacing w:before="0" w:after="0" w:line="276" w:lineRule="auto"/>
              <w:jc w:val="right"/>
              <w:rPr>
                <w:rFonts w:cstheme="minorHAnsi"/>
                <w:color w:val="000000"/>
                <w:sz w:val="18"/>
                <w:szCs w:val="18"/>
              </w:rPr>
            </w:pPr>
            <w:r w:rsidRPr="00676F30">
              <w:rPr>
                <w:rFonts w:cstheme="minorHAnsi"/>
                <w:color w:val="000000"/>
                <w:sz w:val="18"/>
                <w:szCs w:val="18"/>
              </w:rPr>
              <w:t>Condensed Water =</w:t>
            </w:r>
          </w:p>
        </w:tc>
        <w:tc>
          <w:tcPr>
            <w:tcW w:w="1270" w:type="dxa"/>
            <w:shd w:val="clear" w:color="auto" w:fill="FFFFFF"/>
            <w:noWrap/>
            <w:vAlign w:val="bottom"/>
            <w:hideMark/>
          </w:tcPr>
          <w:p w14:paraId="34F42080"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1,108</w:t>
            </w:r>
          </w:p>
        </w:tc>
        <w:tc>
          <w:tcPr>
            <w:tcW w:w="1270" w:type="dxa"/>
            <w:shd w:val="clear" w:color="auto" w:fill="FFFFFF"/>
            <w:noWrap/>
            <w:vAlign w:val="bottom"/>
            <w:hideMark/>
          </w:tcPr>
          <w:p w14:paraId="148FAFA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536</w:t>
            </w:r>
          </w:p>
        </w:tc>
        <w:tc>
          <w:tcPr>
            <w:tcW w:w="1361" w:type="dxa"/>
            <w:shd w:val="clear" w:color="auto" w:fill="FFFFFF"/>
            <w:vAlign w:val="bottom"/>
            <w:hideMark/>
          </w:tcPr>
          <w:p w14:paraId="0CC57D79"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Lbm/hr</w:t>
            </w:r>
          </w:p>
        </w:tc>
        <w:tc>
          <w:tcPr>
            <w:tcW w:w="2009" w:type="dxa"/>
            <w:tcBorders>
              <w:top w:val="nil"/>
              <w:left w:val="nil"/>
              <w:bottom w:val="nil"/>
              <w:right w:val="single" w:sz="12" w:space="0" w:color="000000"/>
            </w:tcBorders>
            <w:shd w:val="clear" w:color="auto" w:fill="FFFFFF"/>
            <w:noWrap/>
            <w:vAlign w:val="bottom"/>
            <w:hideMark/>
          </w:tcPr>
          <w:p w14:paraId="0F6B312C"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=AB-AC</w:t>
            </w:r>
          </w:p>
        </w:tc>
      </w:tr>
      <w:tr w:rsidR="00900AFC" w:rsidRPr="00676F30" w14:paraId="509A58BA"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1F424E62"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AE</w:t>
            </w:r>
          </w:p>
        </w:tc>
        <w:tc>
          <w:tcPr>
            <w:tcW w:w="3108" w:type="dxa"/>
            <w:tcBorders>
              <w:top w:val="nil"/>
              <w:left w:val="single" w:sz="8" w:space="0" w:color="000000"/>
              <w:bottom w:val="nil"/>
              <w:right w:val="nil"/>
            </w:tcBorders>
            <w:shd w:val="clear" w:color="auto" w:fill="FFFFFF"/>
            <w:noWrap/>
            <w:vAlign w:val="bottom"/>
            <w:hideMark/>
          </w:tcPr>
          <w:p w14:paraId="4DC5B7E1"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Latent heat load =</w:t>
            </w:r>
          </w:p>
        </w:tc>
        <w:tc>
          <w:tcPr>
            <w:tcW w:w="1270" w:type="dxa"/>
            <w:shd w:val="clear" w:color="auto" w:fill="FFFFFF"/>
            <w:noWrap/>
            <w:vAlign w:val="bottom"/>
            <w:hideMark/>
          </w:tcPr>
          <w:p w14:paraId="352C0802"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1,074,780</w:t>
            </w:r>
          </w:p>
        </w:tc>
        <w:tc>
          <w:tcPr>
            <w:tcW w:w="1270" w:type="dxa"/>
            <w:shd w:val="clear" w:color="auto" w:fill="FFFFFF"/>
            <w:noWrap/>
            <w:vAlign w:val="bottom"/>
            <w:hideMark/>
          </w:tcPr>
          <w:p w14:paraId="753C0353"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519,957</w:t>
            </w:r>
          </w:p>
        </w:tc>
        <w:tc>
          <w:tcPr>
            <w:tcW w:w="1361" w:type="dxa"/>
            <w:shd w:val="clear" w:color="auto" w:fill="FFFFFF"/>
            <w:vAlign w:val="bottom"/>
            <w:hideMark/>
          </w:tcPr>
          <w:p w14:paraId="4EA9FE1F"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6A86CE04"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=AD*E</w:t>
            </w:r>
          </w:p>
        </w:tc>
      </w:tr>
      <w:tr w:rsidR="00900AFC" w:rsidRPr="00676F30" w14:paraId="77BE0EF1"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C4AB947"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AF</w:t>
            </w:r>
          </w:p>
        </w:tc>
        <w:tc>
          <w:tcPr>
            <w:tcW w:w="3108" w:type="dxa"/>
            <w:tcBorders>
              <w:top w:val="nil"/>
              <w:left w:val="single" w:sz="8" w:space="0" w:color="000000"/>
              <w:bottom w:val="nil"/>
              <w:right w:val="nil"/>
            </w:tcBorders>
            <w:shd w:val="clear" w:color="auto" w:fill="FFFFFF"/>
            <w:noWrap/>
            <w:vAlign w:val="bottom"/>
            <w:hideMark/>
          </w:tcPr>
          <w:p w14:paraId="69B2AD3C" w14:textId="1F635950"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Stage-2, Sensible + Latent heat Load =</w:t>
            </w:r>
          </w:p>
        </w:tc>
        <w:tc>
          <w:tcPr>
            <w:tcW w:w="1270" w:type="dxa"/>
            <w:shd w:val="clear" w:color="auto" w:fill="FFFFFF"/>
            <w:noWrap/>
            <w:vAlign w:val="bottom"/>
            <w:hideMark/>
          </w:tcPr>
          <w:p w14:paraId="06ACCBD7"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1,401,303</w:t>
            </w:r>
          </w:p>
        </w:tc>
        <w:tc>
          <w:tcPr>
            <w:tcW w:w="1270" w:type="dxa"/>
            <w:shd w:val="clear" w:color="auto" w:fill="FFFFFF"/>
            <w:noWrap/>
            <w:vAlign w:val="bottom"/>
            <w:hideMark/>
          </w:tcPr>
          <w:p w14:paraId="2E149FF1"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728,182</w:t>
            </w:r>
          </w:p>
        </w:tc>
        <w:tc>
          <w:tcPr>
            <w:tcW w:w="1361" w:type="dxa"/>
            <w:shd w:val="clear" w:color="auto" w:fill="FFFFFF"/>
            <w:vAlign w:val="bottom"/>
            <w:hideMark/>
          </w:tcPr>
          <w:p w14:paraId="491AC063"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22537BB8"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=AA+AE</w:t>
            </w:r>
          </w:p>
        </w:tc>
      </w:tr>
      <w:tr w:rsidR="00900AFC" w:rsidRPr="00676F30" w14:paraId="471C476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150303B"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 </w:t>
            </w:r>
          </w:p>
        </w:tc>
        <w:tc>
          <w:tcPr>
            <w:tcW w:w="3108" w:type="dxa"/>
            <w:tcBorders>
              <w:top w:val="nil"/>
              <w:left w:val="single" w:sz="8" w:space="0" w:color="000000"/>
              <w:bottom w:val="nil"/>
              <w:right w:val="nil"/>
            </w:tcBorders>
            <w:shd w:val="clear" w:color="auto" w:fill="FFFFFF"/>
            <w:noWrap/>
            <w:vAlign w:val="bottom"/>
            <w:hideMark/>
          </w:tcPr>
          <w:p w14:paraId="0C572ADE" w14:textId="77777777" w:rsidR="00900AFC" w:rsidRPr="00676F30" w:rsidRDefault="00900AFC" w:rsidP="00676F30">
            <w:pPr>
              <w:spacing w:before="0" w:after="0" w:line="276" w:lineRule="auto"/>
              <w:rPr>
                <w:rFonts w:cstheme="minorHAnsi"/>
                <w:b/>
                <w:bCs/>
                <w:i/>
                <w:iCs/>
                <w:sz w:val="18"/>
                <w:szCs w:val="18"/>
              </w:rPr>
            </w:pPr>
            <w:r w:rsidRPr="00676F30">
              <w:rPr>
                <w:rFonts w:cstheme="minorHAnsi"/>
                <w:b/>
                <w:bCs/>
                <w:i/>
                <w:iCs/>
                <w:sz w:val="18"/>
                <w:szCs w:val="18"/>
              </w:rPr>
              <w:t>Dual-Stages</w:t>
            </w:r>
          </w:p>
        </w:tc>
        <w:tc>
          <w:tcPr>
            <w:tcW w:w="1270" w:type="dxa"/>
            <w:shd w:val="clear" w:color="auto" w:fill="FFFFFF"/>
            <w:noWrap/>
            <w:vAlign w:val="bottom"/>
            <w:hideMark/>
          </w:tcPr>
          <w:p w14:paraId="07143B8D"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 </w:t>
            </w:r>
          </w:p>
        </w:tc>
        <w:tc>
          <w:tcPr>
            <w:tcW w:w="1270" w:type="dxa"/>
            <w:shd w:val="clear" w:color="auto" w:fill="FFFFFF"/>
            <w:noWrap/>
            <w:vAlign w:val="bottom"/>
            <w:hideMark/>
          </w:tcPr>
          <w:p w14:paraId="2E3D4CD7"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 </w:t>
            </w:r>
          </w:p>
        </w:tc>
        <w:tc>
          <w:tcPr>
            <w:tcW w:w="1361" w:type="dxa"/>
            <w:shd w:val="clear" w:color="auto" w:fill="FFFFFF"/>
            <w:vAlign w:val="bottom"/>
            <w:hideMark/>
          </w:tcPr>
          <w:p w14:paraId="6E055213"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5D2A9ED5"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r>
      <w:tr w:rsidR="00900AFC" w:rsidRPr="00676F30" w14:paraId="05952EED"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22EBA464"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AG</w:t>
            </w:r>
          </w:p>
        </w:tc>
        <w:tc>
          <w:tcPr>
            <w:tcW w:w="3108" w:type="dxa"/>
            <w:tcBorders>
              <w:top w:val="nil"/>
              <w:left w:val="single" w:sz="8" w:space="0" w:color="000000"/>
              <w:bottom w:val="nil"/>
              <w:right w:val="nil"/>
            </w:tcBorders>
            <w:shd w:val="clear" w:color="auto" w:fill="FFFFFF"/>
            <w:noWrap/>
            <w:vAlign w:val="bottom"/>
            <w:hideMark/>
          </w:tcPr>
          <w:p w14:paraId="450E5ABB"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Total Recovered heat =</w:t>
            </w:r>
          </w:p>
        </w:tc>
        <w:tc>
          <w:tcPr>
            <w:tcW w:w="1270" w:type="dxa"/>
            <w:shd w:val="clear" w:color="auto" w:fill="FFFFFF"/>
            <w:noWrap/>
            <w:vAlign w:val="bottom"/>
            <w:hideMark/>
          </w:tcPr>
          <w:p w14:paraId="52BB9FE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1,877,193</w:t>
            </w:r>
          </w:p>
        </w:tc>
        <w:tc>
          <w:tcPr>
            <w:tcW w:w="1270" w:type="dxa"/>
            <w:shd w:val="clear" w:color="auto" w:fill="FFFFFF"/>
            <w:noWrap/>
            <w:vAlign w:val="bottom"/>
            <w:hideMark/>
          </w:tcPr>
          <w:p w14:paraId="02F3722A"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907,686</w:t>
            </w:r>
          </w:p>
        </w:tc>
        <w:tc>
          <w:tcPr>
            <w:tcW w:w="1361" w:type="dxa"/>
            <w:shd w:val="clear" w:color="auto" w:fill="FFFFFF"/>
            <w:vAlign w:val="bottom"/>
            <w:hideMark/>
          </w:tcPr>
          <w:p w14:paraId="5B42FACB"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339C1317"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=X+AF</w:t>
            </w:r>
          </w:p>
        </w:tc>
      </w:tr>
      <w:tr w:rsidR="00900AFC" w:rsidRPr="00676F30" w14:paraId="24F5876B"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4735FE35"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AH</w:t>
            </w:r>
          </w:p>
        </w:tc>
        <w:tc>
          <w:tcPr>
            <w:tcW w:w="3108" w:type="dxa"/>
            <w:tcBorders>
              <w:top w:val="nil"/>
              <w:left w:val="single" w:sz="8" w:space="0" w:color="000000"/>
              <w:bottom w:val="nil"/>
              <w:right w:val="nil"/>
            </w:tcBorders>
            <w:shd w:val="clear" w:color="auto" w:fill="FFFFFF"/>
            <w:noWrap/>
            <w:vAlign w:val="bottom"/>
            <w:hideMark/>
          </w:tcPr>
          <w:p w14:paraId="7D66155C"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Economizer Fuel  savings =</w:t>
            </w:r>
          </w:p>
        </w:tc>
        <w:tc>
          <w:tcPr>
            <w:tcW w:w="1270" w:type="dxa"/>
            <w:shd w:val="clear" w:color="auto" w:fill="FFFFFF"/>
            <w:noWrap/>
            <w:vAlign w:val="bottom"/>
            <w:hideMark/>
          </w:tcPr>
          <w:p w14:paraId="504E7005"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2,289,260</w:t>
            </w:r>
          </w:p>
        </w:tc>
        <w:tc>
          <w:tcPr>
            <w:tcW w:w="1270" w:type="dxa"/>
            <w:shd w:val="clear" w:color="auto" w:fill="FFFFFF"/>
            <w:noWrap/>
            <w:vAlign w:val="bottom"/>
            <w:hideMark/>
          </w:tcPr>
          <w:p w14:paraId="6C2C448F"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1,106,934</w:t>
            </w:r>
          </w:p>
        </w:tc>
        <w:tc>
          <w:tcPr>
            <w:tcW w:w="1361" w:type="dxa"/>
            <w:shd w:val="clear" w:color="auto" w:fill="FFFFFF"/>
            <w:vAlign w:val="bottom"/>
            <w:hideMark/>
          </w:tcPr>
          <w:p w14:paraId="689F495D"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41CE5DE9"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=AG/I</w:t>
            </w:r>
          </w:p>
        </w:tc>
      </w:tr>
      <w:tr w:rsidR="00900AFC" w:rsidRPr="00676F30" w14:paraId="5A90A9C9"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A58CA31"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AI</w:t>
            </w:r>
          </w:p>
        </w:tc>
        <w:tc>
          <w:tcPr>
            <w:tcW w:w="3108" w:type="dxa"/>
            <w:tcBorders>
              <w:top w:val="nil"/>
              <w:left w:val="single" w:sz="8" w:space="0" w:color="000000"/>
              <w:bottom w:val="nil"/>
              <w:right w:val="nil"/>
            </w:tcBorders>
            <w:shd w:val="clear" w:color="auto" w:fill="FFFFFF"/>
            <w:noWrap/>
            <w:vAlign w:val="bottom"/>
            <w:hideMark/>
          </w:tcPr>
          <w:p w14:paraId="3B51AE17"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Proposed gas  consumption =</w:t>
            </w:r>
          </w:p>
        </w:tc>
        <w:tc>
          <w:tcPr>
            <w:tcW w:w="1270" w:type="dxa"/>
            <w:shd w:val="clear" w:color="auto" w:fill="FFFFFF"/>
            <w:noWrap/>
            <w:vAlign w:val="bottom"/>
            <w:hideMark/>
          </w:tcPr>
          <w:p w14:paraId="47907E99"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22,204,642</w:t>
            </w:r>
          </w:p>
        </w:tc>
        <w:tc>
          <w:tcPr>
            <w:tcW w:w="1270" w:type="dxa"/>
            <w:shd w:val="clear" w:color="auto" w:fill="FFFFFF"/>
            <w:noWrap/>
            <w:vAlign w:val="bottom"/>
            <w:hideMark/>
          </w:tcPr>
          <w:p w14:paraId="0D55900C" w14:textId="77777777" w:rsidR="00900AFC" w:rsidRPr="00676F30" w:rsidRDefault="00900AFC" w:rsidP="00676F30">
            <w:pPr>
              <w:spacing w:before="0" w:after="0" w:line="276" w:lineRule="auto"/>
              <w:jc w:val="center"/>
              <w:rPr>
                <w:rFonts w:cstheme="minorHAnsi"/>
                <w:sz w:val="18"/>
                <w:szCs w:val="18"/>
              </w:rPr>
            </w:pPr>
            <w:r w:rsidRPr="00676F30">
              <w:rPr>
                <w:rFonts w:cstheme="minorHAnsi"/>
                <w:sz w:val="18"/>
                <w:szCs w:val="18"/>
              </w:rPr>
              <w:t>11,140,017</w:t>
            </w:r>
          </w:p>
        </w:tc>
        <w:tc>
          <w:tcPr>
            <w:tcW w:w="1361" w:type="dxa"/>
            <w:shd w:val="clear" w:color="auto" w:fill="FFFFFF"/>
            <w:vAlign w:val="bottom"/>
            <w:hideMark/>
          </w:tcPr>
          <w:p w14:paraId="2A9DCCD8"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Btu/hr</w:t>
            </w:r>
          </w:p>
        </w:tc>
        <w:tc>
          <w:tcPr>
            <w:tcW w:w="2009" w:type="dxa"/>
            <w:tcBorders>
              <w:top w:val="nil"/>
              <w:left w:val="nil"/>
              <w:bottom w:val="nil"/>
              <w:right w:val="single" w:sz="12" w:space="0" w:color="000000"/>
            </w:tcBorders>
            <w:shd w:val="clear" w:color="auto" w:fill="FFFFFF"/>
            <w:noWrap/>
            <w:vAlign w:val="bottom"/>
            <w:hideMark/>
          </w:tcPr>
          <w:p w14:paraId="02C855CF"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=P-AH</w:t>
            </w:r>
          </w:p>
        </w:tc>
      </w:tr>
      <w:tr w:rsidR="00900AFC" w:rsidRPr="00676F30" w14:paraId="1D181316"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7ACE57B7"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AJ</w:t>
            </w:r>
          </w:p>
        </w:tc>
        <w:tc>
          <w:tcPr>
            <w:tcW w:w="3108" w:type="dxa"/>
            <w:tcBorders>
              <w:top w:val="nil"/>
              <w:left w:val="single" w:sz="8" w:space="0" w:color="000000"/>
              <w:bottom w:val="nil"/>
              <w:right w:val="nil"/>
            </w:tcBorders>
            <w:shd w:val="clear" w:color="auto" w:fill="FFFFFF"/>
            <w:noWrap/>
            <w:vAlign w:val="bottom"/>
            <w:hideMark/>
          </w:tcPr>
          <w:p w14:paraId="5907F433"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Annual NG Therm Savings =</w:t>
            </w:r>
          </w:p>
        </w:tc>
        <w:tc>
          <w:tcPr>
            <w:tcW w:w="1270" w:type="dxa"/>
            <w:shd w:val="clear" w:color="auto" w:fill="FFFFFF"/>
            <w:noWrap/>
            <w:vAlign w:val="bottom"/>
            <w:hideMark/>
          </w:tcPr>
          <w:p w14:paraId="213037F3"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91,570</w:t>
            </w:r>
          </w:p>
        </w:tc>
        <w:tc>
          <w:tcPr>
            <w:tcW w:w="1270" w:type="dxa"/>
            <w:shd w:val="clear" w:color="auto" w:fill="FFFFFF"/>
            <w:noWrap/>
            <w:vAlign w:val="bottom"/>
            <w:hideMark/>
          </w:tcPr>
          <w:p w14:paraId="51DF1C93"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44,277</w:t>
            </w:r>
          </w:p>
        </w:tc>
        <w:tc>
          <w:tcPr>
            <w:tcW w:w="1361" w:type="dxa"/>
            <w:shd w:val="clear" w:color="auto" w:fill="FFFFFF"/>
            <w:vAlign w:val="bottom"/>
            <w:hideMark/>
          </w:tcPr>
          <w:p w14:paraId="084B91D6"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therms/yr</w:t>
            </w:r>
          </w:p>
        </w:tc>
        <w:tc>
          <w:tcPr>
            <w:tcW w:w="2009" w:type="dxa"/>
            <w:tcBorders>
              <w:top w:val="nil"/>
              <w:left w:val="nil"/>
              <w:bottom w:val="nil"/>
              <w:right w:val="single" w:sz="12" w:space="0" w:color="000000"/>
            </w:tcBorders>
            <w:shd w:val="clear" w:color="auto" w:fill="FFFFFF"/>
            <w:noWrap/>
            <w:vAlign w:val="bottom"/>
            <w:hideMark/>
          </w:tcPr>
          <w:p w14:paraId="562679B6"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=AH*L/10^5</w:t>
            </w:r>
          </w:p>
        </w:tc>
      </w:tr>
      <w:tr w:rsidR="00900AFC" w:rsidRPr="00676F30" w14:paraId="0D3FA374"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3FA0EFE9"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AK</w:t>
            </w:r>
          </w:p>
        </w:tc>
        <w:tc>
          <w:tcPr>
            <w:tcW w:w="3108" w:type="dxa"/>
            <w:tcBorders>
              <w:top w:val="nil"/>
              <w:left w:val="single" w:sz="8" w:space="0" w:color="000000"/>
              <w:bottom w:val="nil"/>
              <w:right w:val="nil"/>
            </w:tcBorders>
            <w:shd w:val="clear" w:color="auto" w:fill="FFFFFF"/>
            <w:noWrap/>
            <w:vAlign w:val="bottom"/>
            <w:hideMark/>
          </w:tcPr>
          <w:p w14:paraId="1C208AF9"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Dual-Stage efficiency =</w:t>
            </w:r>
          </w:p>
        </w:tc>
        <w:tc>
          <w:tcPr>
            <w:tcW w:w="1270" w:type="dxa"/>
            <w:shd w:val="clear" w:color="auto" w:fill="FFFFFF"/>
            <w:noWrap/>
            <w:vAlign w:val="bottom"/>
            <w:hideMark/>
          </w:tcPr>
          <w:p w14:paraId="27803751"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90.5%</w:t>
            </w:r>
          </w:p>
        </w:tc>
        <w:tc>
          <w:tcPr>
            <w:tcW w:w="1270" w:type="dxa"/>
            <w:shd w:val="clear" w:color="auto" w:fill="FFFFFF"/>
            <w:noWrap/>
            <w:vAlign w:val="bottom"/>
            <w:hideMark/>
          </w:tcPr>
          <w:p w14:paraId="7CD6F57D"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90.1%</w:t>
            </w:r>
          </w:p>
        </w:tc>
        <w:tc>
          <w:tcPr>
            <w:tcW w:w="1361" w:type="dxa"/>
            <w:shd w:val="clear" w:color="auto" w:fill="FFFFFF"/>
            <w:vAlign w:val="bottom"/>
            <w:hideMark/>
          </w:tcPr>
          <w:p w14:paraId="2E766063"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0E5C7D4D"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=O*E/AI</w:t>
            </w:r>
          </w:p>
        </w:tc>
      </w:tr>
      <w:tr w:rsidR="00900AFC" w:rsidRPr="00676F30" w14:paraId="73FA92D5"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5D6E609F"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AL</w:t>
            </w:r>
          </w:p>
        </w:tc>
        <w:tc>
          <w:tcPr>
            <w:tcW w:w="3108" w:type="dxa"/>
            <w:tcBorders>
              <w:top w:val="nil"/>
              <w:left w:val="single" w:sz="8" w:space="0" w:color="000000"/>
              <w:bottom w:val="nil"/>
              <w:right w:val="nil"/>
            </w:tcBorders>
            <w:shd w:val="clear" w:color="auto" w:fill="FFFFFF"/>
            <w:noWrap/>
            <w:vAlign w:val="bottom"/>
            <w:hideMark/>
          </w:tcPr>
          <w:p w14:paraId="6E7D988A" w14:textId="77777777"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Final efficiency improvement =</w:t>
            </w:r>
          </w:p>
        </w:tc>
        <w:tc>
          <w:tcPr>
            <w:tcW w:w="1270" w:type="dxa"/>
            <w:shd w:val="clear" w:color="auto" w:fill="FFFFFF"/>
            <w:noWrap/>
            <w:vAlign w:val="bottom"/>
            <w:hideMark/>
          </w:tcPr>
          <w:p w14:paraId="6351CBBC"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8.5%</w:t>
            </w:r>
          </w:p>
        </w:tc>
        <w:tc>
          <w:tcPr>
            <w:tcW w:w="1270" w:type="dxa"/>
            <w:shd w:val="clear" w:color="auto" w:fill="FFFFFF"/>
            <w:noWrap/>
            <w:vAlign w:val="bottom"/>
            <w:hideMark/>
          </w:tcPr>
          <w:p w14:paraId="5401D0D3"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8.1%</w:t>
            </w:r>
          </w:p>
        </w:tc>
        <w:tc>
          <w:tcPr>
            <w:tcW w:w="1361" w:type="dxa"/>
            <w:shd w:val="clear" w:color="auto" w:fill="FFFFFF"/>
            <w:vAlign w:val="bottom"/>
            <w:hideMark/>
          </w:tcPr>
          <w:p w14:paraId="10C8B34D"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 </w:t>
            </w:r>
          </w:p>
        </w:tc>
        <w:tc>
          <w:tcPr>
            <w:tcW w:w="2009" w:type="dxa"/>
            <w:tcBorders>
              <w:top w:val="nil"/>
              <w:left w:val="nil"/>
              <w:bottom w:val="nil"/>
              <w:right w:val="single" w:sz="12" w:space="0" w:color="000000"/>
            </w:tcBorders>
            <w:shd w:val="clear" w:color="auto" w:fill="FFFFFF"/>
            <w:noWrap/>
            <w:vAlign w:val="bottom"/>
            <w:hideMark/>
          </w:tcPr>
          <w:p w14:paraId="7E934CE9" w14:textId="77777777" w:rsidR="00900AFC" w:rsidRPr="00676F30" w:rsidRDefault="00900AFC" w:rsidP="00676F30">
            <w:pPr>
              <w:spacing w:before="0" w:after="0" w:line="276" w:lineRule="auto"/>
              <w:rPr>
                <w:rFonts w:cstheme="minorHAnsi"/>
                <w:sz w:val="18"/>
                <w:szCs w:val="18"/>
              </w:rPr>
            </w:pPr>
            <w:r w:rsidRPr="00676F30">
              <w:rPr>
                <w:rFonts w:cstheme="minorHAnsi"/>
                <w:sz w:val="18"/>
                <w:szCs w:val="18"/>
              </w:rPr>
              <w:t>=AK-I</w:t>
            </w:r>
          </w:p>
        </w:tc>
      </w:tr>
      <w:tr w:rsidR="00900AFC" w:rsidRPr="00676F30" w14:paraId="316BFA89" w14:textId="77777777" w:rsidTr="00A15E1E">
        <w:trPr>
          <w:trHeight w:val="265"/>
        </w:trPr>
        <w:tc>
          <w:tcPr>
            <w:tcW w:w="507" w:type="dxa"/>
            <w:tcBorders>
              <w:top w:val="nil"/>
              <w:left w:val="single" w:sz="12" w:space="0" w:color="000000"/>
              <w:bottom w:val="nil"/>
              <w:right w:val="single" w:sz="8" w:space="0" w:color="000000"/>
            </w:tcBorders>
            <w:noWrap/>
            <w:vAlign w:val="bottom"/>
            <w:hideMark/>
          </w:tcPr>
          <w:p w14:paraId="6EDFEFE2" w14:textId="77777777" w:rsidR="00900AFC" w:rsidRPr="00676F30" w:rsidRDefault="00900AFC" w:rsidP="00676F30">
            <w:pPr>
              <w:spacing w:before="0" w:after="0" w:line="276" w:lineRule="auto"/>
              <w:jc w:val="center"/>
              <w:rPr>
                <w:rFonts w:cstheme="minorHAnsi"/>
                <w:color w:val="000000"/>
                <w:sz w:val="18"/>
                <w:szCs w:val="18"/>
              </w:rPr>
            </w:pPr>
            <w:r w:rsidRPr="00676F30">
              <w:rPr>
                <w:rFonts w:cstheme="minorHAnsi"/>
                <w:color w:val="000000"/>
                <w:sz w:val="18"/>
                <w:szCs w:val="18"/>
              </w:rPr>
              <w:t>AM</w:t>
            </w:r>
          </w:p>
        </w:tc>
        <w:tc>
          <w:tcPr>
            <w:tcW w:w="3108" w:type="dxa"/>
            <w:tcBorders>
              <w:top w:val="nil"/>
              <w:left w:val="single" w:sz="8" w:space="0" w:color="000000"/>
              <w:bottom w:val="nil"/>
              <w:right w:val="nil"/>
            </w:tcBorders>
            <w:shd w:val="clear" w:color="auto" w:fill="FFFFFF"/>
            <w:noWrap/>
            <w:vAlign w:val="bottom"/>
            <w:hideMark/>
          </w:tcPr>
          <w:p w14:paraId="2002B0B5" w14:textId="181944DB" w:rsidR="00900AFC" w:rsidRPr="00676F30" w:rsidRDefault="00900AFC" w:rsidP="00676F30">
            <w:pPr>
              <w:spacing w:before="0" w:after="0" w:line="276" w:lineRule="auto"/>
              <w:jc w:val="right"/>
              <w:rPr>
                <w:rFonts w:cstheme="minorHAnsi"/>
                <w:b/>
                <w:bCs/>
                <w:sz w:val="18"/>
                <w:szCs w:val="18"/>
              </w:rPr>
            </w:pPr>
            <w:r w:rsidRPr="00676F30">
              <w:rPr>
                <w:rFonts w:cstheme="minorHAnsi"/>
                <w:b/>
                <w:bCs/>
                <w:sz w:val="18"/>
                <w:szCs w:val="18"/>
              </w:rPr>
              <w:t>Dual-Stage Economizer energy savings =</w:t>
            </w:r>
          </w:p>
        </w:tc>
        <w:tc>
          <w:tcPr>
            <w:tcW w:w="1270" w:type="dxa"/>
            <w:shd w:val="clear" w:color="auto" w:fill="FFFFFF"/>
            <w:noWrap/>
            <w:vAlign w:val="bottom"/>
            <w:hideMark/>
          </w:tcPr>
          <w:p w14:paraId="2241D01F"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3.74</w:t>
            </w:r>
          </w:p>
        </w:tc>
        <w:tc>
          <w:tcPr>
            <w:tcW w:w="1270" w:type="dxa"/>
            <w:shd w:val="clear" w:color="auto" w:fill="FFFFFF"/>
            <w:noWrap/>
            <w:vAlign w:val="bottom"/>
            <w:hideMark/>
          </w:tcPr>
          <w:p w14:paraId="51D9E9DC" w14:textId="77777777" w:rsidR="00900AFC" w:rsidRPr="00676F30" w:rsidRDefault="00900AFC" w:rsidP="00676F30">
            <w:pPr>
              <w:spacing w:before="0" w:after="0" w:line="276" w:lineRule="auto"/>
              <w:jc w:val="center"/>
              <w:rPr>
                <w:rFonts w:cstheme="minorHAnsi"/>
                <w:b/>
                <w:bCs/>
                <w:sz w:val="18"/>
                <w:szCs w:val="18"/>
              </w:rPr>
            </w:pPr>
            <w:r w:rsidRPr="00676F30">
              <w:rPr>
                <w:rFonts w:cstheme="minorHAnsi"/>
                <w:b/>
                <w:bCs/>
                <w:sz w:val="18"/>
                <w:szCs w:val="18"/>
              </w:rPr>
              <w:t>1.81</w:t>
            </w:r>
          </w:p>
        </w:tc>
        <w:tc>
          <w:tcPr>
            <w:tcW w:w="1361" w:type="dxa"/>
            <w:shd w:val="clear" w:color="auto" w:fill="FFFFFF"/>
            <w:vAlign w:val="center"/>
            <w:hideMark/>
          </w:tcPr>
          <w:p w14:paraId="46E306A1"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therms/kBtuh input cap.</w:t>
            </w:r>
          </w:p>
        </w:tc>
        <w:tc>
          <w:tcPr>
            <w:tcW w:w="2009" w:type="dxa"/>
            <w:tcBorders>
              <w:top w:val="nil"/>
              <w:left w:val="nil"/>
              <w:bottom w:val="nil"/>
              <w:right w:val="single" w:sz="12" w:space="0" w:color="000000"/>
            </w:tcBorders>
            <w:shd w:val="clear" w:color="auto" w:fill="FFFFFF"/>
            <w:noWrap/>
            <w:vAlign w:val="center"/>
            <w:hideMark/>
          </w:tcPr>
          <w:p w14:paraId="0E822256" w14:textId="77777777" w:rsidR="00900AFC" w:rsidRPr="00676F30" w:rsidRDefault="00900AFC" w:rsidP="00676F30">
            <w:pPr>
              <w:spacing w:before="0" w:after="0" w:line="276" w:lineRule="auto"/>
              <w:rPr>
                <w:rFonts w:cstheme="minorHAnsi"/>
                <w:color w:val="000000"/>
                <w:sz w:val="18"/>
                <w:szCs w:val="18"/>
              </w:rPr>
            </w:pPr>
            <w:r w:rsidRPr="00676F30">
              <w:rPr>
                <w:rFonts w:cstheme="minorHAnsi"/>
                <w:color w:val="000000"/>
                <w:sz w:val="18"/>
                <w:szCs w:val="18"/>
              </w:rPr>
              <w:t>=AJ/K</w:t>
            </w:r>
          </w:p>
        </w:tc>
      </w:tr>
      <w:tr w:rsidR="00900AFC" w:rsidRPr="00676F30" w14:paraId="68B7AACF" w14:textId="77777777" w:rsidTr="00A15E1E">
        <w:trPr>
          <w:trHeight w:val="196"/>
        </w:trPr>
        <w:tc>
          <w:tcPr>
            <w:tcW w:w="507" w:type="dxa"/>
            <w:tcBorders>
              <w:top w:val="nil"/>
              <w:left w:val="single" w:sz="12" w:space="0" w:color="000000"/>
              <w:bottom w:val="single" w:sz="12" w:space="0" w:color="000000"/>
              <w:right w:val="single" w:sz="8" w:space="0" w:color="000000"/>
            </w:tcBorders>
            <w:noWrap/>
            <w:vAlign w:val="bottom"/>
            <w:hideMark/>
          </w:tcPr>
          <w:p w14:paraId="16772394" w14:textId="77777777" w:rsidR="00900AFC" w:rsidRPr="00676F30" w:rsidRDefault="00900AFC" w:rsidP="00676F30">
            <w:pPr>
              <w:spacing w:before="0" w:after="0" w:line="276" w:lineRule="auto"/>
              <w:jc w:val="center"/>
              <w:rPr>
                <w:rFonts w:ascii="Calibri" w:hAnsi="Calibri" w:cs="Calibri"/>
                <w:color w:val="000000"/>
                <w:sz w:val="18"/>
                <w:szCs w:val="18"/>
              </w:rPr>
            </w:pPr>
            <w:r w:rsidRPr="00676F30">
              <w:rPr>
                <w:rFonts w:ascii="Calibri" w:hAnsi="Calibri" w:cs="Calibri"/>
                <w:color w:val="000000"/>
                <w:sz w:val="18"/>
                <w:szCs w:val="18"/>
              </w:rPr>
              <w:t> </w:t>
            </w:r>
          </w:p>
        </w:tc>
        <w:tc>
          <w:tcPr>
            <w:tcW w:w="3108" w:type="dxa"/>
            <w:tcBorders>
              <w:top w:val="nil"/>
              <w:left w:val="single" w:sz="8" w:space="0" w:color="000000"/>
              <w:bottom w:val="single" w:sz="12" w:space="0" w:color="000000"/>
              <w:right w:val="nil"/>
            </w:tcBorders>
            <w:noWrap/>
            <w:vAlign w:val="bottom"/>
            <w:hideMark/>
          </w:tcPr>
          <w:p w14:paraId="739C9504" w14:textId="77777777" w:rsidR="00900AFC" w:rsidRPr="00676F30" w:rsidRDefault="00900AFC" w:rsidP="00676F30">
            <w:pPr>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p>
        </w:tc>
        <w:tc>
          <w:tcPr>
            <w:tcW w:w="1270" w:type="dxa"/>
            <w:tcBorders>
              <w:top w:val="nil"/>
              <w:left w:val="nil"/>
              <w:bottom w:val="single" w:sz="12" w:space="0" w:color="000000"/>
              <w:right w:val="nil"/>
            </w:tcBorders>
            <w:noWrap/>
            <w:vAlign w:val="bottom"/>
            <w:hideMark/>
          </w:tcPr>
          <w:p w14:paraId="590DB9C1" w14:textId="77777777" w:rsidR="00900AFC" w:rsidRPr="00676F30" w:rsidRDefault="00900AFC" w:rsidP="00676F30">
            <w:pPr>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p>
        </w:tc>
        <w:tc>
          <w:tcPr>
            <w:tcW w:w="1270" w:type="dxa"/>
            <w:tcBorders>
              <w:top w:val="nil"/>
              <w:left w:val="nil"/>
              <w:bottom w:val="single" w:sz="12" w:space="0" w:color="000000"/>
              <w:right w:val="nil"/>
            </w:tcBorders>
            <w:noWrap/>
            <w:vAlign w:val="bottom"/>
            <w:hideMark/>
          </w:tcPr>
          <w:p w14:paraId="7E9C1254" w14:textId="77777777" w:rsidR="00900AFC" w:rsidRPr="00676F30" w:rsidRDefault="00900AFC" w:rsidP="00676F30">
            <w:pPr>
              <w:spacing w:before="0" w:after="0" w:line="276" w:lineRule="auto"/>
              <w:rPr>
                <w:rFonts w:ascii="Calibri" w:hAnsi="Calibri" w:cs="Calibri"/>
                <w:color w:val="000000"/>
                <w:sz w:val="18"/>
                <w:szCs w:val="18"/>
              </w:rPr>
            </w:pPr>
            <w:r w:rsidRPr="00676F30">
              <w:rPr>
                <w:rFonts w:ascii="Calibri" w:hAnsi="Calibri" w:cs="Calibri"/>
                <w:color w:val="000000"/>
                <w:sz w:val="18"/>
                <w:szCs w:val="18"/>
              </w:rPr>
              <w:t> </w:t>
            </w:r>
          </w:p>
        </w:tc>
        <w:tc>
          <w:tcPr>
            <w:tcW w:w="1361" w:type="dxa"/>
            <w:tcBorders>
              <w:top w:val="nil"/>
              <w:left w:val="nil"/>
              <w:bottom w:val="single" w:sz="12" w:space="0" w:color="000000"/>
              <w:right w:val="nil"/>
            </w:tcBorders>
          </w:tcPr>
          <w:p w14:paraId="4C6FC87D" w14:textId="77777777" w:rsidR="00900AFC" w:rsidRPr="00676F30" w:rsidRDefault="00900AFC" w:rsidP="00676F30">
            <w:pPr>
              <w:spacing w:before="0" w:after="0" w:line="276" w:lineRule="auto"/>
              <w:rPr>
                <w:rFonts w:ascii="Calibri" w:hAnsi="Calibri" w:cs="Calibri"/>
                <w:color w:val="000000"/>
                <w:sz w:val="18"/>
                <w:szCs w:val="18"/>
              </w:rPr>
            </w:pPr>
          </w:p>
        </w:tc>
        <w:tc>
          <w:tcPr>
            <w:tcW w:w="2009" w:type="dxa"/>
            <w:tcBorders>
              <w:top w:val="nil"/>
              <w:left w:val="nil"/>
              <w:bottom w:val="single" w:sz="12" w:space="0" w:color="000000"/>
              <w:right w:val="single" w:sz="12" w:space="0" w:color="000000"/>
            </w:tcBorders>
            <w:noWrap/>
            <w:vAlign w:val="bottom"/>
            <w:hideMark/>
          </w:tcPr>
          <w:p w14:paraId="776B415E" w14:textId="2CB2A6A4" w:rsidR="00900AFC" w:rsidRPr="00676F30" w:rsidRDefault="00900AFC" w:rsidP="00676F30">
            <w:pPr>
              <w:spacing w:before="0" w:after="0" w:line="276" w:lineRule="auto"/>
              <w:rPr>
                <w:rFonts w:ascii="Calibri" w:hAnsi="Calibri" w:cs="Calibri"/>
                <w:color w:val="000000"/>
                <w:sz w:val="18"/>
                <w:szCs w:val="18"/>
              </w:rPr>
            </w:pPr>
          </w:p>
        </w:tc>
      </w:tr>
    </w:tbl>
    <w:p w14:paraId="4A03B56D" w14:textId="36E733BB" w:rsidR="00A7055A" w:rsidRDefault="00A7055A" w:rsidP="00E47B64">
      <w:pPr>
        <w:rPr>
          <w:w w:val="102"/>
        </w:rPr>
      </w:pPr>
    </w:p>
    <w:p w14:paraId="6417A26B" w14:textId="3A0DA4DE" w:rsidR="000D33BC" w:rsidRDefault="000D33BC" w:rsidP="000D33BC">
      <w:pPr>
        <w:ind w:left="360"/>
        <w:rPr>
          <w:w w:val="102"/>
        </w:rPr>
      </w:pPr>
      <w:r>
        <w:rPr>
          <w:w w:val="102"/>
        </w:rPr>
        <w:t>* The calculations</w:t>
      </w:r>
      <w:r w:rsidR="00B204D9">
        <w:rPr>
          <w:w w:val="102"/>
        </w:rPr>
        <w:t xml:space="preserve"> show that about</w:t>
      </w:r>
      <w:r>
        <w:rPr>
          <w:w w:val="102"/>
        </w:rPr>
        <w:t xml:space="preserve"> 30% of the water vapor </w:t>
      </w:r>
      <w:r w:rsidR="00A23079">
        <w:rPr>
          <w:w w:val="102"/>
        </w:rPr>
        <w:t>in</w:t>
      </w:r>
      <w:r w:rsidR="00A1612B">
        <w:rPr>
          <w:w w:val="102"/>
        </w:rPr>
        <w:t xml:space="preserve"> the flue</w:t>
      </w:r>
      <w:r>
        <w:rPr>
          <w:w w:val="102"/>
        </w:rPr>
        <w:t xml:space="preserve"> gas were not condensed </w:t>
      </w:r>
      <w:r w:rsidR="00B204D9">
        <w:rPr>
          <w:w w:val="102"/>
        </w:rPr>
        <w:t xml:space="preserve">in stage-2 </w:t>
      </w:r>
      <w:r>
        <w:rPr>
          <w:w w:val="102"/>
        </w:rPr>
        <w:t xml:space="preserve">and are carried by the flue gas leaving the </w:t>
      </w:r>
      <w:r w:rsidR="00B204D9">
        <w:rPr>
          <w:w w:val="102"/>
        </w:rPr>
        <w:t xml:space="preserve">condensing </w:t>
      </w:r>
      <w:r>
        <w:rPr>
          <w:w w:val="102"/>
        </w:rPr>
        <w:t xml:space="preserve">economizer. Therefore, </w:t>
      </w:r>
      <w:r w:rsidR="00B204D9">
        <w:rPr>
          <w:w w:val="102"/>
        </w:rPr>
        <w:t xml:space="preserve">for the given stack flow rate </w:t>
      </w:r>
      <w:r w:rsidR="00A1612B">
        <w:rPr>
          <w:w w:val="102"/>
        </w:rPr>
        <w:t>at</w:t>
      </w:r>
      <w:r w:rsidR="00B204D9">
        <w:rPr>
          <w:w w:val="102"/>
        </w:rPr>
        <w:t xml:space="preserve"> 100% and 50% </w:t>
      </w:r>
      <w:r w:rsidR="00A1612B">
        <w:rPr>
          <w:w w:val="102"/>
        </w:rPr>
        <w:t xml:space="preserve">loading, </w:t>
      </w:r>
      <w:r>
        <w:rPr>
          <w:w w:val="102"/>
        </w:rPr>
        <w:t xml:space="preserve">the bulk </w:t>
      </w:r>
      <w:r w:rsidR="009F50FE">
        <w:rPr>
          <w:w w:val="102"/>
        </w:rPr>
        <w:t xml:space="preserve">outlet stack </w:t>
      </w:r>
      <w:r>
        <w:rPr>
          <w:w w:val="102"/>
        </w:rPr>
        <w:t xml:space="preserve">temperature </w:t>
      </w:r>
      <w:r w:rsidR="009F50FE">
        <w:rPr>
          <w:w w:val="102"/>
        </w:rPr>
        <w:t>wa</w:t>
      </w:r>
      <w:r>
        <w:rPr>
          <w:w w:val="102"/>
        </w:rPr>
        <w:t>s measured at 176°F</w:t>
      </w:r>
      <w:r w:rsidR="00B204D9">
        <w:rPr>
          <w:w w:val="102"/>
        </w:rPr>
        <w:t xml:space="preserve"> &amp; 156°F, respectively</w:t>
      </w:r>
      <w:r>
        <w:rPr>
          <w:w w:val="102"/>
        </w:rPr>
        <w:t>.</w:t>
      </w:r>
      <w:r w:rsidR="009F50FE">
        <w:rPr>
          <w:w w:val="102"/>
        </w:rPr>
        <w:t xml:space="preserve"> For details, please see the excel calculations.</w:t>
      </w:r>
    </w:p>
    <w:p w14:paraId="5EB86C17" w14:textId="77777777" w:rsidR="000D33BC" w:rsidRDefault="000D33BC" w:rsidP="00E47B64">
      <w:pPr>
        <w:rPr>
          <w:w w:val="102"/>
        </w:rPr>
      </w:pPr>
    </w:p>
    <w:p w14:paraId="4DDCD51F" w14:textId="173DA0ED" w:rsidR="007D230B" w:rsidRPr="004B06E3" w:rsidRDefault="00245AFF" w:rsidP="00A15E1E">
      <w:pPr>
        <w:pStyle w:val="eTRMHeading3"/>
      </w:pPr>
      <w:bookmarkStart w:id="52" w:name="_Toc18918810"/>
      <w:r w:rsidRPr="004B06E3">
        <w:t>Life Cycle</w:t>
      </w:r>
      <w:bookmarkEnd w:id="52"/>
      <w:r w:rsidR="007D230B" w:rsidRPr="004B06E3">
        <w:t xml:space="preserve"> </w:t>
      </w:r>
      <w:bookmarkEnd w:id="49"/>
      <w:bookmarkEnd w:id="50"/>
    </w:p>
    <w:p w14:paraId="3DBE4663" w14:textId="77777777" w:rsidR="0018793D" w:rsidRDefault="0018793D" w:rsidP="0018793D">
      <w:r w:rsidRPr="00D11D33">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7855534B" w14:textId="545D5489" w:rsidR="0018793D" w:rsidRDefault="00774758" w:rsidP="00FA1F0D">
      <w:r w:rsidRPr="00961018">
        <w:lastRenderedPageBreak/>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15"/>
      </w:r>
      <w:r w:rsidRPr="00961018">
        <w:t xml:space="preserve"> This approach provides a reasonable RUL estimate without the requiring any a priori knowledge about the age of the equipment being replaced.</w:t>
      </w:r>
      <w:r w:rsidRPr="00961018">
        <w:rPr>
          <w:vertAlign w:val="superscript"/>
        </w:rPr>
        <w:footnoteReference w:id="16"/>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17"/>
      </w:r>
    </w:p>
    <w:p w14:paraId="6B3D8A73" w14:textId="1FE16E70" w:rsidR="00FA1F0D" w:rsidRPr="00FA1F0D" w:rsidRDefault="00A61AFB" w:rsidP="00FA1F0D">
      <w:r w:rsidRPr="00FD217E">
        <w:t xml:space="preserve">The </w:t>
      </w:r>
      <w:r w:rsidR="00774758">
        <w:t xml:space="preserve">EUL and RUL for </w:t>
      </w:r>
      <w:r w:rsidR="00C4445F">
        <w:t>a process boiler</w:t>
      </w:r>
      <w:r w:rsidR="00774758">
        <w:t xml:space="preserve"> is specified below.</w:t>
      </w:r>
      <w:r w:rsidRPr="00FD217E">
        <w:t xml:space="preserve"> The RUL value is only applicable to the first baseline period for a </w:t>
      </w:r>
      <w:r w:rsidR="00774758">
        <w:t>retrofit</w:t>
      </w:r>
      <w:r w:rsidRPr="00FD217E">
        <w:t xml:space="preserve"> measure with an applicable code baseline. </w:t>
      </w:r>
    </w:p>
    <w:p w14:paraId="7D542FEF" w14:textId="57500684" w:rsidR="00FD2C54" w:rsidRPr="004B0F35" w:rsidRDefault="00FD2C54" w:rsidP="00A42921">
      <w:pPr>
        <w:pStyle w:val="Caption"/>
      </w:pPr>
      <w:r w:rsidRPr="004B0F35">
        <w:t>Effective Useful Life</w:t>
      </w:r>
      <w:r w:rsidR="00BB4F22" w:rsidRPr="004B0F35">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D51EDF" w:rsidRPr="004B0F35" w14:paraId="1FE81044" w14:textId="0C091959" w:rsidTr="00D51EDF">
        <w:trPr>
          <w:cantSplit/>
          <w:trHeight w:val="20"/>
        </w:trPr>
        <w:tc>
          <w:tcPr>
            <w:tcW w:w="2877" w:type="dxa"/>
            <w:shd w:val="clear" w:color="auto" w:fill="F2F2F2" w:themeFill="background1" w:themeFillShade="F2"/>
            <w:vAlign w:val="bottom"/>
          </w:tcPr>
          <w:p w14:paraId="1666F440" w14:textId="31AB2C31" w:rsidR="00D51EDF" w:rsidRPr="004B0F35" w:rsidRDefault="00D51EDF" w:rsidP="009C31A4">
            <w:pPr>
              <w:keepNext/>
              <w:keepLines/>
              <w:spacing w:before="20" w:after="20"/>
              <w:jc w:val="center"/>
              <w:rPr>
                <w:rFonts w:cstheme="minorHAnsi"/>
                <w:b/>
                <w:sz w:val="20"/>
                <w:szCs w:val="20"/>
              </w:rPr>
            </w:pPr>
            <w:r w:rsidRPr="004B0F35">
              <w:rPr>
                <w:rFonts w:cstheme="minorHAnsi"/>
                <w:b/>
                <w:sz w:val="20"/>
                <w:szCs w:val="20"/>
              </w:rPr>
              <w:t>Parameter</w:t>
            </w:r>
          </w:p>
        </w:tc>
        <w:tc>
          <w:tcPr>
            <w:tcW w:w="1438" w:type="dxa"/>
            <w:shd w:val="clear" w:color="auto" w:fill="F2F2F2" w:themeFill="background1" w:themeFillShade="F2"/>
          </w:tcPr>
          <w:p w14:paraId="18E57BF8" w14:textId="7074E315" w:rsidR="00D51EDF" w:rsidRPr="004B0F35" w:rsidRDefault="00D51EDF" w:rsidP="009C31A4">
            <w:pPr>
              <w:keepNext/>
              <w:keepLines/>
              <w:spacing w:before="20" w:after="20"/>
              <w:jc w:val="center"/>
              <w:rPr>
                <w:rFonts w:cstheme="minorHAnsi"/>
                <w:b/>
                <w:sz w:val="20"/>
                <w:szCs w:val="20"/>
              </w:rPr>
            </w:pPr>
            <w:r w:rsidRPr="004B0F35">
              <w:rPr>
                <w:rFonts w:cstheme="minorHAnsi"/>
                <w:b/>
                <w:sz w:val="20"/>
                <w:szCs w:val="20"/>
              </w:rPr>
              <w:t>Value</w:t>
            </w:r>
          </w:p>
        </w:tc>
        <w:tc>
          <w:tcPr>
            <w:tcW w:w="5220" w:type="dxa"/>
            <w:shd w:val="clear" w:color="auto" w:fill="F2F2F2" w:themeFill="background1" w:themeFillShade="F2"/>
          </w:tcPr>
          <w:p w14:paraId="541E1750" w14:textId="139E5C00" w:rsidR="00D51EDF" w:rsidRPr="004B0F35" w:rsidRDefault="00D51EDF" w:rsidP="009C31A4">
            <w:pPr>
              <w:keepNext/>
              <w:keepLines/>
              <w:spacing w:before="20" w:after="20"/>
              <w:jc w:val="center"/>
              <w:rPr>
                <w:rFonts w:cstheme="minorHAnsi"/>
                <w:b/>
                <w:sz w:val="20"/>
                <w:szCs w:val="20"/>
              </w:rPr>
            </w:pPr>
            <w:r w:rsidRPr="004B0F35">
              <w:rPr>
                <w:rFonts w:cstheme="minorHAnsi"/>
                <w:b/>
                <w:sz w:val="20"/>
                <w:szCs w:val="20"/>
              </w:rPr>
              <w:t>Source</w:t>
            </w:r>
          </w:p>
        </w:tc>
      </w:tr>
      <w:tr w:rsidR="00D51EDF" w:rsidRPr="003E1859" w14:paraId="7B636A73" w14:textId="217149CE" w:rsidTr="00FD26F0">
        <w:trPr>
          <w:cantSplit/>
          <w:trHeight w:val="20"/>
        </w:trPr>
        <w:tc>
          <w:tcPr>
            <w:tcW w:w="2877" w:type="dxa"/>
            <w:vAlign w:val="center"/>
          </w:tcPr>
          <w:p w14:paraId="64E6D65F" w14:textId="55BE2A69" w:rsidR="00D51EDF" w:rsidRPr="003E1859" w:rsidRDefault="00D51EDF" w:rsidP="00FD26F0">
            <w:pPr>
              <w:keepNext/>
              <w:keepLines/>
              <w:spacing w:before="20" w:after="20"/>
              <w:rPr>
                <w:sz w:val="20"/>
                <w:szCs w:val="20"/>
              </w:rPr>
            </w:pPr>
            <w:r w:rsidRPr="003E1859">
              <w:rPr>
                <w:rFonts w:cstheme="minorHAnsi"/>
                <w:sz w:val="20"/>
                <w:szCs w:val="20"/>
              </w:rPr>
              <w:t>EUL (yrs)</w:t>
            </w:r>
            <w:r w:rsidR="009327A5">
              <w:rPr>
                <w:rFonts w:cstheme="minorHAnsi"/>
                <w:sz w:val="20"/>
                <w:szCs w:val="20"/>
              </w:rPr>
              <w:t xml:space="preserve"> </w:t>
            </w:r>
          </w:p>
        </w:tc>
        <w:tc>
          <w:tcPr>
            <w:tcW w:w="1438" w:type="dxa"/>
            <w:vAlign w:val="center"/>
          </w:tcPr>
          <w:p w14:paraId="636160CC" w14:textId="0F70A42A" w:rsidR="00D51EDF" w:rsidRPr="003E1859" w:rsidRDefault="00A7055A" w:rsidP="00FD26F0">
            <w:pPr>
              <w:keepNext/>
              <w:keepLines/>
              <w:spacing w:before="20" w:after="20"/>
              <w:jc w:val="right"/>
              <w:rPr>
                <w:sz w:val="20"/>
                <w:szCs w:val="20"/>
              </w:rPr>
            </w:pPr>
            <w:r>
              <w:rPr>
                <w:sz w:val="20"/>
                <w:szCs w:val="20"/>
              </w:rPr>
              <w:t>20.0</w:t>
            </w:r>
          </w:p>
        </w:tc>
        <w:tc>
          <w:tcPr>
            <w:tcW w:w="5220" w:type="dxa"/>
            <w:vAlign w:val="center"/>
          </w:tcPr>
          <w:p w14:paraId="4C7D91CA" w14:textId="77777777" w:rsidR="00D51EDF" w:rsidRPr="004204C5" w:rsidRDefault="00D812F9" w:rsidP="00FD26F0">
            <w:pPr>
              <w:keepNext/>
              <w:keepLines/>
              <w:spacing w:before="20" w:after="20"/>
              <w:rPr>
                <w:sz w:val="18"/>
                <w:szCs w:val="18"/>
              </w:rPr>
            </w:pPr>
            <w:r w:rsidRPr="004204C5">
              <w:rPr>
                <w:sz w:val="18"/>
                <w:szCs w:val="18"/>
              </w:rPr>
              <w:t xml:space="preserve">California Public Utilities Commission (CPUC), Energy Division.  2003. </w:t>
            </w:r>
            <w:r w:rsidRPr="004204C5">
              <w:rPr>
                <w:i/>
                <w:iCs/>
                <w:sz w:val="18"/>
                <w:szCs w:val="18"/>
              </w:rPr>
              <w:t>Energy Efficiency Policy Manual v 2.0.</w:t>
            </w:r>
            <w:r w:rsidRPr="004204C5">
              <w:rPr>
                <w:sz w:val="18"/>
                <w:szCs w:val="18"/>
              </w:rPr>
              <w:t xml:space="preserve"> Page. 16.</w:t>
            </w:r>
          </w:p>
          <w:p w14:paraId="54E03724" w14:textId="77777777" w:rsidR="009327A5" w:rsidRPr="004204C5" w:rsidRDefault="009327A5" w:rsidP="00FD26F0">
            <w:pPr>
              <w:keepNext/>
              <w:keepLines/>
              <w:spacing w:before="20" w:after="20"/>
              <w:rPr>
                <w:sz w:val="18"/>
                <w:szCs w:val="18"/>
              </w:rPr>
            </w:pPr>
          </w:p>
          <w:p w14:paraId="12293357" w14:textId="71A91E51" w:rsidR="009327A5" w:rsidRPr="004204C5" w:rsidRDefault="009327A5" w:rsidP="00FD26F0">
            <w:pPr>
              <w:keepNext/>
              <w:keepLines/>
              <w:spacing w:before="20" w:after="20"/>
              <w:rPr>
                <w:sz w:val="18"/>
                <w:szCs w:val="18"/>
              </w:rPr>
            </w:pPr>
            <w:r w:rsidRPr="004204C5">
              <w:rPr>
                <w:sz w:val="18"/>
                <w:szCs w:val="18"/>
              </w:rPr>
              <w:t>California Public Utilities Commission (CPUC), Energy Division. 2014. “DEER2014-EUL-table-update_2014-02-05.xlsx”</w:t>
            </w:r>
          </w:p>
        </w:tc>
      </w:tr>
      <w:tr w:rsidR="00D51EDF" w:rsidRPr="003E1859" w14:paraId="71871DE1" w14:textId="51A3395E" w:rsidTr="00FD26F0">
        <w:trPr>
          <w:cantSplit/>
          <w:trHeight w:val="20"/>
        </w:trPr>
        <w:tc>
          <w:tcPr>
            <w:tcW w:w="2877" w:type="dxa"/>
            <w:vAlign w:val="center"/>
          </w:tcPr>
          <w:p w14:paraId="4BA48D82" w14:textId="5EFD77B9" w:rsidR="00D51EDF" w:rsidRPr="003E1859" w:rsidRDefault="00D51EDF" w:rsidP="00FD26F0">
            <w:pPr>
              <w:keepNext/>
              <w:keepLines/>
              <w:spacing w:before="20" w:after="20"/>
              <w:rPr>
                <w:sz w:val="20"/>
                <w:szCs w:val="20"/>
              </w:rPr>
            </w:pPr>
            <w:r w:rsidRPr="003E1859">
              <w:rPr>
                <w:rFonts w:cstheme="minorHAnsi"/>
                <w:sz w:val="20"/>
                <w:szCs w:val="20"/>
              </w:rPr>
              <w:t>RUL (yrs)</w:t>
            </w:r>
          </w:p>
        </w:tc>
        <w:tc>
          <w:tcPr>
            <w:tcW w:w="1438" w:type="dxa"/>
            <w:vAlign w:val="center"/>
          </w:tcPr>
          <w:p w14:paraId="012CC38D" w14:textId="3E701057" w:rsidR="00D51EDF" w:rsidRPr="003E1859" w:rsidRDefault="00A7055A" w:rsidP="00FD26F0">
            <w:pPr>
              <w:keepNext/>
              <w:keepLines/>
              <w:spacing w:before="20" w:after="20"/>
              <w:jc w:val="right"/>
              <w:rPr>
                <w:sz w:val="20"/>
                <w:szCs w:val="20"/>
              </w:rPr>
            </w:pPr>
            <w:r>
              <w:rPr>
                <w:sz w:val="20"/>
                <w:szCs w:val="20"/>
              </w:rPr>
              <w:t>6.67</w:t>
            </w:r>
          </w:p>
        </w:tc>
        <w:tc>
          <w:tcPr>
            <w:tcW w:w="5220" w:type="dxa"/>
            <w:vAlign w:val="center"/>
          </w:tcPr>
          <w:p w14:paraId="7DDC9DCA" w14:textId="51504634" w:rsidR="00D51EDF" w:rsidRPr="003E1859" w:rsidRDefault="00D51EDF" w:rsidP="00FD26F0">
            <w:pPr>
              <w:keepNext/>
              <w:keepLines/>
              <w:spacing w:before="20" w:after="20"/>
              <w:rPr>
                <w:sz w:val="20"/>
                <w:szCs w:val="20"/>
              </w:rPr>
            </w:pPr>
          </w:p>
        </w:tc>
      </w:tr>
    </w:tbl>
    <w:p w14:paraId="21BBC22B" w14:textId="77777777" w:rsidR="007D230B" w:rsidRPr="004B06E3" w:rsidRDefault="007D230B" w:rsidP="004142EF"/>
    <w:p w14:paraId="3B14B593" w14:textId="1A59C112" w:rsidR="007D230B" w:rsidRPr="004B06E3" w:rsidRDefault="007D230B" w:rsidP="00A15E1E">
      <w:pPr>
        <w:pStyle w:val="eTRMHeading3"/>
      </w:pPr>
      <w:bookmarkStart w:id="53" w:name="_Toc486490860"/>
      <w:bookmarkStart w:id="54" w:name="_Toc486580931"/>
      <w:bookmarkStart w:id="55" w:name="_Toc18918811"/>
      <w:r w:rsidRPr="004B06E3">
        <w:t>Base Case Material Cost ($/unit)</w:t>
      </w:r>
      <w:bookmarkEnd w:id="53"/>
      <w:bookmarkEnd w:id="54"/>
      <w:bookmarkEnd w:id="55"/>
    </w:p>
    <w:p w14:paraId="49B2CCB7" w14:textId="5A0FCB73" w:rsidR="00D07D83" w:rsidRDefault="00A7055A" w:rsidP="004142EF">
      <w:r w:rsidRPr="00C24076">
        <w:t>The base case equipment cost for the measure is $0.</w:t>
      </w:r>
    </w:p>
    <w:p w14:paraId="5EE626C3" w14:textId="77777777" w:rsidR="00A05362" w:rsidRDefault="00A05362" w:rsidP="004142EF"/>
    <w:p w14:paraId="44E8DBEB" w14:textId="45E9F61E" w:rsidR="007D230B" w:rsidRPr="004B06E3" w:rsidRDefault="007D230B" w:rsidP="00A15E1E">
      <w:pPr>
        <w:pStyle w:val="eTRMHeading3"/>
      </w:pPr>
      <w:bookmarkStart w:id="56" w:name="_Toc486490861"/>
      <w:bookmarkStart w:id="57" w:name="_Toc486580932"/>
      <w:bookmarkStart w:id="58" w:name="_Toc18918812"/>
      <w:r w:rsidRPr="004B06E3">
        <w:t>Measure Case Material Cost ($/</w:t>
      </w:r>
      <w:r w:rsidR="00E75E3E">
        <w:t>u</w:t>
      </w:r>
      <w:r w:rsidR="00A61AFB">
        <w:t>nit</w:t>
      </w:r>
      <w:r w:rsidRPr="004B06E3">
        <w:t>)</w:t>
      </w:r>
      <w:bookmarkEnd w:id="56"/>
      <w:bookmarkEnd w:id="57"/>
      <w:bookmarkEnd w:id="58"/>
    </w:p>
    <w:p w14:paraId="1F28DA70" w14:textId="2FEF6034" w:rsidR="001D638E" w:rsidRPr="0077159C" w:rsidRDefault="00A7055A" w:rsidP="008A590F">
      <w:r w:rsidRPr="00A7055A">
        <w:t xml:space="preserve">The measure </w:t>
      </w:r>
      <w:r w:rsidR="00BF6FE4">
        <w:t xml:space="preserve">case material </w:t>
      </w:r>
      <w:r w:rsidRPr="00A7055A">
        <w:t xml:space="preserve">cost </w:t>
      </w:r>
      <w:r w:rsidR="00BF6FE4">
        <w:t>calculated as the average of</w:t>
      </w:r>
      <w:r w:rsidR="00A83FA6">
        <w:t xml:space="preserve"> equipment cost</w:t>
      </w:r>
      <w:r w:rsidR="00BF6FE4">
        <w:t xml:space="preserve"> estimates provided by </w:t>
      </w:r>
      <w:r w:rsidRPr="00A7055A">
        <w:t xml:space="preserve">contractors for </w:t>
      </w:r>
      <w:r w:rsidR="00BF6FE4">
        <w:t xml:space="preserve">projects installed </w:t>
      </w:r>
      <w:r w:rsidR="00A83FA6">
        <w:t>in the</w:t>
      </w:r>
      <w:r w:rsidR="00BF6FE4">
        <w:t xml:space="preserve"> Southern California Gas Company (SCG)</w:t>
      </w:r>
      <w:r w:rsidR="00A83FA6">
        <w:t xml:space="preserve"> service area in 2016 and 2017.</w:t>
      </w:r>
      <w:r w:rsidR="00BF6FE4" w:rsidRPr="00A7055A">
        <w:t xml:space="preserve"> </w:t>
      </w:r>
      <w:r w:rsidR="001D638E" w:rsidRPr="001D638E">
        <w:t>The measure cost was based on contractors’ invoices for equipment installed in several SCG’s C&amp;I projects. Equipment cost per kBtu/hr for Tier 1 single-stage economizer (3 models), and Tier 2 dual-stage economizer (8 models).</w:t>
      </w:r>
    </w:p>
    <w:p w14:paraId="5A6ABE85" w14:textId="52CC515A" w:rsidR="00E33FCE" w:rsidRPr="008555E7" w:rsidRDefault="00E33FCE" w:rsidP="00A42921">
      <w:pPr>
        <w:pStyle w:val="Caption"/>
      </w:pPr>
      <w:r w:rsidRPr="008555E7">
        <w:lastRenderedPageBreak/>
        <w:t xml:space="preserve">Measure </w:t>
      </w:r>
      <w:r w:rsidR="00A05362">
        <w:t xml:space="preserve">Case Material </w:t>
      </w:r>
      <w:r w:rsidRPr="008555E7">
        <w:t>Cost</w:t>
      </w:r>
      <w:r w:rsidR="00A05362">
        <w:t xml:space="preserve"> Inputs</w:t>
      </w:r>
    </w:p>
    <w:tbl>
      <w:tblPr>
        <w:tblW w:w="952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456"/>
        <w:gridCol w:w="1669"/>
        <w:gridCol w:w="4397"/>
      </w:tblGrid>
      <w:tr w:rsidR="003E1859" w:rsidRPr="00500C4E" w14:paraId="01AE11AC" w14:textId="77777777" w:rsidTr="00A83FA6">
        <w:trPr>
          <w:cantSplit/>
          <w:trHeight w:val="20"/>
        </w:trPr>
        <w:tc>
          <w:tcPr>
            <w:tcW w:w="3456" w:type="dxa"/>
            <w:shd w:val="clear" w:color="auto" w:fill="F2F2F2" w:themeFill="background1" w:themeFillShade="F2"/>
            <w:vAlign w:val="bottom"/>
          </w:tcPr>
          <w:p w14:paraId="3782CBFC" w14:textId="77777777" w:rsidR="003E1859" w:rsidRPr="00694410" w:rsidRDefault="003E1859" w:rsidP="00A83FA6">
            <w:pPr>
              <w:keepNext/>
              <w:keepLines/>
              <w:spacing w:before="20" w:after="20"/>
              <w:jc w:val="center"/>
              <w:rPr>
                <w:rFonts w:cstheme="minorHAnsi"/>
                <w:b/>
                <w:sz w:val="20"/>
                <w:szCs w:val="20"/>
              </w:rPr>
            </w:pPr>
            <w:r>
              <w:rPr>
                <w:rFonts w:cstheme="minorHAnsi"/>
                <w:b/>
                <w:sz w:val="20"/>
                <w:szCs w:val="20"/>
              </w:rPr>
              <w:t>Parameter</w:t>
            </w:r>
          </w:p>
        </w:tc>
        <w:tc>
          <w:tcPr>
            <w:tcW w:w="1669" w:type="dxa"/>
            <w:shd w:val="clear" w:color="auto" w:fill="F2F2F2" w:themeFill="background1" w:themeFillShade="F2"/>
            <w:vAlign w:val="bottom"/>
          </w:tcPr>
          <w:p w14:paraId="2FD85F16" w14:textId="27F1EC4F" w:rsidR="003E1859" w:rsidRPr="00694410" w:rsidRDefault="003E1859" w:rsidP="00A83FA6">
            <w:pPr>
              <w:keepNext/>
              <w:keepLines/>
              <w:spacing w:before="20" w:after="20"/>
              <w:jc w:val="center"/>
              <w:rPr>
                <w:rFonts w:cstheme="minorHAnsi"/>
                <w:b/>
                <w:sz w:val="20"/>
                <w:szCs w:val="20"/>
              </w:rPr>
            </w:pPr>
            <w:r>
              <w:rPr>
                <w:rFonts w:cstheme="minorHAnsi"/>
                <w:b/>
                <w:sz w:val="20"/>
                <w:szCs w:val="20"/>
              </w:rPr>
              <w:t>Value</w:t>
            </w:r>
            <w:r w:rsidR="00A83FA6">
              <w:rPr>
                <w:rFonts w:cstheme="minorHAnsi"/>
                <w:b/>
                <w:sz w:val="20"/>
                <w:szCs w:val="20"/>
              </w:rPr>
              <w:t xml:space="preserve"> ($/kBtu/hr input capacity)</w:t>
            </w:r>
          </w:p>
        </w:tc>
        <w:tc>
          <w:tcPr>
            <w:tcW w:w="4397" w:type="dxa"/>
            <w:shd w:val="clear" w:color="auto" w:fill="F2F2F2" w:themeFill="background1" w:themeFillShade="F2"/>
            <w:vAlign w:val="bottom"/>
          </w:tcPr>
          <w:p w14:paraId="1AC48EFC" w14:textId="77777777" w:rsidR="003E1859" w:rsidRPr="00694410" w:rsidRDefault="003E1859" w:rsidP="00A83FA6">
            <w:pPr>
              <w:keepNext/>
              <w:keepLines/>
              <w:spacing w:before="20" w:after="20"/>
              <w:jc w:val="center"/>
              <w:rPr>
                <w:rFonts w:cstheme="minorHAnsi"/>
                <w:b/>
                <w:sz w:val="20"/>
                <w:szCs w:val="20"/>
              </w:rPr>
            </w:pPr>
            <w:r>
              <w:rPr>
                <w:rFonts w:cstheme="minorHAnsi"/>
                <w:b/>
                <w:sz w:val="20"/>
                <w:szCs w:val="20"/>
              </w:rPr>
              <w:t>Source</w:t>
            </w:r>
          </w:p>
        </w:tc>
      </w:tr>
      <w:tr w:rsidR="00A83FA6" w:rsidRPr="00500C4E" w14:paraId="100FE5A9" w14:textId="77777777" w:rsidTr="00A8076A">
        <w:trPr>
          <w:cantSplit/>
          <w:trHeight w:val="575"/>
        </w:trPr>
        <w:tc>
          <w:tcPr>
            <w:tcW w:w="3456" w:type="dxa"/>
            <w:vAlign w:val="center"/>
          </w:tcPr>
          <w:p w14:paraId="0DE8A8D6" w14:textId="0EE30B7A" w:rsidR="00A83FA6" w:rsidRPr="00A05362" w:rsidRDefault="00A83FA6" w:rsidP="00A05362">
            <w:pPr>
              <w:keepNext/>
              <w:keepLines/>
              <w:spacing w:before="20" w:after="20"/>
              <w:rPr>
                <w:sz w:val="20"/>
                <w:szCs w:val="20"/>
              </w:rPr>
            </w:pPr>
            <w:r w:rsidRPr="00CE7683">
              <w:rPr>
                <w:rFonts w:cs="Calibri"/>
                <w:color w:val="191919" w:themeColor="text1"/>
                <w:sz w:val="20"/>
                <w:szCs w:val="20"/>
              </w:rPr>
              <w:t>A.</w:t>
            </w:r>
            <w:r w:rsidRPr="00CE7683">
              <w:rPr>
                <w:rFonts w:cs="Calibri"/>
                <w:color w:val="191919" w:themeColor="text1"/>
                <w:sz w:val="20"/>
                <w:szCs w:val="20"/>
              </w:rPr>
              <w:tab/>
              <w:t>Single-Stage Economizer</w:t>
            </w:r>
          </w:p>
        </w:tc>
        <w:tc>
          <w:tcPr>
            <w:tcW w:w="1669" w:type="dxa"/>
            <w:vAlign w:val="center"/>
          </w:tcPr>
          <w:p w14:paraId="31A1D9CF" w14:textId="5D3FB6E9" w:rsidR="00A83FA6" w:rsidRPr="00A05362" w:rsidRDefault="00A83FA6" w:rsidP="00CE7683">
            <w:pPr>
              <w:keepNext/>
              <w:keepLines/>
              <w:spacing w:before="20" w:after="20"/>
              <w:jc w:val="center"/>
              <w:rPr>
                <w:color w:val="FF0000"/>
                <w:sz w:val="20"/>
                <w:szCs w:val="20"/>
              </w:rPr>
            </w:pPr>
            <w:r w:rsidRPr="00A05362">
              <w:rPr>
                <w:rFonts w:cs="Calibri"/>
                <w:color w:val="191919" w:themeColor="text1"/>
                <w:sz w:val="20"/>
                <w:szCs w:val="20"/>
              </w:rPr>
              <w:t>$</w:t>
            </w:r>
            <w:r>
              <w:rPr>
                <w:rFonts w:cs="Calibri"/>
                <w:color w:val="191919" w:themeColor="text1"/>
                <w:sz w:val="20"/>
                <w:szCs w:val="20"/>
              </w:rPr>
              <w:t xml:space="preserve">0.75 </w:t>
            </w:r>
          </w:p>
        </w:tc>
        <w:tc>
          <w:tcPr>
            <w:tcW w:w="4397" w:type="dxa"/>
            <w:vMerge w:val="restart"/>
            <w:vAlign w:val="center"/>
          </w:tcPr>
          <w:p w14:paraId="64579C31" w14:textId="23C32BA5" w:rsidR="00A83FA6" w:rsidRPr="00A83FA6" w:rsidRDefault="00735ED6" w:rsidP="00CE7683">
            <w:pPr>
              <w:keepNext/>
              <w:keepLines/>
              <w:spacing w:before="20" w:after="20"/>
              <w:rPr>
                <w:color w:val="FF0000"/>
                <w:sz w:val="18"/>
                <w:szCs w:val="18"/>
              </w:rPr>
            </w:pPr>
            <w:r w:rsidRPr="00735ED6">
              <w:rPr>
                <w:rFonts w:eastAsia="Times New Roman" w:cs="Calibri Light"/>
                <w:color w:val="000000"/>
                <w:sz w:val="20"/>
                <w:szCs w:val="20"/>
              </w:rPr>
              <w:t>Southern California Gas Company (SCG). 2019. “SWPR007-01 Calculations for Single and Dual Stage Economizers.xlsx.”</w:t>
            </w:r>
          </w:p>
        </w:tc>
      </w:tr>
      <w:tr w:rsidR="00A83FA6" w:rsidRPr="00A05362" w14:paraId="56F0B795" w14:textId="77777777" w:rsidTr="00A8076A">
        <w:trPr>
          <w:cantSplit/>
          <w:trHeight w:val="440"/>
        </w:trPr>
        <w:tc>
          <w:tcPr>
            <w:tcW w:w="34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DEED76" w14:textId="0D858CCA" w:rsidR="00A83FA6" w:rsidRPr="00A05362" w:rsidRDefault="00A83FA6" w:rsidP="00CE7683">
            <w:pPr>
              <w:keepNext/>
              <w:keepLines/>
              <w:spacing w:before="20" w:after="20"/>
              <w:rPr>
                <w:rFonts w:cs="Calibri"/>
                <w:color w:val="191919" w:themeColor="text1"/>
                <w:sz w:val="20"/>
                <w:szCs w:val="20"/>
              </w:rPr>
            </w:pPr>
            <w:r>
              <w:rPr>
                <w:rFonts w:cs="Calibri"/>
                <w:color w:val="191919" w:themeColor="text1"/>
                <w:sz w:val="20"/>
                <w:szCs w:val="20"/>
              </w:rPr>
              <w:t>B</w:t>
            </w:r>
            <w:r w:rsidRPr="00CE7683">
              <w:rPr>
                <w:rFonts w:cs="Calibri"/>
                <w:color w:val="191919" w:themeColor="text1"/>
                <w:sz w:val="20"/>
                <w:szCs w:val="20"/>
              </w:rPr>
              <w:t>.</w:t>
            </w:r>
            <w:r w:rsidRPr="00CE7683">
              <w:rPr>
                <w:rFonts w:cs="Calibri"/>
                <w:color w:val="191919" w:themeColor="text1"/>
                <w:sz w:val="20"/>
                <w:szCs w:val="20"/>
              </w:rPr>
              <w:tab/>
            </w:r>
            <w:r>
              <w:rPr>
                <w:rFonts w:cs="Calibri"/>
                <w:color w:val="191919" w:themeColor="text1"/>
                <w:sz w:val="20"/>
                <w:szCs w:val="20"/>
              </w:rPr>
              <w:t>Dual</w:t>
            </w:r>
            <w:r w:rsidRPr="00CE7683">
              <w:rPr>
                <w:rFonts w:cs="Calibri"/>
                <w:color w:val="191919" w:themeColor="text1"/>
                <w:sz w:val="20"/>
                <w:szCs w:val="20"/>
              </w:rPr>
              <w:t>-Stage Economizer</w:t>
            </w:r>
          </w:p>
        </w:tc>
        <w:tc>
          <w:tcPr>
            <w:tcW w:w="1669" w:type="dxa"/>
            <w:tcBorders>
              <w:top w:val="single" w:sz="4" w:space="0" w:color="A6A6A6" w:themeColor="background1" w:themeShade="A6"/>
              <w:left w:val="single" w:sz="4" w:space="0" w:color="A6A6A6" w:themeColor="background1" w:themeShade="A6"/>
              <w:bottom w:val="single" w:sz="4" w:space="0" w:color="A6A6A6" w:themeColor="background1" w:themeShade="A6"/>
            </w:tcBorders>
            <w:vAlign w:val="center"/>
          </w:tcPr>
          <w:p w14:paraId="7E48A826" w14:textId="45160283" w:rsidR="00A83FA6" w:rsidRPr="00A05362" w:rsidRDefault="00A83FA6" w:rsidP="00CE7683">
            <w:pPr>
              <w:keepNext/>
              <w:keepLines/>
              <w:spacing w:before="20" w:after="20"/>
              <w:jc w:val="center"/>
              <w:rPr>
                <w:rFonts w:cs="Calibri"/>
                <w:color w:val="191919" w:themeColor="text1"/>
                <w:sz w:val="20"/>
                <w:szCs w:val="20"/>
              </w:rPr>
            </w:pPr>
            <w:r w:rsidRPr="00A05362">
              <w:rPr>
                <w:rFonts w:cs="Calibri"/>
                <w:color w:val="191919" w:themeColor="text1"/>
                <w:sz w:val="20"/>
                <w:szCs w:val="20"/>
              </w:rPr>
              <w:t>$</w:t>
            </w:r>
            <w:r>
              <w:rPr>
                <w:rFonts w:cs="Calibri"/>
                <w:color w:val="191919" w:themeColor="text1"/>
                <w:sz w:val="20"/>
                <w:szCs w:val="20"/>
              </w:rPr>
              <w:t xml:space="preserve">3.05 </w:t>
            </w:r>
          </w:p>
        </w:tc>
        <w:tc>
          <w:tcPr>
            <w:tcW w:w="4397" w:type="dxa"/>
            <w:vMerge/>
            <w:tcBorders>
              <w:bottom w:val="single" w:sz="4" w:space="0" w:color="A6A6A6" w:themeColor="background1" w:themeShade="A6"/>
            </w:tcBorders>
            <w:shd w:val="clear" w:color="auto" w:fill="auto"/>
            <w:vAlign w:val="center"/>
          </w:tcPr>
          <w:p w14:paraId="4467A34E" w14:textId="5B6E5146" w:rsidR="00A83FA6" w:rsidRPr="00A83FA6" w:rsidRDefault="00A83FA6" w:rsidP="00CE7683">
            <w:pPr>
              <w:keepNext/>
              <w:keepLines/>
              <w:spacing w:before="20" w:after="20"/>
              <w:rPr>
                <w:sz w:val="18"/>
                <w:szCs w:val="18"/>
              </w:rPr>
            </w:pPr>
          </w:p>
        </w:tc>
      </w:tr>
    </w:tbl>
    <w:p w14:paraId="5CCFBB61" w14:textId="77777777" w:rsidR="00D07D83" w:rsidRDefault="00D07D83" w:rsidP="004142EF"/>
    <w:p w14:paraId="02691007" w14:textId="61D2F08B" w:rsidR="007D230B" w:rsidRPr="004B06E3" w:rsidRDefault="002E5874" w:rsidP="00A15E1E">
      <w:pPr>
        <w:pStyle w:val="eTRMHeading3"/>
      </w:pPr>
      <w:bookmarkStart w:id="59" w:name="_Toc486490862"/>
      <w:bookmarkStart w:id="60" w:name="_Toc486580933"/>
      <w:bookmarkStart w:id="61" w:name="_Toc18918813"/>
      <w:r>
        <w:t xml:space="preserve">Base Case </w:t>
      </w:r>
      <w:r w:rsidR="007D230B" w:rsidRPr="004B06E3">
        <w:t>Labor Cost ($/unit)</w:t>
      </w:r>
      <w:bookmarkEnd w:id="59"/>
      <w:bookmarkEnd w:id="60"/>
      <w:bookmarkEnd w:id="61"/>
    </w:p>
    <w:p w14:paraId="0CB762B3" w14:textId="37D4E9B3" w:rsidR="002E5874" w:rsidRDefault="000D3E86" w:rsidP="002E5874">
      <w:r>
        <w:t xml:space="preserve">The base case installation labor cost </w:t>
      </w:r>
      <w:r w:rsidR="00CE7683">
        <w:t>is $0</w:t>
      </w:r>
      <w:r w:rsidR="00FD26F0">
        <w:rPr>
          <w:rFonts w:cstheme="minorHAnsi"/>
        </w:rPr>
        <w:t xml:space="preserve">. </w:t>
      </w:r>
    </w:p>
    <w:p w14:paraId="09122925" w14:textId="5D95BE33" w:rsidR="008042D1" w:rsidRDefault="008042D1" w:rsidP="002E5874"/>
    <w:p w14:paraId="69052B4D" w14:textId="2F7B9A39" w:rsidR="008042D1" w:rsidRDefault="002E5874" w:rsidP="00A15E1E">
      <w:pPr>
        <w:pStyle w:val="eTRMHeading3"/>
      </w:pPr>
      <w:bookmarkStart w:id="62" w:name="_Toc18918814"/>
      <w:r>
        <w:t xml:space="preserve">Measure Case </w:t>
      </w:r>
      <w:r w:rsidRPr="004B06E3">
        <w:t>Labor Cost ($/unit)</w:t>
      </w:r>
      <w:bookmarkStart w:id="63" w:name="_Toc486490863"/>
      <w:bookmarkStart w:id="64" w:name="_Toc486580934"/>
      <w:bookmarkEnd w:id="62"/>
    </w:p>
    <w:p w14:paraId="2C0B5374" w14:textId="3AE6E0D9" w:rsidR="003E4FB6" w:rsidRDefault="00E5630D" w:rsidP="00AA685B">
      <w:r w:rsidRPr="00E5630D">
        <w:t xml:space="preserve">The measure </w:t>
      </w:r>
      <w:r w:rsidR="00A83FA6">
        <w:t xml:space="preserve">labor </w:t>
      </w:r>
      <w:r w:rsidRPr="00E5630D">
        <w:t xml:space="preserve">cost </w:t>
      </w:r>
      <w:r w:rsidR="00A83FA6">
        <w:t xml:space="preserve">was calculated as the average of installation cost estimates provided by </w:t>
      </w:r>
      <w:r w:rsidR="00A83FA6" w:rsidRPr="00A7055A">
        <w:t xml:space="preserve">contractors for </w:t>
      </w:r>
      <w:r w:rsidR="00A83FA6">
        <w:t>projects installed in the Southern California Gas Company (SCG) service area in 2016 and 2017.</w:t>
      </w:r>
      <w:r w:rsidR="00D8729A" w:rsidRPr="00D8729A">
        <w:t xml:space="preserve"> The labor installation cost was based on contractors’ invoices for equipment installed in several SCG’s C&amp;I projects.</w:t>
      </w:r>
    </w:p>
    <w:p w14:paraId="2C7A8BE8" w14:textId="6F3DB4DA" w:rsidR="00AA685B" w:rsidRDefault="009A0A18" w:rsidP="00A42921">
      <w:pPr>
        <w:pStyle w:val="Caption"/>
      </w:pPr>
      <w:r>
        <w:t xml:space="preserve">Measure </w:t>
      </w:r>
      <w:r w:rsidR="003E4FB6">
        <w:t>Installation Labor Cost Inputs</w:t>
      </w:r>
    </w:p>
    <w:tbl>
      <w:tblPr>
        <w:tblW w:w="952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456"/>
        <w:gridCol w:w="1669"/>
        <w:gridCol w:w="4397"/>
      </w:tblGrid>
      <w:tr w:rsidR="00CE7683" w:rsidRPr="00500C4E" w14:paraId="3BBE83F3" w14:textId="77777777" w:rsidTr="00CE7683">
        <w:trPr>
          <w:cantSplit/>
          <w:trHeight w:val="20"/>
        </w:trPr>
        <w:tc>
          <w:tcPr>
            <w:tcW w:w="3456" w:type="dxa"/>
            <w:shd w:val="clear" w:color="auto" w:fill="F2F2F2" w:themeFill="background1" w:themeFillShade="F2"/>
            <w:vAlign w:val="bottom"/>
          </w:tcPr>
          <w:p w14:paraId="4B4BE507" w14:textId="77777777" w:rsidR="00CE7683" w:rsidRPr="00694410" w:rsidRDefault="00CE7683" w:rsidP="00866A68">
            <w:pPr>
              <w:keepNext/>
              <w:keepLines/>
              <w:spacing w:before="20" w:after="20"/>
              <w:jc w:val="center"/>
              <w:rPr>
                <w:rFonts w:cstheme="minorHAnsi"/>
                <w:b/>
                <w:sz w:val="20"/>
                <w:szCs w:val="20"/>
              </w:rPr>
            </w:pPr>
            <w:r>
              <w:rPr>
                <w:rFonts w:cstheme="minorHAnsi"/>
                <w:b/>
                <w:sz w:val="20"/>
                <w:szCs w:val="20"/>
              </w:rPr>
              <w:t>Parameter</w:t>
            </w:r>
          </w:p>
        </w:tc>
        <w:tc>
          <w:tcPr>
            <w:tcW w:w="1669" w:type="dxa"/>
            <w:shd w:val="clear" w:color="auto" w:fill="F2F2F2" w:themeFill="background1" w:themeFillShade="F2"/>
          </w:tcPr>
          <w:p w14:paraId="399E2193" w14:textId="77777777" w:rsidR="00CE7683" w:rsidRPr="00694410" w:rsidRDefault="00CE7683" w:rsidP="00866A68">
            <w:pPr>
              <w:keepNext/>
              <w:keepLines/>
              <w:spacing w:before="20" w:after="20"/>
              <w:jc w:val="center"/>
              <w:rPr>
                <w:rFonts w:cstheme="minorHAnsi"/>
                <w:b/>
                <w:sz w:val="20"/>
                <w:szCs w:val="20"/>
              </w:rPr>
            </w:pPr>
            <w:r>
              <w:rPr>
                <w:rFonts w:cstheme="minorHAnsi"/>
                <w:b/>
                <w:sz w:val="20"/>
                <w:szCs w:val="20"/>
              </w:rPr>
              <w:t>Value</w:t>
            </w:r>
          </w:p>
        </w:tc>
        <w:tc>
          <w:tcPr>
            <w:tcW w:w="4397" w:type="dxa"/>
            <w:shd w:val="clear" w:color="auto" w:fill="F2F2F2" w:themeFill="background1" w:themeFillShade="F2"/>
          </w:tcPr>
          <w:p w14:paraId="027ACAB0" w14:textId="77777777" w:rsidR="00CE7683" w:rsidRPr="00694410" w:rsidRDefault="00CE7683" w:rsidP="00866A68">
            <w:pPr>
              <w:keepNext/>
              <w:keepLines/>
              <w:spacing w:before="20" w:after="20"/>
              <w:jc w:val="center"/>
              <w:rPr>
                <w:rFonts w:cstheme="minorHAnsi"/>
                <w:b/>
                <w:sz w:val="20"/>
                <w:szCs w:val="20"/>
              </w:rPr>
            </w:pPr>
            <w:r>
              <w:rPr>
                <w:rFonts w:cstheme="minorHAnsi"/>
                <w:b/>
                <w:sz w:val="20"/>
                <w:szCs w:val="20"/>
              </w:rPr>
              <w:t>Source</w:t>
            </w:r>
          </w:p>
        </w:tc>
      </w:tr>
      <w:tr w:rsidR="005D34D3" w:rsidRPr="00500C4E" w14:paraId="4E9C38F9" w14:textId="77777777" w:rsidTr="007A3578">
        <w:trPr>
          <w:cantSplit/>
          <w:trHeight w:val="692"/>
        </w:trPr>
        <w:tc>
          <w:tcPr>
            <w:tcW w:w="3456" w:type="dxa"/>
            <w:vAlign w:val="center"/>
          </w:tcPr>
          <w:p w14:paraId="29CDD8C6" w14:textId="77777777" w:rsidR="005D34D3" w:rsidRPr="00A05362" w:rsidRDefault="005D34D3" w:rsidP="00866A68">
            <w:pPr>
              <w:keepNext/>
              <w:keepLines/>
              <w:spacing w:before="20" w:after="20"/>
              <w:rPr>
                <w:sz w:val="20"/>
                <w:szCs w:val="20"/>
              </w:rPr>
            </w:pPr>
            <w:r w:rsidRPr="00CE7683">
              <w:rPr>
                <w:rFonts w:cs="Calibri"/>
                <w:color w:val="191919" w:themeColor="text1"/>
                <w:sz w:val="20"/>
                <w:szCs w:val="20"/>
              </w:rPr>
              <w:t>A.</w:t>
            </w:r>
            <w:r w:rsidRPr="00CE7683">
              <w:rPr>
                <w:rFonts w:cs="Calibri"/>
                <w:color w:val="191919" w:themeColor="text1"/>
                <w:sz w:val="20"/>
                <w:szCs w:val="20"/>
              </w:rPr>
              <w:tab/>
              <w:t>Single-Stage Economizer</w:t>
            </w:r>
          </w:p>
        </w:tc>
        <w:tc>
          <w:tcPr>
            <w:tcW w:w="1669" w:type="dxa"/>
            <w:vAlign w:val="center"/>
          </w:tcPr>
          <w:p w14:paraId="5901E57E" w14:textId="14F7623D" w:rsidR="005D34D3" w:rsidRPr="00A05362" w:rsidRDefault="005D34D3" w:rsidP="00866A68">
            <w:pPr>
              <w:keepNext/>
              <w:keepLines/>
              <w:spacing w:before="20" w:after="20"/>
              <w:jc w:val="center"/>
              <w:rPr>
                <w:color w:val="FF0000"/>
                <w:sz w:val="20"/>
                <w:szCs w:val="20"/>
              </w:rPr>
            </w:pPr>
            <w:r w:rsidRPr="00A05362">
              <w:rPr>
                <w:rFonts w:cs="Calibri"/>
                <w:color w:val="191919" w:themeColor="text1"/>
                <w:sz w:val="20"/>
                <w:szCs w:val="20"/>
              </w:rPr>
              <w:t>$</w:t>
            </w:r>
            <w:r>
              <w:rPr>
                <w:rFonts w:cs="Calibri"/>
                <w:color w:val="191919" w:themeColor="text1"/>
                <w:sz w:val="20"/>
                <w:szCs w:val="20"/>
              </w:rPr>
              <w:t>1.05 / kBtuh input Cap.</w:t>
            </w:r>
          </w:p>
        </w:tc>
        <w:tc>
          <w:tcPr>
            <w:tcW w:w="4397" w:type="dxa"/>
            <w:vMerge w:val="restart"/>
            <w:vAlign w:val="center"/>
          </w:tcPr>
          <w:p w14:paraId="38CDEA24" w14:textId="46B9B837" w:rsidR="005D34D3" w:rsidRPr="00A10355" w:rsidRDefault="00735ED6" w:rsidP="00866A68">
            <w:pPr>
              <w:keepNext/>
              <w:keepLines/>
              <w:spacing w:before="20" w:after="20"/>
              <w:rPr>
                <w:color w:val="FF0000"/>
                <w:sz w:val="18"/>
                <w:szCs w:val="20"/>
              </w:rPr>
            </w:pPr>
            <w:r w:rsidRPr="00735ED6">
              <w:rPr>
                <w:rFonts w:eastAsia="Times New Roman" w:cs="Calibri Light"/>
                <w:color w:val="000000"/>
                <w:sz w:val="20"/>
                <w:szCs w:val="20"/>
              </w:rPr>
              <w:t>Southern California Gas Company (SCG). 2019. “SWPR007-01 Calculations for Single and Dual Stage Economizers.xls</w:t>
            </w:r>
            <w:r w:rsidRPr="00E24A7E">
              <w:rPr>
                <w:rFonts w:eastAsia="Times New Roman" w:cs="Calibri Light"/>
                <w:color w:val="000000"/>
                <w:sz w:val="20"/>
                <w:szCs w:val="20"/>
              </w:rPr>
              <w:t>x.”</w:t>
            </w:r>
            <w:r w:rsidR="005B3C2B" w:rsidRPr="00E24A7E">
              <w:rPr>
                <w:sz w:val="18"/>
                <w:szCs w:val="18"/>
              </w:rPr>
              <w:t>.</w:t>
            </w:r>
            <w:r w:rsidR="005B3C2B">
              <w:rPr>
                <w:sz w:val="18"/>
                <w:szCs w:val="18"/>
              </w:rPr>
              <w:t xml:space="preserve"> </w:t>
            </w:r>
          </w:p>
        </w:tc>
      </w:tr>
      <w:tr w:rsidR="005D34D3" w:rsidRPr="00A05362" w14:paraId="084AAE72" w14:textId="77777777" w:rsidTr="005D34D3">
        <w:trPr>
          <w:cantSplit/>
          <w:trHeight w:val="20"/>
        </w:trPr>
        <w:tc>
          <w:tcPr>
            <w:tcW w:w="34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A4296C0" w14:textId="77777777" w:rsidR="005D34D3" w:rsidRPr="00A05362" w:rsidRDefault="005D34D3" w:rsidP="00866A68">
            <w:pPr>
              <w:keepNext/>
              <w:keepLines/>
              <w:spacing w:before="20" w:after="20"/>
              <w:rPr>
                <w:rFonts w:cs="Calibri"/>
                <w:color w:val="191919" w:themeColor="text1"/>
                <w:sz w:val="20"/>
                <w:szCs w:val="20"/>
              </w:rPr>
            </w:pPr>
            <w:r>
              <w:rPr>
                <w:rFonts w:cs="Calibri"/>
                <w:color w:val="191919" w:themeColor="text1"/>
                <w:sz w:val="20"/>
                <w:szCs w:val="20"/>
              </w:rPr>
              <w:t>B</w:t>
            </w:r>
            <w:r w:rsidRPr="00CE7683">
              <w:rPr>
                <w:rFonts w:cs="Calibri"/>
                <w:color w:val="191919" w:themeColor="text1"/>
                <w:sz w:val="20"/>
                <w:szCs w:val="20"/>
              </w:rPr>
              <w:t>.</w:t>
            </w:r>
            <w:r w:rsidRPr="00CE7683">
              <w:rPr>
                <w:rFonts w:cs="Calibri"/>
                <w:color w:val="191919" w:themeColor="text1"/>
                <w:sz w:val="20"/>
                <w:szCs w:val="20"/>
              </w:rPr>
              <w:tab/>
            </w:r>
            <w:r>
              <w:rPr>
                <w:rFonts w:cs="Calibri"/>
                <w:color w:val="191919" w:themeColor="text1"/>
                <w:sz w:val="20"/>
                <w:szCs w:val="20"/>
              </w:rPr>
              <w:t>Dual</w:t>
            </w:r>
            <w:r w:rsidRPr="00CE7683">
              <w:rPr>
                <w:rFonts w:cs="Calibri"/>
                <w:color w:val="191919" w:themeColor="text1"/>
                <w:sz w:val="20"/>
                <w:szCs w:val="20"/>
              </w:rPr>
              <w:t>-Stage Economizer</w:t>
            </w:r>
          </w:p>
        </w:tc>
        <w:tc>
          <w:tcPr>
            <w:tcW w:w="1669" w:type="dxa"/>
            <w:tcBorders>
              <w:top w:val="single" w:sz="4" w:space="0" w:color="A6A6A6" w:themeColor="background1" w:themeShade="A6"/>
              <w:left w:val="single" w:sz="4" w:space="0" w:color="A6A6A6" w:themeColor="background1" w:themeShade="A6"/>
              <w:bottom w:val="single" w:sz="4" w:space="0" w:color="A6A6A6" w:themeColor="background1" w:themeShade="A6"/>
            </w:tcBorders>
            <w:vAlign w:val="center"/>
          </w:tcPr>
          <w:p w14:paraId="479E2BFA" w14:textId="7EBC8253" w:rsidR="005D34D3" w:rsidRPr="00A05362" w:rsidRDefault="005D34D3" w:rsidP="00866A68">
            <w:pPr>
              <w:keepNext/>
              <w:keepLines/>
              <w:spacing w:before="20" w:after="20"/>
              <w:jc w:val="center"/>
              <w:rPr>
                <w:rFonts w:cs="Calibri"/>
                <w:color w:val="191919" w:themeColor="text1"/>
                <w:sz w:val="20"/>
                <w:szCs w:val="20"/>
              </w:rPr>
            </w:pPr>
            <w:r w:rsidRPr="00A05362">
              <w:rPr>
                <w:rFonts w:cs="Calibri"/>
                <w:color w:val="191919" w:themeColor="text1"/>
                <w:sz w:val="20"/>
                <w:szCs w:val="20"/>
              </w:rPr>
              <w:t>$</w:t>
            </w:r>
            <w:r>
              <w:rPr>
                <w:rFonts w:cs="Calibri"/>
                <w:color w:val="191919" w:themeColor="text1"/>
                <w:sz w:val="20"/>
                <w:szCs w:val="20"/>
              </w:rPr>
              <w:t>1.03 / kBtuh input Cap.</w:t>
            </w:r>
          </w:p>
        </w:tc>
        <w:tc>
          <w:tcPr>
            <w:tcW w:w="4397" w:type="dxa"/>
            <w:vMerge/>
            <w:tcBorders>
              <w:bottom w:val="single" w:sz="4" w:space="0" w:color="A6A6A6" w:themeColor="background1" w:themeShade="A6"/>
            </w:tcBorders>
            <w:shd w:val="clear" w:color="auto" w:fill="auto"/>
            <w:vAlign w:val="center"/>
          </w:tcPr>
          <w:p w14:paraId="1A09E2B3" w14:textId="0E22228E" w:rsidR="005D34D3" w:rsidRPr="00A05362" w:rsidRDefault="005D34D3" w:rsidP="00866A68">
            <w:pPr>
              <w:keepNext/>
              <w:keepLines/>
              <w:spacing w:before="20" w:after="20"/>
              <w:rPr>
                <w:sz w:val="18"/>
              </w:rPr>
            </w:pPr>
          </w:p>
        </w:tc>
      </w:tr>
    </w:tbl>
    <w:p w14:paraId="308DF687" w14:textId="513777AD" w:rsidR="003E4FB6" w:rsidRDefault="003E4FB6" w:rsidP="008042D1"/>
    <w:p w14:paraId="050D9183" w14:textId="4871EB4E" w:rsidR="007D230B" w:rsidRPr="004B06E3" w:rsidRDefault="004B06E3" w:rsidP="00A15E1E">
      <w:pPr>
        <w:pStyle w:val="eTRMHeading3"/>
      </w:pPr>
      <w:bookmarkStart w:id="65" w:name="_Toc18918815"/>
      <w:r>
        <w:t>Net-to-Gross</w:t>
      </w:r>
      <w:bookmarkEnd w:id="63"/>
      <w:bookmarkEnd w:id="64"/>
      <w:r w:rsidR="008D4652">
        <w:t xml:space="preserve"> (NTG)</w:t>
      </w:r>
      <w:bookmarkEnd w:id="65"/>
    </w:p>
    <w:p w14:paraId="3E85CF62" w14:textId="314E3385" w:rsidR="00B158E1" w:rsidRPr="004B06E3" w:rsidRDefault="00B158E1" w:rsidP="00B158E1">
      <w:r w:rsidRPr="00860FEC">
        <w:t xml:space="preserve">The net-to-gross (NTG) ratio represents the portion of gross impacts that are determined to be directly </w:t>
      </w:r>
      <w:r w:rsidRPr="0063038A">
        <w:t xml:space="preserve">attributed to a specific program intervention. This NTG value is based upon the average of all NTG ratios for all evaluated 2006 – 2008 </w:t>
      </w:r>
      <w:r w:rsidR="00DE2C8A">
        <w:t>commercial</w:t>
      </w:r>
      <w:r w:rsidR="002456B2">
        <w:t>,</w:t>
      </w:r>
      <w:r w:rsidR="00DE2C8A">
        <w:t xml:space="preserve"> industrial</w:t>
      </w:r>
      <w:r w:rsidR="002456B2">
        <w:t>, and agriculture</w:t>
      </w:r>
      <w:r w:rsidR="00DE2C8A" w:rsidRPr="0063038A">
        <w:t xml:space="preserve"> </w:t>
      </w:r>
      <w:r w:rsidRPr="0063038A">
        <w:t>programs, as documented in the 2011 DEER Update Study conducted by Itron, Inc. This sector average NTG (“default NTG”) is applicable to all energy efficiency measures that have</w:t>
      </w:r>
      <w:r w:rsidRPr="00AF3038">
        <w:t xml:space="preserve"> been offered </w:t>
      </w:r>
      <w:r>
        <w:t>through</w:t>
      </w:r>
      <w:r w:rsidRPr="00AF3038">
        <w:t xml:space="preserve"> </w:t>
      </w:r>
      <w:r w:rsidR="002456B2">
        <w:t>commercial, industrial, and agriculture</w:t>
      </w:r>
      <w:r w:rsidR="002456B2" w:rsidRPr="0063038A">
        <w:t xml:space="preserve"> </w:t>
      </w:r>
      <w:r>
        <w:t xml:space="preserve">sector </w:t>
      </w:r>
      <w:r w:rsidRPr="00AF3038">
        <w:t>programs for more than two years and for which impact evaluation results are not available.</w:t>
      </w:r>
    </w:p>
    <w:p w14:paraId="2E71C79B" w14:textId="77777777" w:rsidR="00B158E1" w:rsidRPr="0059426D" w:rsidRDefault="00B158E1" w:rsidP="00A42921">
      <w:pPr>
        <w:pStyle w:val="Caption"/>
      </w:pPr>
      <w:r>
        <w:t>Net-to-Gross Ratios</w:t>
      </w:r>
    </w:p>
    <w:tbl>
      <w:tblPr>
        <w:tblW w:w="984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36"/>
        <w:gridCol w:w="1800"/>
        <w:gridCol w:w="5310"/>
      </w:tblGrid>
      <w:tr w:rsidR="00B158E1" w:rsidRPr="0059426D" w14:paraId="083DF7F0" w14:textId="77777777" w:rsidTr="00915F52">
        <w:trPr>
          <w:cantSplit/>
          <w:trHeight w:val="20"/>
        </w:trPr>
        <w:tc>
          <w:tcPr>
            <w:tcW w:w="2736" w:type="dxa"/>
            <w:shd w:val="clear" w:color="000000" w:fill="F2F2F2" w:themeFill="background1" w:themeFillShade="F2"/>
            <w:vAlign w:val="bottom"/>
          </w:tcPr>
          <w:p w14:paraId="5E035974" w14:textId="77777777" w:rsidR="00B158E1" w:rsidRPr="0059426D" w:rsidRDefault="00B158E1" w:rsidP="00915F52">
            <w:pPr>
              <w:keepNext/>
              <w:keepLines/>
              <w:spacing w:before="20" w:after="20" w:line="200" w:lineRule="atLeast"/>
              <w:jc w:val="center"/>
              <w:rPr>
                <w:rFonts w:cs="Arial"/>
                <w:b/>
                <w:color w:val="000000"/>
                <w:sz w:val="20"/>
                <w:szCs w:val="20"/>
              </w:rPr>
            </w:pPr>
            <w:r>
              <w:rPr>
                <w:rFonts w:cs="Arial"/>
                <w:b/>
                <w:color w:val="000000"/>
                <w:sz w:val="20"/>
                <w:szCs w:val="20"/>
              </w:rPr>
              <w:t>Parameter</w:t>
            </w:r>
          </w:p>
        </w:tc>
        <w:tc>
          <w:tcPr>
            <w:tcW w:w="1800" w:type="dxa"/>
            <w:shd w:val="clear" w:color="000000" w:fill="F2F2F2" w:themeFill="background1" w:themeFillShade="F2"/>
            <w:vAlign w:val="bottom"/>
          </w:tcPr>
          <w:p w14:paraId="418B904E" w14:textId="77777777" w:rsidR="00B158E1" w:rsidRPr="0059426D" w:rsidRDefault="00B158E1" w:rsidP="00915F52">
            <w:pPr>
              <w:keepNext/>
              <w:keepLines/>
              <w:spacing w:before="20" w:after="20" w:line="200" w:lineRule="atLeast"/>
              <w:jc w:val="center"/>
              <w:rPr>
                <w:rFonts w:cs="Arial"/>
                <w:b/>
                <w:color w:val="000000"/>
                <w:sz w:val="20"/>
                <w:szCs w:val="20"/>
              </w:rPr>
            </w:pPr>
            <w:r>
              <w:rPr>
                <w:rFonts w:cs="Arial"/>
                <w:b/>
                <w:color w:val="000000"/>
                <w:sz w:val="20"/>
                <w:szCs w:val="20"/>
              </w:rPr>
              <w:t>Value</w:t>
            </w:r>
          </w:p>
        </w:tc>
        <w:tc>
          <w:tcPr>
            <w:tcW w:w="5310" w:type="dxa"/>
            <w:shd w:val="clear" w:color="000000" w:fill="F2F2F2" w:themeFill="background1" w:themeFillShade="F2"/>
          </w:tcPr>
          <w:p w14:paraId="222BE006" w14:textId="77777777" w:rsidR="00B158E1" w:rsidRDefault="00B158E1" w:rsidP="00915F52">
            <w:pPr>
              <w:keepNext/>
              <w:keepLines/>
              <w:spacing w:before="20" w:after="20" w:line="200" w:lineRule="atLeast"/>
              <w:jc w:val="center"/>
              <w:rPr>
                <w:rFonts w:cs="Arial"/>
                <w:b/>
                <w:color w:val="000000"/>
                <w:sz w:val="20"/>
                <w:szCs w:val="20"/>
              </w:rPr>
            </w:pPr>
            <w:r>
              <w:rPr>
                <w:rFonts w:cs="Arial"/>
                <w:b/>
                <w:color w:val="000000"/>
                <w:sz w:val="20"/>
                <w:szCs w:val="20"/>
              </w:rPr>
              <w:t>Source</w:t>
            </w:r>
          </w:p>
        </w:tc>
      </w:tr>
      <w:tr w:rsidR="002456B2" w:rsidRPr="00915F52" w14:paraId="7AEC5F5D" w14:textId="77777777" w:rsidTr="00915F52">
        <w:trPr>
          <w:cantSplit/>
          <w:trHeight w:val="20"/>
        </w:trPr>
        <w:tc>
          <w:tcPr>
            <w:tcW w:w="2736" w:type="dxa"/>
            <w:vAlign w:val="center"/>
          </w:tcPr>
          <w:p w14:paraId="4C5D56AD" w14:textId="523598C4" w:rsidR="002456B2" w:rsidRPr="00915F52" w:rsidRDefault="002456B2" w:rsidP="002456B2">
            <w:pPr>
              <w:keepNext/>
              <w:keepLines/>
              <w:spacing w:before="20" w:after="20" w:line="200" w:lineRule="atLeast"/>
              <w:rPr>
                <w:rFonts w:cstheme="minorHAnsi"/>
                <w:sz w:val="20"/>
                <w:szCs w:val="20"/>
              </w:rPr>
            </w:pPr>
            <w:r w:rsidRPr="00B115F5">
              <w:rPr>
                <w:sz w:val="20"/>
                <w:szCs w:val="20"/>
              </w:rPr>
              <w:t>Com-Default&gt;2yrs</w:t>
            </w:r>
          </w:p>
        </w:tc>
        <w:tc>
          <w:tcPr>
            <w:tcW w:w="1800" w:type="dxa"/>
            <w:shd w:val="clear" w:color="auto" w:fill="auto"/>
            <w:noWrap/>
            <w:vAlign w:val="center"/>
          </w:tcPr>
          <w:p w14:paraId="33D3164C" w14:textId="268F87AA" w:rsidR="002456B2" w:rsidRPr="00915F52" w:rsidRDefault="002456B2" w:rsidP="002456B2">
            <w:pPr>
              <w:keepNext/>
              <w:keepLines/>
              <w:spacing w:before="20" w:after="20" w:line="200" w:lineRule="atLeast"/>
              <w:jc w:val="center"/>
              <w:rPr>
                <w:color w:val="000000"/>
                <w:sz w:val="20"/>
                <w:szCs w:val="20"/>
              </w:rPr>
            </w:pPr>
            <w:r w:rsidRPr="00915F52">
              <w:rPr>
                <w:sz w:val="20"/>
                <w:szCs w:val="20"/>
              </w:rPr>
              <w:t>0.</w:t>
            </w:r>
            <w:r>
              <w:rPr>
                <w:sz w:val="20"/>
                <w:szCs w:val="20"/>
              </w:rPr>
              <w:t>60</w:t>
            </w:r>
          </w:p>
        </w:tc>
        <w:tc>
          <w:tcPr>
            <w:tcW w:w="5310" w:type="dxa"/>
            <w:vMerge w:val="restart"/>
            <w:vAlign w:val="center"/>
          </w:tcPr>
          <w:p w14:paraId="440B2738" w14:textId="4EE505CE" w:rsidR="002456B2" w:rsidRPr="00915F52" w:rsidRDefault="002456B2" w:rsidP="002456B2">
            <w:pPr>
              <w:keepNext/>
              <w:keepLines/>
              <w:spacing w:before="20" w:after="20" w:line="200" w:lineRule="atLeast"/>
              <w:rPr>
                <w:color w:val="FF0000"/>
                <w:sz w:val="18"/>
                <w:szCs w:val="20"/>
              </w:rPr>
            </w:pPr>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p>
        </w:tc>
      </w:tr>
      <w:tr w:rsidR="002456B2" w:rsidRPr="00915F52" w14:paraId="1628E39B" w14:textId="77777777" w:rsidTr="00915F52">
        <w:trPr>
          <w:cantSplit/>
          <w:trHeight w:val="20"/>
        </w:trPr>
        <w:tc>
          <w:tcPr>
            <w:tcW w:w="2736" w:type="dxa"/>
            <w:vAlign w:val="center"/>
          </w:tcPr>
          <w:p w14:paraId="7B963D78" w14:textId="3DD5A258" w:rsidR="002456B2" w:rsidRPr="00B115F5" w:rsidRDefault="002456B2" w:rsidP="00915F52">
            <w:pPr>
              <w:keepNext/>
              <w:keepLines/>
              <w:spacing w:before="20" w:after="20" w:line="200" w:lineRule="atLeast"/>
              <w:rPr>
                <w:sz w:val="20"/>
                <w:szCs w:val="20"/>
              </w:rPr>
            </w:pPr>
            <w:r>
              <w:rPr>
                <w:sz w:val="20"/>
                <w:szCs w:val="20"/>
              </w:rPr>
              <w:t>Ind-Default&gt;2yrs</w:t>
            </w:r>
          </w:p>
        </w:tc>
        <w:tc>
          <w:tcPr>
            <w:tcW w:w="1800" w:type="dxa"/>
            <w:shd w:val="clear" w:color="auto" w:fill="auto"/>
            <w:noWrap/>
            <w:vAlign w:val="center"/>
          </w:tcPr>
          <w:p w14:paraId="4DC125B2" w14:textId="7E202B74" w:rsidR="002456B2" w:rsidRPr="00915F52" w:rsidRDefault="002456B2" w:rsidP="00915F52">
            <w:pPr>
              <w:keepNext/>
              <w:keepLines/>
              <w:spacing w:before="20" w:after="20" w:line="200" w:lineRule="atLeast"/>
              <w:jc w:val="center"/>
              <w:rPr>
                <w:sz w:val="20"/>
                <w:szCs w:val="20"/>
              </w:rPr>
            </w:pPr>
            <w:r>
              <w:rPr>
                <w:sz w:val="20"/>
                <w:szCs w:val="20"/>
              </w:rPr>
              <w:t>0.60</w:t>
            </w:r>
          </w:p>
        </w:tc>
        <w:tc>
          <w:tcPr>
            <w:tcW w:w="5310" w:type="dxa"/>
            <w:vMerge/>
            <w:vAlign w:val="center"/>
          </w:tcPr>
          <w:p w14:paraId="05CFF64F" w14:textId="77777777" w:rsidR="002456B2" w:rsidRPr="00915F52" w:rsidRDefault="002456B2" w:rsidP="00915F52">
            <w:pPr>
              <w:keepNext/>
              <w:keepLines/>
              <w:spacing w:before="20" w:after="20" w:line="200" w:lineRule="atLeast"/>
              <w:rPr>
                <w:sz w:val="18"/>
                <w:szCs w:val="20"/>
              </w:rPr>
            </w:pPr>
          </w:p>
        </w:tc>
      </w:tr>
      <w:tr w:rsidR="002456B2" w:rsidRPr="00915F52" w14:paraId="47F2FA9C" w14:textId="77777777" w:rsidTr="00915F52">
        <w:trPr>
          <w:cantSplit/>
          <w:trHeight w:val="20"/>
        </w:trPr>
        <w:tc>
          <w:tcPr>
            <w:tcW w:w="2736" w:type="dxa"/>
            <w:vAlign w:val="center"/>
          </w:tcPr>
          <w:p w14:paraId="39872DE0" w14:textId="6A7964DB" w:rsidR="002456B2" w:rsidRDefault="002456B2" w:rsidP="00915F52">
            <w:pPr>
              <w:keepNext/>
              <w:keepLines/>
              <w:spacing w:before="20" w:after="20" w:line="200" w:lineRule="atLeast"/>
              <w:rPr>
                <w:sz w:val="20"/>
                <w:szCs w:val="20"/>
              </w:rPr>
            </w:pPr>
            <w:r>
              <w:rPr>
                <w:sz w:val="20"/>
                <w:szCs w:val="20"/>
              </w:rPr>
              <w:t>Agric-Default&gt;2yrs</w:t>
            </w:r>
          </w:p>
        </w:tc>
        <w:tc>
          <w:tcPr>
            <w:tcW w:w="1800" w:type="dxa"/>
            <w:shd w:val="clear" w:color="auto" w:fill="auto"/>
            <w:noWrap/>
            <w:vAlign w:val="center"/>
          </w:tcPr>
          <w:p w14:paraId="11F7B156" w14:textId="6F655F46" w:rsidR="002456B2" w:rsidRDefault="002456B2" w:rsidP="00915F52">
            <w:pPr>
              <w:keepNext/>
              <w:keepLines/>
              <w:spacing w:before="20" w:after="20" w:line="200" w:lineRule="atLeast"/>
              <w:jc w:val="center"/>
              <w:rPr>
                <w:sz w:val="20"/>
                <w:szCs w:val="20"/>
              </w:rPr>
            </w:pPr>
            <w:r>
              <w:rPr>
                <w:sz w:val="20"/>
                <w:szCs w:val="20"/>
              </w:rPr>
              <w:t>0.60</w:t>
            </w:r>
          </w:p>
        </w:tc>
        <w:tc>
          <w:tcPr>
            <w:tcW w:w="5310" w:type="dxa"/>
            <w:vMerge/>
            <w:vAlign w:val="center"/>
          </w:tcPr>
          <w:p w14:paraId="665AE43E" w14:textId="77777777" w:rsidR="002456B2" w:rsidRPr="00915F52" w:rsidRDefault="002456B2" w:rsidP="00915F52">
            <w:pPr>
              <w:keepNext/>
              <w:keepLines/>
              <w:spacing w:before="20" w:after="20" w:line="200" w:lineRule="atLeast"/>
              <w:rPr>
                <w:sz w:val="18"/>
                <w:szCs w:val="20"/>
              </w:rPr>
            </w:pPr>
          </w:p>
        </w:tc>
      </w:tr>
    </w:tbl>
    <w:p w14:paraId="591372B0" w14:textId="77777777" w:rsidR="00B158E1" w:rsidRDefault="00B158E1" w:rsidP="00B158E1">
      <w:pPr>
        <w:rPr>
          <w:rFonts w:cs="Arial"/>
          <w:sz w:val="20"/>
          <w:szCs w:val="20"/>
        </w:rPr>
      </w:pPr>
    </w:p>
    <w:p w14:paraId="323B5B02" w14:textId="0D68D2BA" w:rsidR="007D230B" w:rsidRPr="004B06E3" w:rsidRDefault="00D02C36" w:rsidP="00A15E1E">
      <w:pPr>
        <w:pStyle w:val="eTRMHeading3"/>
      </w:pPr>
      <w:bookmarkStart w:id="66" w:name="_Toc486490864"/>
      <w:bookmarkStart w:id="67" w:name="_Toc486580935"/>
      <w:bookmarkStart w:id="68" w:name="_Toc18918816"/>
      <w:r>
        <w:lastRenderedPageBreak/>
        <w:t>Gross Savings Installation Adjustment (</w:t>
      </w:r>
      <w:r w:rsidR="007D230B" w:rsidRPr="004B06E3">
        <w:t>GSIA</w:t>
      </w:r>
      <w:bookmarkEnd w:id="66"/>
      <w:bookmarkEnd w:id="67"/>
      <w:r>
        <w:t>)</w:t>
      </w:r>
      <w:bookmarkEnd w:id="68"/>
    </w:p>
    <w:p w14:paraId="7F15BC58" w14:textId="259A3ACA" w:rsidR="00B158E1" w:rsidRDefault="00B158E1" w:rsidP="00B158E1">
      <w:r w:rsidRPr="00AD00D3">
        <w:t xml:space="preserve">The </w:t>
      </w:r>
      <w:r>
        <w:t xml:space="preserve">gross savings </w:t>
      </w:r>
      <w:r w:rsidRPr="00AD00D3">
        <w:t xml:space="preserve">installation </w:t>
      </w:r>
      <w:r>
        <w:t xml:space="preserve">adjustment (GSIA)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t>This GSIA rate is the current “default” rate specified for measures for which an alternative GSIA has not been estimated and approved.</w:t>
      </w:r>
      <w:r w:rsidR="005B0468">
        <w:t xml:space="preserve"> </w:t>
      </w:r>
    </w:p>
    <w:p w14:paraId="7FE780E3" w14:textId="77777777" w:rsidR="00B158E1" w:rsidRPr="0059426D" w:rsidRDefault="00B158E1" w:rsidP="00A42921">
      <w:pPr>
        <w:pStyle w:val="Caption"/>
      </w:pPr>
      <w:r>
        <w:t>Gross Savings Installation Adjustment Rates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B158E1" w:rsidRPr="00052C24" w14:paraId="013D4D0A" w14:textId="77777777" w:rsidTr="00D07D83">
        <w:tc>
          <w:tcPr>
            <w:tcW w:w="2190" w:type="dxa"/>
            <w:shd w:val="clear" w:color="auto" w:fill="F2F2F2" w:themeFill="background1" w:themeFillShade="F2"/>
            <w:vAlign w:val="bottom"/>
          </w:tcPr>
          <w:p w14:paraId="6F488DA8" w14:textId="77777777" w:rsidR="00B158E1" w:rsidRPr="00052C24" w:rsidRDefault="00B158E1" w:rsidP="00D07D83">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4D6F5659" w14:textId="77777777" w:rsidR="00B158E1" w:rsidRPr="00052C24" w:rsidRDefault="00B158E1" w:rsidP="00D07D83">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435078F6" w14:textId="77777777" w:rsidR="00B158E1" w:rsidRDefault="00B158E1" w:rsidP="00D07D83">
            <w:pPr>
              <w:keepNext/>
              <w:keepLines/>
              <w:spacing w:before="0" w:after="0" w:line="200" w:lineRule="atLeast"/>
              <w:jc w:val="center"/>
              <w:rPr>
                <w:b/>
                <w:sz w:val="20"/>
              </w:rPr>
            </w:pPr>
            <w:r>
              <w:rPr>
                <w:b/>
                <w:sz w:val="20"/>
              </w:rPr>
              <w:t>Source</w:t>
            </w:r>
          </w:p>
        </w:tc>
      </w:tr>
      <w:tr w:rsidR="00B158E1" w:rsidRPr="009062D0" w14:paraId="08E12275" w14:textId="77777777" w:rsidTr="00D07D83">
        <w:trPr>
          <w:trHeight w:val="260"/>
        </w:trPr>
        <w:tc>
          <w:tcPr>
            <w:tcW w:w="2190" w:type="dxa"/>
            <w:vAlign w:val="center"/>
          </w:tcPr>
          <w:p w14:paraId="27C119AE" w14:textId="77777777" w:rsidR="00B158E1" w:rsidRPr="009062D0" w:rsidRDefault="00B158E1" w:rsidP="00D07D83">
            <w:pPr>
              <w:keepNext/>
              <w:keepLines/>
              <w:spacing w:before="0" w:after="0" w:line="200" w:lineRule="atLeast"/>
              <w:rPr>
                <w:sz w:val="20"/>
              </w:rPr>
            </w:pPr>
            <w:r>
              <w:rPr>
                <w:sz w:val="20"/>
              </w:rPr>
              <w:t>GSIA</w:t>
            </w:r>
          </w:p>
        </w:tc>
        <w:tc>
          <w:tcPr>
            <w:tcW w:w="1620" w:type="dxa"/>
            <w:shd w:val="clear" w:color="auto" w:fill="auto"/>
            <w:vAlign w:val="center"/>
          </w:tcPr>
          <w:p w14:paraId="3602DFA9" w14:textId="77777777" w:rsidR="00B158E1" w:rsidRPr="009062D0" w:rsidRDefault="00B158E1" w:rsidP="00D07D83">
            <w:pPr>
              <w:keepNext/>
              <w:keepLines/>
              <w:spacing w:before="0" w:after="0" w:line="200" w:lineRule="atLeast"/>
              <w:jc w:val="center"/>
              <w:rPr>
                <w:color w:val="FF0000"/>
                <w:sz w:val="20"/>
              </w:rPr>
            </w:pPr>
            <w:r w:rsidRPr="00B96E30">
              <w:rPr>
                <w:sz w:val="20"/>
                <w:szCs w:val="20"/>
              </w:rPr>
              <w:t>1.0</w:t>
            </w:r>
          </w:p>
        </w:tc>
        <w:tc>
          <w:tcPr>
            <w:tcW w:w="5640" w:type="dxa"/>
            <w:vAlign w:val="center"/>
          </w:tcPr>
          <w:p w14:paraId="274B2542" w14:textId="77777777" w:rsidR="00B158E1" w:rsidRPr="009062D0" w:rsidRDefault="00B158E1" w:rsidP="00D07D83">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11BA92EE" w14:textId="77777777" w:rsidR="00B158E1" w:rsidRDefault="00B158E1" w:rsidP="00DE1A0F">
      <w:pPr>
        <w:rPr>
          <w:rFonts w:cs="Arial"/>
          <w:sz w:val="20"/>
          <w:szCs w:val="20"/>
        </w:rPr>
      </w:pPr>
    </w:p>
    <w:p w14:paraId="498C05E5" w14:textId="0A625151" w:rsidR="002C67DF" w:rsidRPr="004B06E3" w:rsidRDefault="002C67DF" w:rsidP="00A15E1E">
      <w:pPr>
        <w:pStyle w:val="eTRMHeading3"/>
      </w:pPr>
      <w:bookmarkStart w:id="69" w:name="_Toc486490865"/>
      <w:bookmarkStart w:id="70" w:name="_Toc486580936"/>
      <w:bookmarkStart w:id="71" w:name="_Toc18918817"/>
      <w:r w:rsidRPr="004B06E3">
        <w:t xml:space="preserve">Non-Energy </w:t>
      </w:r>
      <w:bookmarkEnd w:id="69"/>
      <w:bookmarkEnd w:id="70"/>
      <w:r w:rsidR="00DA6B7E">
        <w:t>Impacts</w:t>
      </w:r>
      <w:bookmarkEnd w:id="71"/>
    </w:p>
    <w:p w14:paraId="0D73FC70" w14:textId="27339D17" w:rsidR="00697A88" w:rsidRPr="00B158E1" w:rsidRDefault="00697A88" w:rsidP="00697A88">
      <w:pPr>
        <w:rPr>
          <w:rFonts w:cs="Arial"/>
          <w:szCs w:val="20"/>
        </w:rPr>
      </w:pPr>
      <w:r w:rsidRPr="00B158E1">
        <w:rPr>
          <w:rFonts w:cs="Arial"/>
          <w:szCs w:val="20"/>
        </w:rPr>
        <w:t xml:space="preserve">Non-energy benefits for this measure have not been </w:t>
      </w:r>
      <w:r w:rsidR="009D7F4D" w:rsidRPr="00B158E1">
        <w:rPr>
          <w:rFonts w:cs="Arial"/>
          <w:szCs w:val="20"/>
        </w:rPr>
        <w:t>quantified</w:t>
      </w:r>
      <w:r w:rsidRPr="00B158E1">
        <w:rPr>
          <w:rFonts w:cs="Arial"/>
          <w:szCs w:val="20"/>
        </w:rPr>
        <w:t>.</w:t>
      </w:r>
    </w:p>
    <w:p w14:paraId="0C37F289" w14:textId="77777777" w:rsidR="00697A88" w:rsidRDefault="00697A88" w:rsidP="004142EF"/>
    <w:p w14:paraId="7D8551BB" w14:textId="2F4176E0" w:rsidR="009C31A4" w:rsidRPr="004B06E3" w:rsidRDefault="009C31A4" w:rsidP="00A15E1E">
      <w:pPr>
        <w:pStyle w:val="eTRMHeading3"/>
      </w:pPr>
      <w:bookmarkStart w:id="72" w:name="_Toc18918818"/>
      <w:r>
        <w:t>DEER Differences Analysis</w:t>
      </w:r>
      <w:bookmarkEnd w:id="72"/>
    </w:p>
    <w:p w14:paraId="1CC05806" w14:textId="4C6F7C94" w:rsidR="00D748BF" w:rsidRPr="0077159C" w:rsidRDefault="003F21D2" w:rsidP="00D748BF">
      <w:pPr>
        <w:rPr>
          <w:rFonts w:cs="Arial"/>
          <w:szCs w:val="22"/>
        </w:rPr>
      </w:pPr>
      <w:r>
        <w:t xml:space="preserve">This section provides a summary of </w:t>
      </w:r>
      <w:r w:rsidR="00D748BF">
        <w:t>inputs and methods used from the Database of Energy Efficient Resources (</w:t>
      </w:r>
      <w:r>
        <w:t>DEER</w:t>
      </w:r>
      <w:r w:rsidR="00D748BF">
        <w:t>)</w:t>
      </w:r>
      <w:r>
        <w:t>, and the rationale for inputs and methods that are not DEER-based.</w:t>
      </w:r>
      <w:r w:rsidR="00D748BF">
        <w:t xml:space="preserve"> </w:t>
      </w:r>
    </w:p>
    <w:p w14:paraId="756C62FB" w14:textId="1DD569A9" w:rsidR="00EA057C" w:rsidRPr="00920905" w:rsidRDefault="00EA057C" w:rsidP="00A42921">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EA057C" w:rsidRPr="00500C4E" w14:paraId="33003020" w14:textId="77777777" w:rsidTr="00EA057C">
        <w:trPr>
          <w:trHeight w:val="20"/>
        </w:trPr>
        <w:tc>
          <w:tcPr>
            <w:tcW w:w="1730" w:type="pct"/>
          </w:tcPr>
          <w:p w14:paraId="1F2D360A" w14:textId="77777777" w:rsidR="00EA057C" w:rsidRPr="00EA057C" w:rsidRDefault="00EA057C"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06881687" w:rsidR="00EA057C" w:rsidRPr="00B96E30" w:rsidRDefault="00605571" w:rsidP="00EA057C">
            <w:pPr>
              <w:keepNext/>
              <w:keepLines/>
              <w:spacing w:before="20" w:after="20"/>
              <w:rPr>
                <w:rFonts w:cs="Arial"/>
                <w:sz w:val="20"/>
                <w:szCs w:val="20"/>
              </w:rPr>
            </w:pPr>
            <w:r>
              <w:rPr>
                <w:rFonts w:cs="Arial"/>
                <w:sz w:val="20"/>
                <w:szCs w:val="20"/>
              </w:rPr>
              <w:t>No</w:t>
            </w:r>
          </w:p>
        </w:tc>
      </w:tr>
      <w:tr w:rsidR="00EA057C" w:rsidRPr="00500C4E" w14:paraId="507422EA" w14:textId="77777777" w:rsidTr="00EA057C">
        <w:trPr>
          <w:trHeight w:val="20"/>
        </w:trPr>
        <w:tc>
          <w:tcPr>
            <w:tcW w:w="1730" w:type="pct"/>
          </w:tcPr>
          <w:p w14:paraId="29430E33" w14:textId="77777777"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5A54D514" w:rsidR="00EA057C" w:rsidRPr="00B96E30" w:rsidRDefault="00605571" w:rsidP="00EA057C">
            <w:pPr>
              <w:keepNext/>
              <w:keepLines/>
              <w:spacing w:before="20" w:after="20"/>
              <w:rPr>
                <w:rFonts w:cs="Arial"/>
                <w:sz w:val="20"/>
                <w:szCs w:val="20"/>
              </w:rPr>
            </w:pPr>
            <w:r>
              <w:rPr>
                <w:rFonts w:cs="Arial"/>
                <w:sz w:val="20"/>
                <w:szCs w:val="20"/>
              </w:rPr>
              <w:t>No</w:t>
            </w:r>
          </w:p>
        </w:tc>
      </w:tr>
      <w:tr w:rsidR="00EA057C" w:rsidRPr="00500C4E" w14:paraId="335CDE40" w14:textId="77777777" w:rsidTr="00EA057C">
        <w:trPr>
          <w:trHeight w:val="20"/>
        </w:trPr>
        <w:tc>
          <w:tcPr>
            <w:tcW w:w="1730" w:type="pct"/>
          </w:tcPr>
          <w:p w14:paraId="126C3B42"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39F2E19F"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1F8399E1" w14:textId="77777777" w:rsidTr="00EA057C">
        <w:trPr>
          <w:trHeight w:val="20"/>
        </w:trPr>
        <w:tc>
          <w:tcPr>
            <w:tcW w:w="1730" w:type="pct"/>
          </w:tcPr>
          <w:p w14:paraId="0CC701E3"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591247E2"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663742C6" w14:textId="77777777" w:rsidTr="00EA057C">
        <w:trPr>
          <w:trHeight w:val="20"/>
        </w:trPr>
        <w:tc>
          <w:tcPr>
            <w:tcW w:w="1730" w:type="pct"/>
          </w:tcPr>
          <w:p w14:paraId="16B2FDAB"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3093DA86"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424F1325" w14:textId="77777777" w:rsidTr="00EA057C">
        <w:trPr>
          <w:trHeight w:val="20"/>
        </w:trPr>
        <w:tc>
          <w:tcPr>
            <w:tcW w:w="1730" w:type="pct"/>
          </w:tcPr>
          <w:p w14:paraId="71098DDA" w14:textId="77777777" w:rsidR="00EA057C" w:rsidRPr="00EA057C" w:rsidRDefault="00EA057C"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02E8385D"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0B93AD47" w14:textId="77777777" w:rsidTr="00EA057C">
        <w:trPr>
          <w:trHeight w:val="20"/>
        </w:trPr>
        <w:tc>
          <w:tcPr>
            <w:tcW w:w="1730" w:type="pct"/>
          </w:tcPr>
          <w:p w14:paraId="6E9E484F" w14:textId="77777777" w:rsidR="00EA057C" w:rsidRPr="00EA057C" w:rsidRDefault="00EA057C" w:rsidP="00EA057C">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2A38C7BF" w:rsidR="00EA057C" w:rsidRPr="00B96E30" w:rsidDel="00505CEC" w:rsidRDefault="00DC6C69" w:rsidP="00EA057C">
            <w:pPr>
              <w:keepNext/>
              <w:keepLines/>
              <w:spacing w:before="20" w:after="20"/>
              <w:rPr>
                <w:rFonts w:cs="Arial"/>
                <w:sz w:val="20"/>
                <w:szCs w:val="20"/>
              </w:rPr>
            </w:pPr>
            <w:r>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610108EB"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3B7464D7" w14:textId="77777777" w:rsidTr="00EA057C">
        <w:trPr>
          <w:trHeight w:val="20"/>
        </w:trPr>
        <w:tc>
          <w:tcPr>
            <w:tcW w:w="1730" w:type="pct"/>
          </w:tcPr>
          <w:p w14:paraId="24000A76" w14:textId="77777777" w:rsidR="00EA057C" w:rsidRPr="00EA057C" w:rsidRDefault="00EA057C"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50485452" w:rsidR="00EA057C" w:rsidRPr="00B96E30" w:rsidRDefault="00605571" w:rsidP="00EA057C">
            <w:pPr>
              <w:keepNext/>
              <w:keepLines/>
              <w:spacing w:before="20" w:after="20"/>
              <w:rPr>
                <w:rFonts w:cs="Arial"/>
                <w:sz w:val="20"/>
                <w:szCs w:val="20"/>
              </w:rPr>
            </w:pPr>
            <w:r>
              <w:rPr>
                <w:rFonts w:cs="Arial"/>
                <w:sz w:val="20"/>
                <w:szCs w:val="20"/>
              </w:rPr>
              <w:t>N/A</w:t>
            </w:r>
          </w:p>
        </w:tc>
      </w:tr>
      <w:tr w:rsidR="00EA057C" w:rsidRPr="00500C4E" w14:paraId="4A7EE859" w14:textId="77777777" w:rsidTr="00EA057C">
        <w:trPr>
          <w:trHeight w:val="20"/>
        </w:trPr>
        <w:tc>
          <w:tcPr>
            <w:tcW w:w="1730" w:type="pct"/>
          </w:tcPr>
          <w:p w14:paraId="7B4D686A"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102F756D" w:rsidR="00EA057C" w:rsidRPr="00B96E30" w:rsidRDefault="004831FB" w:rsidP="00EA057C">
            <w:pPr>
              <w:keepNext/>
              <w:keepLines/>
              <w:spacing w:before="20" w:after="20"/>
              <w:rPr>
                <w:rFonts w:cs="Arial"/>
                <w:sz w:val="20"/>
                <w:szCs w:val="20"/>
              </w:rPr>
            </w:pPr>
            <w:r>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637383B3" w:rsidR="00EA057C" w:rsidRPr="00EA057C" w:rsidRDefault="005A74DC" w:rsidP="005A74DC">
            <w:pPr>
              <w:keepNext/>
              <w:keepLines/>
              <w:spacing w:before="20" w:after="20"/>
              <w:rPr>
                <w:rFonts w:cs="Arial"/>
                <w:sz w:val="20"/>
                <w:szCs w:val="20"/>
              </w:rPr>
            </w:pPr>
            <w:r>
              <w:rPr>
                <w:rFonts w:cs="Arial"/>
                <w:sz w:val="20"/>
                <w:szCs w:val="20"/>
              </w:rPr>
              <w:t xml:space="preserve">Source: </w:t>
            </w:r>
            <w:r w:rsidR="00C65FE5">
              <w:rPr>
                <w:rFonts w:cs="Arial"/>
                <w:sz w:val="20"/>
                <w:szCs w:val="20"/>
              </w:rPr>
              <w:t>DEER20</w:t>
            </w:r>
            <w:r w:rsidR="00605571">
              <w:rPr>
                <w:rFonts w:cs="Arial"/>
                <w:sz w:val="20"/>
                <w:szCs w:val="20"/>
              </w:rPr>
              <w:t>20</w:t>
            </w:r>
            <w:r>
              <w:rPr>
                <w:rFonts w:cs="Arial"/>
                <w:sz w:val="20"/>
                <w:szCs w:val="20"/>
              </w:rPr>
              <w:t xml:space="preserve">. The NTG of </w:t>
            </w:r>
            <w:r w:rsidR="00C65FE5">
              <w:rPr>
                <w:rFonts w:cs="Arial"/>
                <w:sz w:val="20"/>
                <w:szCs w:val="20"/>
              </w:rPr>
              <w:t>0.</w:t>
            </w:r>
            <w:r w:rsidR="00605571">
              <w:rPr>
                <w:rFonts w:cs="Arial"/>
                <w:sz w:val="20"/>
                <w:szCs w:val="20"/>
              </w:rPr>
              <w:t>60</w:t>
            </w:r>
            <w:r>
              <w:rPr>
                <w:rFonts w:cs="Arial"/>
                <w:sz w:val="20"/>
                <w:szCs w:val="20"/>
              </w:rPr>
              <w:t xml:space="preserve"> is associated with NTG ID: </w:t>
            </w:r>
            <w:r w:rsidR="00605571">
              <w:rPr>
                <w:rFonts w:cs="Arial"/>
                <w:i/>
                <w:sz w:val="20"/>
                <w:szCs w:val="20"/>
              </w:rPr>
              <w:t>Com</w:t>
            </w:r>
            <w:r w:rsidR="009F1E20">
              <w:rPr>
                <w:rFonts w:cs="Arial"/>
                <w:i/>
                <w:sz w:val="20"/>
                <w:szCs w:val="20"/>
              </w:rPr>
              <w:t>-Default&gt;2</w:t>
            </w:r>
            <w:r w:rsidR="00DE2C8A">
              <w:rPr>
                <w:rFonts w:cs="Arial"/>
                <w:i/>
                <w:sz w:val="20"/>
                <w:szCs w:val="20"/>
              </w:rPr>
              <w:t>, Ind-Default&gt;2</w:t>
            </w:r>
            <w:r w:rsidR="002456B2">
              <w:rPr>
                <w:rFonts w:cs="Arial"/>
                <w:i/>
                <w:sz w:val="20"/>
                <w:szCs w:val="20"/>
              </w:rPr>
              <w:t>, Agric-Default&gt;2</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2B8A08F3" w:rsidR="00EA057C" w:rsidRPr="00EA057C" w:rsidRDefault="005A74DC" w:rsidP="005A74DC">
            <w:pPr>
              <w:keepNext/>
              <w:keepLines/>
              <w:spacing w:before="20" w:after="20"/>
              <w:rPr>
                <w:rFonts w:cs="Arial"/>
                <w:sz w:val="20"/>
                <w:szCs w:val="20"/>
              </w:rPr>
            </w:pPr>
            <w:r>
              <w:rPr>
                <w:rFonts w:cs="Arial"/>
                <w:sz w:val="20"/>
                <w:szCs w:val="20"/>
              </w:rPr>
              <w:t xml:space="preserve">Source: </w:t>
            </w:r>
            <w:r w:rsidR="009F1E20">
              <w:rPr>
                <w:rFonts w:cs="Arial"/>
                <w:sz w:val="20"/>
                <w:szCs w:val="20"/>
              </w:rPr>
              <w:t>DEER</w:t>
            </w:r>
            <w:r>
              <w:rPr>
                <w:rFonts w:cs="Arial"/>
                <w:sz w:val="20"/>
                <w:szCs w:val="20"/>
              </w:rPr>
              <w:t xml:space="preserve">. The GSIA of </w:t>
            </w:r>
            <w:r w:rsidR="009F1E20">
              <w:rPr>
                <w:rFonts w:cs="Arial"/>
                <w:sz w:val="20"/>
                <w:szCs w:val="20"/>
              </w:rPr>
              <w:t>1.0</w:t>
            </w:r>
            <w:r>
              <w:rPr>
                <w:rFonts w:cs="Arial"/>
                <w:sz w:val="20"/>
                <w:szCs w:val="20"/>
              </w:rPr>
              <w:t xml:space="preserve"> is associated with GSIA ID: </w:t>
            </w:r>
            <w:r w:rsidR="009F1E20">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5BD9C961" w14:textId="73E3A355" w:rsidR="00EA057C" w:rsidRPr="00EA057C" w:rsidRDefault="005A74DC" w:rsidP="00EA057C">
            <w:pPr>
              <w:keepNext/>
              <w:keepLines/>
              <w:spacing w:before="20" w:after="20"/>
              <w:rPr>
                <w:rFonts w:cs="Arial"/>
                <w:sz w:val="20"/>
                <w:szCs w:val="20"/>
              </w:rPr>
            </w:pPr>
            <w:r>
              <w:rPr>
                <w:rFonts w:cs="Arial"/>
                <w:sz w:val="20"/>
                <w:szCs w:val="20"/>
              </w:rPr>
              <w:t xml:space="preserve">Source: </w:t>
            </w:r>
            <w:r w:rsidR="005C7A2F">
              <w:rPr>
                <w:rFonts w:cs="Arial"/>
                <w:sz w:val="20"/>
                <w:szCs w:val="20"/>
              </w:rPr>
              <w:t>DEER20</w:t>
            </w:r>
            <w:r w:rsidR="00605571">
              <w:rPr>
                <w:rFonts w:cs="Arial"/>
                <w:sz w:val="20"/>
                <w:szCs w:val="20"/>
              </w:rPr>
              <w:t>20</w:t>
            </w:r>
            <w:r>
              <w:rPr>
                <w:rFonts w:cs="Arial"/>
                <w:sz w:val="20"/>
                <w:szCs w:val="20"/>
              </w:rPr>
              <w:t xml:space="preserve">. The value of </w:t>
            </w:r>
            <w:r w:rsidR="00DE2C8A">
              <w:rPr>
                <w:rFonts w:cs="Arial"/>
                <w:sz w:val="20"/>
                <w:szCs w:val="20"/>
              </w:rPr>
              <w:t xml:space="preserve">20 </w:t>
            </w:r>
            <w:r>
              <w:rPr>
                <w:rFonts w:cs="Arial"/>
                <w:sz w:val="20"/>
                <w:szCs w:val="20"/>
              </w:rPr>
              <w:t xml:space="preserve">years is associated with EUL ID: </w:t>
            </w:r>
            <w:r w:rsidR="0056168C" w:rsidRPr="0056168C">
              <w:rPr>
                <w:rFonts w:cs="Arial"/>
                <w:i/>
                <w:iCs/>
                <w:szCs w:val="20"/>
              </w:rPr>
              <w:t>PrcHt-StmBlr</w:t>
            </w:r>
            <w:r w:rsidR="0056168C" w:rsidRPr="0018793D" w:rsidDel="00DE2C8A">
              <w:rPr>
                <w:i/>
                <w:iCs/>
                <w:szCs w:val="20"/>
              </w:rPr>
              <w:t xml:space="preserve"> </w:t>
            </w:r>
            <w:r w:rsidR="0056168C">
              <w:rPr>
                <w:i/>
                <w:iCs/>
                <w:szCs w:val="20"/>
              </w:rPr>
              <w:t xml:space="preserve"> </w:t>
            </w:r>
          </w:p>
        </w:tc>
      </w:tr>
    </w:tbl>
    <w:p w14:paraId="3D440479" w14:textId="77777777" w:rsidR="00EA057C" w:rsidRDefault="00EA057C" w:rsidP="004142EF">
      <w:bookmarkStart w:id="73" w:name="_Hlk516051142"/>
    </w:p>
    <w:p w14:paraId="59542C0D" w14:textId="77777777" w:rsidR="007D230B" w:rsidRDefault="007D230B" w:rsidP="00A15E1E">
      <w:pPr>
        <w:pStyle w:val="eTRMHeading3"/>
      </w:pPr>
      <w:bookmarkStart w:id="74" w:name="_Toc486490866"/>
      <w:bookmarkStart w:id="75" w:name="_Toc486580937"/>
      <w:bookmarkStart w:id="76" w:name="_Toc18918819"/>
      <w:bookmarkStart w:id="77" w:name="_Hlk516047558"/>
      <w:r w:rsidRPr="004B06E3">
        <w:t>Revision History</w:t>
      </w:r>
      <w:bookmarkEnd w:id="74"/>
      <w:bookmarkEnd w:id="75"/>
      <w:bookmarkEnd w:id="76"/>
    </w:p>
    <w:p w14:paraId="3661732B" w14:textId="302EF7B9" w:rsidR="00CA1CB3" w:rsidRDefault="00742F88" w:rsidP="00A42921">
      <w:pPr>
        <w:pStyle w:val="Caption"/>
      </w:pPr>
      <w:bookmarkStart w:id="78"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500C4E" w14:paraId="1904D58C" w14:textId="6E96D877" w:rsidTr="009E566C">
        <w:trPr>
          <w:trHeight w:val="20"/>
        </w:trPr>
        <w:tc>
          <w:tcPr>
            <w:tcW w:w="503" w:type="pct"/>
            <w:shd w:val="clear" w:color="auto" w:fill="F2F2F2" w:themeFill="background1" w:themeFillShade="F2"/>
            <w:vAlign w:val="bottom"/>
          </w:tcPr>
          <w:p w14:paraId="5365A71C" w14:textId="5EB86E00" w:rsidR="00CA1CB3" w:rsidRPr="00EA057C" w:rsidRDefault="00CA1CB3" w:rsidP="00B96E30">
            <w:pPr>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B96E30">
            <w:pPr>
              <w:spacing w:before="20" w:after="20"/>
              <w:rPr>
                <w:rFonts w:cs="Arial"/>
                <w:b/>
                <w:sz w:val="20"/>
                <w:szCs w:val="20"/>
              </w:rPr>
            </w:pPr>
            <w:r>
              <w:rPr>
                <w:rFonts w:cs="Arial"/>
                <w:b/>
                <w:sz w:val="20"/>
                <w:szCs w:val="20"/>
              </w:rPr>
              <w:t>Date</w:t>
            </w:r>
          </w:p>
        </w:tc>
        <w:tc>
          <w:tcPr>
            <w:tcW w:w="1130" w:type="pct"/>
            <w:shd w:val="clear" w:color="auto" w:fill="F2F2F2" w:themeFill="background1" w:themeFillShade="F2"/>
            <w:vAlign w:val="bottom"/>
          </w:tcPr>
          <w:p w14:paraId="10DC2402" w14:textId="63223EB6" w:rsidR="00CA1CB3" w:rsidRDefault="00CA1CB3" w:rsidP="00B96E30">
            <w:pPr>
              <w:spacing w:before="20" w:after="20"/>
              <w:rPr>
                <w:rFonts w:cs="Arial"/>
                <w:b/>
                <w:sz w:val="20"/>
                <w:szCs w:val="20"/>
              </w:rPr>
            </w:pPr>
            <w:r>
              <w:rPr>
                <w:rFonts w:cs="Arial"/>
                <w:b/>
                <w:sz w:val="20"/>
                <w:szCs w:val="20"/>
              </w:rPr>
              <w:t>Primary Author, Title, Organization</w:t>
            </w:r>
          </w:p>
        </w:tc>
        <w:tc>
          <w:tcPr>
            <w:tcW w:w="2645" w:type="pct"/>
            <w:shd w:val="clear" w:color="auto" w:fill="F2F2F2" w:themeFill="background1" w:themeFillShade="F2"/>
            <w:vAlign w:val="bottom"/>
          </w:tcPr>
          <w:p w14:paraId="27C17E65" w14:textId="222C519C" w:rsidR="00CA1CB3" w:rsidRDefault="00CA1CB3" w:rsidP="00B96E30">
            <w:pPr>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B96E30">
            <w:pPr>
              <w:spacing w:before="20" w:after="20"/>
              <w:rPr>
                <w:rFonts w:cs="Arial"/>
                <w:b/>
                <w:sz w:val="20"/>
                <w:szCs w:val="20"/>
              </w:rPr>
            </w:pPr>
            <w:r>
              <w:rPr>
                <w:rFonts w:cs="Arial"/>
                <w:b/>
                <w:sz w:val="20"/>
                <w:szCs w:val="20"/>
              </w:rPr>
              <w:t>Effective Date and Approved By</w:t>
            </w:r>
          </w:p>
        </w:tc>
      </w:tr>
      <w:tr w:rsidR="009E566C" w:rsidRPr="00CA1CB3" w14:paraId="0A9DBD7D" w14:textId="04A29668" w:rsidTr="009E566C">
        <w:trPr>
          <w:trHeight w:val="1160"/>
        </w:trPr>
        <w:tc>
          <w:tcPr>
            <w:tcW w:w="503" w:type="pct"/>
            <w:vMerge w:val="restart"/>
          </w:tcPr>
          <w:p w14:paraId="7DEF0202" w14:textId="77777777" w:rsidR="009E566C" w:rsidRDefault="009E566C" w:rsidP="00B96E30">
            <w:pPr>
              <w:spacing w:before="20" w:after="20"/>
              <w:rPr>
                <w:rFonts w:cs="Arial"/>
                <w:sz w:val="20"/>
                <w:szCs w:val="20"/>
              </w:rPr>
            </w:pPr>
          </w:p>
          <w:p w14:paraId="3C1662B5" w14:textId="77777777" w:rsidR="009E566C" w:rsidRDefault="009E566C" w:rsidP="00B96E30">
            <w:pPr>
              <w:spacing w:before="20" w:after="20"/>
              <w:rPr>
                <w:rFonts w:cs="Arial"/>
                <w:sz w:val="20"/>
                <w:szCs w:val="20"/>
              </w:rPr>
            </w:pPr>
          </w:p>
          <w:p w14:paraId="3932E3E7" w14:textId="77777777" w:rsidR="009E566C" w:rsidRDefault="009E566C" w:rsidP="00B96E30">
            <w:pPr>
              <w:spacing w:before="20" w:after="20"/>
              <w:rPr>
                <w:rFonts w:cs="Arial"/>
                <w:sz w:val="20"/>
                <w:szCs w:val="20"/>
              </w:rPr>
            </w:pPr>
          </w:p>
          <w:p w14:paraId="5AB22748" w14:textId="77777777" w:rsidR="009E566C" w:rsidRDefault="009E566C" w:rsidP="00B96E30">
            <w:pPr>
              <w:spacing w:before="20" w:after="20"/>
              <w:rPr>
                <w:rFonts w:cs="Arial"/>
                <w:sz w:val="20"/>
                <w:szCs w:val="20"/>
              </w:rPr>
            </w:pPr>
          </w:p>
          <w:p w14:paraId="38788C98" w14:textId="705DD49B" w:rsidR="009E566C" w:rsidRPr="001D01EF" w:rsidRDefault="009E566C" w:rsidP="00B96E30">
            <w:pPr>
              <w:spacing w:before="20" w:after="20"/>
              <w:rPr>
                <w:rFonts w:cs="Arial"/>
                <w:sz w:val="20"/>
                <w:szCs w:val="20"/>
              </w:rPr>
            </w:pPr>
            <w:r w:rsidRPr="001D01EF">
              <w:rPr>
                <w:rFonts w:cs="Arial"/>
                <w:sz w:val="20"/>
                <w:szCs w:val="20"/>
              </w:rPr>
              <w:t>0</w:t>
            </w:r>
            <w:r>
              <w:rPr>
                <w:rFonts w:cs="Arial"/>
                <w:sz w:val="20"/>
                <w:szCs w:val="20"/>
              </w:rPr>
              <w:t>1</w:t>
            </w:r>
          </w:p>
        </w:tc>
        <w:tc>
          <w:tcPr>
            <w:tcW w:w="722" w:type="pct"/>
          </w:tcPr>
          <w:p w14:paraId="03B67B1D" w14:textId="3D264A41" w:rsidR="009E566C" w:rsidRPr="001D01EF" w:rsidRDefault="009E566C" w:rsidP="00B96E30">
            <w:pPr>
              <w:spacing w:before="20" w:after="20"/>
              <w:rPr>
                <w:rFonts w:cs="Arial"/>
                <w:sz w:val="20"/>
                <w:szCs w:val="20"/>
              </w:rPr>
            </w:pPr>
            <w:r w:rsidRPr="001D01EF">
              <w:rPr>
                <w:rFonts w:cs="Arial"/>
                <w:sz w:val="20"/>
                <w:szCs w:val="20"/>
              </w:rPr>
              <w:t>0</w:t>
            </w:r>
            <w:r>
              <w:rPr>
                <w:rFonts w:cs="Arial"/>
                <w:sz w:val="20"/>
                <w:szCs w:val="20"/>
              </w:rPr>
              <w:t>8</w:t>
            </w:r>
            <w:r w:rsidRPr="001D01EF">
              <w:rPr>
                <w:rFonts w:cs="Arial"/>
                <w:sz w:val="20"/>
                <w:szCs w:val="20"/>
              </w:rPr>
              <w:t>/</w:t>
            </w:r>
            <w:r>
              <w:rPr>
                <w:rFonts w:cs="Arial"/>
                <w:sz w:val="20"/>
                <w:szCs w:val="20"/>
              </w:rPr>
              <w:t>30</w:t>
            </w:r>
            <w:r w:rsidRPr="001D01EF">
              <w:rPr>
                <w:rFonts w:cs="Arial"/>
                <w:sz w:val="20"/>
                <w:szCs w:val="20"/>
              </w:rPr>
              <w:t>/201</w:t>
            </w:r>
            <w:r>
              <w:rPr>
                <w:rFonts w:cs="Arial"/>
                <w:sz w:val="20"/>
                <w:szCs w:val="20"/>
              </w:rPr>
              <w:t>9</w:t>
            </w:r>
          </w:p>
        </w:tc>
        <w:tc>
          <w:tcPr>
            <w:tcW w:w="1130" w:type="pct"/>
          </w:tcPr>
          <w:p w14:paraId="24160CE8" w14:textId="602362F6" w:rsidR="009E566C" w:rsidRDefault="009E566C" w:rsidP="00B96E30">
            <w:pPr>
              <w:spacing w:before="20" w:after="20"/>
              <w:rPr>
                <w:rFonts w:cs="Arial"/>
                <w:sz w:val="20"/>
                <w:szCs w:val="20"/>
              </w:rPr>
            </w:pPr>
            <w:r>
              <w:rPr>
                <w:rFonts w:cs="Arial"/>
                <w:sz w:val="20"/>
                <w:szCs w:val="20"/>
              </w:rPr>
              <w:t xml:space="preserve">Raad Bashar, </w:t>
            </w:r>
            <w:r>
              <w:rPr>
                <w:rFonts w:cs="Arial"/>
                <w:sz w:val="20"/>
                <w:szCs w:val="20"/>
              </w:rPr>
              <w:br/>
              <w:t>SoCalGas.</w:t>
            </w:r>
          </w:p>
          <w:p w14:paraId="4898704D" w14:textId="77777777" w:rsidR="009E566C" w:rsidRDefault="009E566C" w:rsidP="00B96E30">
            <w:pPr>
              <w:spacing w:before="20" w:after="20"/>
              <w:rPr>
                <w:rFonts w:cs="Arial"/>
                <w:sz w:val="20"/>
                <w:szCs w:val="20"/>
              </w:rPr>
            </w:pPr>
          </w:p>
          <w:p w14:paraId="32D154D7" w14:textId="00FB6D2B" w:rsidR="009E566C" w:rsidRPr="001D01EF" w:rsidRDefault="009E566C" w:rsidP="00B96E30">
            <w:pPr>
              <w:spacing w:before="20" w:after="20"/>
              <w:rPr>
                <w:rFonts w:cs="Arial"/>
                <w:sz w:val="20"/>
                <w:szCs w:val="20"/>
              </w:rPr>
            </w:pPr>
          </w:p>
        </w:tc>
        <w:tc>
          <w:tcPr>
            <w:tcW w:w="2645" w:type="pct"/>
          </w:tcPr>
          <w:p w14:paraId="0C93091A" w14:textId="77777777" w:rsidR="009E566C" w:rsidRPr="001D01EF" w:rsidRDefault="009E566C" w:rsidP="00B96E30">
            <w:pPr>
              <w:spacing w:before="20" w:after="20"/>
              <w:rPr>
                <w:rFonts w:cs="Arial"/>
                <w:sz w:val="20"/>
                <w:szCs w:val="20"/>
              </w:rPr>
            </w:pPr>
            <w:r w:rsidRPr="001D01EF">
              <w:rPr>
                <w:rFonts w:cs="Arial"/>
                <w:sz w:val="20"/>
                <w:szCs w:val="20"/>
              </w:rPr>
              <w:t>Draft of consolidated text for this statewide measure is based upon:</w:t>
            </w:r>
          </w:p>
          <w:p w14:paraId="6C70C36F" w14:textId="74065CDE" w:rsidR="009E566C" w:rsidRPr="000672CB" w:rsidRDefault="009E566C" w:rsidP="004831FB">
            <w:pPr>
              <w:spacing w:before="20" w:after="20"/>
              <w:rPr>
                <w:rFonts w:cs="Arial"/>
                <w:sz w:val="20"/>
                <w:szCs w:val="22"/>
              </w:rPr>
            </w:pPr>
            <w:r w:rsidRPr="00B115F5">
              <w:t>WPSCGNRPH180608A</w:t>
            </w:r>
            <w:r>
              <w:rPr>
                <w:rFonts w:cs="Arial"/>
                <w:sz w:val="20"/>
                <w:szCs w:val="22"/>
              </w:rPr>
              <w:t xml:space="preserve">, Revision 0 </w:t>
            </w:r>
            <w:r w:rsidRPr="004442FB">
              <w:rPr>
                <w:rFonts w:cs="Arial"/>
                <w:sz w:val="20"/>
                <w:szCs w:val="22"/>
              </w:rPr>
              <w:t>(</w:t>
            </w:r>
            <w:r>
              <w:rPr>
                <w:rFonts w:cs="Arial"/>
                <w:sz w:val="20"/>
                <w:szCs w:val="22"/>
              </w:rPr>
              <w:t>August</w:t>
            </w:r>
            <w:r w:rsidRPr="004442FB">
              <w:rPr>
                <w:rFonts w:cs="Arial"/>
                <w:sz w:val="20"/>
                <w:szCs w:val="22"/>
              </w:rPr>
              <w:t xml:space="preserve"> </w:t>
            </w:r>
            <w:r>
              <w:rPr>
                <w:rFonts w:cs="Arial"/>
                <w:sz w:val="20"/>
                <w:szCs w:val="22"/>
              </w:rPr>
              <w:t>30</w:t>
            </w:r>
            <w:r w:rsidRPr="004442FB">
              <w:rPr>
                <w:rFonts w:cs="Arial"/>
                <w:sz w:val="20"/>
                <w:szCs w:val="22"/>
              </w:rPr>
              <w:t>, 201</w:t>
            </w:r>
            <w:r>
              <w:rPr>
                <w:rFonts w:cs="Arial"/>
                <w:sz w:val="20"/>
                <w:szCs w:val="22"/>
              </w:rPr>
              <w:t>9</w:t>
            </w:r>
            <w:r w:rsidRPr="004442FB">
              <w:rPr>
                <w:rFonts w:cs="Arial"/>
                <w:sz w:val="20"/>
                <w:szCs w:val="22"/>
              </w:rPr>
              <w:t>)</w:t>
            </w:r>
          </w:p>
        </w:tc>
      </w:tr>
      <w:tr w:rsidR="00F063B3" w:rsidRPr="00CA1CB3" w14:paraId="340F7A70" w14:textId="77777777" w:rsidTr="009E566C">
        <w:trPr>
          <w:trHeight w:val="1160"/>
        </w:trPr>
        <w:tc>
          <w:tcPr>
            <w:tcW w:w="503" w:type="pct"/>
            <w:vMerge/>
          </w:tcPr>
          <w:p w14:paraId="4088AEFD" w14:textId="77777777" w:rsidR="00F063B3" w:rsidRPr="001D01EF" w:rsidRDefault="00F063B3" w:rsidP="00F063B3">
            <w:pPr>
              <w:spacing w:before="20" w:after="20"/>
              <w:rPr>
                <w:rFonts w:cs="Arial"/>
                <w:sz w:val="20"/>
                <w:szCs w:val="20"/>
              </w:rPr>
            </w:pPr>
          </w:p>
        </w:tc>
        <w:tc>
          <w:tcPr>
            <w:tcW w:w="722" w:type="pct"/>
          </w:tcPr>
          <w:p w14:paraId="56AE04D6" w14:textId="5590969D" w:rsidR="00F063B3" w:rsidRDefault="00F063B3" w:rsidP="00F063B3">
            <w:pPr>
              <w:spacing w:before="20" w:after="20"/>
              <w:rPr>
                <w:rFonts w:cs="Arial"/>
                <w:sz w:val="20"/>
                <w:szCs w:val="20"/>
              </w:rPr>
            </w:pPr>
            <w:r>
              <w:rPr>
                <w:rFonts w:cs="Arial"/>
                <w:sz w:val="20"/>
                <w:szCs w:val="20"/>
              </w:rPr>
              <w:t>5/27/2020</w:t>
            </w:r>
          </w:p>
        </w:tc>
        <w:tc>
          <w:tcPr>
            <w:tcW w:w="1130" w:type="pct"/>
          </w:tcPr>
          <w:p w14:paraId="6CFC7947" w14:textId="26EED61C" w:rsidR="00F063B3" w:rsidRDefault="00F063B3" w:rsidP="00F063B3">
            <w:pPr>
              <w:spacing w:before="20" w:after="20"/>
              <w:rPr>
                <w:rFonts w:cs="Arial"/>
                <w:sz w:val="20"/>
                <w:szCs w:val="20"/>
              </w:rPr>
            </w:pPr>
            <w:r>
              <w:rPr>
                <w:rFonts w:cs="Arial"/>
                <w:sz w:val="20"/>
                <w:szCs w:val="20"/>
              </w:rPr>
              <w:t>Eduardo Reynoso, SDG&amp;E</w:t>
            </w:r>
          </w:p>
        </w:tc>
        <w:tc>
          <w:tcPr>
            <w:tcW w:w="2645" w:type="pct"/>
          </w:tcPr>
          <w:p w14:paraId="2CC59C72" w14:textId="3398B82E" w:rsidR="00F063B3" w:rsidRDefault="00F063B3" w:rsidP="00F063B3">
            <w:pPr>
              <w:spacing w:before="20" w:after="20"/>
              <w:rPr>
                <w:rFonts w:cs="Calibri Light"/>
                <w:sz w:val="20"/>
                <w:szCs w:val="20"/>
              </w:rPr>
            </w:pPr>
            <w:r>
              <w:rPr>
                <w:rFonts w:cs="Calibri Light"/>
                <w:sz w:val="20"/>
                <w:szCs w:val="20"/>
              </w:rPr>
              <w:t>Workpaper measure adoption by SDG&amp;E, no changes to energy efficiency savings or cost. Updated Ex-ante Implementation data table. No other changes.</w:t>
            </w:r>
          </w:p>
        </w:tc>
      </w:tr>
      <w:tr w:rsidR="00F063B3" w:rsidRPr="00CA1CB3" w14:paraId="4783DF34" w14:textId="77777777" w:rsidTr="009E566C">
        <w:trPr>
          <w:trHeight w:val="1160"/>
        </w:trPr>
        <w:tc>
          <w:tcPr>
            <w:tcW w:w="503" w:type="pct"/>
            <w:vMerge/>
          </w:tcPr>
          <w:p w14:paraId="476BE2F8" w14:textId="77777777" w:rsidR="00F063B3" w:rsidRPr="001D01EF" w:rsidRDefault="00F063B3" w:rsidP="00F063B3">
            <w:pPr>
              <w:spacing w:before="20" w:after="20"/>
              <w:rPr>
                <w:rFonts w:cs="Arial"/>
                <w:sz w:val="20"/>
                <w:szCs w:val="20"/>
              </w:rPr>
            </w:pPr>
          </w:p>
        </w:tc>
        <w:tc>
          <w:tcPr>
            <w:tcW w:w="722" w:type="pct"/>
          </w:tcPr>
          <w:p w14:paraId="10EF31DE" w14:textId="7F4D5F29" w:rsidR="00F063B3" w:rsidRPr="001D01EF" w:rsidRDefault="00F063B3" w:rsidP="00F063B3">
            <w:pPr>
              <w:spacing w:before="20" w:after="20"/>
              <w:rPr>
                <w:rFonts w:cs="Arial"/>
                <w:sz w:val="20"/>
                <w:szCs w:val="20"/>
              </w:rPr>
            </w:pPr>
            <w:r>
              <w:rPr>
                <w:rFonts w:cs="Arial"/>
                <w:sz w:val="20"/>
                <w:szCs w:val="20"/>
              </w:rPr>
              <w:t>01/29/2021</w:t>
            </w:r>
          </w:p>
        </w:tc>
        <w:tc>
          <w:tcPr>
            <w:tcW w:w="1130" w:type="pct"/>
          </w:tcPr>
          <w:p w14:paraId="7CE9B5E9" w14:textId="77777777" w:rsidR="00F063B3" w:rsidRDefault="00F063B3" w:rsidP="00F063B3">
            <w:pPr>
              <w:spacing w:before="20" w:after="20"/>
              <w:rPr>
                <w:rFonts w:cs="Arial"/>
                <w:sz w:val="20"/>
                <w:szCs w:val="20"/>
              </w:rPr>
            </w:pPr>
            <w:r>
              <w:rPr>
                <w:rFonts w:cs="Arial"/>
                <w:sz w:val="20"/>
                <w:szCs w:val="20"/>
              </w:rPr>
              <w:t xml:space="preserve">Tai Voong, </w:t>
            </w:r>
          </w:p>
          <w:p w14:paraId="4358C918" w14:textId="482DE9D9" w:rsidR="00F063B3" w:rsidRDefault="00F063B3" w:rsidP="00F063B3">
            <w:pPr>
              <w:spacing w:before="20" w:after="20"/>
              <w:rPr>
                <w:rFonts w:cs="Arial"/>
                <w:sz w:val="20"/>
                <w:szCs w:val="20"/>
              </w:rPr>
            </w:pPr>
            <w:r>
              <w:rPr>
                <w:rFonts w:cs="Arial"/>
                <w:sz w:val="20"/>
                <w:szCs w:val="20"/>
              </w:rPr>
              <w:t>PG&amp;E</w:t>
            </w:r>
          </w:p>
        </w:tc>
        <w:tc>
          <w:tcPr>
            <w:tcW w:w="2645" w:type="pct"/>
          </w:tcPr>
          <w:p w14:paraId="40278771" w14:textId="464E8B7C" w:rsidR="00F063B3" w:rsidRPr="001D01EF" w:rsidRDefault="00F063B3" w:rsidP="00F063B3">
            <w:pPr>
              <w:spacing w:before="20" w:after="20"/>
              <w:rPr>
                <w:rFonts w:cs="Arial"/>
                <w:sz w:val="20"/>
                <w:szCs w:val="20"/>
              </w:rPr>
            </w:pPr>
            <w:r>
              <w:rPr>
                <w:rFonts w:cs="Calibri Light"/>
                <w:sz w:val="20"/>
                <w:szCs w:val="20"/>
              </w:rPr>
              <w:t>Workpaper measure adoption by P</w:t>
            </w:r>
            <w:bookmarkStart w:id="79" w:name="_GoBack"/>
            <w:bookmarkEnd w:id="79"/>
            <w:r>
              <w:rPr>
                <w:rFonts w:cs="Calibri Light"/>
                <w:sz w:val="20"/>
                <w:szCs w:val="20"/>
              </w:rPr>
              <w:t>G&amp;E, no changes to energy efficiency savings or cost. Updated Ex-ante Implementation data table. No other changes.</w:t>
            </w:r>
          </w:p>
        </w:tc>
      </w:tr>
      <w:bookmarkEnd w:id="73"/>
      <w:bookmarkEnd w:id="77"/>
      <w:bookmarkEnd w:id="78"/>
    </w:tbl>
    <w:p w14:paraId="25B23A53" w14:textId="1B191A42" w:rsidR="009F0742" w:rsidRPr="009F0742" w:rsidRDefault="009F0742" w:rsidP="00AE15ED"/>
    <w:sectPr w:rsidR="009F0742" w:rsidRPr="009F0742" w:rsidSect="005F505E">
      <w:headerReference w:type="default" r:id="rId25"/>
      <w:headerReference w:type="first" r:id="rId2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D3F23" w14:textId="77777777" w:rsidR="008147B2" w:rsidRDefault="008147B2" w:rsidP="00A2690C">
      <w:r>
        <w:separator/>
      </w:r>
    </w:p>
    <w:p w14:paraId="24DBE946" w14:textId="77777777" w:rsidR="008147B2" w:rsidRDefault="008147B2"/>
  </w:endnote>
  <w:endnote w:type="continuationSeparator" w:id="0">
    <w:p w14:paraId="0919F80C" w14:textId="77777777" w:rsidR="008147B2" w:rsidRDefault="008147B2" w:rsidP="00A2690C">
      <w:r>
        <w:continuationSeparator/>
      </w:r>
    </w:p>
    <w:p w14:paraId="444DA3E6" w14:textId="77777777" w:rsidR="008147B2" w:rsidRDefault="008147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00000001"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altName w:val="Calibri"/>
    <w:panose1 w:val="020F0502020204030204"/>
    <w:charset w:val="00"/>
    <w:family w:val="swiss"/>
    <w:pitch w:val="variable"/>
    <w:sig w:usb0="E4002EFF" w:usb1="C000247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A53F5F" w:rsidRDefault="00A53F5F"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3" name="Picture 3"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A53F5F" w:rsidRPr="00B837C1" w:rsidRDefault="00A53F5F"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A53F5F" w:rsidRDefault="00A53F5F"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A53F5F" w:rsidRPr="00B837C1" w:rsidRDefault="00A53F5F"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19</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A53F5F" w:rsidRDefault="00A53F5F"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0" name="Picture 1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A53F5F" w:rsidRPr="005F505E" w:rsidRDefault="00A53F5F"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7F9E1" w14:textId="77777777" w:rsidR="008147B2" w:rsidRDefault="008147B2" w:rsidP="00A2690C">
      <w:r>
        <w:separator/>
      </w:r>
    </w:p>
    <w:p w14:paraId="248A0501" w14:textId="77777777" w:rsidR="008147B2" w:rsidRDefault="008147B2"/>
  </w:footnote>
  <w:footnote w:type="continuationSeparator" w:id="0">
    <w:p w14:paraId="2DB44B60" w14:textId="77777777" w:rsidR="008147B2" w:rsidRDefault="008147B2" w:rsidP="00A2690C">
      <w:r>
        <w:continuationSeparator/>
      </w:r>
    </w:p>
    <w:p w14:paraId="78BC683B" w14:textId="77777777" w:rsidR="008147B2" w:rsidRDefault="008147B2"/>
  </w:footnote>
  <w:footnote w:id="1">
    <w:p w14:paraId="2F9F7987" w14:textId="44CBEE06" w:rsidR="00A53F5F" w:rsidRDefault="00A53F5F">
      <w:pPr>
        <w:pStyle w:val="FootnoteText"/>
      </w:pPr>
      <w:r>
        <w:rPr>
          <w:rStyle w:val="FootnoteReference"/>
        </w:rPr>
        <w:footnoteRef/>
      </w:r>
      <w:r>
        <w:t xml:space="preserve"> </w:t>
      </w:r>
      <w:r w:rsidRPr="00997505">
        <w:rPr>
          <w:iCs/>
          <w:sz w:val="20"/>
          <w:szCs w:val="20"/>
        </w:rPr>
        <w:t>Cleaver Brooks</w:t>
      </w:r>
      <w:r>
        <w:rPr>
          <w:iCs/>
          <w:sz w:val="20"/>
          <w:szCs w:val="20"/>
        </w:rPr>
        <w:t>. (n.d.)</w:t>
      </w:r>
      <w:r w:rsidRPr="00997505">
        <w:rPr>
          <w:iCs/>
          <w:sz w:val="20"/>
          <w:szCs w:val="20"/>
        </w:rPr>
        <w:t xml:space="preserve"> </w:t>
      </w:r>
      <w:r w:rsidRPr="005D34D3">
        <w:rPr>
          <w:i/>
          <w:sz w:val="20"/>
          <w:szCs w:val="20"/>
        </w:rPr>
        <w:t>C2X-HE</w:t>
      </w:r>
      <w:r>
        <w:rPr>
          <w:iCs/>
          <w:sz w:val="20"/>
          <w:szCs w:val="20"/>
        </w:rPr>
        <w:t>.</w:t>
      </w:r>
      <w:r w:rsidRPr="00997505">
        <w:rPr>
          <w:iCs/>
          <w:sz w:val="20"/>
          <w:szCs w:val="20"/>
        </w:rPr>
        <w:t xml:space="preserve"> </w:t>
      </w:r>
    </w:p>
  </w:footnote>
  <w:footnote w:id="2">
    <w:p w14:paraId="79F6520D" w14:textId="04B8DB47" w:rsidR="00A53F5F" w:rsidRPr="00030C03" w:rsidRDefault="00A53F5F" w:rsidP="00E8225A">
      <w:pPr>
        <w:pStyle w:val="EndnoteText"/>
        <w:rPr>
          <w:szCs w:val="18"/>
        </w:rPr>
      </w:pPr>
      <w:r>
        <w:rPr>
          <w:rStyle w:val="EndnoteReference"/>
        </w:rPr>
        <w:footnoteRef/>
      </w:r>
      <w:r>
        <w:t xml:space="preserve"> </w:t>
      </w:r>
      <w:r w:rsidRPr="00962472">
        <w:rPr>
          <w:rStyle w:val="eTRMFootnoteTextChar"/>
        </w:rPr>
        <w:t xml:space="preserve">U.S. Department of Energy (DOE), Energy Efficiency and Renewable Energy, Advanced Manufacturing Office. 2012. </w:t>
      </w:r>
      <w:r w:rsidRPr="00962472">
        <w:rPr>
          <w:rStyle w:val="eTRMFootnoteTextChar"/>
          <w:i/>
          <w:iCs/>
        </w:rPr>
        <w:t>Energy Tips: STEAM. Steam Tip Sheet #</w:t>
      </w:r>
      <w:r w:rsidRPr="00962472">
        <w:rPr>
          <w:rStyle w:val="eTRMFootnoteTextChar"/>
          <w:i/>
          <w:iCs/>
          <w:lang w:val="en-US"/>
        </w:rPr>
        <w:t>3</w:t>
      </w:r>
      <w:r w:rsidRPr="00962472">
        <w:rPr>
          <w:rStyle w:val="eTRMFootnoteTextChar"/>
          <w:i/>
          <w:iCs/>
        </w:rPr>
        <w:t xml:space="preserve">. </w:t>
      </w:r>
      <w:r w:rsidRPr="00962472">
        <w:rPr>
          <w:rStyle w:val="eTRMFootnoteTextChar"/>
          <w:i/>
          <w:iCs/>
          <w:lang w:val="en-US"/>
        </w:rPr>
        <w:t>Use Feedwater Economizers for Waste Heat Recovery</w:t>
      </w:r>
      <w:r w:rsidRPr="00962472">
        <w:rPr>
          <w:rStyle w:val="eTRMFootnoteTextChar"/>
          <w:i/>
          <w:iCs/>
        </w:rPr>
        <w:t>.</w:t>
      </w:r>
      <w:r w:rsidRPr="00962472">
        <w:rPr>
          <w:rStyle w:val="eTRMFootnoteTextChar"/>
        </w:rPr>
        <w:t xml:space="preserve"> DOE/GO0102012-3393. January.</w:t>
      </w:r>
    </w:p>
  </w:footnote>
  <w:footnote w:id="3">
    <w:p w14:paraId="35B1EDD4" w14:textId="77777777" w:rsidR="00A53F5F" w:rsidRPr="00FD1785" w:rsidRDefault="00A53F5F" w:rsidP="00A42921">
      <w:pPr>
        <w:pStyle w:val="EndnoteText"/>
        <w:rPr>
          <w:szCs w:val="18"/>
        </w:rPr>
      </w:pPr>
      <w:r>
        <w:rPr>
          <w:rStyle w:val="FootnoteReference"/>
        </w:rPr>
        <w:footnoteRef/>
      </w:r>
      <w:r>
        <w:t xml:space="preserve"> </w:t>
      </w:r>
      <w:r w:rsidRPr="00962472">
        <w:rPr>
          <w:rStyle w:val="eTRMFootnoteTextChar"/>
        </w:rPr>
        <w:t xml:space="preserve">U.S. Department of Energy (DOE), Energy Efficiency and Renewable Energy, Advanced Manufacturing Office. 2012. </w:t>
      </w:r>
      <w:r w:rsidRPr="00962472">
        <w:rPr>
          <w:rStyle w:val="eTRMFootnoteTextChar"/>
          <w:i/>
          <w:iCs/>
        </w:rPr>
        <w:t xml:space="preserve">Energy Tips: STEAM. Steam Tip Sheet #26B. Considerations When Selecting a Condensing Economizer. </w:t>
      </w:r>
      <w:r w:rsidRPr="00962472">
        <w:rPr>
          <w:rStyle w:val="eTRMFootnoteTextChar"/>
        </w:rPr>
        <w:t>DOE/GO0102012-3393. January.</w:t>
      </w:r>
    </w:p>
  </w:footnote>
  <w:footnote w:id="4">
    <w:p w14:paraId="1F7F463B" w14:textId="02DE7A8A" w:rsidR="00A53F5F" w:rsidRDefault="00A53F5F">
      <w:pPr>
        <w:pStyle w:val="FootnoteText"/>
      </w:pPr>
      <w:r>
        <w:rPr>
          <w:rStyle w:val="FootnoteReference"/>
        </w:rPr>
        <w:footnoteRef/>
      </w:r>
      <w:r>
        <w:t xml:space="preserve"> U.S. Department of Energy (DOE), Energy Efficiency and Renewable Energy, Advanced Manufacturing Office. 2012. </w:t>
      </w:r>
      <w:r w:rsidRPr="001C5264">
        <w:rPr>
          <w:i/>
          <w:iCs/>
        </w:rPr>
        <w:t>Energy Tips: STEAM. Steam Tip Sheet #26A.</w:t>
      </w:r>
      <w:r>
        <w:t xml:space="preserve"> </w:t>
      </w:r>
      <w:r w:rsidRPr="00962472">
        <w:rPr>
          <w:i/>
          <w:iCs/>
        </w:rPr>
        <w:t>Consider Installing a Condensing Economizer.</w:t>
      </w:r>
      <w:r>
        <w:t xml:space="preserve"> DOE/GO0102012-3393. January. Page 1.</w:t>
      </w:r>
    </w:p>
    <w:p w14:paraId="2771428E" w14:textId="581101CF" w:rsidR="00A53F5F" w:rsidRDefault="00A53F5F">
      <w:pPr>
        <w:pStyle w:val="FootnoteText"/>
      </w:pPr>
      <w:r>
        <w:t>Zaidi, A. (Enbridge Gas Distribution, Inc.). 2008. “Boiler Heat Recovery with Condensing Economizers.” Presented to ESC TMAF. February 20.</w:t>
      </w:r>
    </w:p>
  </w:footnote>
  <w:footnote w:id="5">
    <w:p w14:paraId="7E6113DC" w14:textId="62D64BBB" w:rsidR="00A53F5F" w:rsidRDefault="00A53F5F">
      <w:pPr>
        <w:pStyle w:val="FootnoteText"/>
      </w:pPr>
      <w:r>
        <w:rPr>
          <w:rStyle w:val="FootnoteReference"/>
        </w:rPr>
        <w:footnoteRef/>
      </w:r>
      <w:r>
        <w:t xml:space="preserve"> U.S. Department of Energy (DOE), Energy Efficiency and Renewable Energy, Advanced Manufacturing Office. 2012. </w:t>
      </w:r>
      <w:r w:rsidRPr="001C5264">
        <w:rPr>
          <w:i/>
          <w:iCs/>
        </w:rPr>
        <w:t>Energy Tips: STEAM. Steam Tip Sheet #26A.</w:t>
      </w:r>
      <w:r>
        <w:t xml:space="preserve"> </w:t>
      </w:r>
      <w:r w:rsidRPr="00962472">
        <w:rPr>
          <w:i/>
          <w:iCs/>
        </w:rPr>
        <w:t>Consider Installing a Condensing Economizer.</w:t>
      </w:r>
      <w:r>
        <w:t xml:space="preserve"> DOE/GO0102012-3393. January.</w:t>
      </w:r>
    </w:p>
  </w:footnote>
  <w:footnote w:id="6">
    <w:p w14:paraId="4E492C59" w14:textId="4DB98128" w:rsidR="00A53F5F" w:rsidRDefault="00A53F5F" w:rsidP="00FD1785">
      <w:pPr>
        <w:pStyle w:val="FootnoteText"/>
      </w:pPr>
      <w:r>
        <w:rPr>
          <w:rStyle w:val="FootnoteReference"/>
        </w:rPr>
        <w:footnoteRef/>
      </w:r>
      <w:r>
        <w:t xml:space="preserve"> Zaidi, A. (Enbridge Gas Distribution, Inc.). 2008. “Boiler Heat Recovery with Condensing Economizers.” Presented to ESC TMAF. February 20.</w:t>
      </w:r>
    </w:p>
  </w:footnote>
  <w:footnote w:id="7">
    <w:p w14:paraId="25B6E153" w14:textId="3578AFF4" w:rsidR="00A53F5F" w:rsidRDefault="00A53F5F" w:rsidP="00962472">
      <w:pPr>
        <w:pStyle w:val="FootnoteText"/>
      </w:pPr>
      <w:r>
        <w:rPr>
          <w:rStyle w:val="FootnoteReference"/>
        </w:rPr>
        <w:footnoteRef/>
      </w:r>
      <w:r>
        <w:t xml:space="preserve"> U.S. Department of Energy (DOE), Energy Efficiency and Renewable Energy, Advanced Manufacturing Office. 2012. </w:t>
      </w:r>
      <w:r w:rsidRPr="001C5264">
        <w:rPr>
          <w:i/>
          <w:iCs/>
        </w:rPr>
        <w:t>Energy Tips: STEAM. Steam Tip Sheet #26A.</w:t>
      </w:r>
      <w:r>
        <w:t xml:space="preserve"> </w:t>
      </w:r>
      <w:r w:rsidRPr="00962472">
        <w:rPr>
          <w:i/>
          <w:iCs/>
        </w:rPr>
        <w:t>Consider Installing a Condensing Economizer.</w:t>
      </w:r>
      <w:r>
        <w:t xml:space="preserve"> DOE/GO0102012-3393. January.</w:t>
      </w:r>
    </w:p>
    <w:p w14:paraId="058A41BA" w14:textId="73EEF47B" w:rsidR="00A53F5F" w:rsidRDefault="00A53F5F" w:rsidP="00962472">
      <w:pPr>
        <w:pStyle w:val="FootnoteText"/>
      </w:pPr>
      <w:r>
        <w:t>Zaidi, A. (Enbridge Gas Distribution, Inc.). 2008. “Boiler Heat Recovery with Condensing Economizers.” Presented to ESC TMAF. February 20.</w:t>
      </w:r>
    </w:p>
  </w:footnote>
  <w:footnote w:id="8">
    <w:p w14:paraId="4FDC97DC" w14:textId="704AA12D" w:rsidR="00A53F5F" w:rsidRDefault="00A53F5F" w:rsidP="00962472">
      <w:pPr>
        <w:pStyle w:val="FootnoteText"/>
      </w:pPr>
      <w:r>
        <w:rPr>
          <w:rStyle w:val="FootnoteReference"/>
        </w:rPr>
        <w:footnoteRef/>
      </w:r>
      <w:r>
        <w:t xml:space="preserve"> U.S. Department of Energy (DOE), Energy Efficiency and Renewable Energy, Advanced Manufacturing Office. 2012. </w:t>
      </w:r>
      <w:r w:rsidRPr="001C5264">
        <w:rPr>
          <w:i/>
          <w:iCs/>
        </w:rPr>
        <w:t>Energy Tips: STEAM. Steam Tip Sheet #26A.</w:t>
      </w:r>
      <w:r>
        <w:t xml:space="preserve"> </w:t>
      </w:r>
      <w:r w:rsidRPr="00962472">
        <w:rPr>
          <w:i/>
          <w:iCs/>
        </w:rPr>
        <w:t>Consider Installing a Condensing Economizer.</w:t>
      </w:r>
      <w:r>
        <w:t xml:space="preserve"> DOE/GO0102012-3393. January. </w:t>
      </w:r>
    </w:p>
    <w:p w14:paraId="55ADF6B8" w14:textId="5CBAA7E4" w:rsidR="00A53F5F" w:rsidRDefault="00A53F5F" w:rsidP="00962472">
      <w:pPr>
        <w:pStyle w:val="FootnoteText"/>
      </w:pPr>
      <w:r>
        <w:t>Zaidi, A. (Enbridge Gas Distribution, Inc.). 2008. “Boiler Heat Recovery with Condensing Economizers.” Presented to ESC TMAF. February 20.</w:t>
      </w:r>
    </w:p>
  </w:footnote>
  <w:footnote w:id="9">
    <w:p w14:paraId="0A3F8DB2" w14:textId="77777777" w:rsidR="00A53F5F" w:rsidRPr="00F636D5" w:rsidRDefault="00A53F5F" w:rsidP="00F636D5">
      <w:pPr>
        <w:rPr>
          <w:sz w:val="18"/>
          <w:szCs w:val="20"/>
        </w:rPr>
      </w:pPr>
      <w:r>
        <w:rPr>
          <w:rStyle w:val="FootnoteReference"/>
        </w:rPr>
        <w:footnoteRef/>
      </w:r>
      <w:r>
        <w:t xml:space="preserve"> </w:t>
      </w:r>
      <w:r w:rsidRPr="00F636D5">
        <w:rPr>
          <w:sz w:val="18"/>
          <w:szCs w:val="20"/>
        </w:rPr>
        <w:t xml:space="preserve">California Energy Commission (CEC). 2018. </w:t>
      </w:r>
      <w:r w:rsidRPr="00F636D5">
        <w:rPr>
          <w:rStyle w:val="Emphasis"/>
          <w:sz w:val="18"/>
          <w:szCs w:val="20"/>
        </w:rPr>
        <w:t>2019 Building Energy Efficiency Standards for Residential and Nonresidential Buildings (Title 24)</w:t>
      </w:r>
      <w:r w:rsidRPr="00F636D5">
        <w:rPr>
          <w:sz w:val="18"/>
          <w:szCs w:val="20"/>
        </w:rPr>
        <w:t xml:space="preserve">. CEC-400-2018-020-CMF. Table 110.2-K. </w:t>
      </w:r>
    </w:p>
    <w:p w14:paraId="7C61BE79" w14:textId="78CD20B3" w:rsidR="00A53F5F" w:rsidRDefault="00A53F5F" w:rsidP="00F636D5">
      <w:pPr>
        <w:pStyle w:val="FootnoteText"/>
      </w:pPr>
      <w:r w:rsidRPr="00F636D5">
        <w:rPr>
          <w:szCs w:val="20"/>
        </w:rPr>
        <w:t xml:space="preserve">California Energy Commission (CEC). 2019. </w:t>
      </w:r>
      <w:r w:rsidRPr="00F636D5">
        <w:rPr>
          <w:rStyle w:val="Emphasis"/>
          <w:szCs w:val="20"/>
        </w:rPr>
        <w:t>California Code of Regulations Title 20 Public Utilities and Energy.</w:t>
      </w:r>
      <w:r w:rsidRPr="00F636D5">
        <w:rPr>
          <w:szCs w:val="20"/>
        </w:rPr>
        <w:t> CEC-140-2019-002. Table E-4.</w:t>
      </w:r>
    </w:p>
  </w:footnote>
  <w:footnote w:id="10">
    <w:p w14:paraId="08E2B4E9" w14:textId="63C9DCC6" w:rsidR="00A53F5F" w:rsidRDefault="00A53F5F" w:rsidP="00091462">
      <w:pPr>
        <w:pStyle w:val="FootnoteText"/>
      </w:pPr>
      <w:r>
        <w:rPr>
          <w:rStyle w:val="FootnoteReference"/>
        </w:rPr>
        <w:footnoteRef/>
      </w:r>
      <w:r>
        <w:t xml:space="preserve"> </w:t>
      </w:r>
      <w:r w:rsidRPr="00030C03">
        <w:rPr>
          <w:szCs w:val="18"/>
        </w:rPr>
        <w:t>Itron and ERS</w:t>
      </w:r>
      <w:r>
        <w:rPr>
          <w:szCs w:val="18"/>
        </w:rPr>
        <w:t xml:space="preserve">. 2019. </w:t>
      </w:r>
      <w:r w:rsidRPr="0059067E">
        <w:rPr>
          <w:i/>
          <w:iCs/>
          <w:szCs w:val="18"/>
        </w:rPr>
        <w:t xml:space="preserve">2017 Small/Medium Commercial Sector ESPI Impact Evaluation Draft Report. </w:t>
      </w:r>
      <w:r>
        <w:rPr>
          <w:szCs w:val="18"/>
        </w:rPr>
        <w:t xml:space="preserve">Prepared for the California Public Utilities Commission. </w:t>
      </w:r>
      <w:r w:rsidRPr="00030C03">
        <w:rPr>
          <w:szCs w:val="18"/>
        </w:rPr>
        <w:t>March</w:t>
      </w:r>
      <w:r>
        <w:rPr>
          <w:szCs w:val="18"/>
        </w:rPr>
        <w:t xml:space="preserve"> 1. </w:t>
      </w:r>
    </w:p>
  </w:footnote>
  <w:footnote w:id="11">
    <w:p w14:paraId="4548894D" w14:textId="77777777" w:rsidR="00A53F5F" w:rsidRDefault="00A53F5F" w:rsidP="004D048B">
      <w:pPr>
        <w:pStyle w:val="FootnoteText"/>
      </w:pPr>
      <w:r>
        <w:rPr>
          <w:rStyle w:val="FootnoteReference"/>
        </w:rPr>
        <w:footnoteRef/>
      </w:r>
      <w:r>
        <w:t xml:space="preserve"> Energy and Environmental Analysis, Inc. 2005. </w:t>
      </w:r>
      <w:r w:rsidRPr="00EE3802">
        <w:rPr>
          <w:i/>
        </w:rPr>
        <w:t>Characterization of the US Industrial/Commercial Boiler Population</w:t>
      </w:r>
      <w:r>
        <w:t>. Conducted for the Oak Ridge National Laboratory. Chapter 2.</w:t>
      </w:r>
    </w:p>
  </w:footnote>
  <w:footnote w:id="12">
    <w:p w14:paraId="0AC83554" w14:textId="77777777" w:rsidR="00A53F5F" w:rsidRDefault="00A53F5F" w:rsidP="004D048B">
      <w:pPr>
        <w:pStyle w:val="FootnoteText"/>
      </w:pPr>
      <w:r>
        <w:rPr>
          <w:rStyle w:val="FootnoteReference"/>
        </w:rPr>
        <w:footnoteRef/>
      </w:r>
      <w:r>
        <w:t xml:space="preserve"> Energy and Environmental Analysis, Inc. 2005. </w:t>
      </w:r>
      <w:r w:rsidRPr="00EE3802">
        <w:rPr>
          <w:i/>
        </w:rPr>
        <w:t>Characterization of the US Industrial/Commercial Boiler Population</w:t>
      </w:r>
      <w:r>
        <w:t>. Conducted for the Oak Ridge National Laboratory. Table 2-1, page 2-1.</w:t>
      </w:r>
    </w:p>
  </w:footnote>
  <w:footnote w:id="13">
    <w:p w14:paraId="3DB28FA3" w14:textId="77777777" w:rsidR="00A53F5F" w:rsidRDefault="00A53F5F" w:rsidP="004D048B">
      <w:pPr>
        <w:pStyle w:val="FootnoteText"/>
      </w:pPr>
      <w:r>
        <w:rPr>
          <w:rStyle w:val="FootnoteReference"/>
        </w:rPr>
        <w:footnoteRef/>
      </w:r>
      <w:r>
        <w:t xml:space="preserve"> </w:t>
      </w:r>
      <w:r w:rsidRPr="00E928E0">
        <w:t>U.S. Department of Commerce, Bureau of Economic Analysis. 2008. "Regional Economic Accounts: Gross Domestic Products by State." http://www.bea.gov/regional/gsp/.  Accessed on January 8, 2008.</w:t>
      </w:r>
    </w:p>
  </w:footnote>
  <w:footnote w:id="14">
    <w:p w14:paraId="1A62867D" w14:textId="315BD177" w:rsidR="00A53F5F" w:rsidRDefault="00A53F5F" w:rsidP="004D07F6">
      <w:pPr>
        <w:pStyle w:val="Default"/>
      </w:pPr>
      <w:r>
        <w:rPr>
          <w:rStyle w:val="FootnoteReference"/>
        </w:rPr>
        <w:footnoteRef/>
      </w:r>
      <w:r>
        <w:t xml:space="preserve"> </w:t>
      </w:r>
      <w:r w:rsidRPr="004D07F6">
        <w:rPr>
          <w:rStyle w:val="eTRMFootnoteTextChar"/>
        </w:rPr>
        <w:t xml:space="preserve">Southern California Gas Company (SCG). 2018. </w:t>
      </w:r>
      <w:r w:rsidRPr="004D07F6">
        <w:rPr>
          <w:rStyle w:val="eTRMFootnoteTextChar"/>
          <w:i/>
          <w:iCs/>
        </w:rPr>
        <w:t>Energy Efficiency Calculation Incentive Program (EECIP) Post-Installation Report. Report/Project No.: CUSTOMER X1D.16S.</w:t>
      </w:r>
      <w:r w:rsidRPr="004D07F6">
        <w:rPr>
          <w:rFonts w:ascii="Calibri" w:hAnsi="Calibri" w:cs="Calibri"/>
          <w:i/>
          <w:iCs/>
          <w:sz w:val="23"/>
          <w:szCs w:val="23"/>
        </w:rPr>
        <w:t xml:space="preserve"> </w:t>
      </w:r>
    </w:p>
  </w:footnote>
  <w:footnote w:id="15">
    <w:p w14:paraId="3DC40303" w14:textId="77777777" w:rsidR="00A53F5F" w:rsidRDefault="00A53F5F" w:rsidP="00774758">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6">
    <w:p w14:paraId="23B46907" w14:textId="77777777" w:rsidR="00A53F5F" w:rsidRDefault="00A53F5F" w:rsidP="00774758">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7">
    <w:p w14:paraId="5B2DEA56" w14:textId="77777777" w:rsidR="00A53F5F" w:rsidRDefault="00A53F5F" w:rsidP="00774758">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A53F5F" w:rsidRPr="000220A0" w:rsidRDefault="00A53F5F"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A53F5F" w:rsidRDefault="00A53F5F">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A53F5F" w:rsidRDefault="00A53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A53F5F" w:rsidRDefault="00A53F5F" w:rsidP="00BD221D">
    <w:pPr>
      <w:jc w:val="center"/>
    </w:pPr>
  </w:p>
  <w:p w14:paraId="342310D5" w14:textId="5BACBCD8" w:rsidR="00A53F5F" w:rsidRDefault="00A53F5F" w:rsidP="00BD221D">
    <w:pPr>
      <w:jc w:val="center"/>
    </w:pPr>
    <w:r>
      <w:rPr>
        <w:noProof/>
      </w:rPr>
      <w:drawing>
        <wp:inline distT="0" distB="0" distL="0" distR="0" wp14:anchorId="4B2AF0A8" wp14:editId="7258E71E">
          <wp:extent cx="937307" cy="1405961"/>
          <wp:effectExtent l="0" t="0" r="2540" b="0"/>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4DE52607" w:rsidR="00A53F5F" w:rsidRDefault="00A53F5F" w:rsidP="001D7A57">
    <w:pPr>
      <w:pStyle w:val="Header"/>
    </w:pPr>
    <w:r>
      <w:rPr>
        <w:rFonts w:ascii="Calibri Light" w:hAnsi="Calibri Light"/>
        <w:color w:val="8DC63F"/>
      </w:rPr>
      <w:t xml:space="preserve">PROCESS </w:t>
    </w:r>
    <w:r w:rsidRPr="00181E01">
      <w:rPr>
        <w:rFonts w:ascii="Calibri Light" w:hAnsi="Calibri Light"/>
        <w:color w:val="8DC63F"/>
      </w:rPr>
      <w:sym w:font="Wingdings" w:char="F06E"/>
    </w:r>
    <w:r w:rsidRPr="000220A0">
      <w:rPr>
        <w:rFonts w:ascii="Calibri Light" w:hAnsi="Calibri Light"/>
      </w:rPr>
      <w:t xml:space="preserve">  </w:t>
    </w:r>
    <w:r>
      <w:rPr>
        <w:b/>
        <w:bCs/>
      </w:rPr>
      <w:t>Steam Boiler Economizer, Industrial</w:t>
    </w:r>
  </w:p>
  <w:p w14:paraId="2AC97B25" w14:textId="77777777" w:rsidR="00A53F5F" w:rsidRDefault="00A53F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A53F5F" w:rsidRDefault="00A53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A6FE8"/>
    <w:multiLevelType w:val="hybridMultilevel"/>
    <w:tmpl w:val="D870EC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E34B93"/>
    <w:multiLevelType w:val="hybridMultilevel"/>
    <w:tmpl w:val="1ED41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F7741"/>
    <w:multiLevelType w:val="hybridMultilevel"/>
    <w:tmpl w:val="B1D84DE8"/>
    <w:lvl w:ilvl="0" w:tplc="1736DC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26123"/>
    <w:multiLevelType w:val="hybridMultilevel"/>
    <w:tmpl w:val="A4DE6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5004F"/>
    <w:multiLevelType w:val="hybridMultilevel"/>
    <w:tmpl w:val="ECBED3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62D6D"/>
    <w:multiLevelType w:val="hybridMultilevel"/>
    <w:tmpl w:val="CB60D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B37DB7"/>
    <w:multiLevelType w:val="hybridMultilevel"/>
    <w:tmpl w:val="58BE04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6B1A0B"/>
    <w:multiLevelType w:val="hybridMultilevel"/>
    <w:tmpl w:val="A734F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6407BD"/>
    <w:multiLevelType w:val="hybridMultilevel"/>
    <w:tmpl w:val="E6D4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7207D9C"/>
    <w:multiLevelType w:val="hybridMultilevel"/>
    <w:tmpl w:val="36A836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56015"/>
    <w:multiLevelType w:val="hybridMultilevel"/>
    <w:tmpl w:val="37BCB660"/>
    <w:lvl w:ilvl="0" w:tplc="E814DB36">
      <w:start w:val="17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3CCD3212"/>
    <w:multiLevelType w:val="hybridMultilevel"/>
    <w:tmpl w:val="66343926"/>
    <w:lvl w:ilvl="0" w:tplc="DB8AC1F4">
      <w:start w:val="170"/>
      <w:numFmt w:val="bullet"/>
      <w:lvlText w:val=""/>
      <w:lvlJc w:val="left"/>
      <w:pPr>
        <w:ind w:left="360" w:hanging="360"/>
      </w:pPr>
      <w:rPr>
        <w:rFonts w:ascii="Symbol" w:eastAsiaTheme="minorEastAsia"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3D50405"/>
    <w:multiLevelType w:val="hybridMultilevel"/>
    <w:tmpl w:val="2B34D9AC"/>
    <w:lvl w:ilvl="0" w:tplc="35EC1D1C">
      <w:start w:val="17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5BD1A09"/>
    <w:multiLevelType w:val="hybridMultilevel"/>
    <w:tmpl w:val="BCE8A05E"/>
    <w:lvl w:ilvl="0" w:tplc="BB58D16C">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021832"/>
    <w:multiLevelType w:val="hybridMultilevel"/>
    <w:tmpl w:val="F4223B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C64C78"/>
    <w:multiLevelType w:val="hybridMultilevel"/>
    <w:tmpl w:val="A306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B3BD6"/>
    <w:multiLevelType w:val="hybridMultilevel"/>
    <w:tmpl w:val="909AF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4304E"/>
    <w:multiLevelType w:val="hybridMultilevel"/>
    <w:tmpl w:val="B066E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89507B0"/>
    <w:multiLevelType w:val="hybridMultilevel"/>
    <w:tmpl w:val="24BC8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39389E"/>
    <w:multiLevelType w:val="hybridMultilevel"/>
    <w:tmpl w:val="4A588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044B6C"/>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1"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A048BC"/>
    <w:multiLevelType w:val="hybridMultilevel"/>
    <w:tmpl w:val="36A836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137320"/>
    <w:multiLevelType w:val="hybridMultilevel"/>
    <w:tmpl w:val="5D8E8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8" w15:restartNumberingAfterBreak="0">
    <w:nsid w:val="7635289E"/>
    <w:multiLevelType w:val="hybridMultilevel"/>
    <w:tmpl w:val="63F894B2"/>
    <w:lvl w:ilvl="0" w:tplc="04090001">
      <w:start w:val="1"/>
      <w:numFmt w:val="bullet"/>
      <w:lvlText w:val=""/>
      <w:lvlJc w:val="left"/>
      <w:pPr>
        <w:ind w:left="360" w:hanging="360"/>
      </w:pPr>
      <w:rPr>
        <w:rFonts w:ascii="Symbol" w:hAnsi="Symbol" w:hint="default"/>
      </w:rPr>
    </w:lvl>
    <w:lvl w:ilvl="1" w:tplc="F10E6E72">
      <w:numFmt w:val="bullet"/>
      <w:lvlText w:val="•"/>
      <w:lvlJc w:val="left"/>
      <w:pPr>
        <w:ind w:left="1080" w:hanging="360"/>
      </w:pPr>
      <w:rPr>
        <w:rFonts w:ascii="Arial" w:eastAsiaTheme="minorHAnsi" w:hAnsi="Arial" w:cs="Aria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CD9767F"/>
    <w:multiLevelType w:val="hybridMultilevel"/>
    <w:tmpl w:val="794A77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5"/>
  </w:num>
  <w:num w:numId="3">
    <w:abstractNumId w:val="37"/>
  </w:num>
  <w:num w:numId="4">
    <w:abstractNumId w:val="37"/>
  </w:num>
  <w:num w:numId="5">
    <w:abstractNumId w:val="30"/>
    <w:lvlOverride w:ilvl="0">
      <w:lvl w:ilvl="0">
        <w:start w:val="1"/>
        <w:numFmt w:val="decimal"/>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9"/>
  </w:num>
  <w:num w:numId="8">
    <w:abstractNumId w:val="34"/>
  </w:num>
  <w:num w:numId="9">
    <w:abstractNumId w:val="0"/>
  </w:num>
  <w:num w:numId="10">
    <w:abstractNumId w:val="36"/>
  </w:num>
  <w:num w:numId="11">
    <w:abstractNumId w:val="11"/>
  </w:num>
  <w:num w:numId="12">
    <w:abstractNumId w:val="5"/>
  </w:num>
  <w:num w:numId="13">
    <w:abstractNumId w:val="31"/>
  </w:num>
  <w:num w:numId="14">
    <w:abstractNumId w:val="24"/>
  </w:num>
  <w:num w:numId="15">
    <w:abstractNumId w:val="7"/>
  </w:num>
  <w:num w:numId="16">
    <w:abstractNumId w:val="3"/>
  </w:num>
  <w:num w:numId="17">
    <w:abstractNumId w:val="38"/>
  </w:num>
  <w:num w:numId="18">
    <w:abstractNumId w:val="29"/>
  </w:num>
  <w:num w:numId="19">
    <w:abstractNumId w:val="4"/>
  </w:num>
  <w:num w:numId="20">
    <w:abstractNumId w:val="4"/>
  </w:num>
  <w:num w:numId="21">
    <w:abstractNumId w:val="14"/>
  </w:num>
  <w:num w:numId="22">
    <w:abstractNumId w:val="16"/>
  </w:num>
  <w:num w:numId="23">
    <w:abstractNumId w:val="32"/>
  </w:num>
  <w:num w:numId="24">
    <w:abstractNumId w:val="8"/>
  </w:num>
  <w:num w:numId="25">
    <w:abstractNumId w:val="26"/>
  </w:num>
  <w:num w:numId="26">
    <w:abstractNumId w:val="12"/>
  </w:num>
  <w:num w:numId="27">
    <w:abstractNumId w:val="23"/>
  </w:num>
  <w:num w:numId="28">
    <w:abstractNumId w:val="2"/>
  </w:num>
  <w:num w:numId="29">
    <w:abstractNumId w:val="25"/>
  </w:num>
  <w:num w:numId="30">
    <w:abstractNumId w:val="6"/>
  </w:num>
  <w:num w:numId="31">
    <w:abstractNumId w:val="39"/>
  </w:num>
  <w:num w:numId="32">
    <w:abstractNumId w:val="33"/>
  </w:num>
  <w:num w:numId="33">
    <w:abstractNumId w:val="10"/>
  </w:num>
  <w:num w:numId="34">
    <w:abstractNumId w:val="13"/>
  </w:num>
  <w:num w:numId="35">
    <w:abstractNumId w:val="27"/>
  </w:num>
  <w:num w:numId="36">
    <w:abstractNumId w:val="28"/>
  </w:num>
  <w:num w:numId="37">
    <w:abstractNumId w:val="22"/>
  </w:num>
  <w:num w:numId="38">
    <w:abstractNumId w:val="20"/>
  </w:num>
  <w:num w:numId="39">
    <w:abstractNumId w:val="17"/>
  </w:num>
  <w:num w:numId="40">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B06"/>
    <w:rsid w:val="000063B0"/>
    <w:rsid w:val="00010BD2"/>
    <w:rsid w:val="000110D9"/>
    <w:rsid w:val="000111AF"/>
    <w:rsid w:val="00016928"/>
    <w:rsid w:val="000220A0"/>
    <w:rsid w:val="00022858"/>
    <w:rsid w:val="000229F1"/>
    <w:rsid w:val="0002389A"/>
    <w:rsid w:val="00025A2B"/>
    <w:rsid w:val="00026D58"/>
    <w:rsid w:val="000302DF"/>
    <w:rsid w:val="000307C6"/>
    <w:rsid w:val="00030C03"/>
    <w:rsid w:val="00031184"/>
    <w:rsid w:val="00036417"/>
    <w:rsid w:val="00036A05"/>
    <w:rsid w:val="00037360"/>
    <w:rsid w:val="00037A06"/>
    <w:rsid w:val="00037EB1"/>
    <w:rsid w:val="00044B74"/>
    <w:rsid w:val="00046358"/>
    <w:rsid w:val="000468F0"/>
    <w:rsid w:val="00046BB0"/>
    <w:rsid w:val="00047432"/>
    <w:rsid w:val="00051DBB"/>
    <w:rsid w:val="00052C95"/>
    <w:rsid w:val="000530E4"/>
    <w:rsid w:val="00053B53"/>
    <w:rsid w:val="0005587A"/>
    <w:rsid w:val="00061D34"/>
    <w:rsid w:val="000621A8"/>
    <w:rsid w:val="00065E54"/>
    <w:rsid w:val="000672CB"/>
    <w:rsid w:val="000672E5"/>
    <w:rsid w:val="00067715"/>
    <w:rsid w:val="00070285"/>
    <w:rsid w:val="00074E3E"/>
    <w:rsid w:val="000767E9"/>
    <w:rsid w:val="0008108C"/>
    <w:rsid w:val="000811DA"/>
    <w:rsid w:val="00082FDE"/>
    <w:rsid w:val="000841AA"/>
    <w:rsid w:val="00084EDF"/>
    <w:rsid w:val="00085726"/>
    <w:rsid w:val="00087FD4"/>
    <w:rsid w:val="00090BBF"/>
    <w:rsid w:val="000910B7"/>
    <w:rsid w:val="00091462"/>
    <w:rsid w:val="00091581"/>
    <w:rsid w:val="00094517"/>
    <w:rsid w:val="00096485"/>
    <w:rsid w:val="00097503"/>
    <w:rsid w:val="000978C8"/>
    <w:rsid w:val="000A270E"/>
    <w:rsid w:val="000A4D3A"/>
    <w:rsid w:val="000A62EF"/>
    <w:rsid w:val="000A6388"/>
    <w:rsid w:val="000A6622"/>
    <w:rsid w:val="000A66B7"/>
    <w:rsid w:val="000A7058"/>
    <w:rsid w:val="000B09AB"/>
    <w:rsid w:val="000B139B"/>
    <w:rsid w:val="000B2DA3"/>
    <w:rsid w:val="000B6004"/>
    <w:rsid w:val="000B7D58"/>
    <w:rsid w:val="000C36B4"/>
    <w:rsid w:val="000C3CAE"/>
    <w:rsid w:val="000C6F53"/>
    <w:rsid w:val="000C72C1"/>
    <w:rsid w:val="000C7B77"/>
    <w:rsid w:val="000D0751"/>
    <w:rsid w:val="000D33BC"/>
    <w:rsid w:val="000D3E86"/>
    <w:rsid w:val="000D4BC0"/>
    <w:rsid w:val="000E044A"/>
    <w:rsid w:val="000F1833"/>
    <w:rsid w:val="000F7BBA"/>
    <w:rsid w:val="00103399"/>
    <w:rsid w:val="0010471F"/>
    <w:rsid w:val="00104933"/>
    <w:rsid w:val="00111A53"/>
    <w:rsid w:val="00112790"/>
    <w:rsid w:val="0011498C"/>
    <w:rsid w:val="00120592"/>
    <w:rsid w:val="001217DF"/>
    <w:rsid w:val="0012187D"/>
    <w:rsid w:val="00123F32"/>
    <w:rsid w:val="00124BFE"/>
    <w:rsid w:val="00125520"/>
    <w:rsid w:val="00126185"/>
    <w:rsid w:val="00126809"/>
    <w:rsid w:val="00126B25"/>
    <w:rsid w:val="00127C09"/>
    <w:rsid w:val="00131C5A"/>
    <w:rsid w:val="00132E1A"/>
    <w:rsid w:val="00142D3C"/>
    <w:rsid w:val="00142E8A"/>
    <w:rsid w:val="001451AB"/>
    <w:rsid w:val="00151B9F"/>
    <w:rsid w:val="00152765"/>
    <w:rsid w:val="00153BB7"/>
    <w:rsid w:val="00154391"/>
    <w:rsid w:val="001564FC"/>
    <w:rsid w:val="00157985"/>
    <w:rsid w:val="00157C47"/>
    <w:rsid w:val="00161070"/>
    <w:rsid w:val="00161DF1"/>
    <w:rsid w:val="001648F6"/>
    <w:rsid w:val="00166B5B"/>
    <w:rsid w:val="00167843"/>
    <w:rsid w:val="00171BB8"/>
    <w:rsid w:val="00172A08"/>
    <w:rsid w:val="0017421C"/>
    <w:rsid w:val="00174707"/>
    <w:rsid w:val="00177EB6"/>
    <w:rsid w:val="00180DAD"/>
    <w:rsid w:val="00181672"/>
    <w:rsid w:val="00181E01"/>
    <w:rsid w:val="0018793D"/>
    <w:rsid w:val="001944A0"/>
    <w:rsid w:val="001944B4"/>
    <w:rsid w:val="00195B03"/>
    <w:rsid w:val="00196649"/>
    <w:rsid w:val="00196E6B"/>
    <w:rsid w:val="001A0376"/>
    <w:rsid w:val="001A11C7"/>
    <w:rsid w:val="001A4BE1"/>
    <w:rsid w:val="001A7A21"/>
    <w:rsid w:val="001B0D29"/>
    <w:rsid w:val="001B1997"/>
    <w:rsid w:val="001B1D23"/>
    <w:rsid w:val="001B426F"/>
    <w:rsid w:val="001C0AD5"/>
    <w:rsid w:val="001C2ACE"/>
    <w:rsid w:val="001C4763"/>
    <w:rsid w:val="001C50B8"/>
    <w:rsid w:val="001C5264"/>
    <w:rsid w:val="001C5A9F"/>
    <w:rsid w:val="001C6C9B"/>
    <w:rsid w:val="001C7134"/>
    <w:rsid w:val="001D01EF"/>
    <w:rsid w:val="001D3312"/>
    <w:rsid w:val="001D638E"/>
    <w:rsid w:val="001D656F"/>
    <w:rsid w:val="001D65A6"/>
    <w:rsid w:val="001D6850"/>
    <w:rsid w:val="001D7A57"/>
    <w:rsid w:val="001E19A3"/>
    <w:rsid w:val="001E4C3F"/>
    <w:rsid w:val="001E6273"/>
    <w:rsid w:val="001E66BD"/>
    <w:rsid w:val="001F00E9"/>
    <w:rsid w:val="001F5DAA"/>
    <w:rsid w:val="001F735E"/>
    <w:rsid w:val="001F7F4A"/>
    <w:rsid w:val="002005A8"/>
    <w:rsid w:val="002006B6"/>
    <w:rsid w:val="00202FFF"/>
    <w:rsid w:val="00205BAF"/>
    <w:rsid w:val="00207A5B"/>
    <w:rsid w:val="00207F85"/>
    <w:rsid w:val="0021226A"/>
    <w:rsid w:val="0021230E"/>
    <w:rsid w:val="00216793"/>
    <w:rsid w:val="00224A16"/>
    <w:rsid w:val="00225142"/>
    <w:rsid w:val="00226694"/>
    <w:rsid w:val="00227BDD"/>
    <w:rsid w:val="002318A4"/>
    <w:rsid w:val="002335FF"/>
    <w:rsid w:val="00233D87"/>
    <w:rsid w:val="0023666C"/>
    <w:rsid w:val="00236692"/>
    <w:rsid w:val="00236E0A"/>
    <w:rsid w:val="00237964"/>
    <w:rsid w:val="002434DE"/>
    <w:rsid w:val="002456B2"/>
    <w:rsid w:val="00245AFF"/>
    <w:rsid w:val="0024628D"/>
    <w:rsid w:val="00246711"/>
    <w:rsid w:val="0024690E"/>
    <w:rsid w:val="00251ABC"/>
    <w:rsid w:val="002524CF"/>
    <w:rsid w:val="002554D6"/>
    <w:rsid w:val="00255B5C"/>
    <w:rsid w:val="00256400"/>
    <w:rsid w:val="002577E0"/>
    <w:rsid w:val="002652D2"/>
    <w:rsid w:val="00265421"/>
    <w:rsid w:val="00271B18"/>
    <w:rsid w:val="00276F9B"/>
    <w:rsid w:val="002778C8"/>
    <w:rsid w:val="00290299"/>
    <w:rsid w:val="002942B0"/>
    <w:rsid w:val="0029555D"/>
    <w:rsid w:val="0029781E"/>
    <w:rsid w:val="002A1953"/>
    <w:rsid w:val="002A1A4E"/>
    <w:rsid w:val="002A2471"/>
    <w:rsid w:val="002A2A94"/>
    <w:rsid w:val="002A68FA"/>
    <w:rsid w:val="002B107C"/>
    <w:rsid w:val="002B2C97"/>
    <w:rsid w:val="002B3BF4"/>
    <w:rsid w:val="002B5C4D"/>
    <w:rsid w:val="002B6DED"/>
    <w:rsid w:val="002B6F2A"/>
    <w:rsid w:val="002C06FC"/>
    <w:rsid w:val="002C1117"/>
    <w:rsid w:val="002C67DF"/>
    <w:rsid w:val="002D0036"/>
    <w:rsid w:val="002D17CE"/>
    <w:rsid w:val="002D29F8"/>
    <w:rsid w:val="002D40EE"/>
    <w:rsid w:val="002D4993"/>
    <w:rsid w:val="002D50E9"/>
    <w:rsid w:val="002D5CFA"/>
    <w:rsid w:val="002D77E4"/>
    <w:rsid w:val="002E5874"/>
    <w:rsid w:val="002E6B96"/>
    <w:rsid w:val="002F036B"/>
    <w:rsid w:val="00300CA3"/>
    <w:rsid w:val="00302A82"/>
    <w:rsid w:val="00304892"/>
    <w:rsid w:val="00310335"/>
    <w:rsid w:val="003103FB"/>
    <w:rsid w:val="00313E1D"/>
    <w:rsid w:val="0031539F"/>
    <w:rsid w:val="0031777A"/>
    <w:rsid w:val="003247FA"/>
    <w:rsid w:val="003309DA"/>
    <w:rsid w:val="00333809"/>
    <w:rsid w:val="00334B29"/>
    <w:rsid w:val="00334B50"/>
    <w:rsid w:val="00336313"/>
    <w:rsid w:val="00337D1D"/>
    <w:rsid w:val="00347625"/>
    <w:rsid w:val="0035060F"/>
    <w:rsid w:val="003517A3"/>
    <w:rsid w:val="00351BCB"/>
    <w:rsid w:val="00352864"/>
    <w:rsid w:val="0035540E"/>
    <w:rsid w:val="00362F9E"/>
    <w:rsid w:val="00363BE8"/>
    <w:rsid w:val="00370B5D"/>
    <w:rsid w:val="00372F61"/>
    <w:rsid w:val="0037560E"/>
    <w:rsid w:val="0038221E"/>
    <w:rsid w:val="00382950"/>
    <w:rsid w:val="00385069"/>
    <w:rsid w:val="00387072"/>
    <w:rsid w:val="00392097"/>
    <w:rsid w:val="00392684"/>
    <w:rsid w:val="00394F3B"/>
    <w:rsid w:val="00396A3D"/>
    <w:rsid w:val="003974D4"/>
    <w:rsid w:val="003A3A92"/>
    <w:rsid w:val="003B06AB"/>
    <w:rsid w:val="003B449F"/>
    <w:rsid w:val="003B4619"/>
    <w:rsid w:val="003B7027"/>
    <w:rsid w:val="003B7610"/>
    <w:rsid w:val="003C1698"/>
    <w:rsid w:val="003C2CC3"/>
    <w:rsid w:val="003C3614"/>
    <w:rsid w:val="003C44AD"/>
    <w:rsid w:val="003C7721"/>
    <w:rsid w:val="003D1FB8"/>
    <w:rsid w:val="003D7104"/>
    <w:rsid w:val="003E1859"/>
    <w:rsid w:val="003E2013"/>
    <w:rsid w:val="003E4FB6"/>
    <w:rsid w:val="003E50CF"/>
    <w:rsid w:val="003E5605"/>
    <w:rsid w:val="003E7BC6"/>
    <w:rsid w:val="003F03C3"/>
    <w:rsid w:val="003F0784"/>
    <w:rsid w:val="003F21D2"/>
    <w:rsid w:val="003F269E"/>
    <w:rsid w:val="003F4964"/>
    <w:rsid w:val="003F5FDC"/>
    <w:rsid w:val="003F65F3"/>
    <w:rsid w:val="00401C43"/>
    <w:rsid w:val="004032ED"/>
    <w:rsid w:val="004046FF"/>
    <w:rsid w:val="00410790"/>
    <w:rsid w:val="00411EF4"/>
    <w:rsid w:val="004133BB"/>
    <w:rsid w:val="004142EF"/>
    <w:rsid w:val="0041566B"/>
    <w:rsid w:val="00416928"/>
    <w:rsid w:val="004204C5"/>
    <w:rsid w:val="00420958"/>
    <w:rsid w:val="00420EF1"/>
    <w:rsid w:val="00421920"/>
    <w:rsid w:val="00423D33"/>
    <w:rsid w:val="004249A0"/>
    <w:rsid w:val="0043155E"/>
    <w:rsid w:val="00431D87"/>
    <w:rsid w:val="004326C6"/>
    <w:rsid w:val="00432D49"/>
    <w:rsid w:val="004339EA"/>
    <w:rsid w:val="00433E8F"/>
    <w:rsid w:val="00434145"/>
    <w:rsid w:val="004442FB"/>
    <w:rsid w:val="0044577B"/>
    <w:rsid w:val="00450D5A"/>
    <w:rsid w:val="00451588"/>
    <w:rsid w:val="004517F1"/>
    <w:rsid w:val="00451FF6"/>
    <w:rsid w:val="0045409C"/>
    <w:rsid w:val="004553DB"/>
    <w:rsid w:val="004556DF"/>
    <w:rsid w:val="00456294"/>
    <w:rsid w:val="00461AE3"/>
    <w:rsid w:val="00462BB6"/>
    <w:rsid w:val="00464A63"/>
    <w:rsid w:val="00466DD6"/>
    <w:rsid w:val="00467069"/>
    <w:rsid w:val="00470002"/>
    <w:rsid w:val="00470670"/>
    <w:rsid w:val="00470B97"/>
    <w:rsid w:val="00472286"/>
    <w:rsid w:val="004728DA"/>
    <w:rsid w:val="004743A7"/>
    <w:rsid w:val="00474DB5"/>
    <w:rsid w:val="00475A47"/>
    <w:rsid w:val="00475D57"/>
    <w:rsid w:val="004831FB"/>
    <w:rsid w:val="00484536"/>
    <w:rsid w:val="00486585"/>
    <w:rsid w:val="0049615E"/>
    <w:rsid w:val="00497289"/>
    <w:rsid w:val="004A06AE"/>
    <w:rsid w:val="004A1F87"/>
    <w:rsid w:val="004A30A1"/>
    <w:rsid w:val="004A510D"/>
    <w:rsid w:val="004A6EBF"/>
    <w:rsid w:val="004B06E3"/>
    <w:rsid w:val="004B0F35"/>
    <w:rsid w:val="004B35DC"/>
    <w:rsid w:val="004B5888"/>
    <w:rsid w:val="004B6780"/>
    <w:rsid w:val="004B7CAA"/>
    <w:rsid w:val="004C2A36"/>
    <w:rsid w:val="004C2CA2"/>
    <w:rsid w:val="004C3663"/>
    <w:rsid w:val="004C3885"/>
    <w:rsid w:val="004C3EA0"/>
    <w:rsid w:val="004C57EC"/>
    <w:rsid w:val="004C69F2"/>
    <w:rsid w:val="004D048B"/>
    <w:rsid w:val="004D07F6"/>
    <w:rsid w:val="004D0C20"/>
    <w:rsid w:val="004D1461"/>
    <w:rsid w:val="004D3A71"/>
    <w:rsid w:val="004D3CE4"/>
    <w:rsid w:val="004D7E51"/>
    <w:rsid w:val="004E04EE"/>
    <w:rsid w:val="004E1B37"/>
    <w:rsid w:val="004E2704"/>
    <w:rsid w:val="004E3F72"/>
    <w:rsid w:val="004E4D01"/>
    <w:rsid w:val="004E787A"/>
    <w:rsid w:val="004F705B"/>
    <w:rsid w:val="00500964"/>
    <w:rsid w:val="00500C66"/>
    <w:rsid w:val="00505B94"/>
    <w:rsid w:val="005073EA"/>
    <w:rsid w:val="005130EC"/>
    <w:rsid w:val="005145E9"/>
    <w:rsid w:val="005146E6"/>
    <w:rsid w:val="0052002D"/>
    <w:rsid w:val="00521102"/>
    <w:rsid w:val="00523298"/>
    <w:rsid w:val="005304BF"/>
    <w:rsid w:val="00535A42"/>
    <w:rsid w:val="0053748E"/>
    <w:rsid w:val="0054246D"/>
    <w:rsid w:val="005433AB"/>
    <w:rsid w:val="005449C6"/>
    <w:rsid w:val="005474B0"/>
    <w:rsid w:val="00556A47"/>
    <w:rsid w:val="0056168C"/>
    <w:rsid w:val="0056177B"/>
    <w:rsid w:val="00566B42"/>
    <w:rsid w:val="00567024"/>
    <w:rsid w:val="0057165C"/>
    <w:rsid w:val="00571D95"/>
    <w:rsid w:val="005722C6"/>
    <w:rsid w:val="00573E67"/>
    <w:rsid w:val="00574255"/>
    <w:rsid w:val="00574FAC"/>
    <w:rsid w:val="00576D26"/>
    <w:rsid w:val="00580FF8"/>
    <w:rsid w:val="00585C8D"/>
    <w:rsid w:val="005862CC"/>
    <w:rsid w:val="00587EE8"/>
    <w:rsid w:val="0059067E"/>
    <w:rsid w:val="005911FE"/>
    <w:rsid w:val="0059312F"/>
    <w:rsid w:val="00593220"/>
    <w:rsid w:val="00593707"/>
    <w:rsid w:val="0059380C"/>
    <w:rsid w:val="00595758"/>
    <w:rsid w:val="00596081"/>
    <w:rsid w:val="005A0EE0"/>
    <w:rsid w:val="005A3943"/>
    <w:rsid w:val="005A51E6"/>
    <w:rsid w:val="005A6312"/>
    <w:rsid w:val="005A632E"/>
    <w:rsid w:val="005A702D"/>
    <w:rsid w:val="005A74DC"/>
    <w:rsid w:val="005B0468"/>
    <w:rsid w:val="005B1878"/>
    <w:rsid w:val="005B3C2B"/>
    <w:rsid w:val="005B4A74"/>
    <w:rsid w:val="005B6EEE"/>
    <w:rsid w:val="005B7418"/>
    <w:rsid w:val="005C03A9"/>
    <w:rsid w:val="005C1D6E"/>
    <w:rsid w:val="005C2BFC"/>
    <w:rsid w:val="005C324B"/>
    <w:rsid w:val="005C43E2"/>
    <w:rsid w:val="005C454A"/>
    <w:rsid w:val="005C74C9"/>
    <w:rsid w:val="005C7A2F"/>
    <w:rsid w:val="005D1B14"/>
    <w:rsid w:val="005D257B"/>
    <w:rsid w:val="005D34D3"/>
    <w:rsid w:val="005D6D04"/>
    <w:rsid w:val="005E1D5C"/>
    <w:rsid w:val="005E25DC"/>
    <w:rsid w:val="005E52AE"/>
    <w:rsid w:val="005E5607"/>
    <w:rsid w:val="005E567C"/>
    <w:rsid w:val="005E57D4"/>
    <w:rsid w:val="005F1A11"/>
    <w:rsid w:val="005F26F0"/>
    <w:rsid w:val="005F4D5D"/>
    <w:rsid w:val="005F505E"/>
    <w:rsid w:val="00602976"/>
    <w:rsid w:val="006030EE"/>
    <w:rsid w:val="0060388D"/>
    <w:rsid w:val="00604231"/>
    <w:rsid w:val="00605571"/>
    <w:rsid w:val="006068F3"/>
    <w:rsid w:val="00610C2F"/>
    <w:rsid w:val="00616FAF"/>
    <w:rsid w:val="0062187C"/>
    <w:rsid w:val="006239BC"/>
    <w:rsid w:val="00625805"/>
    <w:rsid w:val="00627AC4"/>
    <w:rsid w:val="0063253B"/>
    <w:rsid w:val="006363C8"/>
    <w:rsid w:val="00637AB8"/>
    <w:rsid w:val="0064370D"/>
    <w:rsid w:val="00643771"/>
    <w:rsid w:val="00644946"/>
    <w:rsid w:val="00646AB8"/>
    <w:rsid w:val="00647BD9"/>
    <w:rsid w:val="0065272C"/>
    <w:rsid w:val="00653281"/>
    <w:rsid w:val="00653BF8"/>
    <w:rsid w:val="00654A3E"/>
    <w:rsid w:val="00657453"/>
    <w:rsid w:val="00657C37"/>
    <w:rsid w:val="006624A7"/>
    <w:rsid w:val="0066515F"/>
    <w:rsid w:val="006660BE"/>
    <w:rsid w:val="006663E9"/>
    <w:rsid w:val="006668AF"/>
    <w:rsid w:val="00667810"/>
    <w:rsid w:val="00670A7E"/>
    <w:rsid w:val="0067278C"/>
    <w:rsid w:val="00676DAA"/>
    <w:rsid w:val="00676F30"/>
    <w:rsid w:val="0068318F"/>
    <w:rsid w:val="006853F6"/>
    <w:rsid w:val="006858E7"/>
    <w:rsid w:val="00686439"/>
    <w:rsid w:val="00693EF7"/>
    <w:rsid w:val="0069423D"/>
    <w:rsid w:val="00697A88"/>
    <w:rsid w:val="00697CF1"/>
    <w:rsid w:val="006A6051"/>
    <w:rsid w:val="006B31D9"/>
    <w:rsid w:val="006C0102"/>
    <w:rsid w:val="006C07D4"/>
    <w:rsid w:val="006C15D9"/>
    <w:rsid w:val="006C3721"/>
    <w:rsid w:val="006C41AD"/>
    <w:rsid w:val="006D04BD"/>
    <w:rsid w:val="006D47EF"/>
    <w:rsid w:val="006D6644"/>
    <w:rsid w:val="006D7180"/>
    <w:rsid w:val="006D7A1A"/>
    <w:rsid w:val="006E32D1"/>
    <w:rsid w:val="006E433B"/>
    <w:rsid w:val="006E7899"/>
    <w:rsid w:val="006E7C78"/>
    <w:rsid w:val="006E7D5E"/>
    <w:rsid w:val="006F005E"/>
    <w:rsid w:val="006F27F4"/>
    <w:rsid w:val="006F2E23"/>
    <w:rsid w:val="006F4C30"/>
    <w:rsid w:val="006F7024"/>
    <w:rsid w:val="00703A7C"/>
    <w:rsid w:val="007076DA"/>
    <w:rsid w:val="00707860"/>
    <w:rsid w:val="00717131"/>
    <w:rsid w:val="00717AA0"/>
    <w:rsid w:val="00717DEC"/>
    <w:rsid w:val="007207BF"/>
    <w:rsid w:val="0072404F"/>
    <w:rsid w:val="00725CB0"/>
    <w:rsid w:val="00731803"/>
    <w:rsid w:val="00735081"/>
    <w:rsid w:val="0073517D"/>
    <w:rsid w:val="00735ED6"/>
    <w:rsid w:val="0073685C"/>
    <w:rsid w:val="00736D34"/>
    <w:rsid w:val="00737973"/>
    <w:rsid w:val="00737EA5"/>
    <w:rsid w:val="007400AE"/>
    <w:rsid w:val="00740354"/>
    <w:rsid w:val="00741F3E"/>
    <w:rsid w:val="00742F88"/>
    <w:rsid w:val="00743AA8"/>
    <w:rsid w:val="00747217"/>
    <w:rsid w:val="00750840"/>
    <w:rsid w:val="00757617"/>
    <w:rsid w:val="007614EB"/>
    <w:rsid w:val="0076370E"/>
    <w:rsid w:val="00763AD8"/>
    <w:rsid w:val="00765016"/>
    <w:rsid w:val="00767EDE"/>
    <w:rsid w:val="0077100C"/>
    <w:rsid w:val="00774758"/>
    <w:rsid w:val="00776C39"/>
    <w:rsid w:val="00780754"/>
    <w:rsid w:val="00781D00"/>
    <w:rsid w:val="007900F3"/>
    <w:rsid w:val="007918E9"/>
    <w:rsid w:val="00791B69"/>
    <w:rsid w:val="0079498E"/>
    <w:rsid w:val="00796F10"/>
    <w:rsid w:val="007A03F6"/>
    <w:rsid w:val="007A3578"/>
    <w:rsid w:val="007A6AB5"/>
    <w:rsid w:val="007A6C67"/>
    <w:rsid w:val="007B14D9"/>
    <w:rsid w:val="007B2584"/>
    <w:rsid w:val="007B2B46"/>
    <w:rsid w:val="007B30F2"/>
    <w:rsid w:val="007B377F"/>
    <w:rsid w:val="007B4274"/>
    <w:rsid w:val="007B443D"/>
    <w:rsid w:val="007B5117"/>
    <w:rsid w:val="007B599D"/>
    <w:rsid w:val="007B6650"/>
    <w:rsid w:val="007B6A74"/>
    <w:rsid w:val="007C2279"/>
    <w:rsid w:val="007C2DC8"/>
    <w:rsid w:val="007D097E"/>
    <w:rsid w:val="007D230B"/>
    <w:rsid w:val="007D2CF4"/>
    <w:rsid w:val="007D2D80"/>
    <w:rsid w:val="007D3681"/>
    <w:rsid w:val="007D3824"/>
    <w:rsid w:val="007D49A1"/>
    <w:rsid w:val="007D59DD"/>
    <w:rsid w:val="007D6808"/>
    <w:rsid w:val="007E1455"/>
    <w:rsid w:val="007E1F66"/>
    <w:rsid w:val="007E2CB5"/>
    <w:rsid w:val="007E4C10"/>
    <w:rsid w:val="007E6501"/>
    <w:rsid w:val="007E6C25"/>
    <w:rsid w:val="007F32D7"/>
    <w:rsid w:val="007F4F97"/>
    <w:rsid w:val="007F5654"/>
    <w:rsid w:val="007F6065"/>
    <w:rsid w:val="007F669E"/>
    <w:rsid w:val="00801632"/>
    <w:rsid w:val="008042D1"/>
    <w:rsid w:val="0080520B"/>
    <w:rsid w:val="00807B3E"/>
    <w:rsid w:val="00810D4A"/>
    <w:rsid w:val="00812F82"/>
    <w:rsid w:val="008146FD"/>
    <w:rsid w:val="008147B2"/>
    <w:rsid w:val="00815904"/>
    <w:rsid w:val="00816AAB"/>
    <w:rsid w:val="00820402"/>
    <w:rsid w:val="00820A44"/>
    <w:rsid w:val="00820DC7"/>
    <w:rsid w:val="008243B2"/>
    <w:rsid w:val="00824F08"/>
    <w:rsid w:val="00826F42"/>
    <w:rsid w:val="008310DF"/>
    <w:rsid w:val="00831105"/>
    <w:rsid w:val="00833305"/>
    <w:rsid w:val="00835487"/>
    <w:rsid w:val="00844A4B"/>
    <w:rsid w:val="00851A07"/>
    <w:rsid w:val="00853EF9"/>
    <w:rsid w:val="00854676"/>
    <w:rsid w:val="00865296"/>
    <w:rsid w:val="00866A68"/>
    <w:rsid w:val="00867086"/>
    <w:rsid w:val="00871123"/>
    <w:rsid w:val="00873730"/>
    <w:rsid w:val="00874663"/>
    <w:rsid w:val="00881B95"/>
    <w:rsid w:val="008831CA"/>
    <w:rsid w:val="00887FDA"/>
    <w:rsid w:val="00890029"/>
    <w:rsid w:val="0089272A"/>
    <w:rsid w:val="00894890"/>
    <w:rsid w:val="00897247"/>
    <w:rsid w:val="008A0E03"/>
    <w:rsid w:val="008A590F"/>
    <w:rsid w:val="008B08F0"/>
    <w:rsid w:val="008B262C"/>
    <w:rsid w:val="008B266D"/>
    <w:rsid w:val="008B2DAD"/>
    <w:rsid w:val="008B6FC8"/>
    <w:rsid w:val="008C19E9"/>
    <w:rsid w:val="008C26E9"/>
    <w:rsid w:val="008C4E05"/>
    <w:rsid w:val="008C774E"/>
    <w:rsid w:val="008C7D87"/>
    <w:rsid w:val="008D177F"/>
    <w:rsid w:val="008D4652"/>
    <w:rsid w:val="008D6D9D"/>
    <w:rsid w:val="008E32D9"/>
    <w:rsid w:val="008E6550"/>
    <w:rsid w:val="008F1691"/>
    <w:rsid w:val="008F22E2"/>
    <w:rsid w:val="008F5698"/>
    <w:rsid w:val="008F639E"/>
    <w:rsid w:val="00900AFC"/>
    <w:rsid w:val="00901CF8"/>
    <w:rsid w:val="00901EF2"/>
    <w:rsid w:val="00903EB6"/>
    <w:rsid w:val="00904906"/>
    <w:rsid w:val="0090702F"/>
    <w:rsid w:val="009079D0"/>
    <w:rsid w:val="00911AE5"/>
    <w:rsid w:val="009139BE"/>
    <w:rsid w:val="00913D0A"/>
    <w:rsid w:val="009148A1"/>
    <w:rsid w:val="00915F52"/>
    <w:rsid w:val="00923805"/>
    <w:rsid w:val="00924972"/>
    <w:rsid w:val="009309D7"/>
    <w:rsid w:val="009327A5"/>
    <w:rsid w:val="00932E1E"/>
    <w:rsid w:val="00934068"/>
    <w:rsid w:val="00936348"/>
    <w:rsid w:val="00937854"/>
    <w:rsid w:val="009400F4"/>
    <w:rsid w:val="009408AF"/>
    <w:rsid w:val="00940AE9"/>
    <w:rsid w:val="009469E0"/>
    <w:rsid w:val="009511FA"/>
    <w:rsid w:val="00951C4D"/>
    <w:rsid w:val="009523C2"/>
    <w:rsid w:val="00952E03"/>
    <w:rsid w:val="0095396E"/>
    <w:rsid w:val="009547E2"/>
    <w:rsid w:val="00956488"/>
    <w:rsid w:val="00956F5F"/>
    <w:rsid w:val="009610DC"/>
    <w:rsid w:val="00962472"/>
    <w:rsid w:val="00964752"/>
    <w:rsid w:val="009669D2"/>
    <w:rsid w:val="009709BF"/>
    <w:rsid w:val="0097154F"/>
    <w:rsid w:val="00974A36"/>
    <w:rsid w:val="0098457F"/>
    <w:rsid w:val="00985996"/>
    <w:rsid w:val="00986978"/>
    <w:rsid w:val="00991949"/>
    <w:rsid w:val="00992899"/>
    <w:rsid w:val="00994F74"/>
    <w:rsid w:val="0099563A"/>
    <w:rsid w:val="009A0A18"/>
    <w:rsid w:val="009A13F4"/>
    <w:rsid w:val="009A44BE"/>
    <w:rsid w:val="009B029F"/>
    <w:rsid w:val="009B27F8"/>
    <w:rsid w:val="009B4A8B"/>
    <w:rsid w:val="009B4D55"/>
    <w:rsid w:val="009B6D54"/>
    <w:rsid w:val="009B74FB"/>
    <w:rsid w:val="009C0660"/>
    <w:rsid w:val="009C1E9E"/>
    <w:rsid w:val="009C31A4"/>
    <w:rsid w:val="009C4845"/>
    <w:rsid w:val="009C7314"/>
    <w:rsid w:val="009D1FEB"/>
    <w:rsid w:val="009D2442"/>
    <w:rsid w:val="009D57DE"/>
    <w:rsid w:val="009D5D9F"/>
    <w:rsid w:val="009D7F4D"/>
    <w:rsid w:val="009E0FA2"/>
    <w:rsid w:val="009E1B3D"/>
    <w:rsid w:val="009E2244"/>
    <w:rsid w:val="009E2D42"/>
    <w:rsid w:val="009E566C"/>
    <w:rsid w:val="009E57DF"/>
    <w:rsid w:val="009F0742"/>
    <w:rsid w:val="009F1E20"/>
    <w:rsid w:val="009F50FE"/>
    <w:rsid w:val="009F57FD"/>
    <w:rsid w:val="009F7F9F"/>
    <w:rsid w:val="00A01E02"/>
    <w:rsid w:val="00A02E26"/>
    <w:rsid w:val="00A05362"/>
    <w:rsid w:val="00A05BA0"/>
    <w:rsid w:val="00A10355"/>
    <w:rsid w:val="00A10C74"/>
    <w:rsid w:val="00A159C9"/>
    <w:rsid w:val="00A15E1E"/>
    <w:rsid w:val="00A1612B"/>
    <w:rsid w:val="00A167FB"/>
    <w:rsid w:val="00A21B70"/>
    <w:rsid w:val="00A21D02"/>
    <w:rsid w:val="00A21DDB"/>
    <w:rsid w:val="00A21E2E"/>
    <w:rsid w:val="00A23079"/>
    <w:rsid w:val="00A23CF6"/>
    <w:rsid w:val="00A242B0"/>
    <w:rsid w:val="00A2690C"/>
    <w:rsid w:val="00A2742E"/>
    <w:rsid w:val="00A2792F"/>
    <w:rsid w:val="00A307DE"/>
    <w:rsid w:val="00A30970"/>
    <w:rsid w:val="00A315E4"/>
    <w:rsid w:val="00A31D96"/>
    <w:rsid w:val="00A31FEE"/>
    <w:rsid w:val="00A32DB7"/>
    <w:rsid w:val="00A33722"/>
    <w:rsid w:val="00A33C55"/>
    <w:rsid w:val="00A406C3"/>
    <w:rsid w:val="00A42875"/>
    <w:rsid w:val="00A42921"/>
    <w:rsid w:val="00A44ADD"/>
    <w:rsid w:val="00A44DC1"/>
    <w:rsid w:val="00A47168"/>
    <w:rsid w:val="00A47A98"/>
    <w:rsid w:val="00A47EE7"/>
    <w:rsid w:val="00A50B43"/>
    <w:rsid w:val="00A51C87"/>
    <w:rsid w:val="00A53F5F"/>
    <w:rsid w:val="00A54197"/>
    <w:rsid w:val="00A61821"/>
    <w:rsid w:val="00A61AFB"/>
    <w:rsid w:val="00A61E3A"/>
    <w:rsid w:val="00A631BA"/>
    <w:rsid w:val="00A65C27"/>
    <w:rsid w:val="00A65D3E"/>
    <w:rsid w:val="00A67CA5"/>
    <w:rsid w:val="00A7055A"/>
    <w:rsid w:val="00A74C19"/>
    <w:rsid w:val="00A75CCD"/>
    <w:rsid w:val="00A80506"/>
    <w:rsid w:val="00A806AE"/>
    <w:rsid w:val="00A8076A"/>
    <w:rsid w:val="00A8118F"/>
    <w:rsid w:val="00A81431"/>
    <w:rsid w:val="00A82685"/>
    <w:rsid w:val="00A83458"/>
    <w:rsid w:val="00A83FA6"/>
    <w:rsid w:val="00A86C41"/>
    <w:rsid w:val="00A90148"/>
    <w:rsid w:val="00A9062A"/>
    <w:rsid w:val="00A917F8"/>
    <w:rsid w:val="00AA0D8C"/>
    <w:rsid w:val="00AA25BC"/>
    <w:rsid w:val="00AA3077"/>
    <w:rsid w:val="00AA3E2A"/>
    <w:rsid w:val="00AA46AF"/>
    <w:rsid w:val="00AA5AE7"/>
    <w:rsid w:val="00AA685B"/>
    <w:rsid w:val="00AB4E9E"/>
    <w:rsid w:val="00AB6C99"/>
    <w:rsid w:val="00AC11D5"/>
    <w:rsid w:val="00AC15E5"/>
    <w:rsid w:val="00AC22BB"/>
    <w:rsid w:val="00AC4080"/>
    <w:rsid w:val="00AC5A6D"/>
    <w:rsid w:val="00AC5D73"/>
    <w:rsid w:val="00AC6278"/>
    <w:rsid w:val="00AC73AD"/>
    <w:rsid w:val="00AC7BED"/>
    <w:rsid w:val="00AD067D"/>
    <w:rsid w:val="00AD5FFD"/>
    <w:rsid w:val="00AD665E"/>
    <w:rsid w:val="00AD705A"/>
    <w:rsid w:val="00AD78F9"/>
    <w:rsid w:val="00AE008D"/>
    <w:rsid w:val="00AE15ED"/>
    <w:rsid w:val="00AE30E0"/>
    <w:rsid w:val="00AE346F"/>
    <w:rsid w:val="00AE3AD5"/>
    <w:rsid w:val="00AF1486"/>
    <w:rsid w:val="00AF2329"/>
    <w:rsid w:val="00AF3660"/>
    <w:rsid w:val="00AF62EF"/>
    <w:rsid w:val="00AF7A20"/>
    <w:rsid w:val="00B01312"/>
    <w:rsid w:val="00B02D98"/>
    <w:rsid w:val="00B0512C"/>
    <w:rsid w:val="00B06685"/>
    <w:rsid w:val="00B115F5"/>
    <w:rsid w:val="00B158E1"/>
    <w:rsid w:val="00B15D2F"/>
    <w:rsid w:val="00B16399"/>
    <w:rsid w:val="00B1760F"/>
    <w:rsid w:val="00B204D9"/>
    <w:rsid w:val="00B21877"/>
    <w:rsid w:val="00B21BA5"/>
    <w:rsid w:val="00B22BB6"/>
    <w:rsid w:val="00B22D00"/>
    <w:rsid w:val="00B2586D"/>
    <w:rsid w:val="00B25AE4"/>
    <w:rsid w:val="00B265C9"/>
    <w:rsid w:val="00B26909"/>
    <w:rsid w:val="00B27664"/>
    <w:rsid w:val="00B31169"/>
    <w:rsid w:val="00B31828"/>
    <w:rsid w:val="00B35A5B"/>
    <w:rsid w:val="00B3611A"/>
    <w:rsid w:val="00B41B98"/>
    <w:rsid w:val="00B41E25"/>
    <w:rsid w:val="00B42BEE"/>
    <w:rsid w:val="00B452B7"/>
    <w:rsid w:val="00B458E3"/>
    <w:rsid w:val="00B518FF"/>
    <w:rsid w:val="00B54F17"/>
    <w:rsid w:val="00B55E9B"/>
    <w:rsid w:val="00B561EE"/>
    <w:rsid w:val="00B57D47"/>
    <w:rsid w:val="00B57F40"/>
    <w:rsid w:val="00B61584"/>
    <w:rsid w:val="00B6210E"/>
    <w:rsid w:val="00B632E3"/>
    <w:rsid w:val="00B63381"/>
    <w:rsid w:val="00B64DC8"/>
    <w:rsid w:val="00B70688"/>
    <w:rsid w:val="00B72E02"/>
    <w:rsid w:val="00B75FD9"/>
    <w:rsid w:val="00B77091"/>
    <w:rsid w:val="00B809CE"/>
    <w:rsid w:val="00B837C1"/>
    <w:rsid w:val="00B841E0"/>
    <w:rsid w:val="00B860BA"/>
    <w:rsid w:val="00B865F5"/>
    <w:rsid w:val="00B870A0"/>
    <w:rsid w:val="00B87CF4"/>
    <w:rsid w:val="00B91051"/>
    <w:rsid w:val="00B91DFE"/>
    <w:rsid w:val="00B92858"/>
    <w:rsid w:val="00B966E9"/>
    <w:rsid w:val="00B96BC7"/>
    <w:rsid w:val="00B96E30"/>
    <w:rsid w:val="00B97229"/>
    <w:rsid w:val="00BA08A3"/>
    <w:rsid w:val="00BA1E11"/>
    <w:rsid w:val="00BA2C64"/>
    <w:rsid w:val="00BA3D7D"/>
    <w:rsid w:val="00BA5AB3"/>
    <w:rsid w:val="00BA7992"/>
    <w:rsid w:val="00BB227E"/>
    <w:rsid w:val="00BB4F22"/>
    <w:rsid w:val="00BB7B41"/>
    <w:rsid w:val="00BB7E3D"/>
    <w:rsid w:val="00BC1088"/>
    <w:rsid w:val="00BC2D7E"/>
    <w:rsid w:val="00BC3190"/>
    <w:rsid w:val="00BC3CD1"/>
    <w:rsid w:val="00BC5EC6"/>
    <w:rsid w:val="00BC5F0E"/>
    <w:rsid w:val="00BD2211"/>
    <w:rsid w:val="00BD221D"/>
    <w:rsid w:val="00BD3E65"/>
    <w:rsid w:val="00BD5934"/>
    <w:rsid w:val="00BD7785"/>
    <w:rsid w:val="00BE3B2E"/>
    <w:rsid w:val="00BE7D7D"/>
    <w:rsid w:val="00BE7DE8"/>
    <w:rsid w:val="00BF1CBD"/>
    <w:rsid w:val="00BF52C4"/>
    <w:rsid w:val="00BF62EC"/>
    <w:rsid w:val="00BF693B"/>
    <w:rsid w:val="00BF6FE4"/>
    <w:rsid w:val="00BF788E"/>
    <w:rsid w:val="00C006BE"/>
    <w:rsid w:val="00C05B8E"/>
    <w:rsid w:val="00C0605C"/>
    <w:rsid w:val="00C1063D"/>
    <w:rsid w:val="00C15E0E"/>
    <w:rsid w:val="00C17B7D"/>
    <w:rsid w:val="00C17BE2"/>
    <w:rsid w:val="00C23FB5"/>
    <w:rsid w:val="00C24812"/>
    <w:rsid w:val="00C24A1A"/>
    <w:rsid w:val="00C31360"/>
    <w:rsid w:val="00C331BB"/>
    <w:rsid w:val="00C334B5"/>
    <w:rsid w:val="00C41A08"/>
    <w:rsid w:val="00C41FBE"/>
    <w:rsid w:val="00C422B9"/>
    <w:rsid w:val="00C4240A"/>
    <w:rsid w:val="00C4241E"/>
    <w:rsid w:val="00C4445F"/>
    <w:rsid w:val="00C47456"/>
    <w:rsid w:val="00C504EC"/>
    <w:rsid w:val="00C50EFE"/>
    <w:rsid w:val="00C615A3"/>
    <w:rsid w:val="00C6198D"/>
    <w:rsid w:val="00C627FD"/>
    <w:rsid w:val="00C635DA"/>
    <w:rsid w:val="00C639E7"/>
    <w:rsid w:val="00C659BE"/>
    <w:rsid w:val="00C65FE5"/>
    <w:rsid w:val="00C70F29"/>
    <w:rsid w:val="00C7646E"/>
    <w:rsid w:val="00C80300"/>
    <w:rsid w:val="00C813DE"/>
    <w:rsid w:val="00C82307"/>
    <w:rsid w:val="00C83348"/>
    <w:rsid w:val="00C8516F"/>
    <w:rsid w:val="00C8613B"/>
    <w:rsid w:val="00C900DE"/>
    <w:rsid w:val="00C91CB2"/>
    <w:rsid w:val="00C92622"/>
    <w:rsid w:val="00C97228"/>
    <w:rsid w:val="00C9780D"/>
    <w:rsid w:val="00CA02DA"/>
    <w:rsid w:val="00CA096C"/>
    <w:rsid w:val="00CA1A54"/>
    <w:rsid w:val="00CA1CB3"/>
    <w:rsid w:val="00CA32FB"/>
    <w:rsid w:val="00CA4E42"/>
    <w:rsid w:val="00CA655A"/>
    <w:rsid w:val="00CB35E3"/>
    <w:rsid w:val="00CB5299"/>
    <w:rsid w:val="00CB7759"/>
    <w:rsid w:val="00CC0F8C"/>
    <w:rsid w:val="00CC46B2"/>
    <w:rsid w:val="00CC5718"/>
    <w:rsid w:val="00CD1352"/>
    <w:rsid w:val="00CD1CBE"/>
    <w:rsid w:val="00CD1E3E"/>
    <w:rsid w:val="00CD2EDC"/>
    <w:rsid w:val="00CD32E2"/>
    <w:rsid w:val="00CD4B0B"/>
    <w:rsid w:val="00CD5B38"/>
    <w:rsid w:val="00CD6698"/>
    <w:rsid w:val="00CE1E5B"/>
    <w:rsid w:val="00CE354E"/>
    <w:rsid w:val="00CE460D"/>
    <w:rsid w:val="00CE59CB"/>
    <w:rsid w:val="00CE7683"/>
    <w:rsid w:val="00CF1D3D"/>
    <w:rsid w:val="00CF1D92"/>
    <w:rsid w:val="00CF2D92"/>
    <w:rsid w:val="00CF46C3"/>
    <w:rsid w:val="00CF5D91"/>
    <w:rsid w:val="00CF66C7"/>
    <w:rsid w:val="00CF6BFC"/>
    <w:rsid w:val="00D0025C"/>
    <w:rsid w:val="00D004FB"/>
    <w:rsid w:val="00D02BBC"/>
    <w:rsid w:val="00D02C36"/>
    <w:rsid w:val="00D02EE8"/>
    <w:rsid w:val="00D04AF8"/>
    <w:rsid w:val="00D07D83"/>
    <w:rsid w:val="00D07E7E"/>
    <w:rsid w:val="00D10E52"/>
    <w:rsid w:val="00D11BA4"/>
    <w:rsid w:val="00D12172"/>
    <w:rsid w:val="00D12367"/>
    <w:rsid w:val="00D12B8C"/>
    <w:rsid w:val="00D200F6"/>
    <w:rsid w:val="00D21646"/>
    <w:rsid w:val="00D2171F"/>
    <w:rsid w:val="00D27A10"/>
    <w:rsid w:val="00D34B56"/>
    <w:rsid w:val="00D36A3A"/>
    <w:rsid w:val="00D41B74"/>
    <w:rsid w:val="00D44F4B"/>
    <w:rsid w:val="00D454F2"/>
    <w:rsid w:val="00D47CE9"/>
    <w:rsid w:val="00D51EDF"/>
    <w:rsid w:val="00D52995"/>
    <w:rsid w:val="00D60425"/>
    <w:rsid w:val="00D72ADE"/>
    <w:rsid w:val="00D7402E"/>
    <w:rsid w:val="00D748BF"/>
    <w:rsid w:val="00D75233"/>
    <w:rsid w:val="00D75463"/>
    <w:rsid w:val="00D7728F"/>
    <w:rsid w:val="00D77696"/>
    <w:rsid w:val="00D812F9"/>
    <w:rsid w:val="00D81CC4"/>
    <w:rsid w:val="00D82154"/>
    <w:rsid w:val="00D8729A"/>
    <w:rsid w:val="00D90681"/>
    <w:rsid w:val="00D929BF"/>
    <w:rsid w:val="00D9765E"/>
    <w:rsid w:val="00DA1096"/>
    <w:rsid w:val="00DA10C0"/>
    <w:rsid w:val="00DA1473"/>
    <w:rsid w:val="00DA32D2"/>
    <w:rsid w:val="00DA4591"/>
    <w:rsid w:val="00DA6430"/>
    <w:rsid w:val="00DA681A"/>
    <w:rsid w:val="00DA6B7E"/>
    <w:rsid w:val="00DB0922"/>
    <w:rsid w:val="00DB63BE"/>
    <w:rsid w:val="00DB63DB"/>
    <w:rsid w:val="00DB6C19"/>
    <w:rsid w:val="00DB7824"/>
    <w:rsid w:val="00DB7B8C"/>
    <w:rsid w:val="00DC278E"/>
    <w:rsid w:val="00DC308E"/>
    <w:rsid w:val="00DC5E0F"/>
    <w:rsid w:val="00DC6C69"/>
    <w:rsid w:val="00DC6C76"/>
    <w:rsid w:val="00DC7F73"/>
    <w:rsid w:val="00DD659F"/>
    <w:rsid w:val="00DE191A"/>
    <w:rsid w:val="00DE1A0F"/>
    <w:rsid w:val="00DE2C8A"/>
    <w:rsid w:val="00DE3123"/>
    <w:rsid w:val="00DE339F"/>
    <w:rsid w:val="00DE65D3"/>
    <w:rsid w:val="00DE6A21"/>
    <w:rsid w:val="00DF1535"/>
    <w:rsid w:val="00DF22F2"/>
    <w:rsid w:val="00DF53F5"/>
    <w:rsid w:val="00DF61FD"/>
    <w:rsid w:val="00DF6226"/>
    <w:rsid w:val="00DF6D25"/>
    <w:rsid w:val="00E00FE3"/>
    <w:rsid w:val="00E016F9"/>
    <w:rsid w:val="00E03C6D"/>
    <w:rsid w:val="00E11A66"/>
    <w:rsid w:val="00E11EE3"/>
    <w:rsid w:val="00E12F1D"/>
    <w:rsid w:val="00E12FA2"/>
    <w:rsid w:val="00E135F9"/>
    <w:rsid w:val="00E14349"/>
    <w:rsid w:val="00E15A7A"/>
    <w:rsid w:val="00E16230"/>
    <w:rsid w:val="00E20C28"/>
    <w:rsid w:val="00E22A77"/>
    <w:rsid w:val="00E22E84"/>
    <w:rsid w:val="00E23C84"/>
    <w:rsid w:val="00E24A7E"/>
    <w:rsid w:val="00E24B18"/>
    <w:rsid w:val="00E3016C"/>
    <w:rsid w:val="00E33FCE"/>
    <w:rsid w:val="00E348BC"/>
    <w:rsid w:val="00E35B8D"/>
    <w:rsid w:val="00E370A2"/>
    <w:rsid w:val="00E37EFF"/>
    <w:rsid w:val="00E42E63"/>
    <w:rsid w:val="00E4307D"/>
    <w:rsid w:val="00E4318F"/>
    <w:rsid w:val="00E4392E"/>
    <w:rsid w:val="00E47B64"/>
    <w:rsid w:val="00E50B9E"/>
    <w:rsid w:val="00E54395"/>
    <w:rsid w:val="00E54741"/>
    <w:rsid w:val="00E5630D"/>
    <w:rsid w:val="00E568E5"/>
    <w:rsid w:val="00E57AAD"/>
    <w:rsid w:val="00E6453F"/>
    <w:rsid w:val="00E659EF"/>
    <w:rsid w:val="00E677A6"/>
    <w:rsid w:val="00E70CBD"/>
    <w:rsid w:val="00E717E8"/>
    <w:rsid w:val="00E72BAF"/>
    <w:rsid w:val="00E73D81"/>
    <w:rsid w:val="00E754F4"/>
    <w:rsid w:val="00E75E3E"/>
    <w:rsid w:val="00E80023"/>
    <w:rsid w:val="00E8225A"/>
    <w:rsid w:val="00E8619D"/>
    <w:rsid w:val="00E865D1"/>
    <w:rsid w:val="00E878B7"/>
    <w:rsid w:val="00E92A42"/>
    <w:rsid w:val="00EA057C"/>
    <w:rsid w:val="00EA0683"/>
    <w:rsid w:val="00EA2D3D"/>
    <w:rsid w:val="00EA350F"/>
    <w:rsid w:val="00EA5B84"/>
    <w:rsid w:val="00EA628F"/>
    <w:rsid w:val="00EB20F9"/>
    <w:rsid w:val="00EB24EB"/>
    <w:rsid w:val="00EB34AF"/>
    <w:rsid w:val="00EB4719"/>
    <w:rsid w:val="00EB5DB8"/>
    <w:rsid w:val="00EB7D27"/>
    <w:rsid w:val="00EC4235"/>
    <w:rsid w:val="00ED06CC"/>
    <w:rsid w:val="00ED1AAF"/>
    <w:rsid w:val="00ED26EB"/>
    <w:rsid w:val="00ED2C8E"/>
    <w:rsid w:val="00ED379E"/>
    <w:rsid w:val="00ED7680"/>
    <w:rsid w:val="00EE0424"/>
    <w:rsid w:val="00EE0D47"/>
    <w:rsid w:val="00EE5358"/>
    <w:rsid w:val="00EF1B6A"/>
    <w:rsid w:val="00EF3C59"/>
    <w:rsid w:val="00EF54D8"/>
    <w:rsid w:val="00EF71E9"/>
    <w:rsid w:val="00F006D2"/>
    <w:rsid w:val="00F00BD1"/>
    <w:rsid w:val="00F01FD9"/>
    <w:rsid w:val="00F0332B"/>
    <w:rsid w:val="00F04B07"/>
    <w:rsid w:val="00F05BA8"/>
    <w:rsid w:val="00F063B3"/>
    <w:rsid w:val="00F10FC8"/>
    <w:rsid w:val="00F114E3"/>
    <w:rsid w:val="00F14ED9"/>
    <w:rsid w:val="00F16F13"/>
    <w:rsid w:val="00F20814"/>
    <w:rsid w:val="00F20AEA"/>
    <w:rsid w:val="00F219C3"/>
    <w:rsid w:val="00F2298B"/>
    <w:rsid w:val="00F23E9A"/>
    <w:rsid w:val="00F242D9"/>
    <w:rsid w:val="00F259FE"/>
    <w:rsid w:val="00F3715D"/>
    <w:rsid w:val="00F37966"/>
    <w:rsid w:val="00F4070D"/>
    <w:rsid w:val="00F440B3"/>
    <w:rsid w:val="00F44B62"/>
    <w:rsid w:val="00F5072C"/>
    <w:rsid w:val="00F51CBF"/>
    <w:rsid w:val="00F526D5"/>
    <w:rsid w:val="00F5411D"/>
    <w:rsid w:val="00F56D2B"/>
    <w:rsid w:val="00F571CA"/>
    <w:rsid w:val="00F57D2D"/>
    <w:rsid w:val="00F606D8"/>
    <w:rsid w:val="00F62A49"/>
    <w:rsid w:val="00F636D5"/>
    <w:rsid w:val="00F64F0D"/>
    <w:rsid w:val="00F67C8A"/>
    <w:rsid w:val="00F7026A"/>
    <w:rsid w:val="00F71826"/>
    <w:rsid w:val="00F71F3D"/>
    <w:rsid w:val="00F72B45"/>
    <w:rsid w:val="00F73B00"/>
    <w:rsid w:val="00F764EE"/>
    <w:rsid w:val="00F84737"/>
    <w:rsid w:val="00F87B69"/>
    <w:rsid w:val="00F90C95"/>
    <w:rsid w:val="00F9103E"/>
    <w:rsid w:val="00F92274"/>
    <w:rsid w:val="00F95923"/>
    <w:rsid w:val="00F96A39"/>
    <w:rsid w:val="00F96DB3"/>
    <w:rsid w:val="00F96FF8"/>
    <w:rsid w:val="00F97463"/>
    <w:rsid w:val="00FA1620"/>
    <w:rsid w:val="00FA1F0D"/>
    <w:rsid w:val="00FA4B50"/>
    <w:rsid w:val="00FA4DC6"/>
    <w:rsid w:val="00FA5D99"/>
    <w:rsid w:val="00FA6FEB"/>
    <w:rsid w:val="00FB030E"/>
    <w:rsid w:val="00FB571F"/>
    <w:rsid w:val="00FC0D06"/>
    <w:rsid w:val="00FC42BA"/>
    <w:rsid w:val="00FC45DB"/>
    <w:rsid w:val="00FC4A48"/>
    <w:rsid w:val="00FC4CC7"/>
    <w:rsid w:val="00FC6166"/>
    <w:rsid w:val="00FC77BB"/>
    <w:rsid w:val="00FD00F1"/>
    <w:rsid w:val="00FD08C1"/>
    <w:rsid w:val="00FD1785"/>
    <w:rsid w:val="00FD217E"/>
    <w:rsid w:val="00FD26F0"/>
    <w:rsid w:val="00FD2C54"/>
    <w:rsid w:val="00FD66E1"/>
    <w:rsid w:val="00FD7A7A"/>
    <w:rsid w:val="00FE10C1"/>
    <w:rsid w:val="00FE190E"/>
    <w:rsid w:val="00FE20A9"/>
    <w:rsid w:val="00FE48A9"/>
    <w:rsid w:val="00FF08B7"/>
    <w:rsid w:val="00FF12B8"/>
    <w:rsid w:val="00FF200E"/>
    <w:rsid w:val="00FF521D"/>
    <w:rsid w:val="00FF5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rsid w:val="009C4845"/>
    <w:pPr>
      <w:keepNext/>
      <w:keepLines/>
      <w:pageBreakBefore/>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A42921"/>
    <w:pPr>
      <w:keepNext/>
      <w:keepLines/>
      <w:spacing w:before="280" w:after="80"/>
    </w:pPr>
    <w:rPr>
      <w:rFonts w:cs="Arial"/>
      <w:b/>
      <w:bCs/>
      <w:color w:val="00000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A42921"/>
    <w:rPr>
      <w:rFonts w:ascii="Calibri Light" w:hAnsi="Calibri Light" w:cs="Arial"/>
      <w:b/>
      <w:bCs/>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A42921"/>
    <w:pPr>
      <w:spacing w:before="0" w:after="0"/>
      <w:jc w:val="center"/>
    </w:pPr>
    <w:rPr>
      <w:bCs w:val="0"/>
      <w:sz w:val="20"/>
      <w:szCs w:val="18"/>
    </w:rPr>
  </w:style>
  <w:style w:type="character" w:customStyle="1" w:styleId="FigureCaptionChar">
    <w:name w:val="Figure Caption Char"/>
    <w:basedOn w:val="CaptionChar"/>
    <w:link w:val="FigureCaption"/>
    <w:rsid w:val="00A42921"/>
    <w:rPr>
      <w:rFonts w:ascii="Calibri Light" w:hAnsi="Calibri Light" w:cs="Arial"/>
      <w:b/>
      <w:bCs w:val="0"/>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A42921"/>
    <w:pPr>
      <w:spacing w:before="0" w:after="20"/>
      <w:ind w:left="720" w:hanging="36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A42921"/>
    <w:pPr>
      <w:keepNext/>
      <w:keepLines/>
      <w:adjustRightInd w:val="0"/>
      <w:spacing w:before="0" w:after="0" w:line="240" w:lineRule="auto"/>
    </w:pPr>
    <w:rPr>
      <w:rFonts w:eastAsia="Times New Roman" w:cs="Times New Roman"/>
      <w:szCs w:val="22"/>
      <w:lang w:val="x-none" w:eastAsia="x-none"/>
    </w:rPr>
  </w:style>
  <w:style w:type="character" w:customStyle="1" w:styleId="EndnoteTextChar">
    <w:name w:val="Endnote Text Char"/>
    <w:basedOn w:val="DefaultParagraphFont"/>
    <w:link w:val="EndnoteText"/>
    <w:rsid w:val="00A42921"/>
    <w:rPr>
      <w:rFonts w:ascii="Calibri Light" w:eastAsia="Times New Roman" w:hAnsi="Calibri Light" w:cs="Times New Roman"/>
      <w:sz w:val="22"/>
      <w:szCs w:val="22"/>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A15E1E"/>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15E1E"/>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4C3EA0"/>
    <w:pPr>
      <w:spacing w:before="20" w:after="20"/>
      <w:ind w:left="1440"/>
      <w:jc w:val="center"/>
    </w:pPr>
  </w:style>
  <w:style w:type="character" w:customStyle="1" w:styleId="eTRMFootnoteTextChar">
    <w:name w:val="eTRM Footnote Text Char"/>
    <w:basedOn w:val="FootnoteTextChar"/>
    <w:link w:val="eTRMFootnoteText"/>
    <w:rsid w:val="004C3EA0"/>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5304BF"/>
    <w:pPr>
      <w:autoSpaceDE w:val="0"/>
      <w:autoSpaceDN w:val="0"/>
      <w:adjustRightInd w:val="0"/>
    </w:pPr>
    <w:rPr>
      <w:rFonts w:ascii="DIN" w:eastAsia="Times New Roman" w:hAnsi="DIN" w:cs="DIN"/>
      <w:color w:val="000000"/>
    </w:rPr>
  </w:style>
  <w:style w:type="paragraph" w:customStyle="1" w:styleId="Pa4">
    <w:name w:val="Pa4"/>
    <w:basedOn w:val="Default"/>
    <w:next w:val="Default"/>
    <w:uiPriority w:val="99"/>
    <w:rsid w:val="005304BF"/>
    <w:pPr>
      <w:spacing w:line="201" w:lineRule="atLeast"/>
    </w:pPr>
    <w:rPr>
      <w:rFonts w:cs="Times New Roman"/>
      <w:color w:val="auto"/>
    </w:rPr>
  </w:style>
  <w:style w:type="character" w:customStyle="1" w:styleId="UnresolvedMention1">
    <w:name w:val="Unresolved Mention1"/>
    <w:basedOn w:val="DefaultParagraphFont"/>
    <w:uiPriority w:val="99"/>
    <w:rsid w:val="009511FA"/>
    <w:rPr>
      <w:color w:val="605E5C"/>
      <w:shd w:val="clear" w:color="auto" w:fill="E1DFDD"/>
    </w:rPr>
  </w:style>
  <w:style w:type="character" w:styleId="Strong">
    <w:name w:val="Strong"/>
    <w:qFormat/>
    <w:rsid w:val="00D748BF"/>
    <w:rPr>
      <w:rFonts w:ascii="Arial" w:hAnsi="Arial"/>
      <w:b/>
      <w:bCs/>
      <w:sz w:val="22"/>
    </w:rPr>
  </w:style>
  <w:style w:type="character" w:customStyle="1" w:styleId="TitleChar">
    <w:name w:val="Title Char"/>
    <w:locked/>
    <w:rsid w:val="00D748BF"/>
    <w:rPr>
      <w:rFonts w:ascii="Arial" w:hAnsi="Arial"/>
      <w:b/>
      <w:color w:val="17365D"/>
      <w:spacing w:val="5"/>
      <w:kern w:val="28"/>
      <w:sz w:val="48"/>
      <w:szCs w:val="52"/>
      <w:lang w:eastAsia="ko-KR"/>
    </w:rPr>
  </w:style>
  <w:style w:type="table" w:customStyle="1" w:styleId="Style2">
    <w:name w:val="Style2"/>
    <w:basedOn w:val="TableList6"/>
    <w:uiPriority w:val="99"/>
    <w:qFormat/>
    <w:rsid w:val="00C7646E"/>
    <w:pPr>
      <w:spacing w:before="0" w:after="0" w:line="240" w:lineRule="auto"/>
    </w:pPr>
    <w:rPr>
      <w:rFonts w:ascii="Times New Roman" w:eastAsia="Times New Roman" w:hAnsi="Times New Roman"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uiPriority w:val="99"/>
    <w:semiHidden/>
    <w:unhideWhenUsed/>
    <w:rsid w:val="00C7646E"/>
    <w:pPr>
      <w:spacing w:before="120" w:after="120" w:line="22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Reminders">
    <w:name w:val="Reminders"/>
    <w:basedOn w:val="Normal"/>
    <w:link w:val="RemindersChar"/>
    <w:rsid w:val="005474B0"/>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474B0"/>
    <w:rPr>
      <w:rFonts w:ascii="Trebuchet MS" w:eastAsia="Times New Roman" w:hAnsi="Trebuchet MS" w:cs="Times New Roman"/>
      <w:i/>
      <w:color w:val="FF0000"/>
      <w:sz w:val="22"/>
    </w:rPr>
  </w:style>
  <w:style w:type="table" w:customStyle="1" w:styleId="TableGrid1">
    <w:name w:val="Table Grid1"/>
    <w:basedOn w:val="TableNormal"/>
    <w:next w:val="TableGrid"/>
    <w:rsid w:val="00CE354E"/>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61AFB"/>
    <w:rPr>
      <w:rFonts w:eastAsiaTheme="minorHAnsi"/>
      <w:sz w:val="22"/>
      <w:szCs w:val="22"/>
    </w:rPr>
  </w:style>
  <w:style w:type="character" w:styleId="Emphasis">
    <w:name w:val="Emphasis"/>
    <w:basedOn w:val="DefaultParagraphFont"/>
    <w:uiPriority w:val="20"/>
    <w:qFormat/>
    <w:rsid w:val="00915F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8132">
      <w:bodyDiv w:val="1"/>
      <w:marLeft w:val="0"/>
      <w:marRight w:val="0"/>
      <w:marTop w:val="0"/>
      <w:marBottom w:val="0"/>
      <w:divBdr>
        <w:top w:val="none" w:sz="0" w:space="0" w:color="auto"/>
        <w:left w:val="none" w:sz="0" w:space="0" w:color="auto"/>
        <w:bottom w:val="none" w:sz="0" w:space="0" w:color="auto"/>
        <w:right w:val="none" w:sz="0" w:space="0" w:color="auto"/>
      </w:divBdr>
    </w:div>
    <w:div w:id="150995275">
      <w:bodyDiv w:val="1"/>
      <w:marLeft w:val="0"/>
      <w:marRight w:val="0"/>
      <w:marTop w:val="0"/>
      <w:marBottom w:val="0"/>
      <w:divBdr>
        <w:top w:val="none" w:sz="0" w:space="0" w:color="auto"/>
        <w:left w:val="none" w:sz="0" w:space="0" w:color="auto"/>
        <w:bottom w:val="none" w:sz="0" w:space="0" w:color="auto"/>
        <w:right w:val="none" w:sz="0" w:space="0" w:color="auto"/>
      </w:divBdr>
    </w:div>
    <w:div w:id="224337275">
      <w:bodyDiv w:val="1"/>
      <w:marLeft w:val="0"/>
      <w:marRight w:val="0"/>
      <w:marTop w:val="0"/>
      <w:marBottom w:val="0"/>
      <w:divBdr>
        <w:top w:val="none" w:sz="0" w:space="0" w:color="auto"/>
        <w:left w:val="none" w:sz="0" w:space="0" w:color="auto"/>
        <w:bottom w:val="none" w:sz="0" w:space="0" w:color="auto"/>
        <w:right w:val="none" w:sz="0" w:space="0" w:color="auto"/>
      </w:divBdr>
    </w:div>
    <w:div w:id="304553444">
      <w:bodyDiv w:val="1"/>
      <w:marLeft w:val="0"/>
      <w:marRight w:val="0"/>
      <w:marTop w:val="0"/>
      <w:marBottom w:val="0"/>
      <w:divBdr>
        <w:top w:val="none" w:sz="0" w:space="0" w:color="auto"/>
        <w:left w:val="none" w:sz="0" w:space="0" w:color="auto"/>
        <w:bottom w:val="none" w:sz="0" w:space="0" w:color="auto"/>
        <w:right w:val="none" w:sz="0" w:space="0" w:color="auto"/>
      </w:divBdr>
    </w:div>
    <w:div w:id="349532067">
      <w:bodyDiv w:val="1"/>
      <w:marLeft w:val="0"/>
      <w:marRight w:val="0"/>
      <w:marTop w:val="0"/>
      <w:marBottom w:val="0"/>
      <w:divBdr>
        <w:top w:val="none" w:sz="0" w:space="0" w:color="auto"/>
        <w:left w:val="none" w:sz="0" w:space="0" w:color="auto"/>
        <w:bottom w:val="none" w:sz="0" w:space="0" w:color="auto"/>
        <w:right w:val="none" w:sz="0" w:space="0" w:color="auto"/>
      </w:divBdr>
    </w:div>
    <w:div w:id="497354074">
      <w:bodyDiv w:val="1"/>
      <w:marLeft w:val="0"/>
      <w:marRight w:val="0"/>
      <w:marTop w:val="0"/>
      <w:marBottom w:val="0"/>
      <w:divBdr>
        <w:top w:val="none" w:sz="0" w:space="0" w:color="auto"/>
        <w:left w:val="none" w:sz="0" w:space="0" w:color="auto"/>
        <w:bottom w:val="none" w:sz="0" w:space="0" w:color="auto"/>
        <w:right w:val="none" w:sz="0" w:space="0" w:color="auto"/>
      </w:divBdr>
    </w:div>
    <w:div w:id="580338847">
      <w:bodyDiv w:val="1"/>
      <w:marLeft w:val="0"/>
      <w:marRight w:val="0"/>
      <w:marTop w:val="0"/>
      <w:marBottom w:val="0"/>
      <w:divBdr>
        <w:top w:val="none" w:sz="0" w:space="0" w:color="auto"/>
        <w:left w:val="none" w:sz="0" w:space="0" w:color="auto"/>
        <w:bottom w:val="none" w:sz="0" w:space="0" w:color="auto"/>
        <w:right w:val="none" w:sz="0" w:space="0" w:color="auto"/>
      </w:divBdr>
    </w:div>
    <w:div w:id="642658989">
      <w:bodyDiv w:val="1"/>
      <w:marLeft w:val="0"/>
      <w:marRight w:val="0"/>
      <w:marTop w:val="0"/>
      <w:marBottom w:val="0"/>
      <w:divBdr>
        <w:top w:val="none" w:sz="0" w:space="0" w:color="auto"/>
        <w:left w:val="none" w:sz="0" w:space="0" w:color="auto"/>
        <w:bottom w:val="none" w:sz="0" w:space="0" w:color="auto"/>
        <w:right w:val="none" w:sz="0" w:space="0" w:color="auto"/>
      </w:divBdr>
    </w:div>
    <w:div w:id="800227276">
      <w:bodyDiv w:val="1"/>
      <w:marLeft w:val="0"/>
      <w:marRight w:val="0"/>
      <w:marTop w:val="0"/>
      <w:marBottom w:val="0"/>
      <w:divBdr>
        <w:top w:val="none" w:sz="0" w:space="0" w:color="auto"/>
        <w:left w:val="none" w:sz="0" w:space="0" w:color="auto"/>
        <w:bottom w:val="none" w:sz="0" w:space="0" w:color="auto"/>
        <w:right w:val="none" w:sz="0" w:space="0" w:color="auto"/>
      </w:divBdr>
    </w:div>
    <w:div w:id="935134749">
      <w:bodyDiv w:val="1"/>
      <w:marLeft w:val="0"/>
      <w:marRight w:val="0"/>
      <w:marTop w:val="0"/>
      <w:marBottom w:val="0"/>
      <w:divBdr>
        <w:top w:val="none" w:sz="0" w:space="0" w:color="auto"/>
        <w:left w:val="none" w:sz="0" w:space="0" w:color="auto"/>
        <w:bottom w:val="none" w:sz="0" w:space="0" w:color="auto"/>
        <w:right w:val="none" w:sz="0" w:space="0" w:color="auto"/>
      </w:divBdr>
    </w:div>
    <w:div w:id="986396533">
      <w:bodyDiv w:val="1"/>
      <w:marLeft w:val="0"/>
      <w:marRight w:val="0"/>
      <w:marTop w:val="0"/>
      <w:marBottom w:val="0"/>
      <w:divBdr>
        <w:top w:val="none" w:sz="0" w:space="0" w:color="auto"/>
        <w:left w:val="none" w:sz="0" w:space="0" w:color="auto"/>
        <w:bottom w:val="none" w:sz="0" w:space="0" w:color="auto"/>
        <w:right w:val="none" w:sz="0" w:space="0" w:color="auto"/>
      </w:divBdr>
    </w:div>
    <w:div w:id="99753720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459953921">
      <w:bodyDiv w:val="1"/>
      <w:marLeft w:val="0"/>
      <w:marRight w:val="0"/>
      <w:marTop w:val="0"/>
      <w:marBottom w:val="0"/>
      <w:divBdr>
        <w:top w:val="none" w:sz="0" w:space="0" w:color="auto"/>
        <w:left w:val="none" w:sz="0" w:space="0" w:color="auto"/>
        <w:bottom w:val="none" w:sz="0" w:space="0" w:color="auto"/>
        <w:right w:val="none" w:sz="0" w:space="0" w:color="auto"/>
      </w:divBdr>
    </w:div>
    <w:div w:id="1509905766">
      <w:bodyDiv w:val="1"/>
      <w:marLeft w:val="0"/>
      <w:marRight w:val="0"/>
      <w:marTop w:val="0"/>
      <w:marBottom w:val="0"/>
      <w:divBdr>
        <w:top w:val="none" w:sz="0" w:space="0" w:color="auto"/>
        <w:left w:val="none" w:sz="0" w:space="0" w:color="auto"/>
        <w:bottom w:val="none" w:sz="0" w:space="0" w:color="auto"/>
        <w:right w:val="none" w:sz="0" w:space="0" w:color="auto"/>
      </w:divBdr>
    </w:div>
    <w:div w:id="1543522402">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44850092">
      <w:bodyDiv w:val="1"/>
      <w:marLeft w:val="0"/>
      <w:marRight w:val="0"/>
      <w:marTop w:val="0"/>
      <w:marBottom w:val="0"/>
      <w:divBdr>
        <w:top w:val="none" w:sz="0" w:space="0" w:color="auto"/>
        <w:left w:val="none" w:sz="0" w:space="0" w:color="auto"/>
        <w:bottom w:val="none" w:sz="0" w:space="0" w:color="auto"/>
        <w:right w:val="none" w:sz="0" w:space="0" w:color="auto"/>
      </w:divBdr>
    </w:div>
    <w:div w:id="1727407527">
      <w:bodyDiv w:val="1"/>
      <w:marLeft w:val="0"/>
      <w:marRight w:val="0"/>
      <w:marTop w:val="0"/>
      <w:marBottom w:val="0"/>
      <w:divBdr>
        <w:top w:val="none" w:sz="0" w:space="0" w:color="auto"/>
        <w:left w:val="none" w:sz="0" w:space="0" w:color="auto"/>
        <w:bottom w:val="none" w:sz="0" w:space="0" w:color="auto"/>
        <w:right w:val="none" w:sz="0" w:space="0" w:color="auto"/>
      </w:divBdr>
    </w:div>
    <w:div w:id="1838761868">
      <w:bodyDiv w:val="1"/>
      <w:marLeft w:val="0"/>
      <w:marRight w:val="0"/>
      <w:marTop w:val="0"/>
      <w:marBottom w:val="0"/>
      <w:divBdr>
        <w:top w:val="none" w:sz="0" w:space="0" w:color="auto"/>
        <w:left w:val="none" w:sz="0" w:space="0" w:color="auto"/>
        <w:bottom w:val="none" w:sz="0" w:space="0" w:color="auto"/>
        <w:right w:val="none" w:sz="0" w:space="0" w:color="auto"/>
      </w:divBdr>
    </w:div>
    <w:div w:id="1878472362">
      <w:bodyDiv w:val="1"/>
      <w:marLeft w:val="0"/>
      <w:marRight w:val="0"/>
      <w:marTop w:val="0"/>
      <w:marBottom w:val="0"/>
      <w:divBdr>
        <w:top w:val="none" w:sz="0" w:space="0" w:color="auto"/>
        <w:left w:val="none" w:sz="0" w:space="0" w:color="auto"/>
        <w:bottom w:val="none" w:sz="0" w:space="0" w:color="auto"/>
        <w:right w:val="none" w:sz="0" w:space="0" w:color="auto"/>
      </w:divBdr>
    </w:div>
    <w:div w:id="1933852003">
      <w:bodyDiv w:val="1"/>
      <w:marLeft w:val="0"/>
      <w:marRight w:val="0"/>
      <w:marTop w:val="0"/>
      <w:marBottom w:val="0"/>
      <w:divBdr>
        <w:top w:val="none" w:sz="0" w:space="0" w:color="auto"/>
        <w:left w:val="none" w:sz="0" w:space="0" w:color="auto"/>
        <w:bottom w:val="none" w:sz="0" w:space="0" w:color="auto"/>
        <w:right w:val="none" w:sz="0" w:space="0" w:color="auto"/>
      </w:divBdr>
    </w:div>
    <w:div w:id="1945267183">
      <w:bodyDiv w:val="1"/>
      <w:marLeft w:val="0"/>
      <w:marRight w:val="0"/>
      <w:marTop w:val="0"/>
      <w:marBottom w:val="0"/>
      <w:divBdr>
        <w:top w:val="none" w:sz="0" w:space="0" w:color="auto"/>
        <w:left w:val="none" w:sz="0" w:space="0" w:color="auto"/>
        <w:bottom w:val="none" w:sz="0" w:space="0" w:color="auto"/>
        <w:right w:val="none" w:sz="0" w:space="0" w:color="auto"/>
      </w:divBdr>
    </w:div>
    <w:div w:id="19767185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5470069">
      <w:bodyDiv w:val="1"/>
      <w:marLeft w:val="0"/>
      <w:marRight w:val="0"/>
      <w:marTop w:val="0"/>
      <w:marBottom w:val="0"/>
      <w:divBdr>
        <w:top w:val="none" w:sz="0" w:space="0" w:color="auto"/>
        <w:left w:val="none" w:sz="0" w:space="0" w:color="auto"/>
        <w:bottom w:val="none" w:sz="0" w:space="0" w:color="auto"/>
        <w:right w:val="none" w:sz="0" w:space="0" w:color="auto"/>
      </w:divBdr>
    </w:div>
    <w:div w:id="210005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tmp"/><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tmp"/><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tm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tmp"/><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9.tmp"/><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3557B-DB3E-4FF4-B04E-763CC397D532}">
  <ds:schemaRefs>
    <ds:schemaRef ds:uri="http://schemas.microsoft.com/sharepoint/v3/contenttype/forms"/>
  </ds:schemaRefs>
</ds:datastoreItem>
</file>

<file path=customXml/itemProps2.xml><?xml version="1.0" encoding="utf-8"?>
<ds:datastoreItem xmlns:ds="http://schemas.openxmlformats.org/officeDocument/2006/customXml" ds:itemID="{2EA0A8BB-9F03-411D-B580-D7ECBA8EE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4FA0EA-DF8D-486F-82F0-B6A6362885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CC2D94-7FF6-4833-B728-3954FDA6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TotalTime>
  <Pages>21</Pages>
  <Words>4680</Words>
  <Characters>26679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31297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Voong, Tai</cp:lastModifiedBy>
  <cp:revision>3</cp:revision>
  <cp:lastPrinted>2017-06-29T20:58:00Z</cp:lastPrinted>
  <dcterms:created xsi:type="dcterms:W3CDTF">2020-05-28T03:23:00Z</dcterms:created>
  <dcterms:modified xsi:type="dcterms:W3CDTF">2021-01-25T23:33:00Z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