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B7AD92" w14:textId="56BBA2D7"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AD348C">
            <w:t>WPSDGEWEN0001</w:t>
          </w:r>
        </w:sdtContent>
      </w:sdt>
    </w:p>
    <w:bookmarkEnd w:id="0"/>
    <w:p w14:paraId="3D8AA988" w14:textId="73A8E01C" w:rsidR="00DA690B" w:rsidRPr="00500C4E" w:rsidRDefault="00054031"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1B143D">
            <w:rPr>
              <w:rStyle w:val="CaptionChar"/>
              <w:rFonts w:asciiTheme="minorHAnsi" w:hAnsiTheme="minorHAnsi" w:cstheme="minorHAnsi"/>
              <w:b/>
              <w:bCs w:val="0"/>
              <w:sz w:val="48"/>
              <w:szCs w:val="48"/>
            </w:rPr>
            <w:t xml:space="preserve">Revision </w:t>
          </w:r>
          <w:r w:rsidR="005B3A4F">
            <w:rPr>
              <w:rStyle w:val="CaptionChar"/>
              <w:rFonts w:asciiTheme="minorHAnsi" w:hAnsiTheme="minorHAnsi" w:cstheme="minorHAnsi"/>
              <w:b/>
              <w:bCs w:val="0"/>
              <w:sz w:val="48"/>
              <w:szCs w:val="48"/>
            </w:rPr>
            <w:t>1</w:t>
          </w:r>
        </w:sdtContent>
      </w:sdt>
    </w:p>
    <w:p w14:paraId="0B96AB0A" w14:textId="77777777" w:rsidR="00285A0D" w:rsidRPr="00500C4E" w:rsidRDefault="00285A0D" w:rsidP="00DE5758">
      <w:pPr>
        <w:jc w:val="right"/>
        <w:rPr>
          <w:rFonts w:cstheme="minorHAnsi"/>
          <w:b/>
          <w:sz w:val="48"/>
          <w:szCs w:val="48"/>
        </w:rPr>
      </w:pPr>
    </w:p>
    <w:bookmarkStart w:id="2" w:name="SCE"/>
    <w:p w14:paraId="2E2C4FF0" w14:textId="77777777" w:rsidR="00DA690B" w:rsidRPr="00500C4E" w:rsidRDefault="00054031"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287A76" w:rsidRPr="00287A76">
            <w:rPr>
              <w:rFonts w:cstheme="minorHAnsi"/>
              <w:b/>
              <w:sz w:val="36"/>
              <w:szCs w:val="36"/>
            </w:rPr>
            <w:t>San Diego Gas &amp; Electric</w:t>
          </w:r>
        </w:sdtContent>
      </w:sdt>
      <w:bookmarkEnd w:id="2"/>
    </w:p>
    <w:p w14:paraId="75037197" w14:textId="77777777" w:rsidR="00DA690B" w:rsidRPr="00500C4E" w:rsidRDefault="00DA690B" w:rsidP="00DA690B">
      <w:pPr>
        <w:rPr>
          <w:rFonts w:cstheme="minorHAnsi"/>
        </w:rPr>
      </w:pPr>
    </w:p>
    <w:p w14:paraId="2029B208" w14:textId="77777777" w:rsidR="00DA690B" w:rsidRPr="00500C4E" w:rsidRDefault="00DA690B" w:rsidP="00DA690B">
      <w:pPr>
        <w:rPr>
          <w:rFonts w:cstheme="minorHAnsi"/>
        </w:rPr>
      </w:pPr>
    </w:p>
    <w:p w14:paraId="7A9FA043" w14:textId="77777777" w:rsidR="00DA690B" w:rsidRPr="00500C4E" w:rsidRDefault="009D0753" w:rsidP="009D0753">
      <w:pPr>
        <w:tabs>
          <w:tab w:val="left" w:pos="8190"/>
        </w:tabs>
        <w:rPr>
          <w:rFonts w:cstheme="minorHAnsi"/>
        </w:rPr>
      </w:pPr>
      <w:r w:rsidRPr="00500C4E">
        <w:rPr>
          <w:rFonts w:cstheme="minorHAnsi"/>
        </w:rPr>
        <w:tab/>
      </w:r>
    </w:p>
    <w:p w14:paraId="58D435DB" w14:textId="77777777" w:rsidR="00DA690B" w:rsidRPr="00500C4E" w:rsidRDefault="00DA690B" w:rsidP="00DA690B">
      <w:pPr>
        <w:rPr>
          <w:rFonts w:cstheme="minorHAnsi"/>
        </w:rPr>
      </w:pPr>
    </w:p>
    <w:p w14:paraId="6022F4CA" w14:textId="77777777" w:rsidR="00DA690B" w:rsidRPr="00500C4E" w:rsidRDefault="00DA690B" w:rsidP="00DA690B">
      <w:pPr>
        <w:rPr>
          <w:rFonts w:cstheme="minorHAnsi"/>
        </w:rPr>
      </w:pPr>
    </w:p>
    <w:p w14:paraId="3815C83E" w14:textId="77777777" w:rsidR="00DA690B" w:rsidRPr="00500C4E" w:rsidRDefault="00DA690B" w:rsidP="00DA690B">
      <w:pPr>
        <w:rPr>
          <w:rFonts w:cstheme="minorHAnsi"/>
        </w:rPr>
      </w:pPr>
    </w:p>
    <w:p w14:paraId="36AFCAB7" w14:textId="77777777" w:rsidR="00DA690B" w:rsidRPr="00500C4E" w:rsidRDefault="00DA690B" w:rsidP="00DA690B">
      <w:pPr>
        <w:rPr>
          <w:rFonts w:cstheme="minorHAnsi"/>
        </w:rPr>
      </w:pPr>
    </w:p>
    <w:p w14:paraId="1100A04E" w14:textId="77777777" w:rsidR="00DA690B" w:rsidRPr="00500C4E" w:rsidRDefault="00DA690B" w:rsidP="00DA690B">
      <w:pPr>
        <w:rPr>
          <w:rFonts w:cstheme="minorHAnsi"/>
        </w:rPr>
      </w:pPr>
    </w:p>
    <w:p w14:paraId="6012914C" w14:textId="77777777" w:rsidR="00DA690B" w:rsidRPr="00500C4E" w:rsidRDefault="00287A76" w:rsidP="00DA690B">
      <w:pPr>
        <w:rPr>
          <w:rFonts w:cstheme="minorHAnsi"/>
          <w:b/>
          <w:sz w:val="72"/>
          <w:szCs w:val="72"/>
        </w:rPr>
      </w:pPr>
      <w:r>
        <w:rPr>
          <w:rFonts w:cstheme="minorHAnsi"/>
          <w:b/>
          <w:sz w:val="72"/>
          <w:szCs w:val="72"/>
        </w:rPr>
        <w:t>Water Energy Nexus Measures</w:t>
      </w:r>
    </w:p>
    <w:p w14:paraId="435CFCF5" w14:textId="77777777" w:rsidR="00E76B31" w:rsidRPr="00500C4E" w:rsidRDefault="00E76B31" w:rsidP="00E76B31">
      <w:pPr>
        <w:pStyle w:val="Reminders"/>
        <w:rPr>
          <w:rFonts w:asciiTheme="minorHAnsi" w:hAnsiTheme="minorHAnsi" w:cstheme="minorHAnsi"/>
          <w:i w:val="0"/>
          <w:szCs w:val="22"/>
        </w:rPr>
      </w:pPr>
    </w:p>
    <w:p w14:paraId="61610F81" w14:textId="77777777" w:rsidR="00EF4E6B" w:rsidRPr="00500C4E" w:rsidRDefault="00EF4E6B" w:rsidP="00E76B31">
      <w:pPr>
        <w:pStyle w:val="Reminders"/>
        <w:rPr>
          <w:rFonts w:asciiTheme="minorHAnsi" w:hAnsiTheme="minorHAnsi" w:cstheme="minorHAnsi"/>
          <w:b/>
          <w:i w:val="0"/>
          <w:sz w:val="32"/>
          <w:szCs w:val="22"/>
        </w:rPr>
      </w:pPr>
    </w:p>
    <w:p w14:paraId="639CB329"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2"/>
          <w:pgSz w:w="12240" w:h="15840"/>
          <w:pgMar w:top="1440" w:right="1440" w:bottom="1440" w:left="1440" w:header="720" w:footer="720" w:gutter="0"/>
          <w:cols w:space="720"/>
          <w:docGrid w:linePitch="360"/>
        </w:sectPr>
      </w:pPr>
    </w:p>
    <w:p w14:paraId="0D9209EF"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AC5309" w:rsidRPr="00500C4E" w14:paraId="7127C3A0" w14:textId="77777777" w:rsidTr="00920905">
        <w:trPr>
          <w:trHeight w:val="465"/>
        </w:trPr>
        <w:tc>
          <w:tcPr>
            <w:tcW w:w="1875" w:type="pct"/>
          </w:tcPr>
          <w:p w14:paraId="3693C7BA"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5E62035C" w14:textId="77777777" w:rsidR="00AC5309" w:rsidRPr="00725945" w:rsidRDefault="00725945">
            <w:pPr>
              <w:rPr>
                <w:rFonts w:cs="Arial"/>
                <w:bCs/>
                <w:szCs w:val="20"/>
              </w:rPr>
            </w:pPr>
            <w:r w:rsidRPr="00725945">
              <w:rPr>
                <w:rFonts w:cs="Arial"/>
                <w:bCs/>
                <w:szCs w:val="20"/>
              </w:rPr>
              <w:t>Refer to Table 1</w:t>
            </w:r>
          </w:p>
        </w:tc>
      </w:tr>
      <w:tr w:rsidR="00725945" w:rsidRPr="00500C4E" w14:paraId="5AF74020" w14:textId="77777777" w:rsidTr="00920905">
        <w:trPr>
          <w:trHeight w:val="465"/>
        </w:trPr>
        <w:tc>
          <w:tcPr>
            <w:tcW w:w="1875" w:type="pct"/>
          </w:tcPr>
          <w:p w14:paraId="1D88BDD9" w14:textId="77777777" w:rsidR="00725945" w:rsidRPr="00500C4E" w:rsidRDefault="00725945">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21E7F6E4" w14:textId="77777777" w:rsidR="00725945" w:rsidRPr="00725945" w:rsidRDefault="00725945">
            <w:r w:rsidRPr="00725945">
              <w:rPr>
                <w:rFonts w:cs="Arial"/>
                <w:bCs/>
                <w:szCs w:val="20"/>
              </w:rPr>
              <w:t>Refer to Table 1</w:t>
            </w:r>
          </w:p>
        </w:tc>
      </w:tr>
      <w:tr w:rsidR="00725945" w:rsidRPr="00500C4E" w14:paraId="489C5377" w14:textId="77777777" w:rsidTr="00920905">
        <w:trPr>
          <w:trHeight w:val="465"/>
        </w:trPr>
        <w:tc>
          <w:tcPr>
            <w:tcW w:w="1875" w:type="pct"/>
          </w:tcPr>
          <w:p w14:paraId="5A63E769" w14:textId="77777777" w:rsidR="00725945" w:rsidRPr="00500C4E" w:rsidRDefault="00725945">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45B1948A" w14:textId="77777777" w:rsidR="00725945" w:rsidRPr="00725945" w:rsidRDefault="00725945">
            <w:r w:rsidRPr="00725945">
              <w:rPr>
                <w:rFonts w:cs="Arial"/>
                <w:bCs/>
                <w:szCs w:val="20"/>
              </w:rPr>
              <w:t>Refer to Table 1</w:t>
            </w:r>
          </w:p>
        </w:tc>
      </w:tr>
      <w:tr w:rsidR="00D36798" w:rsidRPr="00500C4E" w14:paraId="709F93BD" w14:textId="77777777" w:rsidTr="00920905">
        <w:trPr>
          <w:trHeight w:val="465"/>
        </w:trPr>
        <w:tc>
          <w:tcPr>
            <w:tcW w:w="1875" w:type="pct"/>
          </w:tcPr>
          <w:p w14:paraId="303AD433" w14:textId="77777777"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5BEB6571" w14:textId="77777777" w:rsidR="00D36798" w:rsidRPr="00500C4E" w:rsidRDefault="00725945">
            <w:pPr>
              <w:rPr>
                <w:rFonts w:cs="Arial"/>
                <w:color w:val="FF0000"/>
                <w:szCs w:val="20"/>
              </w:rPr>
            </w:pPr>
            <w:r w:rsidRPr="00500C4E">
              <w:rPr>
                <w:rFonts w:cs="Arial"/>
                <w:szCs w:val="20"/>
              </w:rPr>
              <w:t>Refer to Excel Calculation Attachment</w:t>
            </w:r>
          </w:p>
        </w:tc>
      </w:tr>
      <w:tr w:rsidR="00290ED8" w:rsidRPr="00500C4E" w14:paraId="394BB2E1" w14:textId="77777777" w:rsidTr="00920905">
        <w:trPr>
          <w:trHeight w:val="465"/>
        </w:trPr>
        <w:tc>
          <w:tcPr>
            <w:tcW w:w="1875" w:type="pct"/>
          </w:tcPr>
          <w:p w14:paraId="34F3A4E2" w14:textId="77777777"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0209493F" w14:textId="77777777" w:rsidR="00290ED8" w:rsidRPr="00500C4E" w:rsidRDefault="00D36798">
            <w:pPr>
              <w:rPr>
                <w:rFonts w:cs="Arial"/>
                <w:szCs w:val="20"/>
              </w:rPr>
            </w:pPr>
            <w:r w:rsidRPr="00500C4E">
              <w:rPr>
                <w:rFonts w:cs="Arial"/>
                <w:szCs w:val="20"/>
              </w:rPr>
              <w:t>Refer to Excel Calculation Attachment</w:t>
            </w:r>
          </w:p>
        </w:tc>
      </w:tr>
      <w:tr w:rsidR="00290ED8" w:rsidRPr="00500C4E" w14:paraId="2AED7477" w14:textId="77777777" w:rsidTr="00920905">
        <w:trPr>
          <w:trHeight w:val="465"/>
        </w:trPr>
        <w:tc>
          <w:tcPr>
            <w:tcW w:w="1875" w:type="pct"/>
          </w:tcPr>
          <w:p w14:paraId="281A3609" w14:textId="77777777"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1097CF04" w14:textId="77777777" w:rsidR="00290ED8" w:rsidRPr="00725945" w:rsidRDefault="00AC2F5B" w:rsidP="00AC2F5B">
            <w:pPr>
              <w:rPr>
                <w:rFonts w:cs="Arial"/>
                <w:szCs w:val="20"/>
              </w:rPr>
            </w:pPr>
            <w:r w:rsidRPr="00725945">
              <w:rPr>
                <w:rFonts w:cs="Arial"/>
                <w:szCs w:val="20"/>
              </w:rPr>
              <w:t>Refer to Excel Calculation Attachment</w:t>
            </w:r>
          </w:p>
        </w:tc>
      </w:tr>
      <w:tr w:rsidR="00AC5309" w:rsidRPr="00500C4E" w14:paraId="5950BC39" w14:textId="77777777" w:rsidTr="00920905">
        <w:trPr>
          <w:trHeight w:val="465"/>
        </w:trPr>
        <w:tc>
          <w:tcPr>
            <w:tcW w:w="1875" w:type="pct"/>
          </w:tcPr>
          <w:p w14:paraId="7299D2EB"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123D6B79" w14:textId="77777777" w:rsidR="00290ED8" w:rsidRPr="00725945" w:rsidRDefault="00AC2F5B" w:rsidP="00725945">
            <w:pPr>
              <w:rPr>
                <w:rFonts w:cs="Arial"/>
                <w:szCs w:val="20"/>
              </w:rPr>
            </w:pPr>
            <w:r w:rsidRPr="00725945">
              <w:rPr>
                <w:rFonts w:cs="Arial"/>
                <w:szCs w:val="20"/>
              </w:rPr>
              <w:t>Refer to Excel Calculation Attachment</w:t>
            </w:r>
          </w:p>
        </w:tc>
      </w:tr>
      <w:tr w:rsidR="00FD4173" w:rsidRPr="00FD4173" w14:paraId="64350EDB" w14:textId="77777777" w:rsidTr="00920905">
        <w:trPr>
          <w:trHeight w:val="465"/>
        </w:trPr>
        <w:tc>
          <w:tcPr>
            <w:tcW w:w="1875" w:type="pct"/>
          </w:tcPr>
          <w:p w14:paraId="0951CA8D" w14:textId="77777777"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21D42FA8" w14:textId="77777777" w:rsidR="00290ED8" w:rsidRPr="00725945" w:rsidRDefault="00FD4173">
            <w:pPr>
              <w:rPr>
                <w:rFonts w:cs="Arial"/>
                <w:szCs w:val="20"/>
              </w:rPr>
            </w:pPr>
            <w:r w:rsidRPr="00725945">
              <w:rPr>
                <w:rFonts w:cs="Arial"/>
                <w:szCs w:val="20"/>
              </w:rPr>
              <w:t>Refer to Excel Calculation Attachment</w:t>
            </w:r>
          </w:p>
        </w:tc>
      </w:tr>
      <w:tr w:rsidR="00AC5309" w:rsidRPr="00500C4E" w14:paraId="2967E727" w14:textId="77777777" w:rsidTr="00920905">
        <w:trPr>
          <w:trHeight w:val="465"/>
        </w:trPr>
        <w:tc>
          <w:tcPr>
            <w:tcW w:w="1875" w:type="pct"/>
          </w:tcPr>
          <w:p w14:paraId="6287C4B1"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0D91B20A" w14:textId="77777777" w:rsidR="00290ED8" w:rsidRPr="00725945" w:rsidRDefault="00725945">
            <w:pPr>
              <w:rPr>
                <w:rFonts w:cs="Arial"/>
                <w:szCs w:val="20"/>
              </w:rPr>
            </w:pPr>
            <w:r>
              <w:rPr>
                <w:rFonts w:cs="Arial"/>
                <w:szCs w:val="20"/>
              </w:rPr>
              <w:t>Refer to Section 1.3</w:t>
            </w:r>
          </w:p>
        </w:tc>
      </w:tr>
      <w:tr w:rsidR="00290ED8" w:rsidRPr="00500C4E" w14:paraId="11F86852" w14:textId="77777777" w:rsidTr="00920905">
        <w:trPr>
          <w:trHeight w:val="465"/>
        </w:trPr>
        <w:tc>
          <w:tcPr>
            <w:tcW w:w="1875" w:type="pct"/>
          </w:tcPr>
          <w:p w14:paraId="121B7B84" w14:textId="77777777"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35E4135" w14:textId="77777777" w:rsidR="00290ED8" w:rsidRPr="00E67C54" w:rsidRDefault="00725945">
            <w:pPr>
              <w:rPr>
                <w:rFonts w:cs="Arial"/>
                <w:szCs w:val="20"/>
              </w:rPr>
            </w:pPr>
            <w:r>
              <w:rPr>
                <w:rFonts w:cs="Arial"/>
                <w:szCs w:val="20"/>
              </w:rPr>
              <w:t>Refer to Section 1.4</w:t>
            </w:r>
          </w:p>
        </w:tc>
      </w:tr>
      <w:tr w:rsidR="00290ED8" w:rsidRPr="00500C4E" w14:paraId="3706F4AE" w14:textId="77777777" w:rsidTr="00920905">
        <w:trPr>
          <w:trHeight w:val="465"/>
        </w:trPr>
        <w:tc>
          <w:tcPr>
            <w:tcW w:w="1875" w:type="pct"/>
          </w:tcPr>
          <w:p w14:paraId="01C6D202"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72F1E36B" w14:textId="274FCFD9" w:rsidR="001438B0" w:rsidRDefault="001438B0" w:rsidP="00034EBA">
            <w:pPr>
              <w:rPr>
                <w:rFonts w:cs="Arial"/>
                <w:szCs w:val="20"/>
              </w:rPr>
            </w:pPr>
            <w:r>
              <w:rPr>
                <w:rFonts w:cs="Arial"/>
                <w:szCs w:val="20"/>
              </w:rPr>
              <w:t>The latest version of the Water Energy Nexus Calculator (WEN Calculator version 1.05) was used to estimate embedded energy savings for measures identified in Table 1.</w:t>
            </w:r>
          </w:p>
          <w:p w14:paraId="44AE6480" w14:textId="77777777" w:rsidR="001438B0" w:rsidRDefault="001438B0" w:rsidP="00034EBA">
            <w:pPr>
              <w:rPr>
                <w:rFonts w:cs="Arial"/>
                <w:szCs w:val="20"/>
              </w:rPr>
            </w:pPr>
          </w:p>
          <w:p w14:paraId="41D0F0EE" w14:textId="37C580BE" w:rsidR="00034EBA" w:rsidRDefault="00034EBA" w:rsidP="00034EBA">
            <w:pPr>
              <w:rPr>
                <w:rFonts w:cs="Arial"/>
                <w:szCs w:val="20"/>
              </w:rPr>
            </w:pPr>
            <w:r>
              <w:rPr>
                <w:rFonts w:cs="Arial"/>
                <w:szCs w:val="20"/>
              </w:rPr>
              <w:t xml:space="preserve">Where applicable, DEER cost-effectiveness </w:t>
            </w:r>
            <w:r w:rsidR="005E3374">
              <w:rPr>
                <w:rFonts w:cs="Arial"/>
                <w:szCs w:val="20"/>
              </w:rPr>
              <w:t>values</w:t>
            </w:r>
            <w:r>
              <w:rPr>
                <w:rFonts w:cs="Arial"/>
                <w:szCs w:val="20"/>
              </w:rPr>
              <w:t xml:space="preserve"> will be used first, then Metropolitan Water District (MWD) values and the</w:t>
            </w:r>
            <w:r w:rsidR="005E3374">
              <w:rPr>
                <w:rFonts w:cs="Arial"/>
                <w:szCs w:val="20"/>
              </w:rPr>
              <w:t>n</w:t>
            </w:r>
            <w:r>
              <w:rPr>
                <w:rFonts w:cs="Arial"/>
                <w:szCs w:val="20"/>
              </w:rPr>
              <w:t xml:space="preserve"> </w:t>
            </w:r>
            <w:r w:rsidR="005E3374">
              <w:rPr>
                <w:rFonts w:cs="Arial"/>
                <w:szCs w:val="20"/>
              </w:rPr>
              <w:t xml:space="preserve">values from </w:t>
            </w:r>
            <w:r>
              <w:rPr>
                <w:rFonts w:cs="Arial"/>
                <w:szCs w:val="20"/>
              </w:rPr>
              <w:t xml:space="preserve">CPUC Decision D.15-09-023. </w:t>
            </w:r>
          </w:p>
          <w:p w14:paraId="311506C2" w14:textId="77777777" w:rsidR="00034EBA" w:rsidRDefault="00034EBA" w:rsidP="00034EBA">
            <w:pPr>
              <w:pStyle w:val="ListParagraph"/>
              <w:rPr>
                <w:rFonts w:cs="Arial"/>
                <w:szCs w:val="20"/>
              </w:rPr>
            </w:pPr>
          </w:p>
          <w:p w14:paraId="43733D64" w14:textId="3C3C0B75" w:rsidR="00034EBA" w:rsidRPr="00034EBA" w:rsidRDefault="00034EBA" w:rsidP="00226D53">
            <w:pPr>
              <w:pStyle w:val="ListParagraph"/>
              <w:numPr>
                <w:ilvl w:val="0"/>
                <w:numId w:val="16"/>
              </w:numPr>
              <w:rPr>
                <w:rFonts w:cs="Arial"/>
                <w:szCs w:val="20"/>
              </w:rPr>
            </w:pPr>
            <w:r w:rsidRPr="00034EBA">
              <w:rPr>
                <w:rFonts w:cs="Arial"/>
                <w:szCs w:val="20"/>
              </w:rPr>
              <w:t xml:space="preserve">For example, for all direct energy savings measures in DEER with a water component, the NTG from that measure for the embedded energy component will be used and not the 0.85. On the other </w:t>
            </w:r>
            <w:r w:rsidR="00150D93" w:rsidRPr="00034EBA">
              <w:rPr>
                <w:rFonts w:cs="Arial"/>
                <w:szCs w:val="20"/>
              </w:rPr>
              <w:t>hand,</w:t>
            </w:r>
            <w:r w:rsidRPr="00034EBA">
              <w:rPr>
                <w:rFonts w:cs="Arial"/>
                <w:szCs w:val="20"/>
              </w:rPr>
              <w:t xml:space="preserve"> if the measure does not have a direct </w:t>
            </w:r>
            <w:r>
              <w:rPr>
                <w:rFonts w:cs="Arial"/>
                <w:szCs w:val="20"/>
              </w:rPr>
              <w:t>NTG</w:t>
            </w:r>
            <w:r w:rsidRPr="00034EBA">
              <w:rPr>
                <w:rFonts w:cs="Arial"/>
                <w:szCs w:val="20"/>
              </w:rPr>
              <w:t xml:space="preserve"> counterpart currently in DEER,</w:t>
            </w:r>
            <w:r>
              <w:rPr>
                <w:rFonts w:cs="Arial"/>
                <w:szCs w:val="20"/>
              </w:rPr>
              <w:t xml:space="preserve"> then the MWD NTG, if any, would apply. In situations where both DEER and MWD NTG values are unavailable, then </w:t>
            </w:r>
            <w:r w:rsidR="00725945" w:rsidRPr="00034EBA">
              <w:rPr>
                <w:rFonts w:cs="Arial"/>
                <w:szCs w:val="20"/>
              </w:rPr>
              <w:t xml:space="preserve">Decision D.15-09-023 </w:t>
            </w:r>
            <w:r>
              <w:rPr>
                <w:rFonts w:cs="Arial"/>
                <w:szCs w:val="20"/>
              </w:rPr>
              <w:t xml:space="preserve">would then apply and </w:t>
            </w:r>
            <w:r w:rsidR="00725945" w:rsidRPr="00034EBA">
              <w:rPr>
                <w:rFonts w:cs="Arial"/>
                <w:szCs w:val="20"/>
              </w:rPr>
              <w:t>locks in a default NTG ratio of 0.85 (OP-7)</w:t>
            </w:r>
            <w:r>
              <w:rPr>
                <w:rFonts w:cs="Arial"/>
                <w:szCs w:val="20"/>
              </w:rPr>
              <w:t xml:space="preserve">. </w:t>
            </w:r>
          </w:p>
        </w:tc>
      </w:tr>
    </w:tbl>
    <w:p w14:paraId="20E58F67" w14:textId="77777777" w:rsidR="00AC5309" w:rsidRPr="00500C4E" w:rsidRDefault="00AC5309">
      <w:pPr>
        <w:spacing w:after="200" w:line="276" w:lineRule="auto"/>
        <w:rPr>
          <w:rFonts w:cstheme="minorHAnsi"/>
          <w:b/>
          <w:bCs/>
          <w:smallCaps/>
          <w:kern w:val="32"/>
          <w:sz w:val="36"/>
          <w:szCs w:val="32"/>
        </w:rPr>
      </w:pPr>
    </w:p>
    <w:p w14:paraId="21BB343E" w14:textId="77777777" w:rsidR="00AC5309" w:rsidRPr="00FD4173"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CFEF7D" w14:textId="77777777"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980"/>
        <w:gridCol w:w="1378"/>
        <w:gridCol w:w="6468"/>
      </w:tblGrid>
      <w:tr w:rsidR="003845E5" w:rsidRPr="00500C4E" w14:paraId="0CAF3A2B" w14:textId="77777777" w:rsidTr="005B3A4F">
        <w:trPr>
          <w:trHeight w:val="20"/>
        </w:trPr>
        <w:tc>
          <w:tcPr>
            <w:tcW w:w="280" w:type="pct"/>
            <w:shd w:val="clear" w:color="auto" w:fill="D9D9D9" w:themeFill="background1" w:themeFillShade="D9"/>
          </w:tcPr>
          <w:p w14:paraId="35235465" w14:textId="77777777" w:rsidR="00933188" w:rsidRPr="00500C4E" w:rsidRDefault="003845E5" w:rsidP="003845E5">
            <w:pPr>
              <w:rPr>
                <w:rFonts w:cstheme="minorHAnsi"/>
                <w:b/>
                <w:bCs/>
                <w:szCs w:val="20"/>
              </w:rPr>
            </w:pPr>
            <w:r>
              <w:rPr>
                <w:rFonts w:cstheme="minorHAnsi"/>
                <w:b/>
                <w:szCs w:val="20"/>
              </w:rPr>
              <w:t>Rev</w:t>
            </w:r>
          </w:p>
        </w:tc>
        <w:tc>
          <w:tcPr>
            <w:tcW w:w="524" w:type="pct"/>
            <w:shd w:val="clear" w:color="auto" w:fill="D9D9D9" w:themeFill="background1" w:themeFillShade="D9"/>
          </w:tcPr>
          <w:p w14:paraId="27697332" w14:textId="77777777" w:rsidR="00933188" w:rsidRPr="00500C4E" w:rsidRDefault="00933188" w:rsidP="005729C8">
            <w:pPr>
              <w:rPr>
                <w:rFonts w:cstheme="minorHAnsi"/>
                <w:b/>
                <w:bCs/>
                <w:szCs w:val="20"/>
              </w:rPr>
            </w:pPr>
            <w:r w:rsidRPr="00920905">
              <w:rPr>
                <w:rFonts w:cstheme="minorHAnsi"/>
                <w:b/>
                <w:szCs w:val="20"/>
              </w:rPr>
              <w:t>Date</w:t>
            </w:r>
          </w:p>
        </w:tc>
        <w:tc>
          <w:tcPr>
            <w:tcW w:w="737" w:type="pct"/>
            <w:shd w:val="clear" w:color="auto" w:fill="D9D9D9" w:themeFill="background1" w:themeFillShade="D9"/>
          </w:tcPr>
          <w:p w14:paraId="13750A1A" w14:textId="77777777" w:rsidR="00933188" w:rsidRPr="00500C4E" w:rsidRDefault="003845E5" w:rsidP="003845E5">
            <w:pPr>
              <w:rPr>
                <w:rFonts w:cstheme="minorHAnsi"/>
                <w:b/>
                <w:bCs/>
                <w:szCs w:val="20"/>
              </w:rPr>
            </w:pPr>
            <w:r>
              <w:rPr>
                <w:rFonts w:cstheme="minorHAnsi"/>
                <w:b/>
                <w:szCs w:val="20"/>
              </w:rPr>
              <w:t>Author</w:t>
            </w:r>
          </w:p>
        </w:tc>
        <w:tc>
          <w:tcPr>
            <w:tcW w:w="3459" w:type="pct"/>
            <w:shd w:val="clear" w:color="auto" w:fill="D9D9D9" w:themeFill="background1" w:themeFillShade="D9"/>
          </w:tcPr>
          <w:p w14:paraId="0C113F1F"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728791F0" w14:textId="77777777" w:rsidTr="0088576C">
        <w:trPr>
          <w:trHeight w:val="20"/>
        </w:trPr>
        <w:tc>
          <w:tcPr>
            <w:tcW w:w="280" w:type="pct"/>
            <w:vAlign w:val="center"/>
          </w:tcPr>
          <w:p w14:paraId="3957360C" w14:textId="77777777" w:rsidR="00933188" w:rsidRPr="00992C6F" w:rsidRDefault="00933188" w:rsidP="0088576C">
            <w:pPr>
              <w:jc w:val="center"/>
              <w:rPr>
                <w:rFonts w:cstheme="minorHAnsi"/>
                <w:szCs w:val="20"/>
              </w:rPr>
            </w:pPr>
            <w:r w:rsidRPr="00992C6F">
              <w:rPr>
                <w:rFonts w:cstheme="minorHAnsi"/>
                <w:szCs w:val="20"/>
              </w:rPr>
              <w:t>0</w:t>
            </w:r>
          </w:p>
        </w:tc>
        <w:tc>
          <w:tcPr>
            <w:tcW w:w="524" w:type="pct"/>
            <w:vAlign w:val="center"/>
          </w:tcPr>
          <w:p w14:paraId="61C14D90" w14:textId="5597A6D8" w:rsidR="00933188" w:rsidRPr="00992C6F" w:rsidRDefault="00211C6A" w:rsidP="0088576C">
            <w:pPr>
              <w:jc w:val="center"/>
              <w:rPr>
                <w:rFonts w:cstheme="minorHAnsi"/>
                <w:szCs w:val="20"/>
              </w:rPr>
            </w:pPr>
            <w:r>
              <w:rPr>
                <w:rFonts w:cstheme="minorHAnsi"/>
                <w:szCs w:val="20"/>
              </w:rPr>
              <w:t>04</w:t>
            </w:r>
            <w:r w:rsidR="00933188" w:rsidRPr="00992C6F">
              <w:rPr>
                <w:rFonts w:cstheme="minorHAnsi"/>
                <w:szCs w:val="20"/>
              </w:rPr>
              <w:t>/</w:t>
            </w:r>
            <w:r w:rsidR="00AD348C">
              <w:rPr>
                <w:rFonts w:cstheme="minorHAnsi"/>
                <w:szCs w:val="20"/>
              </w:rPr>
              <w:t>21</w:t>
            </w:r>
            <w:r>
              <w:rPr>
                <w:rFonts w:cstheme="minorHAnsi"/>
                <w:szCs w:val="20"/>
              </w:rPr>
              <w:t>/17</w:t>
            </w:r>
          </w:p>
        </w:tc>
        <w:tc>
          <w:tcPr>
            <w:tcW w:w="737" w:type="pct"/>
            <w:vAlign w:val="center"/>
          </w:tcPr>
          <w:p w14:paraId="4FC97A08" w14:textId="77777777" w:rsidR="00933188" w:rsidRPr="00992C6F" w:rsidRDefault="00992C6F" w:rsidP="0088576C">
            <w:pPr>
              <w:jc w:val="center"/>
              <w:rPr>
                <w:rFonts w:cstheme="minorHAnsi"/>
                <w:szCs w:val="20"/>
              </w:rPr>
            </w:pPr>
            <w:r>
              <w:rPr>
                <w:rFonts w:cstheme="minorHAnsi"/>
                <w:szCs w:val="20"/>
              </w:rPr>
              <w:t>RMS</w:t>
            </w:r>
            <w:r w:rsidR="00725945">
              <w:rPr>
                <w:rFonts w:cstheme="minorHAnsi"/>
                <w:szCs w:val="20"/>
              </w:rPr>
              <w:t xml:space="preserve"> Energy Consulting, LLC</w:t>
            </w:r>
          </w:p>
        </w:tc>
        <w:tc>
          <w:tcPr>
            <w:tcW w:w="3459" w:type="pct"/>
            <w:vAlign w:val="center"/>
          </w:tcPr>
          <w:p w14:paraId="7F5B743F" w14:textId="77777777" w:rsidR="0036726C" w:rsidRPr="00992C6F" w:rsidRDefault="00725945" w:rsidP="0088576C">
            <w:r>
              <w:t>New Workpaper.</w:t>
            </w:r>
          </w:p>
        </w:tc>
      </w:tr>
      <w:tr w:rsidR="005B3A4F" w:rsidRPr="00992C6F" w14:paraId="0E52C369" w14:textId="77777777" w:rsidTr="0088576C">
        <w:trPr>
          <w:trHeight w:val="20"/>
        </w:trPr>
        <w:tc>
          <w:tcPr>
            <w:tcW w:w="280" w:type="pct"/>
            <w:vAlign w:val="center"/>
          </w:tcPr>
          <w:p w14:paraId="1114FDE8" w14:textId="38E3F589" w:rsidR="005B3A4F" w:rsidRPr="00992C6F" w:rsidRDefault="005B3A4F" w:rsidP="0088576C">
            <w:pPr>
              <w:jc w:val="center"/>
              <w:rPr>
                <w:rFonts w:cstheme="minorHAnsi"/>
                <w:szCs w:val="20"/>
              </w:rPr>
            </w:pPr>
            <w:r>
              <w:rPr>
                <w:rFonts w:cstheme="minorHAnsi"/>
                <w:szCs w:val="20"/>
              </w:rPr>
              <w:t>1</w:t>
            </w:r>
          </w:p>
        </w:tc>
        <w:tc>
          <w:tcPr>
            <w:tcW w:w="524" w:type="pct"/>
            <w:vAlign w:val="center"/>
          </w:tcPr>
          <w:p w14:paraId="6D5D683F" w14:textId="42525534" w:rsidR="005B3A4F" w:rsidRPr="00992C6F" w:rsidRDefault="00FE1354" w:rsidP="0088576C">
            <w:pPr>
              <w:jc w:val="center"/>
              <w:rPr>
                <w:rFonts w:cstheme="minorHAnsi"/>
                <w:szCs w:val="20"/>
              </w:rPr>
            </w:pPr>
            <w:r>
              <w:rPr>
                <w:rFonts w:cstheme="minorHAnsi"/>
                <w:szCs w:val="20"/>
              </w:rPr>
              <w:t>09</w:t>
            </w:r>
            <w:r w:rsidR="005B3A4F" w:rsidRPr="00992C6F">
              <w:rPr>
                <w:rFonts w:cstheme="minorHAnsi"/>
                <w:szCs w:val="20"/>
              </w:rPr>
              <w:t>/</w:t>
            </w:r>
            <w:r w:rsidR="00F47BB3">
              <w:rPr>
                <w:rFonts w:cstheme="minorHAnsi"/>
                <w:szCs w:val="20"/>
              </w:rPr>
              <w:t>1</w:t>
            </w:r>
            <w:r w:rsidR="00335D0D">
              <w:rPr>
                <w:rFonts w:cstheme="minorHAnsi"/>
                <w:szCs w:val="20"/>
              </w:rPr>
              <w:t>7</w:t>
            </w:r>
            <w:r w:rsidR="005B3A4F">
              <w:rPr>
                <w:rFonts w:cstheme="minorHAnsi"/>
                <w:szCs w:val="20"/>
              </w:rPr>
              <w:t>/1</w:t>
            </w:r>
            <w:r w:rsidR="00335D0D">
              <w:rPr>
                <w:rFonts w:cstheme="minorHAnsi"/>
                <w:szCs w:val="20"/>
              </w:rPr>
              <w:t>9</w:t>
            </w:r>
          </w:p>
        </w:tc>
        <w:tc>
          <w:tcPr>
            <w:tcW w:w="737" w:type="pct"/>
            <w:vAlign w:val="center"/>
          </w:tcPr>
          <w:p w14:paraId="33753738" w14:textId="77777777" w:rsidR="005B3A4F" w:rsidRPr="00992C6F" w:rsidRDefault="005B3A4F" w:rsidP="0088576C">
            <w:pPr>
              <w:jc w:val="center"/>
              <w:rPr>
                <w:rFonts w:cstheme="minorHAnsi"/>
                <w:szCs w:val="20"/>
              </w:rPr>
            </w:pPr>
            <w:r>
              <w:rPr>
                <w:rFonts w:cstheme="minorHAnsi"/>
                <w:szCs w:val="20"/>
              </w:rPr>
              <w:t>RMS Energy Consulting, LLC</w:t>
            </w:r>
          </w:p>
        </w:tc>
        <w:tc>
          <w:tcPr>
            <w:tcW w:w="3459" w:type="pct"/>
            <w:vAlign w:val="center"/>
          </w:tcPr>
          <w:p w14:paraId="25B33F4D" w14:textId="77777777" w:rsidR="00F47BB3" w:rsidRDefault="005B3A4F" w:rsidP="0088576C">
            <w:pPr>
              <w:pStyle w:val="ListParagraph"/>
              <w:numPr>
                <w:ilvl w:val="0"/>
                <w:numId w:val="16"/>
              </w:numPr>
            </w:pPr>
            <w:r w:rsidRPr="00F47BB3">
              <w:t xml:space="preserve">Master spreadsheet </w:t>
            </w:r>
            <w:r w:rsidR="001D78BE" w:rsidRPr="00F47BB3">
              <w:t>was updated to correct typos on nam</w:t>
            </w:r>
            <w:r w:rsidR="007040C6" w:rsidRPr="00F47BB3">
              <w:t>ing</w:t>
            </w:r>
            <w:r w:rsidR="001D78BE" w:rsidRPr="00F47BB3">
              <w:t xml:space="preserve"> on worksheets</w:t>
            </w:r>
            <w:r w:rsidR="007040C6" w:rsidRPr="00F47BB3">
              <w:t xml:space="preserve">. </w:t>
            </w:r>
          </w:p>
          <w:p w14:paraId="6E937AD5" w14:textId="5BC252FC" w:rsidR="00F47BB3" w:rsidRDefault="00F47BB3" w:rsidP="0088576C">
            <w:pPr>
              <w:pStyle w:val="ListParagraph"/>
              <w:numPr>
                <w:ilvl w:val="0"/>
                <w:numId w:val="16"/>
              </w:numPr>
            </w:pPr>
            <w:r>
              <w:t>MWD commercial large rotary nozzle savings were corrected.</w:t>
            </w:r>
          </w:p>
          <w:p w14:paraId="47243717" w14:textId="77777777" w:rsidR="00F47BB3" w:rsidRDefault="007040C6" w:rsidP="0088576C">
            <w:pPr>
              <w:pStyle w:val="ListParagraph"/>
              <w:numPr>
                <w:ilvl w:val="0"/>
                <w:numId w:val="16"/>
              </w:numPr>
            </w:pPr>
            <w:r w:rsidRPr="00F47BB3">
              <w:t xml:space="preserve">Applicable MWD outdoor measures were updated from urban to agricultural sector. </w:t>
            </w:r>
          </w:p>
          <w:p w14:paraId="32D41C69" w14:textId="110EFFD6" w:rsidR="00335D0D" w:rsidRPr="00F47BB3" w:rsidRDefault="00335D0D" w:rsidP="0088576C">
            <w:pPr>
              <w:pStyle w:val="ListParagraph"/>
              <w:numPr>
                <w:ilvl w:val="0"/>
                <w:numId w:val="16"/>
              </w:numPr>
            </w:pPr>
            <w:r>
              <w:t>Master List Measures</w:t>
            </w:r>
            <w:r w:rsidR="008E464D">
              <w:t xml:space="preserve"> includes 110 WEN measures </w:t>
            </w:r>
            <w:r w:rsidR="00895A6A">
              <w:t xml:space="preserve">identified in the </w:t>
            </w:r>
            <w:r w:rsidR="007B2128">
              <w:t xml:space="preserve">2019-09-17 </w:t>
            </w:r>
            <w:r w:rsidR="00895A6A">
              <w:t>WEN</w:t>
            </w:r>
            <w:r w:rsidR="007B2128">
              <w:t xml:space="preserve"> Master Spreadshee</w:t>
            </w:r>
            <w:r w:rsidR="0088576C">
              <w:t>t</w:t>
            </w:r>
          </w:p>
        </w:tc>
      </w:tr>
    </w:tbl>
    <w:p w14:paraId="2AE351FA" w14:textId="77777777" w:rsidR="005B3A4F" w:rsidRDefault="005B3A4F" w:rsidP="00E325BE">
      <w:pPr>
        <w:pStyle w:val="Heading1"/>
      </w:pPr>
    </w:p>
    <w:p w14:paraId="55F6AA88" w14:textId="136BD551"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4000A975" w14:textId="77777777" w:rsidTr="00BA5FE4">
        <w:trPr>
          <w:trHeight w:val="20"/>
        </w:trPr>
        <w:tc>
          <w:tcPr>
            <w:tcW w:w="280" w:type="pct"/>
            <w:shd w:val="clear" w:color="auto" w:fill="D9D9D9" w:themeFill="background1" w:themeFillShade="D9"/>
          </w:tcPr>
          <w:p w14:paraId="72F91778" w14:textId="77777777"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59063E4B" w14:textId="7777777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5F90AC12" w14:textId="77777777"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4C260CCC" w14:textId="77777777"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6AC5DB47" w14:textId="77777777" w:rsidR="008877AF" w:rsidRPr="00090AC9" w:rsidRDefault="008877AF" w:rsidP="00992C6F">
            <w:pPr>
              <w:rPr>
                <w:b/>
                <w:bCs/>
                <w:szCs w:val="20"/>
              </w:rPr>
            </w:pPr>
            <w:r w:rsidRPr="00090AC9">
              <w:rPr>
                <w:b/>
                <w:szCs w:val="20"/>
              </w:rPr>
              <w:t>Comments</w:t>
            </w:r>
          </w:p>
        </w:tc>
        <w:tc>
          <w:tcPr>
            <w:tcW w:w="1634" w:type="pct"/>
            <w:shd w:val="clear" w:color="auto" w:fill="D9D9D9" w:themeFill="background1" w:themeFillShade="D9"/>
          </w:tcPr>
          <w:p w14:paraId="437A2595" w14:textId="77777777" w:rsidR="008877AF" w:rsidRPr="00090AC9" w:rsidRDefault="008877AF" w:rsidP="00992C6F">
            <w:pPr>
              <w:rPr>
                <w:b/>
                <w:szCs w:val="20"/>
              </w:rPr>
            </w:pPr>
            <w:r>
              <w:rPr>
                <w:b/>
                <w:szCs w:val="20"/>
              </w:rPr>
              <w:t>WP Developer Response</w:t>
            </w:r>
          </w:p>
        </w:tc>
      </w:tr>
      <w:tr w:rsidR="008877AF" w:rsidRPr="00500C4E" w14:paraId="123F285B" w14:textId="77777777" w:rsidTr="00BA5FE4">
        <w:trPr>
          <w:trHeight w:val="20"/>
        </w:trPr>
        <w:tc>
          <w:tcPr>
            <w:tcW w:w="280" w:type="pct"/>
          </w:tcPr>
          <w:p w14:paraId="7471CFA8" w14:textId="77777777" w:rsidR="008877AF" w:rsidRPr="002A1843" w:rsidRDefault="008877AF" w:rsidP="00992C6F"/>
        </w:tc>
        <w:tc>
          <w:tcPr>
            <w:tcW w:w="351" w:type="pct"/>
          </w:tcPr>
          <w:p w14:paraId="4D385E49" w14:textId="77777777" w:rsidR="008877AF" w:rsidRPr="002A1843" w:rsidRDefault="008877AF" w:rsidP="00992C6F">
            <w:pPr>
              <w:autoSpaceDE w:val="0"/>
              <w:autoSpaceDN w:val="0"/>
              <w:adjustRightInd w:val="0"/>
              <w:rPr>
                <w:szCs w:val="20"/>
              </w:rPr>
            </w:pPr>
          </w:p>
        </w:tc>
        <w:tc>
          <w:tcPr>
            <w:tcW w:w="548" w:type="pct"/>
          </w:tcPr>
          <w:p w14:paraId="0685F2E9" w14:textId="77777777" w:rsidR="008877AF" w:rsidRPr="002A1843" w:rsidRDefault="008877AF" w:rsidP="00992C6F">
            <w:pPr>
              <w:autoSpaceDE w:val="0"/>
              <w:autoSpaceDN w:val="0"/>
              <w:adjustRightInd w:val="0"/>
              <w:rPr>
                <w:szCs w:val="20"/>
              </w:rPr>
            </w:pPr>
          </w:p>
        </w:tc>
        <w:tc>
          <w:tcPr>
            <w:tcW w:w="552" w:type="pct"/>
          </w:tcPr>
          <w:p w14:paraId="5BC486B2" w14:textId="77777777" w:rsidR="008877AF" w:rsidRPr="002A1843" w:rsidRDefault="008877AF" w:rsidP="00992C6F">
            <w:pPr>
              <w:rPr>
                <w:szCs w:val="20"/>
              </w:rPr>
            </w:pPr>
          </w:p>
        </w:tc>
        <w:tc>
          <w:tcPr>
            <w:tcW w:w="1634" w:type="pct"/>
          </w:tcPr>
          <w:p w14:paraId="1D704165" w14:textId="77777777" w:rsidR="008877AF" w:rsidRPr="002A1843" w:rsidRDefault="008877AF" w:rsidP="00992C6F">
            <w:pPr>
              <w:rPr>
                <w:bCs/>
                <w:szCs w:val="20"/>
              </w:rPr>
            </w:pPr>
          </w:p>
        </w:tc>
        <w:tc>
          <w:tcPr>
            <w:tcW w:w="1634" w:type="pct"/>
          </w:tcPr>
          <w:p w14:paraId="7689744A" w14:textId="77777777" w:rsidR="008877AF" w:rsidRPr="002A1843" w:rsidRDefault="008877AF" w:rsidP="00992C6F">
            <w:pPr>
              <w:rPr>
                <w:bCs/>
                <w:szCs w:val="20"/>
              </w:rPr>
            </w:pPr>
          </w:p>
        </w:tc>
      </w:tr>
    </w:tbl>
    <w:p w14:paraId="1BFBED13" w14:textId="77777777" w:rsidR="00DA2822" w:rsidRDefault="00DA2822" w:rsidP="00BA5FE4">
      <w:pPr>
        <w:spacing w:line="276" w:lineRule="auto"/>
        <w:rPr>
          <w:rFonts w:cs="Arial"/>
          <w:b/>
          <w:bCs/>
          <w:smallCaps/>
          <w:kern w:val="32"/>
          <w:sz w:val="36"/>
          <w:szCs w:val="20"/>
        </w:rPr>
      </w:pPr>
      <w:r>
        <w:rPr>
          <w:szCs w:val="20"/>
        </w:rPr>
        <w:br w:type="page"/>
      </w:r>
    </w:p>
    <w:p w14:paraId="2AC2A65B" w14:textId="77777777" w:rsidR="00E16609" w:rsidRPr="00500C4E" w:rsidRDefault="00E16609" w:rsidP="00876EA3">
      <w:pPr>
        <w:pStyle w:val="Heading1"/>
        <w:spacing w:before="120"/>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0874AA3C" w14:textId="77777777" w:rsidR="00E16609" w:rsidRPr="00992C6F" w:rsidRDefault="00824F1C" w:rsidP="00876EA3">
      <w:pPr>
        <w:pStyle w:val="Heading2"/>
        <w:spacing w:before="120"/>
        <w:rPr>
          <w:rFonts w:asciiTheme="minorHAnsi" w:hAnsiTheme="minorHAnsi"/>
        </w:rPr>
      </w:pPr>
      <w:bookmarkStart w:id="7" w:name="_Toc214003083"/>
      <w:r w:rsidRPr="00992C6F">
        <w:rPr>
          <w:rFonts w:asciiTheme="minorHAnsi" w:hAnsiTheme="minorHAnsi"/>
        </w:rPr>
        <w:t xml:space="preserve">1.1 </w:t>
      </w:r>
      <w:r w:rsidR="00AC5309" w:rsidRPr="00992C6F">
        <w:rPr>
          <w:rFonts w:asciiTheme="minorHAnsi" w:hAnsiTheme="minorHAnsi"/>
        </w:rPr>
        <w:t xml:space="preserve">Measure Description </w:t>
      </w:r>
      <w:r w:rsidR="00E16609" w:rsidRPr="00992C6F">
        <w:rPr>
          <w:rFonts w:asciiTheme="minorHAnsi" w:hAnsiTheme="minorHAnsi"/>
        </w:rPr>
        <w:t xml:space="preserve">&amp; </w:t>
      </w:r>
      <w:r w:rsidR="00AC5309" w:rsidRPr="00992C6F">
        <w:rPr>
          <w:rFonts w:asciiTheme="minorHAnsi" w:hAnsiTheme="minorHAnsi"/>
        </w:rPr>
        <w:t>Background</w:t>
      </w:r>
      <w:r w:rsidR="00E16609" w:rsidRPr="00992C6F">
        <w:rPr>
          <w:rFonts w:asciiTheme="minorHAnsi" w:hAnsiTheme="minorHAnsi"/>
        </w:rPr>
        <w:t xml:space="preserve"> </w:t>
      </w:r>
      <w:bookmarkEnd w:id="7"/>
    </w:p>
    <w:p w14:paraId="7EB3639C" w14:textId="77777777" w:rsidR="001A0073" w:rsidRDefault="001A0073" w:rsidP="001A0073">
      <w:pPr>
        <w:jc w:val="both"/>
      </w:pPr>
      <w:r>
        <w:t xml:space="preserve">California continues to suffer through a severe multi-year drought. </w:t>
      </w:r>
      <w:r w:rsidR="002635F0">
        <w:t>On January 17, 2014, Governor Brown declared a Drought State of Emergency, commenting that “</w:t>
      </w:r>
      <w:r w:rsidR="002635F0" w:rsidRPr="002635F0">
        <w:rPr>
          <w:i/>
        </w:rPr>
        <w:t>the magnitude of the severe drought conditions presents threats beyond the control of the services, personnel, equipment and facilities of any single local government</w:t>
      </w:r>
      <w:r w:rsidR="002635F0">
        <w:t xml:space="preserve">.” </w:t>
      </w:r>
      <w:r>
        <w:t xml:space="preserve">In 2016, Governor Brown issued Executive Order B-37-16 directing California to, prioritize and take concrete, measurable actions that “Make Conservation a California Way of Life” and “Manage and Prepare for Dry Periods” in order to improve use of water in our state. The California Energy Commission and Department of Water Resources have solicited and developed more programs targeting the water–energy nexus, not only to conserve water and energy but also to reduce GHG emissions. </w:t>
      </w:r>
    </w:p>
    <w:p w14:paraId="43015121" w14:textId="77777777" w:rsidR="001A0073" w:rsidRDefault="001A0073" w:rsidP="001A0073">
      <w:pPr>
        <w:jc w:val="both"/>
      </w:pPr>
    </w:p>
    <w:p w14:paraId="249249C3" w14:textId="4A10545E" w:rsidR="00992C6F" w:rsidRDefault="001A0073" w:rsidP="002635F0">
      <w:pPr>
        <w:jc w:val="both"/>
      </w:pPr>
      <w:r>
        <w:t>Consequently, t</w:t>
      </w:r>
      <w:r w:rsidR="002635F0">
        <w:t>he California Public Utilities Commission (CPUC), with its broad</w:t>
      </w:r>
      <w:r w:rsidR="002635F0">
        <w:rPr>
          <w:rFonts w:ascii="Calibri" w:hAnsi="Calibri" w:cs="Calibri"/>
        </w:rPr>
        <w:t xml:space="preserve"> </w:t>
      </w:r>
      <w:r w:rsidR="002635F0">
        <w:t>jurisdiction over energy, water, and other investor-owned utilities, sought to investigate the immediate-term, mid-term, and long-term actions that could be taken to combat the drought and future climate challenges.</w:t>
      </w:r>
      <w:r>
        <w:t xml:space="preserve"> O</w:t>
      </w:r>
      <w:r w:rsidR="009055A3">
        <w:t>ver the past several years</w:t>
      </w:r>
      <w:r w:rsidR="00992C6F">
        <w:t xml:space="preserve"> the CPUC has expressed an overarching interest in determining the potential benefits of evaluating embedded energy impacts associated wit</w:t>
      </w:r>
      <w:r w:rsidR="002635F0">
        <w:t>h water conservation measures.</w:t>
      </w:r>
      <w:r w:rsidR="009055A3">
        <w:t xml:space="preserve"> </w:t>
      </w:r>
      <w:r w:rsidR="004F6005">
        <w:t>Decision 15-09-023 (</w:t>
      </w:r>
      <w:r w:rsidR="00992C6F" w:rsidRPr="00847274">
        <w:t>D</w:t>
      </w:r>
      <w:r w:rsidR="00992C6F">
        <w:t>.</w:t>
      </w:r>
      <w:r w:rsidR="00992C6F" w:rsidRPr="00847274">
        <w:t>15-09-023</w:t>
      </w:r>
      <w:r w:rsidR="004F6005">
        <w:t>)</w:t>
      </w:r>
      <w:r w:rsidR="00992C6F">
        <w:t>, the “</w:t>
      </w:r>
      <w:r w:rsidR="00992C6F" w:rsidRPr="00847274">
        <w:t>Decision Regarding Tools for Calculating the Embedded Energy in Water and an Avoided Capacity Cost Associated with Water Savings</w:t>
      </w:r>
      <w:r w:rsidR="00992C6F">
        <w:t>”</w:t>
      </w:r>
      <w:r w:rsidR="00992C6F" w:rsidRPr="00847274">
        <w:t xml:space="preserve"> </w:t>
      </w:r>
      <w:r w:rsidR="00992C6F">
        <w:t>was issued adopting tools to allow the Commission to better quantify energy bene</w:t>
      </w:r>
      <w:r w:rsidR="004F6005">
        <w:t xml:space="preserve">fits of water saving measures. </w:t>
      </w:r>
      <w:r w:rsidR="00992C6F">
        <w:t xml:space="preserve">The Water-Energy </w:t>
      </w:r>
      <w:r w:rsidR="004F6005">
        <w:t xml:space="preserve">Nexus </w:t>
      </w:r>
      <w:r w:rsidR="00992C6F">
        <w:t>Calculator (</w:t>
      </w:r>
      <w:r w:rsidR="004F6005">
        <w:t>WEN Calculator)</w:t>
      </w:r>
      <w:r w:rsidR="009055A3">
        <w:t>,</w:t>
      </w:r>
      <w:r w:rsidR="004F6005">
        <w:t xml:space="preserve"> addressed in </w:t>
      </w:r>
      <w:r w:rsidR="00992C6F">
        <w:t>D</w:t>
      </w:r>
      <w:r w:rsidR="004F6005">
        <w:t>.15-09-023</w:t>
      </w:r>
      <w:r w:rsidR="009055A3">
        <w:t>,</w:t>
      </w:r>
      <w:r w:rsidR="004F6005">
        <w:t xml:space="preserve"> evaluated</w:t>
      </w:r>
      <w:r w:rsidR="00992C6F">
        <w:t xml:space="preserve"> energy benefits associated with moving and treating water, along with related indirect off-site energy impacts. </w:t>
      </w:r>
      <w:r w:rsidR="004F6005">
        <w:t xml:space="preserve">D.15-09-023 also </w:t>
      </w:r>
      <w:r w:rsidR="00992C6F">
        <w:t>evaluate</w:t>
      </w:r>
      <w:r w:rsidR="004F6005">
        <w:t>d</w:t>
      </w:r>
      <w:r w:rsidR="00992C6F">
        <w:t xml:space="preserve"> the energy benefits associated with conservation of </w:t>
      </w:r>
      <w:r w:rsidR="00150D93">
        <w:t>cold-water</w:t>
      </w:r>
      <w:r w:rsidR="00992C6F">
        <w:t xml:space="preserve"> savings measures as well as off-site hot water savings.  </w:t>
      </w:r>
    </w:p>
    <w:p w14:paraId="1B249176" w14:textId="77777777" w:rsidR="00B245DE" w:rsidRDefault="00B245DE" w:rsidP="00B245DE">
      <w:pPr>
        <w:jc w:val="both"/>
      </w:pPr>
    </w:p>
    <w:p w14:paraId="64ED2A9D" w14:textId="77777777" w:rsidR="004F6005" w:rsidRPr="004F6005" w:rsidRDefault="004F6005" w:rsidP="004F6005">
      <w:pPr>
        <w:rPr>
          <w:rFonts w:cs="Arial"/>
          <w:b/>
          <w:bCs/>
          <w:iCs/>
          <w:smallCaps/>
          <w:sz w:val="28"/>
          <w:szCs w:val="28"/>
        </w:rPr>
      </w:pPr>
      <w:r w:rsidRPr="004F6005">
        <w:rPr>
          <w:rFonts w:cs="Arial"/>
          <w:b/>
          <w:bCs/>
          <w:iCs/>
          <w:smallCaps/>
          <w:sz w:val="28"/>
          <w:szCs w:val="28"/>
        </w:rPr>
        <w:t>Workpaper Purpose</w:t>
      </w:r>
    </w:p>
    <w:p w14:paraId="7988C590" w14:textId="7EFE0AD1" w:rsidR="00992C6F" w:rsidRDefault="004F6005" w:rsidP="00B245DE">
      <w:pPr>
        <w:jc w:val="both"/>
      </w:pPr>
      <w:r>
        <w:t xml:space="preserve">Presently, these additional embedded energy benefits are not accounted for in existing investor-owned utility (IOU) programs. </w:t>
      </w:r>
      <w:r w:rsidR="00992C6F">
        <w:t xml:space="preserve">The purpose of this </w:t>
      </w:r>
      <w:r w:rsidR="00B03F05">
        <w:t>workpaper</w:t>
      </w:r>
      <w:r>
        <w:t xml:space="preserve"> (wp)</w:t>
      </w:r>
      <w:r w:rsidR="00992C6F">
        <w:t xml:space="preserve"> is to </w:t>
      </w:r>
      <w:r w:rsidR="00B03F05">
        <w:t>meet the</w:t>
      </w:r>
      <w:r w:rsidR="00992C6F">
        <w:t xml:space="preserve"> current </w:t>
      </w:r>
      <w:r w:rsidR="000D6F0F">
        <w:t>California Public Utility Commission (</w:t>
      </w:r>
      <w:r w:rsidR="00992C6F">
        <w:t>CPUC</w:t>
      </w:r>
      <w:r w:rsidR="000D6F0F">
        <w:t>)</w:t>
      </w:r>
      <w:r w:rsidR="00992C6F">
        <w:t xml:space="preserve"> Ex-Ante </w:t>
      </w:r>
      <w:r>
        <w:t xml:space="preserve">Review (EAR) </w:t>
      </w:r>
      <w:r w:rsidR="00992C6F">
        <w:t>t</w:t>
      </w:r>
      <w:r w:rsidR="00B03F05">
        <w:t>eam</w:t>
      </w:r>
      <w:r>
        <w:t>’s</w:t>
      </w:r>
      <w:r w:rsidR="009055A3">
        <w:t xml:space="preserve"> requirements by</w:t>
      </w:r>
      <w:r w:rsidR="00B03F05">
        <w:t xml:space="preserve"> quantify</w:t>
      </w:r>
      <w:r w:rsidR="009055A3">
        <w:t>ing</w:t>
      </w:r>
      <w:r w:rsidR="00B03F05">
        <w:t xml:space="preserve"> </w:t>
      </w:r>
      <w:r w:rsidR="00992C6F">
        <w:t xml:space="preserve">the additional embedded energy savings </w:t>
      </w:r>
      <w:r w:rsidR="009055A3">
        <w:t>outputted from the</w:t>
      </w:r>
      <w:r>
        <w:t xml:space="preserve"> </w:t>
      </w:r>
      <w:r w:rsidR="001438B0">
        <w:t xml:space="preserve">latest version of the </w:t>
      </w:r>
      <w:r w:rsidR="000D6F0F">
        <w:t>Water Energy Nexus (</w:t>
      </w:r>
      <w:r w:rsidR="002A134F">
        <w:t>WEN</w:t>
      </w:r>
      <w:r w:rsidR="000D6F0F">
        <w:t>)</w:t>
      </w:r>
      <w:r w:rsidR="002A134F">
        <w:t xml:space="preserve"> Calculator </w:t>
      </w:r>
      <w:r w:rsidR="001438B0">
        <w:t xml:space="preserve">(1.05) </w:t>
      </w:r>
      <w:r w:rsidR="002A134F">
        <w:t xml:space="preserve">through the use of </w:t>
      </w:r>
      <w:r w:rsidR="009055A3">
        <w:t xml:space="preserve">two input </w:t>
      </w:r>
      <w:r w:rsidR="00BF2F76">
        <w:t xml:space="preserve">sources </w:t>
      </w:r>
      <w:r w:rsidR="009055A3">
        <w:t xml:space="preserve">including water savings values from </w:t>
      </w:r>
      <w:r>
        <w:t>e</w:t>
      </w:r>
      <w:r w:rsidR="002046FC">
        <w:t>xisting approved utility wps and/or</w:t>
      </w:r>
      <w:r>
        <w:t xml:space="preserve"> water savings values developed by the Metropo</w:t>
      </w:r>
      <w:r w:rsidR="002A134F">
        <w:t xml:space="preserve">litan Water District (MWD). </w:t>
      </w:r>
    </w:p>
    <w:p w14:paraId="0F10212C" w14:textId="77777777" w:rsidR="00683284" w:rsidRDefault="00683284" w:rsidP="00B245DE">
      <w:pPr>
        <w:jc w:val="both"/>
      </w:pPr>
    </w:p>
    <w:p w14:paraId="78D55233" w14:textId="77777777" w:rsidR="00683284" w:rsidRPr="00134FCD" w:rsidRDefault="00491AAE" w:rsidP="00D87F8A">
      <w:pPr>
        <w:pStyle w:val="Default"/>
        <w:spacing w:after="100" w:afterAutospacing="1"/>
        <w:rPr>
          <w:rFonts w:asciiTheme="minorHAnsi" w:eastAsia="Times New Roman" w:hAnsiTheme="minorHAnsi" w:cs="Times New Roman"/>
          <w:color w:val="auto"/>
          <w:sz w:val="22"/>
        </w:rPr>
      </w:pPr>
      <w:r>
        <w:rPr>
          <w:rFonts w:asciiTheme="minorHAnsi" w:eastAsia="Times New Roman" w:hAnsiTheme="minorHAnsi" w:cs="Times New Roman"/>
          <w:color w:val="auto"/>
          <w:sz w:val="22"/>
        </w:rPr>
        <w:t>More specifically, energy impacts for these</w:t>
      </w:r>
      <w:r w:rsidR="00683284" w:rsidRPr="00134FCD">
        <w:rPr>
          <w:rFonts w:asciiTheme="minorHAnsi" w:eastAsia="Times New Roman" w:hAnsiTheme="minorHAnsi" w:cs="Times New Roman"/>
          <w:color w:val="auto"/>
          <w:sz w:val="22"/>
        </w:rPr>
        <w:t xml:space="preserve"> measures will be quantified using the WEN Calculator and expressed as incremental energy savings</w:t>
      </w:r>
      <w:r w:rsidR="002046FC">
        <w:rPr>
          <w:rFonts w:asciiTheme="minorHAnsi" w:eastAsia="Times New Roman" w:hAnsiTheme="minorHAnsi" w:cs="Times New Roman"/>
          <w:color w:val="auto"/>
          <w:sz w:val="22"/>
        </w:rPr>
        <w:t>,</w:t>
      </w:r>
      <w:r w:rsidR="00683284" w:rsidRPr="00134FCD">
        <w:rPr>
          <w:rFonts w:asciiTheme="minorHAnsi" w:eastAsia="Times New Roman" w:hAnsiTheme="minorHAnsi" w:cs="Times New Roman"/>
          <w:color w:val="auto"/>
          <w:sz w:val="22"/>
        </w:rPr>
        <w:t xml:space="preserve"> by hydrological zone, over and above the energy impacts</w:t>
      </w:r>
      <w:r w:rsidR="00683284">
        <w:rPr>
          <w:rFonts w:asciiTheme="minorHAnsi" w:eastAsia="Times New Roman" w:hAnsiTheme="minorHAnsi" w:cs="Times New Roman"/>
          <w:color w:val="auto"/>
          <w:sz w:val="22"/>
        </w:rPr>
        <w:t>,</w:t>
      </w:r>
      <w:r w:rsidR="00683284" w:rsidRPr="00134FCD">
        <w:rPr>
          <w:rFonts w:asciiTheme="minorHAnsi" w:eastAsia="Times New Roman" w:hAnsiTheme="minorHAnsi" w:cs="Times New Roman"/>
          <w:color w:val="auto"/>
          <w:sz w:val="22"/>
        </w:rPr>
        <w:t xml:space="preserve"> which may be associated with existing w</w:t>
      </w:r>
      <w:r w:rsidR="00683284">
        <w:rPr>
          <w:rFonts w:asciiTheme="minorHAnsi" w:eastAsia="Times New Roman" w:hAnsiTheme="minorHAnsi" w:cs="Times New Roman"/>
          <w:color w:val="auto"/>
          <w:sz w:val="22"/>
        </w:rPr>
        <w:t>ps</w:t>
      </w:r>
      <w:r w:rsidR="00683284" w:rsidRPr="00134FCD">
        <w:rPr>
          <w:rFonts w:asciiTheme="minorHAnsi" w:eastAsia="Times New Roman" w:hAnsiTheme="minorHAnsi" w:cs="Times New Roman"/>
          <w:color w:val="auto"/>
          <w:sz w:val="22"/>
        </w:rPr>
        <w:t xml:space="preserve"> or programs.  Energy impacts will be an </w:t>
      </w:r>
      <w:r w:rsidR="00683284">
        <w:rPr>
          <w:rFonts w:asciiTheme="minorHAnsi" w:eastAsia="Times New Roman" w:hAnsiTheme="minorHAnsi" w:cs="Times New Roman"/>
          <w:color w:val="auto"/>
          <w:sz w:val="22"/>
        </w:rPr>
        <w:t xml:space="preserve">additive savings to any approved </w:t>
      </w:r>
      <w:r w:rsidR="00683284" w:rsidRPr="00134FCD">
        <w:rPr>
          <w:rFonts w:asciiTheme="minorHAnsi" w:eastAsia="Times New Roman" w:hAnsiTheme="minorHAnsi" w:cs="Times New Roman"/>
          <w:color w:val="auto"/>
          <w:sz w:val="22"/>
        </w:rPr>
        <w:t>w</w:t>
      </w:r>
      <w:r w:rsidR="00683284">
        <w:rPr>
          <w:rFonts w:asciiTheme="minorHAnsi" w:eastAsia="Times New Roman" w:hAnsiTheme="minorHAnsi" w:cs="Times New Roman"/>
          <w:color w:val="auto"/>
          <w:sz w:val="22"/>
        </w:rPr>
        <w:t xml:space="preserve">p </w:t>
      </w:r>
      <w:r w:rsidR="00683284" w:rsidRPr="00134FCD">
        <w:rPr>
          <w:rFonts w:asciiTheme="minorHAnsi" w:eastAsia="Times New Roman" w:hAnsiTheme="minorHAnsi" w:cs="Times New Roman"/>
          <w:color w:val="auto"/>
          <w:sz w:val="22"/>
        </w:rPr>
        <w:t>since these incremental savings are off-site and not already accounted for within existing w</w:t>
      </w:r>
      <w:r w:rsidR="00683284">
        <w:rPr>
          <w:rFonts w:asciiTheme="minorHAnsi" w:eastAsia="Times New Roman" w:hAnsiTheme="minorHAnsi" w:cs="Times New Roman"/>
          <w:color w:val="auto"/>
          <w:sz w:val="22"/>
        </w:rPr>
        <w:t>ps</w:t>
      </w:r>
      <w:r w:rsidR="00683284" w:rsidRPr="00134FCD">
        <w:rPr>
          <w:rFonts w:asciiTheme="minorHAnsi" w:eastAsia="Times New Roman" w:hAnsiTheme="minorHAnsi" w:cs="Times New Roman"/>
          <w:color w:val="auto"/>
          <w:sz w:val="22"/>
        </w:rPr>
        <w:t xml:space="preserve">.  </w:t>
      </w:r>
    </w:p>
    <w:p w14:paraId="2CFCE550" w14:textId="77777777" w:rsidR="00640687" w:rsidRDefault="00683284" w:rsidP="00D87F8A">
      <w:pPr>
        <w:pStyle w:val="Default"/>
        <w:spacing w:after="100" w:afterAutospacing="1"/>
        <w:rPr>
          <w:rFonts w:asciiTheme="minorHAnsi" w:eastAsia="Times New Roman" w:hAnsiTheme="minorHAnsi" w:cs="Times New Roman"/>
          <w:color w:val="auto"/>
          <w:sz w:val="22"/>
        </w:rPr>
      </w:pPr>
      <w:r w:rsidRPr="00134FCD">
        <w:rPr>
          <w:rFonts w:asciiTheme="minorHAnsi" w:eastAsia="Times New Roman" w:hAnsiTheme="minorHAnsi" w:cs="Times New Roman"/>
          <w:color w:val="auto"/>
          <w:sz w:val="22"/>
        </w:rPr>
        <w:t xml:space="preserve">This </w:t>
      </w:r>
      <w:r w:rsidR="002046FC">
        <w:rPr>
          <w:rFonts w:asciiTheme="minorHAnsi" w:eastAsia="Times New Roman" w:hAnsiTheme="minorHAnsi" w:cs="Times New Roman"/>
          <w:color w:val="auto"/>
          <w:sz w:val="22"/>
        </w:rPr>
        <w:t xml:space="preserve">WEN </w:t>
      </w:r>
      <w:r w:rsidRPr="00134FCD">
        <w:rPr>
          <w:rFonts w:asciiTheme="minorHAnsi" w:eastAsia="Times New Roman" w:hAnsiTheme="minorHAnsi" w:cs="Times New Roman"/>
          <w:color w:val="auto"/>
          <w:sz w:val="22"/>
        </w:rPr>
        <w:t>w</w:t>
      </w:r>
      <w:r>
        <w:rPr>
          <w:rFonts w:asciiTheme="minorHAnsi" w:eastAsia="Times New Roman" w:hAnsiTheme="minorHAnsi" w:cs="Times New Roman"/>
          <w:color w:val="auto"/>
          <w:sz w:val="22"/>
        </w:rPr>
        <w:t>p</w:t>
      </w:r>
      <w:r w:rsidRPr="00134FCD">
        <w:rPr>
          <w:rFonts w:asciiTheme="minorHAnsi" w:eastAsia="Times New Roman" w:hAnsiTheme="minorHAnsi" w:cs="Times New Roman"/>
          <w:color w:val="auto"/>
          <w:sz w:val="22"/>
        </w:rPr>
        <w:t xml:space="preserve"> supplements any other w</w:t>
      </w:r>
      <w:r>
        <w:rPr>
          <w:rFonts w:asciiTheme="minorHAnsi" w:eastAsia="Times New Roman" w:hAnsiTheme="minorHAnsi" w:cs="Times New Roman"/>
          <w:color w:val="auto"/>
          <w:sz w:val="22"/>
        </w:rPr>
        <w:t>p</w:t>
      </w:r>
      <w:r w:rsidRPr="00134FCD">
        <w:rPr>
          <w:rFonts w:asciiTheme="minorHAnsi" w:eastAsia="Times New Roman" w:hAnsiTheme="minorHAnsi" w:cs="Times New Roman"/>
          <w:color w:val="auto"/>
          <w:sz w:val="22"/>
        </w:rPr>
        <w:t xml:space="preserve"> (or potential custom installation) to account for off-site and embedded</w:t>
      </w:r>
      <w:r>
        <w:rPr>
          <w:rFonts w:asciiTheme="minorHAnsi" w:eastAsia="Times New Roman" w:hAnsiTheme="minorHAnsi" w:cs="Times New Roman"/>
          <w:color w:val="auto"/>
          <w:sz w:val="22"/>
        </w:rPr>
        <w:t xml:space="preserve"> energy effects. </w:t>
      </w:r>
      <w:r w:rsidRPr="00134FCD">
        <w:rPr>
          <w:rFonts w:asciiTheme="minorHAnsi" w:eastAsia="Times New Roman" w:hAnsiTheme="minorHAnsi" w:cs="Times New Roman"/>
          <w:color w:val="auto"/>
          <w:sz w:val="22"/>
        </w:rPr>
        <w:t>These incremental savings are only proposed for the specific measures already quant</w:t>
      </w:r>
      <w:r w:rsidR="00491AAE">
        <w:rPr>
          <w:rFonts w:asciiTheme="minorHAnsi" w:eastAsia="Times New Roman" w:hAnsiTheme="minorHAnsi" w:cs="Times New Roman"/>
          <w:color w:val="auto"/>
          <w:sz w:val="22"/>
        </w:rPr>
        <w:t xml:space="preserve">ified and approved by </w:t>
      </w:r>
      <w:r w:rsidR="002046FC">
        <w:rPr>
          <w:rFonts w:asciiTheme="minorHAnsi" w:eastAsia="Times New Roman" w:hAnsiTheme="minorHAnsi" w:cs="Times New Roman"/>
          <w:color w:val="auto"/>
          <w:sz w:val="22"/>
        </w:rPr>
        <w:t xml:space="preserve">existing wps and/or </w:t>
      </w:r>
      <w:r>
        <w:rPr>
          <w:rFonts w:asciiTheme="minorHAnsi" w:eastAsia="Times New Roman" w:hAnsiTheme="minorHAnsi" w:cs="Times New Roman"/>
          <w:color w:val="auto"/>
          <w:sz w:val="22"/>
        </w:rPr>
        <w:t xml:space="preserve">MWD.  </w:t>
      </w:r>
      <w:r w:rsidRPr="00134FCD">
        <w:rPr>
          <w:rFonts w:asciiTheme="minorHAnsi" w:eastAsia="Times New Roman" w:hAnsiTheme="minorHAnsi" w:cs="Times New Roman"/>
          <w:color w:val="auto"/>
          <w:sz w:val="22"/>
        </w:rPr>
        <w:t>Other water saving measures may be incorporated at a later</w:t>
      </w:r>
      <w:r w:rsidR="00491AAE">
        <w:rPr>
          <w:rFonts w:asciiTheme="minorHAnsi" w:eastAsia="Times New Roman" w:hAnsiTheme="minorHAnsi" w:cs="Times New Roman"/>
          <w:color w:val="auto"/>
          <w:sz w:val="22"/>
        </w:rPr>
        <w:t xml:space="preserve"> date as data becomes available. H</w:t>
      </w:r>
      <w:r w:rsidRPr="00134FCD">
        <w:rPr>
          <w:rFonts w:asciiTheme="minorHAnsi" w:eastAsia="Times New Roman" w:hAnsiTheme="minorHAnsi" w:cs="Times New Roman"/>
          <w:color w:val="auto"/>
          <w:sz w:val="22"/>
        </w:rPr>
        <w:t xml:space="preserve">owever, until those additional </w:t>
      </w:r>
      <w:r w:rsidR="00491AAE">
        <w:rPr>
          <w:rFonts w:asciiTheme="minorHAnsi" w:eastAsia="Times New Roman" w:hAnsiTheme="minorHAnsi" w:cs="Times New Roman"/>
          <w:color w:val="auto"/>
          <w:sz w:val="22"/>
        </w:rPr>
        <w:t xml:space="preserve">measures are quantified, </w:t>
      </w:r>
      <w:r w:rsidRPr="00134FCD">
        <w:rPr>
          <w:rFonts w:asciiTheme="minorHAnsi" w:eastAsia="Times New Roman" w:hAnsiTheme="minorHAnsi" w:cs="Times New Roman"/>
          <w:color w:val="auto"/>
          <w:sz w:val="22"/>
        </w:rPr>
        <w:t>this w</w:t>
      </w:r>
      <w:r w:rsidR="00491AAE">
        <w:rPr>
          <w:rFonts w:asciiTheme="minorHAnsi" w:eastAsia="Times New Roman" w:hAnsiTheme="minorHAnsi" w:cs="Times New Roman"/>
          <w:color w:val="auto"/>
          <w:sz w:val="22"/>
        </w:rPr>
        <w:t>p</w:t>
      </w:r>
      <w:r w:rsidRPr="00134FCD">
        <w:rPr>
          <w:rFonts w:asciiTheme="minorHAnsi" w:eastAsia="Times New Roman" w:hAnsiTheme="minorHAnsi" w:cs="Times New Roman"/>
          <w:color w:val="auto"/>
          <w:sz w:val="22"/>
        </w:rPr>
        <w:t xml:space="preserve"> is limited to the present MWD measures stated in Table A.9-3 in Appendix 9 of the MWD Integrated Water Resources Plan (IRP), Draft 2015 Update, discussed as a part of the 1/12/2016 MWD Board Meeting</w:t>
      </w:r>
      <w:r w:rsidR="002046FC">
        <w:rPr>
          <w:rFonts w:asciiTheme="minorHAnsi" w:eastAsia="Times New Roman" w:hAnsiTheme="minorHAnsi" w:cs="Times New Roman"/>
          <w:color w:val="auto"/>
          <w:sz w:val="22"/>
        </w:rPr>
        <w:t xml:space="preserve"> </w:t>
      </w:r>
      <w:r w:rsidR="007D6B25">
        <w:rPr>
          <w:rFonts w:asciiTheme="minorHAnsi" w:eastAsia="Times New Roman" w:hAnsiTheme="minorHAnsi" w:cs="Times New Roman"/>
          <w:color w:val="auto"/>
          <w:sz w:val="22"/>
        </w:rPr>
        <w:t>and/</w:t>
      </w:r>
      <w:r w:rsidR="002046FC">
        <w:rPr>
          <w:rFonts w:asciiTheme="minorHAnsi" w:eastAsia="Times New Roman" w:hAnsiTheme="minorHAnsi" w:cs="Times New Roman"/>
          <w:color w:val="auto"/>
          <w:sz w:val="22"/>
        </w:rPr>
        <w:t>or existing IOU approved wps</w:t>
      </w:r>
      <w:r w:rsidRPr="00134FCD">
        <w:rPr>
          <w:rFonts w:asciiTheme="minorHAnsi" w:eastAsia="Times New Roman" w:hAnsiTheme="minorHAnsi" w:cs="Times New Roman"/>
          <w:color w:val="auto"/>
          <w:sz w:val="22"/>
        </w:rPr>
        <w:t>.</w:t>
      </w:r>
      <w:r w:rsidR="00D87F8A">
        <w:rPr>
          <w:rFonts w:asciiTheme="minorHAnsi" w:eastAsia="Times New Roman" w:hAnsiTheme="minorHAnsi" w:cs="Times New Roman"/>
          <w:color w:val="auto"/>
          <w:sz w:val="22"/>
        </w:rPr>
        <w:t xml:space="preserve"> </w:t>
      </w:r>
    </w:p>
    <w:p w14:paraId="2ABF57BA" w14:textId="740B608C" w:rsidR="00683284" w:rsidRDefault="00640687" w:rsidP="00D87F8A">
      <w:pPr>
        <w:pStyle w:val="Default"/>
        <w:spacing w:after="100" w:afterAutospacing="1"/>
        <w:rPr>
          <w:rFonts w:asciiTheme="minorHAnsi" w:eastAsia="Times New Roman" w:hAnsiTheme="minorHAnsi" w:cs="Times New Roman"/>
          <w:color w:val="auto"/>
          <w:sz w:val="22"/>
        </w:rPr>
      </w:pPr>
      <w:r>
        <w:rPr>
          <w:rFonts w:asciiTheme="minorHAnsi" w:eastAsia="Times New Roman" w:hAnsiTheme="minorHAnsi" w:cs="Times New Roman"/>
          <w:color w:val="auto"/>
          <w:sz w:val="22"/>
        </w:rPr>
        <w:lastRenderedPageBreak/>
        <w:t>The fi</w:t>
      </w:r>
      <w:r w:rsidR="0098632E">
        <w:rPr>
          <w:rFonts w:asciiTheme="minorHAnsi" w:eastAsia="Times New Roman" w:hAnsiTheme="minorHAnsi" w:cs="Times New Roman"/>
          <w:color w:val="auto"/>
          <w:sz w:val="22"/>
        </w:rPr>
        <w:t xml:space="preserve">rst 10 IOU WEN measures </w:t>
      </w:r>
      <w:r w:rsidR="00D87F8A" w:rsidRPr="00D87F8A">
        <w:rPr>
          <w:rFonts w:asciiTheme="minorHAnsi" w:eastAsia="Times New Roman" w:hAnsiTheme="minorHAnsi" w:cs="Times New Roman"/>
          <w:color w:val="auto"/>
          <w:sz w:val="22"/>
        </w:rPr>
        <w:t>are listed in</w:t>
      </w:r>
      <w:r w:rsidR="00D87F8A">
        <w:rPr>
          <w:rFonts w:asciiTheme="minorHAnsi" w:eastAsia="Times New Roman" w:hAnsiTheme="minorHAnsi" w:cs="Times New Roman"/>
          <w:color w:val="auto"/>
          <w:sz w:val="22"/>
        </w:rPr>
        <w:t xml:space="preserve"> </w:t>
      </w:r>
      <w:r w:rsidR="00D87F8A" w:rsidRPr="007D6B25">
        <w:rPr>
          <w:rFonts w:asciiTheme="minorHAnsi" w:eastAsia="Times New Roman" w:hAnsiTheme="minorHAnsi" w:cs="Times New Roman"/>
          <w:b/>
          <w:color w:val="auto"/>
          <w:sz w:val="22"/>
        </w:rPr>
        <w:fldChar w:fldCharType="begin"/>
      </w:r>
      <w:r w:rsidR="00D87F8A" w:rsidRPr="007D6B25">
        <w:rPr>
          <w:rFonts w:asciiTheme="minorHAnsi" w:eastAsia="Times New Roman" w:hAnsiTheme="minorHAnsi" w:cs="Times New Roman"/>
          <w:b/>
          <w:color w:val="auto"/>
          <w:sz w:val="22"/>
        </w:rPr>
        <w:instrText xml:space="preserve"> REF _Ref467323681 \h  \* MERGEFORMAT </w:instrText>
      </w:r>
      <w:r w:rsidR="00D87F8A" w:rsidRPr="007D6B25">
        <w:rPr>
          <w:rFonts w:asciiTheme="minorHAnsi" w:eastAsia="Times New Roman" w:hAnsiTheme="minorHAnsi" w:cs="Times New Roman"/>
          <w:b/>
          <w:color w:val="auto"/>
          <w:sz w:val="22"/>
        </w:rPr>
      </w:r>
      <w:r w:rsidR="00D87F8A" w:rsidRPr="007D6B25">
        <w:rPr>
          <w:rFonts w:asciiTheme="minorHAnsi" w:eastAsia="Times New Roman" w:hAnsiTheme="minorHAnsi" w:cs="Times New Roman"/>
          <w:b/>
          <w:color w:val="auto"/>
          <w:sz w:val="22"/>
        </w:rPr>
        <w:fldChar w:fldCharType="separate"/>
      </w:r>
      <w:r w:rsidR="00D87F8A" w:rsidRPr="007D6B25">
        <w:rPr>
          <w:rFonts w:asciiTheme="minorHAnsi" w:eastAsia="Times New Roman" w:hAnsiTheme="minorHAnsi" w:cs="Times New Roman"/>
          <w:b/>
          <w:color w:val="auto"/>
          <w:sz w:val="22"/>
        </w:rPr>
        <w:t>Table 1</w:t>
      </w:r>
      <w:r w:rsidR="00D87F8A" w:rsidRPr="007D6B25">
        <w:rPr>
          <w:rFonts w:asciiTheme="minorHAnsi" w:eastAsia="Times New Roman" w:hAnsiTheme="minorHAnsi" w:cs="Times New Roman"/>
          <w:b/>
          <w:color w:val="auto"/>
          <w:sz w:val="22"/>
        </w:rPr>
        <w:fldChar w:fldCharType="end"/>
      </w:r>
      <w:r w:rsidR="00D87F8A" w:rsidRPr="00D87F8A">
        <w:rPr>
          <w:rFonts w:asciiTheme="minorHAnsi" w:eastAsia="Times New Roman" w:hAnsiTheme="minorHAnsi" w:cs="Times New Roman"/>
          <w:color w:val="auto"/>
          <w:sz w:val="22"/>
        </w:rPr>
        <w:t>.</w:t>
      </w:r>
      <w:r w:rsidR="0098632E">
        <w:rPr>
          <w:rFonts w:asciiTheme="minorHAnsi" w:eastAsia="Times New Roman" w:hAnsiTheme="minorHAnsi" w:cs="Times New Roman"/>
          <w:color w:val="auto"/>
          <w:sz w:val="22"/>
        </w:rPr>
        <w:t xml:space="preserve"> The </w:t>
      </w:r>
      <w:r w:rsidR="005023C8">
        <w:rPr>
          <w:rFonts w:asciiTheme="minorHAnsi" w:eastAsia="Times New Roman" w:hAnsiTheme="minorHAnsi" w:cs="Times New Roman"/>
          <w:color w:val="auto"/>
          <w:sz w:val="22"/>
        </w:rPr>
        <w:t>complete</w:t>
      </w:r>
      <w:r w:rsidR="0098632E">
        <w:rPr>
          <w:rFonts w:asciiTheme="minorHAnsi" w:eastAsia="Times New Roman" w:hAnsiTheme="minorHAnsi" w:cs="Times New Roman"/>
          <w:color w:val="auto"/>
          <w:sz w:val="22"/>
        </w:rPr>
        <w:t xml:space="preserve"> IOU WEN measures can be found in the </w:t>
      </w:r>
      <w:r w:rsidR="005023C8" w:rsidRPr="005023C8">
        <w:rPr>
          <w:rFonts w:asciiTheme="minorHAnsi" w:eastAsia="Times New Roman" w:hAnsiTheme="minorHAnsi" w:cs="Times New Roman"/>
          <w:color w:val="auto"/>
          <w:sz w:val="22"/>
        </w:rPr>
        <w:t xml:space="preserve">2019-09-17 WEN Measures List 2019 </w:t>
      </w:r>
      <w:r w:rsidR="005023C8">
        <w:rPr>
          <w:rFonts w:asciiTheme="minorHAnsi" w:eastAsia="Times New Roman" w:hAnsiTheme="minorHAnsi" w:cs="Times New Roman"/>
          <w:color w:val="auto"/>
          <w:sz w:val="22"/>
        </w:rPr>
        <w:t>–</w:t>
      </w:r>
      <w:r w:rsidR="005023C8" w:rsidRPr="005023C8">
        <w:rPr>
          <w:rFonts w:asciiTheme="minorHAnsi" w:eastAsia="Times New Roman" w:hAnsiTheme="minorHAnsi" w:cs="Times New Roman"/>
          <w:color w:val="auto"/>
          <w:sz w:val="22"/>
        </w:rPr>
        <w:t xml:space="preserve"> FINAL</w:t>
      </w:r>
      <w:r w:rsidR="005023C8">
        <w:rPr>
          <w:rFonts w:asciiTheme="minorHAnsi" w:eastAsia="Times New Roman" w:hAnsiTheme="minorHAnsi" w:cs="Times New Roman"/>
          <w:color w:val="auto"/>
          <w:sz w:val="22"/>
        </w:rPr>
        <w:t>.xlsx included with the workpaper upload onto the workpaper archive (WPA) website.</w:t>
      </w:r>
    </w:p>
    <w:p w14:paraId="09955550" w14:textId="32040FD9" w:rsidR="00AC5309" w:rsidRDefault="002A134F" w:rsidP="002A134F">
      <w:pPr>
        <w:pStyle w:val="Caption"/>
        <w:jc w:val="center"/>
        <w:rPr>
          <w:rFonts w:cstheme="minorHAnsi"/>
          <w:szCs w:val="22"/>
        </w:rPr>
      </w:pPr>
      <w:bookmarkStart w:id="8" w:name="_Ref467323681"/>
      <w:r>
        <w:t xml:space="preserve">Table </w:t>
      </w:r>
      <w:r w:rsidR="00054031">
        <w:fldChar w:fldCharType="begin"/>
      </w:r>
      <w:r w:rsidR="00054031">
        <w:instrText xml:space="preserve"> SEQ Table \* ARABIC </w:instrText>
      </w:r>
      <w:r w:rsidR="00054031">
        <w:fldChar w:fldCharType="separate"/>
      </w:r>
      <w:r w:rsidR="00602E9A">
        <w:rPr>
          <w:noProof/>
        </w:rPr>
        <w:t>1</w:t>
      </w:r>
      <w:r w:rsidR="00054031">
        <w:rPr>
          <w:noProof/>
        </w:rPr>
        <w:fldChar w:fldCharType="end"/>
      </w:r>
      <w:bookmarkEnd w:id="8"/>
      <w:r>
        <w:t xml:space="preserve">: </w:t>
      </w:r>
      <w:r w:rsidR="005023C8">
        <w:t xml:space="preserve">Statewide IOU </w:t>
      </w:r>
      <w:r>
        <w:t xml:space="preserve">WEN </w:t>
      </w:r>
      <w:r w:rsidR="00AC5309" w:rsidRPr="00800706">
        <w:rPr>
          <w:rFonts w:cstheme="minorHAnsi"/>
          <w:szCs w:val="22"/>
        </w:rPr>
        <w:t>Measure</w:t>
      </w:r>
      <w:r w:rsidR="005476F6" w:rsidRPr="00800706">
        <w:rPr>
          <w:rFonts w:cstheme="minorHAnsi"/>
          <w:szCs w:val="22"/>
        </w:rPr>
        <w:t>s and Codes</w:t>
      </w:r>
    </w:p>
    <w:p w14:paraId="380DC3F5" w14:textId="77777777" w:rsidR="00283E98" w:rsidRPr="00283E98" w:rsidRDefault="00283E98" w:rsidP="00283E98"/>
    <w:tbl>
      <w:tblPr>
        <w:tblStyle w:val="TableGrid1"/>
        <w:tblW w:w="4773" w:type="pct"/>
        <w:shd w:val="clear" w:color="auto" w:fill="FFFFFF" w:themeFill="background1"/>
        <w:tblLayout w:type="fixed"/>
        <w:tblLook w:val="04A0" w:firstRow="1" w:lastRow="0" w:firstColumn="1" w:lastColumn="0" w:noHBand="0" w:noVBand="1"/>
      </w:tblPr>
      <w:tblGrid>
        <w:gridCol w:w="985"/>
        <w:gridCol w:w="7941"/>
      </w:tblGrid>
      <w:tr w:rsidR="00532724" w:rsidRPr="00800706" w14:paraId="4E094F01" w14:textId="77777777" w:rsidTr="00532724">
        <w:tc>
          <w:tcPr>
            <w:tcW w:w="5000" w:type="pct"/>
            <w:gridSpan w:val="2"/>
            <w:shd w:val="clear" w:color="auto" w:fill="FFFFFF" w:themeFill="background1"/>
          </w:tcPr>
          <w:p w14:paraId="40F69044" w14:textId="5993E04A" w:rsidR="00532724" w:rsidRPr="004E2C98" w:rsidRDefault="00532724" w:rsidP="003030F5">
            <w:pPr>
              <w:jc w:val="center"/>
              <w:rPr>
                <w:rFonts w:cstheme="minorHAnsi"/>
                <w:b/>
                <w:sz w:val="24"/>
              </w:rPr>
            </w:pPr>
            <w:r>
              <w:rPr>
                <w:b/>
                <w:sz w:val="24"/>
              </w:rPr>
              <w:t>Statewide I</w:t>
            </w:r>
            <w:r w:rsidRPr="004E2C98">
              <w:rPr>
                <w:b/>
                <w:sz w:val="24"/>
              </w:rPr>
              <w:t>OU WEN Measures</w:t>
            </w:r>
          </w:p>
        </w:tc>
      </w:tr>
      <w:tr w:rsidR="00496B36" w:rsidRPr="00800706" w14:paraId="3B839881" w14:textId="77777777" w:rsidTr="00496B36">
        <w:trPr>
          <w:trHeight w:val="244"/>
        </w:trPr>
        <w:tc>
          <w:tcPr>
            <w:tcW w:w="552" w:type="pct"/>
            <w:vMerge w:val="restart"/>
            <w:shd w:val="clear" w:color="auto" w:fill="FFFFFF" w:themeFill="background1"/>
          </w:tcPr>
          <w:p w14:paraId="5628AC15" w14:textId="77777777" w:rsidR="00496B36" w:rsidRPr="00920905" w:rsidRDefault="00496B36" w:rsidP="003030F5">
            <w:pPr>
              <w:jc w:val="center"/>
              <w:rPr>
                <w:rFonts w:cstheme="minorHAnsi"/>
                <w:b/>
                <w:szCs w:val="20"/>
              </w:rPr>
            </w:pPr>
            <w:r>
              <w:rPr>
                <w:rFonts w:cstheme="minorHAnsi"/>
                <w:b/>
                <w:szCs w:val="20"/>
              </w:rPr>
              <w:t>Measure #</w:t>
            </w:r>
          </w:p>
        </w:tc>
        <w:tc>
          <w:tcPr>
            <w:tcW w:w="4448" w:type="pct"/>
            <w:vMerge w:val="restart"/>
            <w:shd w:val="clear" w:color="auto" w:fill="FFFFFF" w:themeFill="background1"/>
            <w:vAlign w:val="center"/>
          </w:tcPr>
          <w:p w14:paraId="53C15917" w14:textId="77777777" w:rsidR="00496B36" w:rsidRPr="00920905" w:rsidRDefault="00496B36" w:rsidP="003030F5">
            <w:pPr>
              <w:jc w:val="center"/>
              <w:rPr>
                <w:rFonts w:cstheme="minorHAnsi"/>
                <w:b/>
                <w:szCs w:val="20"/>
              </w:rPr>
            </w:pPr>
            <w:r w:rsidRPr="00920905">
              <w:rPr>
                <w:rFonts w:cstheme="minorHAnsi"/>
                <w:b/>
                <w:szCs w:val="20"/>
              </w:rPr>
              <w:t>Measure Name</w:t>
            </w:r>
          </w:p>
        </w:tc>
      </w:tr>
      <w:tr w:rsidR="00496B36" w:rsidRPr="00800706" w14:paraId="7260796D" w14:textId="77777777" w:rsidTr="00496B36">
        <w:trPr>
          <w:trHeight w:val="244"/>
        </w:trPr>
        <w:tc>
          <w:tcPr>
            <w:tcW w:w="552" w:type="pct"/>
            <w:vMerge/>
            <w:shd w:val="clear" w:color="auto" w:fill="FFFFFF" w:themeFill="background1"/>
          </w:tcPr>
          <w:p w14:paraId="427E5BD6" w14:textId="77777777" w:rsidR="00496B36" w:rsidRPr="00800706" w:rsidRDefault="00496B36" w:rsidP="00397406">
            <w:pPr>
              <w:rPr>
                <w:rFonts w:cstheme="minorHAnsi"/>
                <w:szCs w:val="20"/>
              </w:rPr>
            </w:pPr>
          </w:p>
        </w:tc>
        <w:tc>
          <w:tcPr>
            <w:tcW w:w="4448" w:type="pct"/>
            <w:vMerge/>
            <w:shd w:val="clear" w:color="auto" w:fill="FFFFFF" w:themeFill="background1"/>
          </w:tcPr>
          <w:p w14:paraId="40395436" w14:textId="77777777" w:rsidR="00496B36" w:rsidRPr="00800706" w:rsidRDefault="00496B36" w:rsidP="005729C8">
            <w:pPr>
              <w:rPr>
                <w:rFonts w:cstheme="minorHAnsi"/>
                <w:szCs w:val="20"/>
              </w:rPr>
            </w:pPr>
          </w:p>
        </w:tc>
      </w:tr>
      <w:tr w:rsidR="00496B36" w:rsidRPr="00800706" w14:paraId="50E1B213" w14:textId="77777777" w:rsidTr="00496B36">
        <w:trPr>
          <w:trHeight w:val="243"/>
        </w:trPr>
        <w:tc>
          <w:tcPr>
            <w:tcW w:w="552" w:type="pct"/>
            <w:shd w:val="clear" w:color="auto" w:fill="FFFFFF" w:themeFill="background1"/>
            <w:vAlign w:val="center"/>
          </w:tcPr>
          <w:p w14:paraId="7A1F3451" w14:textId="0F6DA7AA" w:rsidR="00496B36" w:rsidRPr="004F700E" w:rsidRDefault="00496B36" w:rsidP="006A5642">
            <w:pPr>
              <w:jc w:val="center"/>
            </w:pPr>
            <w:r w:rsidRPr="000B79EC">
              <w:t>1</w:t>
            </w:r>
          </w:p>
        </w:tc>
        <w:tc>
          <w:tcPr>
            <w:tcW w:w="4448" w:type="pct"/>
            <w:shd w:val="clear" w:color="auto" w:fill="FFFFFF" w:themeFill="background1"/>
            <w:vAlign w:val="center"/>
          </w:tcPr>
          <w:p w14:paraId="7DAF8080" w14:textId="77777777" w:rsidR="00496B36" w:rsidRDefault="00496B36" w:rsidP="00FC76CB">
            <w:r w:rsidRPr="00503D9D">
              <w:t>Energy Star most efficient clothes washer, &gt;2.5 cubic ft</w:t>
            </w:r>
            <w:r>
              <w:t xml:space="preserve"> - </w:t>
            </w:r>
            <w:r w:rsidRPr="00FC76CB">
              <w:t>SFM. MFM In-Unit</w:t>
            </w:r>
          </w:p>
        </w:tc>
      </w:tr>
      <w:tr w:rsidR="00496B36" w:rsidRPr="00800706" w14:paraId="0E602274" w14:textId="77777777" w:rsidTr="00496B36">
        <w:trPr>
          <w:trHeight w:val="243"/>
        </w:trPr>
        <w:tc>
          <w:tcPr>
            <w:tcW w:w="552" w:type="pct"/>
            <w:shd w:val="clear" w:color="auto" w:fill="FFFFFF" w:themeFill="background1"/>
            <w:vAlign w:val="center"/>
          </w:tcPr>
          <w:p w14:paraId="7D795B3D" w14:textId="4EBFF38D" w:rsidR="00496B36" w:rsidRPr="004F700E" w:rsidRDefault="00496B36" w:rsidP="006A5642">
            <w:pPr>
              <w:jc w:val="center"/>
            </w:pPr>
            <w:r w:rsidRPr="000B79EC">
              <w:t>2</w:t>
            </w:r>
          </w:p>
        </w:tc>
        <w:tc>
          <w:tcPr>
            <w:tcW w:w="4448" w:type="pct"/>
            <w:shd w:val="clear" w:color="auto" w:fill="FFFFFF" w:themeFill="background1"/>
            <w:vAlign w:val="center"/>
          </w:tcPr>
          <w:p w14:paraId="4C91BF2E" w14:textId="77777777" w:rsidR="00496B36" w:rsidRDefault="00496B36" w:rsidP="00FC76CB">
            <w:r w:rsidRPr="00503D9D">
              <w:t>Energy Star most efficient clothes washer, &gt;2.5 cubic ft</w:t>
            </w:r>
            <w:r>
              <w:t xml:space="preserve"> - </w:t>
            </w:r>
            <w:r w:rsidRPr="00FC76CB">
              <w:t>MFM Common Area</w:t>
            </w:r>
          </w:p>
        </w:tc>
      </w:tr>
      <w:tr w:rsidR="00496B36" w:rsidRPr="00800706" w14:paraId="12698C0D" w14:textId="77777777" w:rsidTr="00496B36">
        <w:trPr>
          <w:trHeight w:val="243"/>
        </w:trPr>
        <w:tc>
          <w:tcPr>
            <w:tcW w:w="552" w:type="pct"/>
            <w:shd w:val="clear" w:color="auto" w:fill="FFFFFF" w:themeFill="background1"/>
            <w:vAlign w:val="center"/>
          </w:tcPr>
          <w:p w14:paraId="19166E58" w14:textId="5C5593FF" w:rsidR="00496B36" w:rsidRPr="004F700E" w:rsidRDefault="00496B36" w:rsidP="006A5642">
            <w:pPr>
              <w:jc w:val="center"/>
            </w:pPr>
            <w:r w:rsidRPr="000B79EC">
              <w:t>3</w:t>
            </w:r>
          </w:p>
        </w:tc>
        <w:tc>
          <w:tcPr>
            <w:tcW w:w="4448" w:type="pct"/>
            <w:shd w:val="clear" w:color="auto" w:fill="FFFFFF" w:themeFill="background1"/>
            <w:vAlign w:val="center"/>
          </w:tcPr>
          <w:p w14:paraId="3DB2E0DE" w14:textId="547F4041" w:rsidR="00496B36" w:rsidRPr="00F429FC" w:rsidRDefault="00496B36" w:rsidP="00FC76CB">
            <w:r w:rsidRPr="00F429FC">
              <w:t>Energy Star most efficient clothes washer, &gt;2.5 cubic ft</w:t>
            </w:r>
            <w:r>
              <w:t xml:space="preserve"> - </w:t>
            </w:r>
            <w:r w:rsidR="00150D93" w:rsidRPr="00FC76CB">
              <w:t>Non-Res</w:t>
            </w:r>
          </w:p>
        </w:tc>
      </w:tr>
      <w:tr w:rsidR="00496B36" w:rsidRPr="00800706" w14:paraId="50C362AE" w14:textId="77777777" w:rsidTr="00496B36">
        <w:trPr>
          <w:trHeight w:val="243"/>
        </w:trPr>
        <w:tc>
          <w:tcPr>
            <w:tcW w:w="552" w:type="pct"/>
            <w:shd w:val="clear" w:color="auto" w:fill="FFFFFF" w:themeFill="background1"/>
            <w:vAlign w:val="center"/>
          </w:tcPr>
          <w:p w14:paraId="762E9BAC" w14:textId="6D9D7424" w:rsidR="00496B36" w:rsidRPr="004F700E" w:rsidRDefault="00496B36" w:rsidP="006A5642">
            <w:pPr>
              <w:jc w:val="center"/>
            </w:pPr>
            <w:r w:rsidRPr="000B79EC">
              <w:t>4</w:t>
            </w:r>
          </w:p>
        </w:tc>
        <w:tc>
          <w:tcPr>
            <w:tcW w:w="4448" w:type="pct"/>
            <w:shd w:val="clear" w:color="auto" w:fill="FFFFFF" w:themeFill="background1"/>
            <w:vAlign w:val="center"/>
          </w:tcPr>
          <w:p w14:paraId="7C61D8B4" w14:textId="77777777" w:rsidR="00496B36" w:rsidRPr="00F429FC" w:rsidRDefault="00496B36" w:rsidP="00FC76CB">
            <w:r>
              <w:t>Commercial steam cooker Electric</w:t>
            </w:r>
          </w:p>
        </w:tc>
      </w:tr>
      <w:tr w:rsidR="00496B36" w:rsidRPr="00800706" w14:paraId="2218A9EB" w14:textId="77777777" w:rsidTr="00496B36">
        <w:trPr>
          <w:trHeight w:val="243"/>
        </w:trPr>
        <w:tc>
          <w:tcPr>
            <w:tcW w:w="552" w:type="pct"/>
            <w:shd w:val="clear" w:color="auto" w:fill="FFFFFF" w:themeFill="background1"/>
            <w:vAlign w:val="center"/>
          </w:tcPr>
          <w:p w14:paraId="72AD9FA0" w14:textId="05537491" w:rsidR="00496B36" w:rsidRPr="004F700E" w:rsidRDefault="00496B36" w:rsidP="006A5642">
            <w:pPr>
              <w:jc w:val="center"/>
            </w:pPr>
            <w:r w:rsidRPr="000B79EC">
              <w:t>5</w:t>
            </w:r>
          </w:p>
        </w:tc>
        <w:tc>
          <w:tcPr>
            <w:tcW w:w="4448" w:type="pct"/>
            <w:shd w:val="clear" w:color="auto" w:fill="FFFFFF" w:themeFill="background1"/>
            <w:vAlign w:val="center"/>
          </w:tcPr>
          <w:p w14:paraId="58A3E1C2" w14:textId="77777777" w:rsidR="00496B36" w:rsidRPr="00F429FC" w:rsidRDefault="00496B36" w:rsidP="00FC76CB">
            <w:r>
              <w:t>Commercial steam cooker Natural gas</w:t>
            </w:r>
          </w:p>
        </w:tc>
      </w:tr>
      <w:tr w:rsidR="00496B36" w:rsidRPr="00800706" w14:paraId="3C338E70" w14:textId="77777777" w:rsidTr="00496B36">
        <w:trPr>
          <w:trHeight w:val="243"/>
        </w:trPr>
        <w:tc>
          <w:tcPr>
            <w:tcW w:w="552" w:type="pct"/>
            <w:shd w:val="clear" w:color="auto" w:fill="FFFFFF" w:themeFill="background1"/>
            <w:vAlign w:val="center"/>
          </w:tcPr>
          <w:p w14:paraId="273B5911" w14:textId="672FF513" w:rsidR="00496B36" w:rsidRPr="004F700E" w:rsidRDefault="00496B36" w:rsidP="006A5642">
            <w:pPr>
              <w:jc w:val="center"/>
            </w:pPr>
            <w:r w:rsidRPr="000B79EC">
              <w:t>6</w:t>
            </w:r>
          </w:p>
        </w:tc>
        <w:tc>
          <w:tcPr>
            <w:tcW w:w="4448" w:type="pct"/>
            <w:shd w:val="clear" w:color="auto" w:fill="FFFFFF" w:themeFill="background1"/>
            <w:vAlign w:val="center"/>
          </w:tcPr>
          <w:p w14:paraId="65886264" w14:textId="77777777" w:rsidR="00496B36" w:rsidRPr="00D267F2" w:rsidRDefault="00496B36" w:rsidP="00FC76CB">
            <w:pPr>
              <w:rPr>
                <w:rFonts w:ascii="Calibri" w:hAnsi="Calibri" w:cs="Calibri"/>
                <w:color w:val="000000"/>
                <w:szCs w:val="20"/>
              </w:rPr>
            </w:pPr>
            <w:r w:rsidRPr="0053631C">
              <w:rPr>
                <w:rFonts w:ascii="Calibri" w:hAnsi="Calibri" w:cs="Calibri"/>
                <w:color w:val="000000"/>
                <w:szCs w:val="20"/>
              </w:rPr>
              <w:t>Commercial combination oven/steamer Electric (less than 15 pans)</w:t>
            </w:r>
          </w:p>
        </w:tc>
      </w:tr>
      <w:tr w:rsidR="00496B36" w:rsidRPr="00800706" w14:paraId="17028ADF" w14:textId="77777777" w:rsidTr="00496B36">
        <w:trPr>
          <w:trHeight w:val="243"/>
        </w:trPr>
        <w:tc>
          <w:tcPr>
            <w:tcW w:w="552" w:type="pct"/>
            <w:shd w:val="clear" w:color="auto" w:fill="FFFFFF" w:themeFill="background1"/>
            <w:vAlign w:val="center"/>
          </w:tcPr>
          <w:p w14:paraId="20EC3F0C" w14:textId="7F40EA1E" w:rsidR="00496B36" w:rsidRPr="004F700E" w:rsidRDefault="00496B36" w:rsidP="006A5642">
            <w:pPr>
              <w:jc w:val="center"/>
            </w:pPr>
            <w:r w:rsidRPr="000B79EC">
              <w:t>7</w:t>
            </w:r>
          </w:p>
        </w:tc>
        <w:tc>
          <w:tcPr>
            <w:tcW w:w="4448" w:type="pct"/>
            <w:shd w:val="clear" w:color="auto" w:fill="FFFFFF" w:themeFill="background1"/>
            <w:vAlign w:val="center"/>
          </w:tcPr>
          <w:p w14:paraId="1F122AD9" w14:textId="77777777" w:rsidR="00496B36" w:rsidRDefault="00496B36" w:rsidP="00FC76CB">
            <w:pPr>
              <w:rPr>
                <w:rFonts w:ascii="Calibri" w:hAnsi="Calibri" w:cs="Calibri"/>
                <w:color w:val="000000"/>
                <w:szCs w:val="22"/>
              </w:rPr>
            </w:pPr>
            <w:r w:rsidRPr="00F429FC">
              <w:rPr>
                <w:rFonts w:ascii="Calibri" w:hAnsi="Calibri" w:cs="Calibri"/>
                <w:color w:val="000000"/>
                <w:szCs w:val="22"/>
              </w:rPr>
              <w:t>Comm</w:t>
            </w:r>
            <w:r>
              <w:rPr>
                <w:rFonts w:ascii="Calibri" w:hAnsi="Calibri" w:cs="Calibri"/>
                <w:color w:val="000000"/>
                <w:szCs w:val="22"/>
              </w:rPr>
              <w:t xml:space="preserve">ercial combination oven/steamer </w:t>
            </w:r>
            <w:r w:rsidRPr="00F429FC">
              <w:rPr>
                <w:rFonts w:ascii="Calibri" w:hAnsi="Calibri" w:cs="Calibri"/>
                <w:color w:val="000000"/>
                <w:szCs w:val="22"/>
              </w:rPr>
              <w:t>Electric (15-28 pans)</w:t>
            </w:r>
          </w:p>
        </w:tc>
      </w:tr>
      <w:tr w:rsidR="00496B36" w:rsidRPr="00800706" w14:paraId="1BEDBEC4" w14:textId="77777777" w:rsidTr="00496B36">
        <w:trPr>
          <w:trHeight w:val="243"/>
        </w:trPr>
        <w:tc>
          <w:tcPr>
            <w:tcW w:w="552" w:type="pct"/>
            <w:shd w:val="clear" w:color="auto" w:fill="FFFFFF" w:themeFill="background1"/>
            <w:vAlign w:val="center"/>
          </w:tcPr>
          <w:p w14:paraId="57963DCA" w14:textId="76AC0C6E" w:rsidR="00496B36" w:rsidRPr="004F700E" w:rsidRDefault="00496B36" w:rsidP="006A5642">
            <w:pPr>
              <w:jc w:val="center"/>
            </w:pPr>
            <w:r w:rsidRPr="000B79EC">
              <w:t>8</w:t>
            </w:r>
          </w:p>
        </w:tc>
        <w:tc>
          <w:tcPr>
            <w:tcW w:w="4448" w:type="pct"/>
            <w:shd w:val="clear" w:color="auto" w:fill="FFFFFF" w:themeFill="background1"/>
            <w:vAlign w:val="center"/>
          </w:tcPr>
          <w:p w14:paraId="2E660C2C" w14:textId="77777777" w:rsidR="00496B36" w:rsidRPr="00F429FC" w:rsidRDefault="00496B36" w:rsidP="00FC76CB">
            <w:pPr>
              <w:rPr>
                <w:rFonts w:ascii="Calibri" w:hAnsi="Calibri" w:cs="Calibri"/>
                <w:color w:val="000000"/>
                <w:szCs w:val="22"/>
              </w:rPr>
            </w:pPr>
            <w:r w:rsidRPr="00F429FC">
              <w:rPr>
                <w:rFonts w:ascii="Calibri" w:hAnsi="Calibri" w:cs="Calibri"/>
                <w:color w:val="000000"/>
                <w:szCs w:val="22"/>
              </w:rPr>
              <w:t>Comm</w:t>
            </w:r>
            <w:r>
              <w:rPr>
                <w:rFonts w:ascii="Calibri" w:hAnsi="Calibri" w:cs="Calibri"/>
                <w:color w:val="000000"/>
                <w:szCs w:val="22"/>
              </w:rPr>
              <w:t xml:space="preserve">ercial combination oven/steamer </w:t>
            </w:r>
            <w:r w:rsidRPr="00F429FC">
              <w:rPr>
                <w:rFonts w:ascii="Calibri" w:hAnsi="Calibri" w:cs="Calibri"/>
                <w:color w:val="000000"/>
                <w:szCs w:val="22"/>
              </w:rPr>
              <w:t>Electric (more than 28 pans)</w:t>
            </w:r>
          </w:p>
        </w:tc>
      </w:tr>
      <w:tr w:rsidR="00496B36" w:rsidRPr="00800706" w14:paraId="4F73B773" w14:textId="77777777" w:rsidTr="00496B36">
        <w:trPr>
          <w:trHeight w:val="243"/>
        </w:trPr>
        <w:tc>
          <w:tcPr>
            <w:tcW w:w="552" w:type="pct"/>
            <w:shd w:val="clear" w:color="auto" w:fill="FFFFFF" w:themeFill="background1"/>
            <w:vAlign w:val="center"/>
          </w:tcPr>
          <w:p w14:paraId="0ABC2352" w14:textId="7990271B" w:rsidR="00496B36" w:rsidRPr="004F700E" w:rsidRDefault="00496B36" w:rsidP="006A5642">
            <w:pPr>
              <w:jc w:val="center"/>
            </w:pPr>
            <w:r w:rsidRPr="000B79EC">
              <w:t>9</w:t>
            </w:r>
          </w:p>
        </w:tc>
        <w:tc>
          <w:tcPr>
            <w:tcW w:w="4448" w:type="pct"/>
            <w:shd w:val="clear" w:color="auto" w:fill="FFFFFF" w:themeFill="background1"/>
            <w:vAlign w:val="center"/>
          </w:tcPr>
          <w:p w14:paraId="7AE21CB1" w14:textId="77777777" w:rsidR="00496B36" w:rsidRPr="00F429FC" w:rsidRDefault="00496B36" w:rsidP="00FC76CB">
            <w:pPr>
              <w:rPr>
                <w:rFonts w:ascii="Calibri" w:hAnsi="Calibri" w:cs="Calibri"/>
                <w:color w:val="000000"/>
                <w:szCs w:val="22"/>
              </w:rPr>
            </w:pPr>
            <w:r w:rsidRPr="00F429FC">
              <w:rPr>
                <w:rFonts w:ascii="Calibri" w:hAnsi="Calibri" w:cs="Calibri"/>
                <w:color w:val="000000"/>
                <w:szCs w:val="22"/>
              </w:rPr>
              <w:t>Commercial combination oven</w:t>
            </w:r>
            <w:r>
              <w:rPr>
                <w:rFonts w:ascii="Calibri" w:hAnsi="Calibri" w:cs="Calibri"/>
                <w:color w:val="000000"/>
                <w:szCs w:val="22"/>
              </w:rPr>
              <w:t xml:space="preserve">/steamer </w:t>
            </w:r>
            <w:r w:rsidRPr="00F429FC">
              <w:rPr>
                <w:rFonts w:ascii="Calibri" w:hAnsi="Calibri" w:cs="Calibri"/>
                <w:color w:val="000000"/>
                <w:szCs w:val="22"/>
              </w:rPr>
              <w:t>Natural gas (less than 15 pans)</w:t>
            </w:r>
          </w:p>
        </w:tc>
      </w:tr>
      <w:tr w:rsidR="00496B36" w:rsidRPr="00800706" w14:paraId="5125D5F0" w14:textId="77777777" w:rsidTr="00496B36">
        <w:trPr>
          <w:trHeight w:val="243"/>
        </w:trPr>
        <w:tc>
          <w:tcPr>
            <w:tcW w:w="552" w:type="pct"/>
            <w:shd w:val="clear" w:color="auto" w:fill="FFFFFF" w:themeFill="background1"/>
            <w:vAlign w:val="center"/>
          </w:tcPr>
          <w:p w14:paraId="25518814" w14:textId="7133D212" w:rsidR="00496B36" w:rsidRPr="004F700E" w:rsidRDefault="00496B36" w:rsidP="006A5642">
            <w:pPr>
              <w:jc w:val="center"/>
            </w:pPr>
            <w:r w:rsidRPr="000B79EC">
              <w:t>10</w:t>
            </w:r>
          </w:p>
        </w:tc>
        <w:tc>
          <w:tcPr>
            <w:tcW w:w="4448" w:type="pct"/>
            <w:shd w:val="clear" w:color="auto" w:fill="FFFFFF" w:themeFill="background1"/>
            <w:vAlign w:val="center"/>
          </w:tcPr>
          <w:p w14:paraId="7BED1404" w14:textId="77777777" w:rsidR="00496B36" w:rsidRPr="00F429FC" w:rsidRDefault="00496B36" w:rsidP="00FC76CB">
            <w:pPr>
              <w:rPr>
                <w:rFonts w:ascii="Calibri" w:hAnsi="Calibri" w:cs="Calibri"/>
                <w:color w:val="000000"/>
                <w:szCs w:val="22"/>
              </w:rPr>
            </w:pPr>
            <w:r w:rsidRPr="00F429FC">
              <w:rPr>
                <w:rFonts w:ascii="Calibri" w:hAnsi="Calibri" w:cs="Calibri"/>
                <w:color w:val="000000"/>
                <w:szCs w:val="22"/>
              </w:rPr>
              <w:t>Comm</w:t>
            </w:r>
            <w:r>
              <w:rPr>
                <w:rFonts w:ascii="Calibri" w:hAnsi="Calibri" w:cs="Calibri"/>
                <w:color w:val="000000"/>
                <w:szCs w:val="22"/>
              </w:rPr>
              <w:t xml:space="preserve">ercial combination oven/steamer </w:t>
            </w:r>
            <w:r w:rsidRPr="00F429FC">
              <w:rPr>
                <w:rFonts w:ascii="Calibri" w:hAnsi="Calibri" w:cs="Calibri"/>
                <w:color w:val="000000"/>
                <w:szCs w:val="22"/>
              </w:rPr>
              <w:t>Natural gas (15-28 pans)</w:t>
            </w:r>
          </w:p>
        </w:tc>
      </w:tr>
    </w:tbl>
    <w:p w14:paraId="1EF673BA" w14:textId="22445FE9" w:rsidR="00B82042" w:rsidRDefault="00B82042"/>
    <w:p w14:paraId="50F0E4EE" w14:textId="32B83CCD" w:rsidR="005023C8" w:rsidRDefault="005023C8" w:rsidP="005023C8">
      <w:pPr>
        <w:pStyle w:val="Default"/>
        <w:spacing w:after="100" w:afterAutospacing="1"/>
        <w:rPr>
          <w:rFonts w:asciiTheme="minorHAnsi" w:eastAsia="Times New Roman" w:hAnsiTheme="minorHAnsi" w:cs="Times New Roman"/>
          <w:color w:val="auto"/>
          <w:sz w:val="22"/>
        </w:rPr>
      </w:pPr>
      <w:r>
        <w:rPr>
          <w:rFonts w:asciiTheme="minorHAnsi" w:eastAsia="Times New Roman" w:hAnsiTheme="minorHAnsi" w:cs="Times New Roman"/>
          <w:color w:val="auto"/>
          <w:sz w:val="22"/>
        </w:rPr>
        <w:t xml:space="preserve">The first 10 MWD WEN measures </w:t>
      </w:r>
      <w:r w:rsidRPr="00D87F8A">
        <w:rPr>
          <w:rFonts w:asciiTheme="minorHAnsi" w:eastAsia="Times New Roman" w:hAnsiTheme="minorHAnsi" w:cs="Times New Roman"/>
          <w:color w:val="auto"/>
          <w:sz w:val="22"/>
        </w:rPr>
        <w:t>are listed in</w:t>
      </w:r>
      <w:r>
        <w:rPr>
          <w:rFonts w:asciiTheme="minorHAnsi" w:eastAsia="Times New Roman" w:hAnsiTheme="minorHAnsi" w:cs="Times New Roman"/>
          <w:color w:val="auto"/>
          <w:sz w:val="22"/>
        </w:rPr>
        <w:t xml:space="preserve"> </w:t>
      </w:r>
      <w:r w:rsidR="0012248E" w:rsidRPr="0012248E">
        <w:rPr>
          <w:rFonts w:asciiTheme="minorHAnsi" w:eastAsia="Times New Roman" w:hAnsiTheme="minorHAnsi" w:cs="Times New Roman"/>
          <w:b/>
          <w:bCs/>
          <w:color w:val="auto"/>
          <w:sz w:val="22"/>
        </w:rPr>
        <w:fldChar w:fldCharType="begin"/>
      </w:r>
      <w:r w:rsidR="0012248E" w:rsidRPr="0012248E">
        <w:rPr>
          <w:rFonts w:asciiTheme="minorHAnsi" w:eastAsia="Times New Roman" w:hAnsiTheme="minorHAnsi" w:cs="Times New Roman"/>
          <w:b/>
          <w:bCs/>
          <w:color w:val="auto"/>
          <w:sz w:val="22"/>
        </w:rPr>
        <w:instrText xml:space="preserve"> REF _Ref19591794 \h  \* MERGEFORMAT </w:instrText>
      </w:r>
      <w:r w:rsidR="0012248E" w:rsidRPr="0012248E">
        <w:rPr>
          <w:rFonts w:asciiTheme="minorHAnsi" w:eastAsia="Times New Roman" w:hAnsiTheme="minorHAnsi" w:cs="Times New Roman"/>
          <w:b/>
          <w:bCs/>
          <w:color w:val="auto"/>
          <w:sz w:val="22"/>
        </w:rPr>
      </w:r>
      <w:r w:rsidR="0012248E" w:rsidRPr="0012248E">
        <w:rPr>
          <w:rFonts w:asciiTheme="minorHAnsi" w:eastAsia="Times New Roman" w:hAnsiTheme="minorHAnsi" w:cs="Times New Roman"/>
          <w:b/>
          <w:bCs/>
          <w:color w:val="auto"/>
          <w:sz w:val="22"/>
        </w:rPr>
        <w:fldChar w:fldCharType="separate"/>
      </w:r>
      <w:r w:rsidR="0012248E" w:rsidRPr="0012248E">
        <w:rPr>
          <w:rFonts w:asciiTheme="minorHAnsi" w:eastAsia="Times New Roman" w:hAnsiTheme="minorHAnsi" w:cs="Times New Roman"/>
          <w:b/>
          <w:bCs/>
          <w:color w:val="auto"/>
          <w:sz w:val="22"/>
        </w:rPr>
        <w:t>Table 2</w:t>
      </w:r>
      <w:r w:rsidR="0012248E" w:rsidRPr="0012248E">
        <w:rPr>
          <w:rFonts w:asciiTheme="minorHAnsi" w:eastAsia="Times New Roman" w:hAnsiTheme="minorHAnsi" w:cs="Times New Roman"/>
          <w:b/>
          <w:bCs/>
          <w:color w:val="auto"/>
          <w:sz w:val="22"/>
        </w:rPr>
        <w:fldChar w:fldCharType="end"/>
      </w:r>
      <w:r w:rsidRPr="00D87F8A">
        <w:rPr>
          <w:rFonts w:asciiTheme="minorHAnsi" w:eastAsia="Times New Roman" w:hAnsiTheme="minorHAnsi" w:cs="Times New Roman"/>
          <w:color w:val="auto"/>
          <w:sz w:val="22"/>
        </w:rPr>
        <w:t>.</w:t>
      </w:r>
      <w:r>
        <w:rPr>
          <w:rFonts w:asciiTheme="minorHAnsi" w:eastAsia="Times New Roman" w:hAnsiTheme="minorHAnsi" w:cs="Times New Roman"/>
          <w:color w:val="auto"/>
          <w:sz w:val="22"/>
        </w:rPr>
        <w:t xml:space="preserve"> The complete IOU WEN measures can be found in the </w:t>
      </w:r>
      <w:r w:rsidRPr="005023C8">
        <w:rPr>
          <w:rFonts w:asciiTheme="minorHAnsi" w:eastAsia="Times New Roman" w:hAnsiTheme="minorHAnsi" w:cs="Times New Roman"/>
          <w:color w:val="auto"/>
          <w:sz w:val="22"/>
        </w:rPr>
        <w:t xml:space="preserve">2019-09-17 WEN Measures List 2019 </w:t>
      </w:r>
      <w:r>
        <w:rPr>
          <w:rFonts w:asciiTheme="minorHAnsi" w:eastAsia="Times New Roman" w:hAnsiTheme="minorHAnsi" w:cs="Times New Roman"/>
          <w:color w:val="auto"/>
          <w:sz w:val="22"/>
        </w:rPr>
        <w:t>–</w:t>
      </w:r>
      <w:r w:rsidRPr="005023C8">
        <w:rPr>
          <w:rFonts w:asciiTheme="minorHAnsi" w:eastAsia="Times New Roman" w:hAnsiTheme="minorHAnsi" w:cs="Times New Roman"/>
          <w:color w:val="auto"/>
          <w:sz w:val="22"/>
        </w:rPr>
        <w:t xml:space="preserve"> FINAL</w:t>
      </w:r>
      <w:r>
        <w:rPr>
          <w:rFonts w:asciiTheme="minorHAnsi" w:eastAsia="Times New Roman" w:hAnsiTheme="minorHAnsi" w:cs="Times New Roman"/>
          <w:color w:val="auto"/>
          <w:sz w:val="22"/>
        </w:rPr>
        <w:t>.xlsx included with the workpaper upload onto the workpaper archive (WPA) website.</w:t>
      </w:r>
    </w:p>
    <w:p w14:paraId="54F04890" w14:textId="577A5532" w:rsidR="005023C8" w:rsidRDefault="005023C8" w:rsidP="005023C8">
      <w:pPr>
        <w:pStyle w:val="Caption"/>
        <w:jc w:val="center"/>
        <w:rPr>
          <w:rFonts w:cstheme="minorHAnsi"/>
          <w:szCs w:val="22"/>
        </w:rPr>
      </w:pPr>
      <w:bookmarkStart w:id="9" w:name="_Ref19591794"/>
      <w:r>
        <w:t xml:space="preserve">Table </w:t>
      </w:r>
      <w:r w:rsidR="00054031">
        <w:fldChar w:fldCharType="begin"/>
      </w:r>
      <w:r w:rsidR="00054031">
        <w:instrText xml:space="preserve"> SEQ Table \* ARABIC </w:instrText>
      </w:r>
      <w:r w:rsidR="00054031">
        <w:fldChar w:fldCharType="separate"/>
      </w:r>
      <w:r w:rsidR="00602E9A">
        <w:rPr>
          <w:noProof/>
        </w:rPr>
        <w:t>2</w:t>
      </w:r>
      <w:r w:rsidR="00054031">
        <w:rPr>
          <w:noProof/>
        </w:rPr>
        <w:fldChar w:fldCharType="end"/>
      </w:r>
      <w:bookmarkEnd w:id="9"/>
      <w:r>
        <w:t xml:space="preserve">: Statewide MWD WEN </w:t>
      </w:r>
      <w:r w:rsidRPr="00800706">
        <w:rPr>
          <w:rFonts w:cstheme="minorHAnsi"/>
          <w:szCs w:val="22"/>
        </w:rPr>
        <w:t>Measures and Codes</w:t>
      </w:r>
    </w:p>
    <w:p w14:paraId="7891DFE3" w14:textId="5F5BB1D3" w:rsidR="00B82042" w:rsidRDefault="00B82042"/>
    <w:tbl>
      <w:tblPr>
        <w:tblStyle w:val="TableGrid1"/>
        <w:tblW w:w="4773" w:type="pct"/>
        <w:shd w:val="clear" w:color="auto" w:fill="FFFFFF" w:themeFill="background1"/>
        <w:tblLayout w:type="fixed"/>
        <w:tblLook w:val="04A0" w:firstRow="1" w:lastRow="0" w:firstColumn="1" w:lastColumn="0" w:noHBand="0" w:noVBand="1"/>
      </w:tblPr>
      <w:tblGrid>
        <w:gridCol w:w="985"/>
        <w:gridCol w:w="3631"/>
        <w:gridCol w:w="4292"/>
        <w:gridCol w:w="18"/>
      </w:tblGrid>
      <w:tr w:rsidR="000E4CD1" w:rsidRPr="00F353B8" w14:paraId="27603EC3" w14:textId="77777777" w:rsidTr="00E54905">
        <w:trPr>
          <w:trHeight w:val="243"/>
          <w:tblHeader/>
        </w:trPr>
        <w:tc>
          <w:tcPr>
            <w:tcW w:w="5000" w:type="pct"/>
            <w:gridSpan w:val="4"/>
            <w:shd w:val="clear" w:color="auto" w:fill="FFFFFF" w:themeFill="background1"/>
          </w:tcPr>
          <w:p w14:paraId="58F41897" w14:textId="4A275235" w:rsidR="000E4CD1" w:rsidRPr="00920905" w:rsidRDefault="000E4CD1" w:rsidP="000E4CD1">
            <w:pPr>
              <w:jc w:val="center"/>
              <w:rPr>
                <w:rFonts w:cstheme="minorHAnsi"/>
                <w:b/>
                <w:szCs w:val="20"/>
              </w:rPr>
            </w:pPr>
            <w:r>
              <w:rPr>
                <w:b/>
                <w:sz w:val="24"/>
              </w:rPr>
              <w:t xml:space="preserve">Statewide </w:t>
            </w:r>
            <w:r>
              <w:rPr>
                <w:b/>
                <w:sz w:val="24"/>
              </w:rPr>
              <w:t>MWD</w:t>
            </w:r>
            <w:r w:rsidRPr="004E2C98">
              <w:rPr>
                <w:b/>
                <w:sz w:val="24"/>
              </w:rPr>
              <w:t xml:space="preserve"> WEN Measures</w:t>
            </w:r>
          </w:p>
        </w:tc>
      </w:tr>
      <w:tr w:rsidR="000E4CD1" w:rsidRPr="00F353B8" w14:paraId="0466B0F6" w14:textId="77777777" w:rsidTr="00532724">
        <w:trPr>
          <w:trHeight w:val="243"/>
          <w:tblHeader/>
        </w:trPr>
        <w:tc>
          <w:tcPr>
            <w:tcW w:w="552" w:type="pct"/>
            <w:shd w:val="clear" w:color="auto" w:fill="FFFFFF" w:themeFill="background1"/>
            <w:vAlign w:val="center"/>
          </w:tcPr>
          <w:p w14:paraId="6FD575D1" w14:textId="77777777" w:rsidR="000E4CD1" w:rsidRPr="008C24DD" w:rsidRDefault="000E4CD1" w:rsidP="000E4CD1">
            <w:pPr>
              <w:jc w:val="center"/>
              <w:rPr>
                <w:b/>
              </w:rPr>
            </w:pPr>
            <w:r w:rsidRPr="008C24DD">
              <w:rPr>
                <w:b/>
              </w:rPr>
              <w:t>Measure #</w:t>
            </w:r>
          </w:p>
        </w:tc>
        <w:tc>
          <w:tcPr>
            <w:tcW w:w="4448" w:type="pct"/>
            <w:gridSpan w:val="3"/>
            <w:shd w:val="clear" w:color="auto" w:fill="FFFFFF" w:themeFill="background1"/>
            <w:vAlign w:val="center"/>
          </w:tcPr>
          <w:p w14:paraId="3E0C996D" w14:textId="77777777" w:rsidR="000E4CD1" w:rsidRPr="00920905" w:rsidRDefault="000E4CD1" w:rsidP="000E4CD1">
            <w:pPr>
              <w:jc w:val="center"/>
              <w:rPr>
                <w:rFonts w:cstheme="minorHAnsi"/>
                <w:b/>
                <w:szCs w:val="20"/>
              </w:rPr>
            </w:pPr>
            <w:r w:rsidRPr="00920905">
              <w:rPr>
                <w:rFonts w:cstheme="minorHAnsi"/>
                <w:b/>
                <w:szCs w:val="20"/>
              </w:rPr>
              <w:t>Measure Name</w:t>
            </w:r>
          </w:p>
        </w:tc>
      </w:tr>
      <w:tr w:rsidR="000E4CD1" w:rsidRPr="00F353B8" w14:paraId="1BEBE212" w14:textId="77777777" w:rsidTr="00532724">
        <w:trPr>
          <w:trHeight w:val="243"/>
        </w:trPr>
        <w:tc>
          <w:tcPr>
            <w:tcW w:w="552" w:type="pct"/>
            <w:shd w:val="clear" w:color="auto" w:fill="FFFFFF" w:themeFill="background1"/>
          </w:tcPr>
          <w:p w14:paraId="729F6FFB" w14:textId="0D13B928" w:rsidR="000E4CD1" w:rsidRPr="004F700E" w:rsidRDefault="000E4CD1" w:rsidP="000E4CD1">
            <w:pPr>
              <w:jc w:val="center"/>
            </w:pPr>
            <w:r w:rsidRPr="001716C3">
              <w:t>53</w:t>
            </w:r>
          </w:p>
        </w:tc>
        <w:tc>
          <w:tcPr>
            <w:tcW w:w="4448" w:type="pct"/>
            <w:gridSpan w:val="3"/>
            <w:shd w:val="clear" w:color="auto" w:fill="FFFFFF" w:themeFill="background1"/>
            <w:vAlign w:val="center"/>
          </w:tcPr>
          <w:p w14:paraId="04751D26"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Com-High Efficiency Toilet (Melded)</w:t>
            </w:r>
          </w:p>
        </w:tc>
      </w:tr>
      <w:tr w:rsidR="000E4CD1" w:rsidRPr="00F353B8" w14:paraId="4D67AE55" w14:textId="77777777" w:rsidTr="00532724">
        <w:trPr>
          <w:trHeight w:val="243"/>
        </w:trPr>
        <w:tc>
          <w:tcPr>
            <w:tcW w:w="552" w:type="pct"/>
            <w:shd w:val="clear" w:color="auto" w:fill="FFFFFF" w:themeFill="background1"/>
          </w:tcPr>
          <w:p w14:paraId="434C86E9" w14:textId="10B9FBE5" w:rsidR="000E4CD1" w:rsidRPr="004F700E" w:rsidRDefault="000E4CD1" w:rsidP="000E4CD1">
            <w:pPr>
              <w:jc w:val="center"/>
            </w:pPr>
            <w:r w:rsidRPr="001716C3">
              <w:t>54</w:t>
            </w:r>
          </w:p>
        </w:tc>
        <w:tc>
          <w:tcPr>
            <w:tcW w:w="4448" w:type="pct"/>
            <w:gridSpan w:val="3"/>
            <w:shd w:val="clear" w:color="auto" w:fill="FFFFFF" w:themeFill="background1"/>
            <w:vAlign w:val="center"/>
          </w:tcPr>
          <w:p w14:paraId="5FB211F4"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Com-4 Liter Toilet (Melded)</w:t>
            </w:r>
          </w:p>
        </w:tc>
      </w:tr>
      <w:tr w:rsidR="000E4CD1" w:rsidRPr="00F353B8" w14:paraId="1A5A0EA9" w14:textId="77777777" w:rsidTr="00532724">
        <w:trPr>
          <w:trHeight w:val="243"/>
        </w:trPr>
        <w:tc>
          <w:tcPr>
            <w:tcW w:w="552" w:type="pct"/>
            <w:shd w:val="clear" w:color="auto" w:fill="FFFFFF" w:themeFill="background1"/>
          </w:tcPr>
          <w:p w14:paraId="1D97D3EA" w14:textId="2D2A81A5" w:rsidR="000E4CD1" w:rsidRPr="004F700E" w:rsidRDefault="000E4CD1" w:rsidP="000E4CD1">
            <w:pPr>
              <w:jc w:val="center"/>
            </w:pPr>
            <w:r w:rsidRPr="001716C3">
              <w:t>55</w:t>
            </w:r>
          </w:p>
        </w:tc>
        <w:tc>
          <w:tcPr>
            <w:tcW w:w="4448" w:type="pct"/>
            <w:gridSpan w:val="3"/>
            <w:shd w:val="clear" w:color="auto" w:fill="FFFFFF" w:themeFill="background1"/>
            <w:vAlign w:val="center"/>
          </w:tcPr>
          <w:p w14:paraId="53D7D6D8"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Com-Zero/Ultra Low Water Urinal</w:t>
            </w:r>
          </w:p>
        </w:tc>
      </w:tr>
      <w:tr w:rsidR="000E4CD1" w:rsidRPr="00F353B8" w14:paraId="49BF3415" w14:textId="77777777" w:rsidTr="00532724">
        <w:trPr>
          <w:trHeight w:val="243"/>
        </w:trPr>
        <w:tc>
          <w:tcPr>
            <w:tcW w:w="552" w:type="pct"/>
            <w:shd w:val="clear" w:color="auto" w:fill="FFFFFF" w:themeFill="background1"/>
          </w:tcPr>
          <w:p w14:paraId="63FA2EC2" w14:textId="20DDEA3D" w:rsidR="000E4CD1" w:rsidRPr="004F700E" w:rsidRDefault="000E4CD1" w:rsidP="000E4CD1">
            <w:pPr>
              <w:jc w:val="center"/>
            </w:pPr>
            <w:r w:rsidRPr="001716C3">
              <w:t>56</w:t>
            </w:r>
          </w:p>
        </w:tc>
        <w:tc>
          <w:tcPr>
            <w:tcW w:w="4448" w:type="pct"/>
            <w:gridSpan w:val="3"/>
            <w:shd w:val="clear" w:color="auto" w:fill="FFFFFF" w:themeFill="background1"/>
            <w:vAlign w:val="center"/>
          </w:tcPr>
          <w:p w14:paraId="3D06D251"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Com-Dry Vacuum Pump (/1/2 hp)</w:t>
            </w:r>
          </w:p>
        </w:tc>
      </w:tr>
      <w:tr w:rsidR="000E4CD1" w:rsidRPr="00F353B8" w14:paraId="14D27AC1" w14:textId="77777777" w:rsidTr="00532724">
        <w:trPr>
          <w:trHeight w:val="243"/>
        </w:trPr>
        <w:tc>
          <w:tcPr>
            <w:tcW w:w="552" w:type="pct"/>
            <w:shd w:val="clear" w:color="auto" w:fill="FFFFFF" w:themeFill="background1"/>
          </w:tcPr>
          <w:p w14:paraId="473DEE7B" w14:textId="6B252690" w:rsidR="000E4CD1" w:rsidRPr="004F700E" w:rsidRDefault="000E4CD1" w:rsidP="000E4CD1">
            <w:pPr>
              <w:jc w:val="center"/>
            </w:pPr>
            <w:r w:rsidRPr="001716C3">
              <w:t>57</w:t>
            </w:r>
          </w:p>
        </w:tc>
        <w:tc>
          <w:tcPr>
            <w:tcW w:w="4448" w:type="pct"/>
            <w:gridSpan w:val="3"/>
            <w:shd w:val="clear" w:color="auto" w:fill="FFFFFF" w:themeFill="background1"/>
            <w:vAlign w:val="center"/>
          </w:tcPr>
          <w:p w14:paraId="57528C05"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Com-Cooling Tower Conductivity Controller</w:t>
            </w:r>
          </w:p>
        </w:tc>
      </w:tr>
      <w:tr w:rsidR="000E4CD1" w:rsidRPr="00F353B8" w14:paraId="593629F2" w14:textId="77777777" w:rsidTr="00532724">
        <w:trPr>
          <w:trHeight w:val="243"/>
        </w:trPr>
        <w:tc>
          <w:tcPr>
            <w:tcW w:w="552" w:type="pct"/>
            <w:shd w:val="clear" w:color="auto" w:fill="FFFFFF" w:themeFill="background1"/>
          </w:tcPr>
          <w:p w14:paraId="69BBF6E8" w14:textId="7F73F89C" w:rsidR="000E4CD1" w:rsidRPr="004F700E" w:rsidRDefault="000E4CD1" w:rsidP="000E4CD1">
            <w:pPr>
              <w:jc w:val="center"/>
            </w:pPr>
            <w:r w:rsidRPr="001716C3">
              <w:t>58</w:t>
            </w:r>
          </w:p>
        </w:tc>
        <w:tc>
          <w:tcPr>
            <w:tcW w:w="4448" w:type="pct"/>
            <w:gridSpan w:val="3"/>
            <w:shd w:val="clear" w:color="auto" w:fill="FFFFFF" w:themeFill="background1"/>
            <w:vAlign w:val="center"/>
          </w:tcPr>
          <w:p w14:paraId="63F215AB"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Com-pH Cooling Tower Controller</w:t>
            </w:r>
          </w:p>
        </w:tc>
      </w:tr>
      <w:tr w:rsidR="000E4CD1" w:rsidRPr="00F353B8" w14:paraId="51C18D55" w14:textId="77777777" w:rsidTr="00532724">
        <w:trPr>
          <w:trHeight w:val="243"/>
        </w:trPr>
        <w:tc>
          <w:tcPr>
            <w:tcW w:w="552" w:type="pct"/>
            <w:shd w:val="clear" w:color="auto" w:fill="FFFFFF" w:themeFill="background1"/>
          </w:tcPr>
          <w:p w14:paraId="0DF4072D" w14:textId="173DCA5E" w:rsidR="000E4CD1" w:rsidRPr="004F700E" w:rsidRDefault="000E4CD1" w:rsidP="000E4CD1">
            <w:pPr>
              <w:jc w:val="center"/>
            </w:pPr>
            <w:r w:rsidRPr="001716C3">
              <w:t>59</w:t>
            </w:r>
          </w:p>
        </w:tc>
        <w:tc>
          <w:tcPr>
            <w:tcW w:w="4448" w:type="pct"/>
            <w:gridSpan w:val="3"/>
            <w:shd w:val="clear" w:color="auto" w:fill="FFFFFF" w:themeFill="background1"/>
            <w:vAlign w:val="center"/>
          </w:tcPr>
          <w:p w14:paraId="2DAC9AF6"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Com-Weather Based Irrigation Controller-Stat</w:t>
            </w:r>
          </w:p>
        </w:tc>
      </w:tr>
      <w:tr w:rsidR="000E4CD1" w:rsidRPr="00F353B8" w14:paraId="61EAD0B3" w14:textId="77777777" w:rsidTr="00532724">
        <w:trPr>
          <w:trHeight w:val="243"/>
        </w:trPr>
        <w:tc>
          <w:tcPr>
            <w:tcW w:w="552" w:type="pct"/>
            <w:shd w:val="clear" w:color="auto" w:fill="FFFFFF" w:themeFill="background1"/>
          </w:tcPr>
          <w:p w14:paraId="0957D80A" w14:textId="021C0223" w:rsidR="000E4CD1" w:rsidRPr="004F700E" w:rsidRDefault="000E4CD1" w:rsidP="000E4CD1">
            <w:pPr>
              <w:jc w:val="center"/>
            </w:pPr>
            <w:r w:rsidRPr="001716C3">
              <w:t>60</w:t>
            </w:r>
          </w:p>
        </w:tc>
        <w:tc>
          <w:tcPr>
            <w:tcW w:w="4448" w:type="pct"/>
            <w:gridSpan w:val="3"/>
            <w:shd w:val="clear" w:color="auto" w:fill="FFFFFF" w:themeFill="background1"/>
            <w:vAlign w:val="center"/>
          </w:tcPr>
          <w:p w14:paraId="62F16634"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Com-Central Computer Irrigation Controller-Stat</w:t>
            </w:r>
          </w:p>
        </w:tc>
      </w:tr>
      <w:tr w:rsidR="000E4CD1" w:rsidRPr="00F353B8" w14:paraId="1709F9F8" w14:textId="77777777" w:rsidTr="00532724">
        <w:trPr>
          <w:trHeight w:val="243"/>
        </w:trPr>
        <w:tc>
          <w:tcPr>
            <w:tcW w:w="552" w:type="pct"/>
            <w:shd w:val="clear" w:color="auto" w:fill="FFFFFF" w:themeFill="background1"/>
          </w:tcPr>
          <w:p w14:paraId="08554DE1" w14:textId="6CC9134F" w:rsidR="000E4CD1" w:rsidRPr="004F700E" w:rsidRDefault="000E4CD1" w:rsidP="000E4CD1">
            <w:pPr>
              <w:jc w:val="center"/>
            </w:pPr>
            <w:r w:rsidRPr="001716C3">
              <w:t>61</w:t>
            </w:r>
          </w:p>
        </w:tc>
        <w:tc>
          <w:tcPr>
            <w:tcW w:w="4448" w:type="pct"/>
            <w:gridSpan w:val="3"/>
            <w:shd w:val="clear" w:color="auto" w:fill="FFFFFF" w:themeFill="background1"/>
            <w:vAlign w:val="center"/>
          </w:tcPr>
          <w:p w14:paraId="56C3225C"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Com-Rotary Multi-Stream Nozzle</w:t>
            </w:r>
          </w:p>
        </w:tc>
      </w:tr>
      <w:tr w:rsidR="000E4CD1" w:rsidRPr="00F353B8" w14:paraId="629FE308" w14:textId="77777777" w:rsidTr="00532724">
        <w:trPr>
          <w:trHeight w:val="243"/>
        </w:trPr>
        <w:tc>
          <w:tcPr>
            <w:tcW w:w="552" w:type="pct"/>
            <w:shd w:val="clear" w:color="auto" w:fill="FFFFFF" w:themeFill="background1"/>
          </w:tcPr>
          <w:p w14:paraId="74C74AB3" w14:textId="2D587739" w:rsidR="000E4CD1" w:rsidRPr="004F700E" w:rsidRDefault="000E4CD1" w:rsidP="000E4CD1">
            <w:pPr>
              <w:jc w:val="center"/>
            </w:pPr>
            <w:r w:rsidRPr="001716C3">
              <w:t>62</w:t>
            </w:r>
          </w:p>
        </w:tc>
        <w:tc>
          <w:tcPr>
            <w:tcW w:w="4448" w:type="pct"/>
            <w:gridSpan w:val="3"/>
            <w:shd w:val="clear" w:color="auto" w:fill="FFFFFF" w:themeFill="background1"/>
            <w:vAlign w:val="center"/>
          </w:tcPr>
          <w:p w14:paraId="6856BD0F"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Com-Large Rotary Nozzle</w:t>
            </w:r>
          </w:p>
        </w:tc>
      </w:tr>
      <w:tr w:rsidR="000E4CD1" w:rsidRPr="00F353B8" w14:paraId="1ABD575E" w14:textId="77777777" w:rsidTr="00532724">
        <w:trPr>
          <w:trHeight w:val="243"/>
        </w:trPr>
        <w:tc>
          <w:tcPr>
            <w:tcW w:w="552" w:type="pct"/>
            <w:shd w:val="clear" w:color="auto" w:fill="FFFFFF" w:themeFill="background1"/>
          </w:tcPr>
          <w:p w14:paraId="2AD58A0A" w14:textId="4FCAE9A8" w:rsidR="000E4CD1" w:rsidRPr="001A0073" w:rsidRDefault="000E4CD1" w:rsidP="000E4CD1">
            <w:pPr>
              <w:jc w:val="center"/>
              <w:rPr>
                <w:color w:val="FF0000"/>
              </w:rPr>
            </w:pPr>
            <w:r w:rsidRPr="001716C3">
              <w:t>63</w:t>
            </w:r>
          </w:p>
        </w:tc>
        <w:tc>
          <w:tcPr>
            <w:tcW w:w="4448" w:type="pct"/>
            <w:gridSpan w:val="3"/>
            <w:shd w:val="clear" w:color="auto" w:fill="FFFFFF" w:themeFill="background1"/>
            <w:vAlign w:val="center"/>
          </w:tcPr>
          <w:p w14:paraId="4F58BFA7"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Com-Turf Removal (/square foot)</w:t>
            </w:r>
          </w:p>
        </w:tc>
      </w:tr>
      <w:tr w:rsidR="000E4CD1" w:rsidRPr="00F353B8" w14:paraId="58C66A5B" w14:textId="77777777" w:rsidTr="00532724">
        <w:trPr>
          <w:trHeight w:val="243"/>
        </w:trPr>
        <w:tc>
          <w:tcPr>
            <w:tcW w:w="552" w:type="pct"/>
            <w:shd w:val="clear" w:color="auto" w:fill="FFFFFF" w:themeFill="background1"/>
          </w:tcPr>
          <w:p w14:paraId="6CCD61A0" w14:textId="666C7060" w:rsidR="000E4CD1" w:rsidRPr="004F700E" w:rsidRDefault="000E4CD1" w:rsidP="000E4CD1">
            <w:pPr>
              <w:jc w:val="center"/>
            </w:pPr>
            <w:r w:rsidRPr="001716C3">
              <w:t>64</w:t>
            </w:r>
          </w:p>
        </w:tc>
        <w:tc>
          <w:tcPr>
            <w:tcW w:w="4448" w:type="pct"/>
            <w:gridSpan w:val="3"/>
            <w:shd w:val="clear" w:color="auto" w:fill="FFFFFF" w:themeFill="background1"/>
            <w:vAlign w:val="center"/>
          </w:tcPr>
          <w:p w14:paraId="5EC22305" w14:textId="77777777" w:rsidR="000E4CD1" w:rsidRPr="001A0073" w:rsidRDefault="000E4CD1" w:rsidP="000E4CD1">
            <w:pPr>
              <w:rPr>
                <w:rFonts w:ascii="Calibri" w:hAnsi="Calibri" w:cs="Calibri"/>
                <w:color w:val="FF0000"/>
                <w:szCs w:val="22"/>
              </w:rPr>
            </w:pPr>
            <w:r w:rsidRPr="00BE7C78">
              <w:rPr>
                <w:rFonts w:ascii="Calibri" w:hAnsi="Calibri" w:cs="Calibri"/>
                <w:szCs w:val="22"/>
              </w:rPr>
              <w:t>Com-Laminar Flow Restrictor</w:t>
            </w:r>
          </w:p>
        </w:tc>
      </w:tr>
      <w:tr w:rsidR="000E4CD1" w:rsidRPr="00F353B8" w14:paraId="6F304F6B" w14:textId="77777777" w:rsidTr="00532724">
        <w:trPr>
          <w:trHeight w:val="243"/>
        </w:trPr>
        <w:tc>
          <w:tcPr>
            <w:tcW w:w="552" w:type="pct"/>
            <w:shd w:val="clear" w:color="auto" w:fill="FFFFFF" w:themeFill="background1"/>
          </w:tcPr>
          <w:p w14:paraId="4EEB0258" w14:textId="09CBAE84" w:rsidR="000E4CD1" w:rsidRPr="004F700E" w:rsidRDefault="000E4CD1" w:rsidP="000E4CD1">
            <w:pPr>
              <w:jc w:val="center"/>
            </w:pPr>
            <w:r w:rsidRPr="001716C3">
              <w:t>65</w:t>
            </w:r>
          </w:p>
        </w:tc>
        <w:tc>
          <w:tcPr>
            <w:tcW w:w="4448" w:type="pct"/>
            <w:gridSpan w:val="3"/>
            <w:shd w:val="clear" w:color="auto" w:fill="FFFFFF" w:themeFill="background1"/>
            <w:vAlign w:val="center"/>
          </w:tcPr>
          <w:p w14:paraId="46C7846E"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Com-In-Stem Flow Regulator</w:t>
            </w:r>
          </w:p>
        </w:tc>
      </w:tr>
      <w:tr w:rsidR="000E4CD1" w:rsidRPr="00F353B8" w14:paraId="0BF78CA1" w14:textId="77777777" w:rsidTr="00532724">
        <w:trPr>
          <w:trHeight w:val="243"/>
        </w:trPr>
        <w:tc>
          <w:tcPr>
            <w:tcW w:w="552" w:type="pct"/>
            <w:shd w:val="clear" w:color="auto" w:fill="FFFFFF" w:themeFill="background1"/>
          </w:tcPr>
          <w:p w14:paraId="2B63A572" w14:textId="2C65056D" w:rsidR="000E4CD1" w:rsidRPr="004F700E" w:rsidRDefault="000E4CD1" w:rsidP="000E4CD1">
            <w:pPr>
              <w:jc w:val="center"/>
            </w:pPr>
            <w:r w:rsidRPr="001716C3">
              <w:t>66</w:t>
            </w:r>
          </w:p>
        </w:tc>
        <w:tc>
          <w:tcPr>
            <w:tcW w:w="4448" w:type="pct"/>
            <w:gridSpan w:val="3"/>
            <w:shd w:val="clear" w:color="auto" w:fill="FFFFFF" w:themeFill="background1"/>
            <w:vAlign w:val="center"/>
          </w:tcPr>
          <w:p w14:paraId="231C33AF"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Com-Soil Moisture Sensor</w:t>
            </w:r>
          </w:p>
        </w:tc>
      </w:tr>
      <w:tr w:rsidR="000E4CD1" w:rsidRPr="00F353B8" w14:paraId="333F3958" w14:textId="77777777" w:rsidTr="00532724">
        <w:trPr>
          <w:trHeight w:val="243"/>
        </w:trPr>
        <w:tc>
          <w:tcPr>
            <w:tcW w:w="552" w:type="pct"/>
            <w:shd w:val="clear" w:color="auto" w:fill="FFFFFF" w:themeFill="background1"/>
          </w:tcPr>
          <w:p w14:paraId="32DABDFA" w14:textId="71160400" w:rsidR="000E4CD1" w:rsidRPr="004F700E" w:rsidRDefault="000E4CD1" w:rsidP="000E4CD1">
            <w:pPr>
              <w:jc w:val="center"/>
            </w:pPr>
            <w:r w:rsidRPr="001716C3">
              <w:t>67</w:t>
            </w:r>
          </w:p>
        </w:tc>
        <w:tc>
          <w:tcPr>
            <w:tcW w:w="4448" w:type="pct"/>
            <w:gridSpan w:val="3"/>
            <w:shd w:val="clear" w:color="auto" w:fill="FFFFFF" w:themeFill="background1"/>
            <w:vAlign w:val="center"/>
          </w:tcPr>
          <w:p w14:paraId="612A6A5C"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Com-Plumbing Flow Control (/pair)</w:t>
            </w:r>
          </w:p>
        </w:tc>
      </w:tr>
      <w:tr w:rsidR="000E4CD1" w:rsidRPr="00F353B8" w14:paraId="61212649" w14:textId="77777777" w:rsidTr="00532724">
        <w:trPr>
          <w:trHeight w:val="243"/>
        </w:trPr>
        <w:tc>
          <w:tcPr>
            <w:tcW w:w="552" w:type="pct"/>
            <w:shd w:val="clear" w:color="auto" w:fill="FFFFFF" w:themeFill="background1"/>
          </w:tcPr>
          <w:p w14:paraId="1B87AA5B" w14:textId="619DDC92" w:rsidR="000E4CD1" w:rsidRPr="004F700E" w:rsidRDefault="000E4CD1" w:rsidP="000E4CD1">
            <w:pPr>
              <w:jc w:val="center"/>
            </w:pPr>
            <w:r w:rsidRPr="001716C3">
              <w:t>68</w:t>
            </w:r>
          </w:p>
        </w:tc>
        <w:tc>
          <w:tcPr>
            <w:tcW w:w="4448" w:type="pct"/>
            <w:gridSpan w:val="3"/>
            <w:shd w:val="clear" w:color="auto" w:fill="FFFFFF" w:themeFill="background1"/>
            <w:vAlign w:val="center"/>
          </w:tcPr>
          <w:p w14:paraId="79A2443F"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Com-High Efficiency Toilet (Fitness; avg M&amp;F)</w:t>
            </w:r>
          </w:p>
        </w:tc>
      </w:tr>
      <w:tr w:rsidR="000E4CD1" w:rsidRPr="00F353B8" w14:paraId="06099D96" w14:textId="77777777" w:rsidTr="00532724">
        <w:trPr>
          <w:trHeight w:val="243"/>
        </w:trPr>
        <w:tc>
          <w:tcPr>
            <w:tcW w:w="552" w:type="pct"/>
            <w:shd w:val="clear" w:color="auto" w:fill="FFFFFF" w:themeFill="background1"/>
          </w:tcPr>
          <w:p w14:paraId="4FC6B308" w14:textId="74EDBE94" w:rsidR="000E4CD1" w:rsidRPr="004F700E" w:rsidRDefault="000E4CD1" w:rsidP="000E4CD1">
            <w:pPr>
              <w:jc w:val="center"/>
            </w:pPr>
            <w:r w:rsidRPr="001716C3">
              <w:t>69</w:t>
            </w:r>
          </w:p>
        </w:tc>
        <w:tc>
          <w:tcPr>
            <w:tcW w:w="4448" w:type="pct"/>
            <w:gridSpan w:val="3"/>
            <w:shd w:val="clear" w:color="auto" w:fill="FFFFFF" w:themeFill="background1"/>
            <w:vAlign w:val="center"/>
          </w:tcPr>
          <w:p w14:paraId="69CD5A2F"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Com-Zero/Ultra Low Water Urinal (Fitness)</w:t>
            </w:r>
          </w:p>
        </w:tc>
      </w:tr>
      <w:tr w:rsidR="000E4CD1" w:rsidRPr="00F353B8" w14:paraId="7A0B8993" w14:textId="77777777" w:rsidTr="00532724">
        <w:trPr>
          <w:trHeight w:val="243"/>
        </w:trPr>
        <w:tc>
          <w:tcPr>
            <w:tcW w:w="552" w:type="pct"/>
            <w:shd w:val="clear" w:color="auto" w:fill="FFFFFF" w:themeFill="background1"/>
          </w:tcPr>
          <w:p w14:paraId="39EF352C" w14:textId="41EE7B63" w:rsidR="000E4CD1" w:rsidRPr="004F700E" w:rsidRDefault="000E4CD1" w:rsidP="000E4CD1">
            <w:pPr>
              <w:jc w:val="center"/>
            </w:pPr>
            <w:r w:rsidRPr="001716C3">
              <w:t>70</w:t>
            </w:r>
          </w:p>
        </w:tc>
        <w:tc>
          <w:tcPr>
            <w:tcW w:w="4448" w:type="pct"/>
            <w:gridSpan w:val="3"/>
            <w:shd w:val="clear" w:color="auto" w:fill="FFFFFF" w:themeFill="background1"/>
            <w:vAlign w:val="center"/>
          </w:tcPr>
          <w:p w14:paraId="72A9E037"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Res-High Efficiency Toilet (Melded Rate)</w:t>
            </w:r>
          </w:p>
        </w:tc>
      </w:tr>
      <w:tr w:rsidR="000E4CD1" w:rsidRPr="00F353B8" w14:paraId="05546B7D" w14:textId="77777777" w:rsidTr="00532724">
        <w:trPr>
          <w:trHeight w:val="243"/>
        </w:trPr>
        <w:tc>
          <w:tcPr>
            <w:tcW w:w="552" w:type="pct"/>
            <w:shd w:val="clear" w:color="auto" w:fill="FFFFFF" w:themeFill="background1"/>
          </w:tcPr>
          <w:p w14:paraId="27A9C650" w14:textId="2AA0B23E" w:rsidR="000E4CD1" w:rsidRPr="004F700E" w:rsidRDefault="000E4CD1" w:rsidP="000E4CD1">
            <w:pPr>
              <w:jc w:val="center"/>
            </w:pPr>
            <w:r w:rsidRPr="001716C3">
              <w:t>71</w:t>
            </w:r>
          </w:p>
        </w:tc>
        <w:tc>
          <w:tcPr>
            <w:tcW w:w="4448" w:type="pct"/>
            <w:gridSpan w:val="3"/>
            <w:shd w:val="clear" w:color="auto" w:fill="FFFFFF" w:themeFill="background1"/>
            <w:vAlign w:val="center"/>
          </w:tcPr>
          <w:p w14:paraId="55C1C2A1"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Res-Weather Based Irrigation Controller (each; &lt; 1 acre)</w:t>
            </w:r>
          </w:p>
        </w:tc>
      </w:tr>
      <w:tr w:rsidR="000E4CD1" w:rsidRPr="00F353B8" w14:paraId="7B71CDE2" w14:textId="77777777" w:rsidTr="00532724">
        <w:trPr>
          <w:gridAfter w:val="1"/>
          <w:wAfter w:w="10" w:type="pct"/>
          <w:trHeight w:val="243"/>
        </w:trPr>
        <w:tc>
          <w:tcPr>
            <w:tcW w:w="552" w:type="pct"/>
            <w:shd w:val="clear" w:color="auto" w:fill="FFFFFF" w:themeFill="background1"/>
          </w:tcPr>
          <w:p w14:paraId="12AC5B73" w14:textId="21E33C30" w:rsidR="000E4CD1" w:rsidRPr="004F700E" w:rsidRDefault="000E4CD1" w:rsidP="000E4CD1">
            <w:pPr>
              <w:jc w:val="center"/>
            </w:pPr>
            <w:r w:rsidRPr="001716C3">
              <w:lastRenderedPageBreak/>
              <w:t>72</w:t>
            </w:r>
          </w:p>
        </w:tc>
        <w:tc>
          <w:tcPr>
            <w:tcW w:w="2034" w:type="pct"/>
            <w:shd w:val="clear" w:color="auto" w:fill="FFFFFF" w:themeFill="background1"/>
            <w:vAlign w:val="center"/>
          </w:tcPr>
          <w:p w14:paraId="793D17BA" w14:textId="77777777" w:rsidR="000E4CD1" w:rsidRPr="006325F2" w:rsidRDefault="000E4CD1" w:rsidP="000E4CD1">
            <w:pPr>
              <w:tabs>
                <w:tab w:val="left" w:pos="720"/>
              </w:tabs>
              <w:jc w:val="center"/>
              <w:rPr>
                <w:rFonts w:cstheme="minorHAnsi"/>
                <w:szCs w:val="20"/>
              </w:rPr>
            </w:pPr>
          </w:p>
        </w:tc>
        <w:tc>
          <w:tcPr>
            <w:tcW w:w="2404" w:type="pct"/>
            <w:shd w:val="clear" w:color="auto" w:fill="FFFFFF" w:themeFill="background1"/>
            <w:vAlign w:val="center"/>
          </w:tcPr>
          <w:p w14:paraId="37C42951"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Res-Weather Based Irrigation Controller (/Station; &gt; 1 acre)</w:t>
            </w:r>
          </w:p>
        </w:tc>
      </w:tr>
      <w:tr w:rsidR="000E4CD1" w:rsidRPr="00F353B8" w14:paraId="567F63A0" w14:textId="77777777" w:rsidTr="00532724">
        <w:trPr>
          <w:gridAfter w:val="1"/>
          <w:wAfter w:w="10" w:type="pct"/>
          <w:trHeight w:val="243"/>
        </w:trPr>
        <w:tc>
          <w:tcPr>
            <w:tcW w:w="552" w:type="pct"/>
            <w:shd w:val="clear" w:color="auto" w:fill="FFFFFF" w:themeFill="background1"/>
          </w:tcPr>
          <w:p w14:paraId="57F43F8D" w14:textId="0AD7B193" w:rsidR="000E4CD1" w:rsidRPr="004F700E" w:rsidRDefault="000E4CD1" w:rsidP="000E4CD1">
            <w:pPr>
              <w:jc w:val="center"/>
            </w:pPr>
            <w:r w:rsidRPr="001716C3">
              <w:t>73</w:t>
            </w:r>
          </w:p>
        </w:tc>
        <w:tc>
          <w:tcPr>
            <w:tcW w:w="2034" w:type="pct"/>
            <w:shd w:val="clear" w:color="auto" w:fill="FFFFFF" w:themeFill="background1"/>
            <w:vAlign w:val="center"/>
          </w:tcPr>
          <w:p w14:paraId="5036E627" w14:textId="77777777" w:rsidR="000E4CD1" w:rsidRPr="006325F2" w:rsidRDefault="000E4CD1" w:rsidP="000E4CD1">
            <w:pPr>
              <w:tabs>
                <w:tab w:val="left" w:pos="720"/>
              </w:tabs>
              <w:jc w:val="center"/>
              <w:rPr>
                <w:rFonts w:cstheme="minorHAnsi"/>
                <w:szCs w:val="20"/>
              </w:rPr>
            </w:pPr>
          </w:p>
        </w:tc>
        <w:tc>
          <w:tcPr>
            <w:tcW w:w="2404" w:type="pct"/>
            <w:shd w:val="clear" w:color="auto" w:fill="FFFFFF" w:themeFill="background1"/>
            <w:vAlign w:val="center"/>
          </w:tcPr>
          <w:p w14:paraId="65284F84"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Res-Rotary Multi-Stream Nozzle</w:t>
            </w:r>
          </w:p>
        </w:tc>
      </w:tr>
      <w:tr w:rsidR="000E4CD1" w:rsidRPr="00F353B8" w14:paraId="20AFA85D" w14:textId="77777777" w:rsidTr="00532724">
        <w:trPr>
          <w:gridAfter w:val="1"/>
          <w:wAfter w:w="10" w:type="pct"/>
          <w:trHeight w:val="243"/>
        </w:trPr>
        <w:tc>
          <w:tcPr>
            <w:tcW w:w="552" w:type="pct"/>
            <w:shd w:val="clear" w:color="auto" w:fill="FFFFFF" w:themeFill="background1"/>
          </w:tcPr>
          <w:p w14:paraId="701DE7CF" w14:textId="713DB413" w:rsidR="000E4CD1" w:rsidRPr="004F700E" w:rsidRDefault="000E4CD1" w:rsidP="000E4CD1">
            <w:pPr>
              <w:jc w:val="center"/>
            </w:pPr>
            <w:r w:rsidRPr="001716C3">
              <w:t>74</w:t>
            </w:r>
          </w:p>
        </w:tc>
        <w:tc>
          <w:tcPr>
            <w:tcW w:w="2034" w:type="pct"/>
            <w:shd w:val="clear" w:color="auto" w:fill="FFFFFF" w:themeFill="background1"/>
            <w:vAlign w:val="center"/>
          </w:tcPr>
          <w:p w14:paraId="4652E59D" w14:textId="77777777" w:rsidR="000E4CD1" w:rsidRPr="006325F2" w:rsidRDefault="000E4CD1" w:rsidP="000E4CD1">
            <w:pPr>
              <w:tabs>
                <w:tab w:val="left" w:pos="720"/>
              </w:tabs>
              <w:jc w:val="center"/>
              <w:rPr>
                <w:rFonts w:cstheme="minorHAnsi"/>
                <w:szCs w:val="20"/>
              </w:rPr>
            </w:pPr>
          </w:p>
        </w:tc>
        <w:tc>
          <w:tcPr>
            <w:tcW w:w="2404" w:type="pct"/>
            <w:shd w:val="clear" w:color="auto" w:fill="FFFFFF" w:themeFill="background1"/>
            <w:vAlign w:val="center"/>
          </w:tcPr>
          <w:p w14:paraId="753F83C9"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Res-Turf Removal (per square foot)</w:t>
            </w:r>
          </w:p>
        </w:tc>
      </w:tr>
      <w:tr w:rsidR="000E4CD1" w:rsidRPr="00F353B8" w14:paraId="7A15FF5F" w14:textId="77777777" w:rsidTr="00532724">
        <w:trPr>
          <w:gridAfter w:val="1"/>
          <w:wAfter w:w="10" w:type="pct"/>
          <w:trHeight w:val="243"/>
        </w:trPr>
        <w:tc>
          <w:tcPr>
            <w:tcW w:w="552" w:type="pct"/>
            <w:shd w:val="clear" w:color="auto" w:fill="FFFFFF" w:themeFill="background1"/>
          </w:tcPr>
          <w:p w14:paraId="0DDAB275" w14:textId="0E227DC4" w:rsidR="000E4CD1" w:rsidRPr="004F700E" w:rsidRDefault="000E4CD1" w:rsidP="000E4CD1">
            <w:pPr>
              <w:jc w:val="center"/>
            </w:pPr>
            <w:r w:rsidRPr="001716C3">
              <w:t>75</w:t>
            </w:r>
          </w:p>
        </w:tc>
        <w:tc>
          <w:tcPr>
            <w:tcW w:w="2034" w:type="pct"/>
            <w:shd w:val="clear" w:color="auto" w:fill="FFFFFF" w:themeFill="background1"/>
            <w:vAlign w:val="center"/>
          </w:tcPr>
          <w:p w14:paraId="19FCEE99" w14:textId="77777777" w:rsidR="000E4CD1" w:rsidRPr="006325F2" w:rsidRDefault="000E4CD1" w:rsidP="000E4CD1">
            <w:pPr>
              <w:tabs>
                <w:tab w:val="left" w:pos="720"/>
              </w:tabs>
              <w:jc w:val="center"/>
              <w:rPr>
                <w:rFonts w:cstheme="minorHAnsi"/>
                <w:szCs w:val="20"/>
              </w:rPr>
            </w:pPr>
          </w:p>
        </w:tc>
        <w:tc>
          <w:tcPr>
            <w:tcW w:w="2404" w:type="pct"/>
            <w:shd w:val="clear" w:color="auto" w:fill="FFFFFF" w:themeFill="background1"/>
            <w:vAlign w:val="center"/>
          </w:tcPr>
          <w:p w14:paraId="175A30FC"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Res-Soil Moisture Sensor (each; &lt; 1 acre)</w:t>
            </w:r>
          </w:p>
        </w:tc>
      </w:tr>
      <w:tr w:rsidR="000E4CD1" w:rsidRPr="00F353B8" w14:paraId="68612969" w14:textId="77777777" w:rsidTr="00532724">
        <w:trPr>
          <w:gridAfter w:val="1"/>
          <w:wAfter w:w="10" w:type="pct"/>
          <w:trHeight w:val="243"/>
        </w:trPr>
        <w:tc>
          <w:tcPr>
            <w:tcW w:w="552" w:type="pct"/>
            <w:shd w:val="clear" w:color="auto" w:fill="FFFFFF" w:themeFill="background1"/>
          </w:tcPr>
          <w:p w14:paraId="38F2D8D2" w14:textId="09B23CCF" w:rsidR="000E4CD1" w:rsidRPr="004F700E" w:rsidRDefault="000E4CD1" w:rsidP="000E4CD1">
            <w:pPr>
              <w:jc w:val="center"/>
            </w:pPr>
            <w:r w:rsidRPr="001716C3">
              <w:t>76</w:t>
            </w:r>
          </w:p>
        </w:tc>
        <w:tc>
          <w:tcPr>
            <w:tcW w:w="2034" w:type="pct"/>
            <w:shd w:val="clear" w:color="auto" w:fill="FFFFFF" w:themeFill="background1"/>
            <w:vAlign w:val="center"/>
          </w:tcPr>
          <w:p w14:paraId="5774CD20" w14:textId="77777777" w:rsidR="000E4CD1" w:rsidRPr="006325F2" w:rsidRDefault="000E4CD1" w:rsidP="000E4CD1">
            <w:pPr>
              <w:tabs>
                <w:tab w:val="left" w:pos="720"/>
              </w:tabs>
              <w:jc w:val="center"/>
              <w:rPr>
                <w:rFonts w:cstheme="minorHAnsi"/>
                <w:szCs w:val="20"/>
              </w:rPr>
            </w:pPr>
          </w:p>
        </w:tc>
        <w:tc>
          <w:tcPr>
            <w:tcW w:w="2404" w:type="pct"/>
            <w:shd w:val="clear" w:color="auto" w:fill="FFFFFF" w:themeFill="background1"/>
            <w:vAlign w:val="center"/>
          </w:tcPr>
          <w:p w14:paraId="36EE207D"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Res-Soil Moisture Sensor (/Station; &gt; 1 acre)</w:t>
            </w:r>
          </w:p>
        </w:tc>
      </w:tr>
      <w:tr w:rsidR="000E4CD1" w:rsidRPr="00F353B8" w14:paraId="24DB7B98" w14:textId="77777777" w:rsidTr="00532724">
        <w:trPr>
          <w:gridAfter w:val="1"/>
          <w:wAfter w:w="10" w:type="pct"/>
          <w:trHeight w:val="243"/>
        </w:trPr>
        <w:tc>
          <w:tcPr>
            <w:tcW w:w="552" w:type="pct"/>
            <w:shd w:val="clear" w:color="auto" w:fill="FFFFFF" w:themeFill="background1"/>
          </w:tcPr>
          <w:p w14:paraId="727E7E5A" w14:textId="70E2F801" w:rsidR="000E4CD1" w:rsidRPr="001A0073" w:rsidRDefault="000E4CD1" w:rsidP="000E4CD1">
            <w:pPr>
              <w:jc w:val="center"/>
              <w:rPr>
                <w:color w:val="FF0000"/>
              </w:rPr>
            </w:pPr>
            <w:r w:rsidRPr="001716C3">
              <w:t>77</w:t>
            </w:r>
          </w:p>
        </w:tc>
        <w:tc>
          <w:tcPr>
            <w:tcW w:w="2034" w:type="pct"/>
            <w:shd w:val="clear" w:color="auto" w:fill="FFFFFF" w:themeFill="background1"/>
            <w:vAlign w:val="center"/>
          </w:tcPr>
          <w:p w14:paraId="79C24165" w14:textId="77777777" w:rsidR="000E4CD1" w:rsidRPr="006325F2" w:rsidRDefault="000E4CD1" w:rsidP="000E4CD1">
            <w:pPr>
              <w:tabs>
                <w:tab w:val="left" w:pos="720"/>
              </w:tabs>
              <w:jc w:val="center"/>
              <w:rPr>
                <w:rFonts w:cstheme="minorHAnsi"/>
                <w:szCs w:val="20"/>
              </w:rPr>
            </w:pPr>
          </w:p>
        </w:tc>
        <w:tc>
          <w:tcPr>
            <w:tcW w:w="2404" w:type="pct"/>
            <w:shd w:val="clear" w:color="auto" w:fill="FFFFFF" w:themeFill="background1"/>
            <w:vAlign w:val="center"/>
          </w:tcPr>
          <w:p w14:paraId="2C53C5E4" w14:textId="77777777" w:rsidR="000E4CD1" w:rsidRPr="004E0560" w:rsidRDefault="000E4CD1" w:rsidP="000E4CD1">
            <w:pPr>
              <w:rPr>
                <w:rFonts w:ascii="Calibri" w:hAnsi="Calibri" w:cs="Calibri"/>
                <w:color w:val="000000"/>
                <w:szCs w:val="22"/>
              </w:rPr>
            </w:pPr>
            <w:r w:rsidRPr="004E0560">
              <w:rPr>
                <w:rFonts w:ascii="Calibri" w:hAnsi="Calibri" w:cs="Calibri"/>
                <w:color w:val="000000"/>
                <w:szCs w:val="22"/>
              </w:rPr>
              <w:t>Res-Rain Barrel</w:t>
            </w:r>
          </w:p>
        </w:tc>
      </w:tr>
    </w:tbl>
    <w:p w14:paraId="78C624F2" w14:textId="77777777" w:rsidR="001A0073" w:rsidRPr="00EB4AE6" w:rsidRDefault="001A0073" w:rsidP="001A0073">
      <w:pPr>
        <w:pStyle w:val="Heading3"/>
        <w:rPr>
          <w:rFonts w:asciiTheme="minorHAnsi" w:hAnsiTheme="minorHAnsi"/>
          <w:iCs/>
          <w:smallCaps/>
          <w:sz w:val="28"/>
          <w:szCs w:val="28"/>
        </w:rPr>
      </w:pPr>
      <w:r w:rsidRPr="00EB4AE6">
        <w:rPr>
          <w:rFonts w:asciiTheme="minorHAnsi" w:hAnsiTheme="minorHAnsi"/>
          <w:iCs/>
          <w:smallCaps/>
          <w:sz w:val="28"/>
          <w:szCs w:val="28"/>
        </w:rPr>
        <w:t>Eligibility Requirements</w:t>
      </w:r>
    </w:p>
    <w:p w14:paraId="64844010" w14:textId="6D626B4B" w:rsidR="00243F3B" w:rsidRDefault="00243F3B" w:rsidP="00226D53">
      <w:pPr>
        <w:pStyle w:val="ListParagraph"/>
        <w:numPr>
          <w:ilvl w:val="0"/>
          <w:numId w:val="5"/>
        </w:numPr>
      </w:pPr>
      <w:r>
        <w:t xml:space="preserve">The measures described </w:t>
      </w:r>
      <w:r w:rsidR="007D6B25">
        <w:t xml:space="preserve">in </w:t>
      </w:r>
      <w:r w:rsidR="007D6B25" w:rsidRPr="007D6B25">
        <w:rPr>
          <w:b/>
        </w:rPr>
        <w:fldChar w:fldCharType="begin"/>
      </w:r>
      <w:r w:rsidR="007D6B25" w:rsidRPr="007D6B25">
        <w:rPr>
          <w:b/>
        </w:rPr>
        <w:instrText xml:space="preserve"> REF _Ref467323681 \h </w:instrText>
      </w:r>
      <w:r w:rsidR="007D6B25">
        <w:rPr>
          <w:b/>
        </w:rPr>
        <w:instrText xml:space="preserve"> \* MERGEFORMAT </w:instrText>
      </w:r>
      <w:r w:rsidR="007D6B25" w:rsidRPr="007D6B25">
        <w:rPr>
          <w:b/>
        </w:rPr>
      </w:r>
      <w:r w:rsidR="007D6B25" w:rsidRPr="007D6B25">
        <w:rPr>
          <w:b/>
        </w:rPr>
        <w:fldChar w:fldCharType="separate"/>
      </w:r>
      <w:r w:rsidR="007D6B25" w:rsidRPr="007D6B25">
        <w:rPr>
          <w:b/>
        </w:rPr>
        <w:t xml:space="preserve">Table </w:t>
      </w:r>
      <w:r w:rsidR="007D6B25" w:rsidRPr="007D6B25">
        <w:rPr>
          <w:b/>
          <w:noProof/>
        </w:rPr>
        <w:t>1</w:t>
      </w:r>
      <w:r w:rsidR="007D6B25" w:rsidRPr="007D6B25">
        <w:rPr>
          <w:b/>
        </w:rPr>
        <w:fldChar w:fldCharType="end"/>
      </w:r>
      <w:r>
        <w:t xml:space="preserve"> </w:t>
      </w:r>
      <w:r w:rsidR="006E45F7">
        <w:t xml:space="preserve">and </w:t>
      </w:r>
      <w:r w:rsidR="006E45F7" w:rsidRPr="006E45F7">
        <w:rPr>
          <w:b/>
          <w:bCs/>
        </w:rPr>
        <w:fldChar w:fldCharType="begin"/>
      </w:r>
      <w:r w:rsidR="006E45F7" w:rsidRPr="006E45F7">
        <w:rPr>
          <w:b/>
          <w:bCs/>
        </w:rPr>
        <w:instrText xml:space="preserve"> REF _Ref19591794 \h </w:instrText>
      </w:r>
      <w:r w:rsidR="006E45F7">
        <w:rPr>
          <w:b/>
          <w:bCs/>
        </w:rPr>
        <w:instrText xml:space="preserve"> \* MERGEFORMAT </w:instrText>
      </w:r>
      <w:r w:rsidR="006E45F7" w:rsidRPr="006E45F7">
        <w:rPr>
          <w:b/>
          <w:bCs/>
        </w:rPr>
      </w:r>
      <w:r w:rsidR="006E45F7" w:rsidRPr="006E45F7">
        <w:rPr>
          <w:b/>
          <w:bCs/>
        </w:rPr>
        <w:fldChar w:fldCharType="separate"/>
      </w:r>
      <w:r w:rsidR="006E45F7" w:rsidRPr="006E45F7">
        <w:rPr>
          <w:b/>
          <w:bCs/>
        </w:rPr>
        <w:t xml:space="preserve">Table </w:t>
      </w:r>
      <w:r w:rsidR="006E45F7" w:rsidRPr="006E45F7">
        <w:rPr>
          <w:b/>
          <w:bCs/>
          <w:noProof/>
        </w:rPr>
        <w:t>2</w:t>
      </w:r>
      <w:r w:rsidR="006E45F7" w:rsidRPr="006E45F7">
        <w:rPr>
          <w:b/>
          <w:bCs/>
        </w:rPr>
        <w:fldChar w:fldCharType="end"/>
      </w:r>
      <w:r w:rsidR="006E45F7">
        <w:t xml:space="preserve"> </w:t>
      </w:r>
      <w:r>
        <w:t>are only available to California Investor-Owned Utility (IOU) customers paying the Public Goods Charge, and are customers of the IOU for which the measures described here are being offered through the IOU’s Energy Efficiency program</w:t>
      </w:r>
      <w:r w:rsidR="007D6B25">
        <w:t>s</w:t>
      </w:r>
      <w:r>
        <w:t>.</w:t>
      </w:r>
    </w:p>
    <w:p w14:paraId="409A923C" w14:textId="77777777" w:rsidR="00243F3B" w:rsidRDefault="00243F3B" w:rsidP="00243F3B">
      <w:pPr>
        <w:pStyle w:val="ListParagraph"/>
        <w:ind w:left="360"/>
      </w:pPr>
    </w:p>
    <w:p w14:paraId="04E8DB45" w14:textId="77777777" w:rsidR="001A0073" w:rsidRDefault="00243F3B" w:rsidP="00226D53">
      <w:pPr>
        <w:pStyle w:val="ListParagraph"/>
        <w:numPr>
          <w:ilvl w:val="0"/>
          <w:numId w:val="5"/>
        </w:numPr>
      </w:pPr>
      <w:r>
        <w:t>Customers attempting to participate in the program must be currently in good standing with the administering IOU.</w:t>
      </w:r>
    </w:p>
    <w:p w14:paraId="7430A6E0" w14:textId="77777777" w:rsidR="001A0073" w:rsidRPr="00EB4AE6" w:rsidRDefault="008F11C1" w:rsidP="001A0073">
      <w:pPr>
        <w:pStyle w:val="Heading3"/>
        <w:rPr>
          <w:rFonts w:asciiTheme="minorHAnsi" w:hAnsiTheme="minorHAnsi"/>
          <w:iCs/>
          <w:smallCaps/>
          <w:sz w:val="28"/>
          <w:szCs w:val="28"/>
        </w:rPr>
      </w:pPr>
      <w:r>
        <w:rPr>
          <w:rFonts w:asciiTheme="minorHAnsi" w:hAnsiTheme="minorHAnsi"/>
          <w:iCs/>
          <w:smallCaps/>
          <w:sz w:val="28"/>
          <w:szCs w:val="28"/>
        </w:rPr>
        <w:t xml:space="preserve">Implementation, </w:t>
      </w:r>
      <w:r w:rsidR="001A0073" w:rsidRPr="00EB4AE6">
        <w:rPr>
          <w:rFonts w:asciiTheme="minorHAnsi" w:hAnsiTheme="minorHAnsi"/>
          <w:iCs/>
          <w:smallCaps/>
          <w:sz w:val="28"/>
          <w:szCs w:val="28"/>
        </w:rPr>
        <w:t>Installation Requirements</w:t>
      </w:r>
      <w:r>
        <w:rPr>
          <w:rFonts w:asciiTheme="minorHAnsi" w:hAnsiTheme="minorHAnsi"/>
          <w:iCs/>
          <w:smallCaps/>
          <w:sz w:val="28"/>
          <w:szCs w:val="28"/>
        </w:rPr>
        <w:t xml:space="preserve"> and Other Program Restrictions</w:t>
      </w:r>
    </w:p>
    <w:p w14:paraId="6C8CAC54" w14:textId="2D74259A" w:rsidR="004E2C98" w:rsidRDefault="006E3070" w:rsidP="001A0073">
      <w:r>
        <w:rPr>
          <w:b/>
          <w:i/>
        </w:rPr>
        <w:t>Rider Measures</w:t>
      </w:r>
      <w:r w:rsidR="00822BD2">
        <w:t xml:space="preserve"> are measures that capture</w:t>
      </w:r>
      <w:r w:rsidR="007D6B25" w:rsidRPr="007D6B25">
        <w:t xml:space="preserve"> incremental</w:t>
      </w:r>
      <w:r w:rsidR="007D6B25">
        <w:t xml:space="preserve"> embedded energy</w:t>
      </w:r>
      <w:r w:rsidR="007D6B25" w:rsidRPr="007D6B25">
        <w:t xml:space="preserve"> savings </w:t>
      </w:r>
      <w:r w:rsidR="007D6B25">
        <w:t>based on</w:t>
      </w:r>
      <w:r w:rsidR="007D6B25" w:rsidRPr="007D6B25">
        <w:t xml:space="preserve"> measures already quantified and approved </w:t>
      </w:r>
      <w:r w:rsidR="007D6B25">
        <w:t>through</w:t>
      </w:r>
      <w:r w:rsidR="007D6B25" w:rsidRPr="007D6B25">
        <w:t xml:space="preserve"> existing wps and/or MWD</w:t>
      </w:r>
      <w:r w:rsidR="007D6B25">
        <w:t>’s water savings</w:t>
      </w:r>
      <w:r w:rsidR="008F11C1">
        <w:t xml:space="preserve"> list</w:t>
      </w:r>
      <w:r w:rsidR="00876EA3">
        <w:t xml:space="preserve">. </w:t>
      </w:r>
    </w:p>
    <w:p w14:paraId="27F63C4D" w14:textId="77777777" w:rsidR="004E2C98" w:rsidRDefault="004E2C98" w:rsidP="001A0073"/>
    <w:p w14:paraId="097EE427" w14:textId="5E42A210" w:rsidR="007D6B25" w:rsidRDefault="00876EA3" w:rsidP="001A0073">
      <w:r w:rsidRPr="004E2C98">
        <w:rPr>
          <w:b/>
          <w:i/>
        </w:rPr>
        <w:t xml:space="preserve">WEN </w:t>
      </w:r>
      <w:r w:rsidR="004E2C98" w:rsidRPr="004E2C98">
        <w:rPr>
          <w:b/>
          <w:i/>
        </w:rPr>
        <w:t>M</w:t>
      </w:r>
      <w:r w:rsidR="006E3070">
        <w:rPr>
          <w:b/>
          <w:i/>
        </w:rPr>
        <w:t>easures</w:t>
      </w:r>
      <w:r w:rsidR="004E2C98">
        <w:t>,</w:t>
      </w:r>
      <w:r w:rsidR="008F11C1">
        <w:t xml:space="preserve"> identified in </w:t>
      </w:r>
      <w:r w:rsidR="008F11C1" w:rsidRPr="008F11C1">
        <w:rPr>
          <w:b/>
        </w:rPr>
        <w:fldChar w:fldCharType="begin"/>
      </w:r>
      <w:r w:rsidR="008F11C1" w:rsidRPr="008F11C1">
        <w:rPr>
          <w:b/>
        </w:rPr>
        <w:instrText xml:space="preserve"> REF _Ref467323681 \h </w:instrText>
      </w:r>
      <w:r w:rsidR="008F11C1">
        <w:rPr>
          <w:b/>
        </w:rPr>
        <w:instrText xml:space="preserve"> \* MERGEFORMAT </w:instrText>
      </w:r>
      <w:r w:rsidR="008F11C1" w:rsidRPr="008F11C1">
        <w:rPr>
          <w:b/>
        </w:rPr>
      </w:r>
      <w:r w:rsidR="008F11C1" w:rsidRPr="008F11C1">
        <w:rPr>
          <w:b/>
        </w:rPr>
        <w:fldChar w:fldCharType="separate"/>
      </w:r>
      <w:r w:rsidR="008F11C1" w:rsidRPr="008F11C1">
        <w:rPr>
          <w:b/>
        </w:rPr>
        <w:t xml:space="preserve">Table </w:t>
      </w:r>
      <w:r w:rsidR="008F11C1" w:rsidRPr="008F11C1">
        <w:rPr>
          <w:b/>
          <w:noProof/>
        </w:rPr>
        <w:t>1</w:t>
      </w:r>
      <w:r w:rsidR="008F11C1" w:rsidRPr="008F11C1">
        <w:rPr>
          <w:b/>
        </w:rPr>
        <w:fldChar w:fldCharType="end"/>
      </w:r>
      <w:r w:rsidR="004E2C98">
        <w:rPr>
          <w:b/>
        </w:rPr>
        <w:t>,</w:t>
      </w:r>
      <w:r w:rsidR="008F11C1">
        <w:rPr>
          <w:b/>
        </w:rPr>
        <w:t xml:space="preserve"> </w:t>
      </w:r>
      <w:r w:rsidR="00822BD2">
        <w:t xml:space="preserve">are </w:t>
      </w:r>
      <w:r w:rsidR="006E3070">
        <w:t>a type of Rider Measure</w:t>
      </w:r>
      <w:r w:rsidR="00822BD2">
        <w:t xml:space="preserve"> and </w:t>
      </w:r>
      <w:r w:rsidR="008F11C1">
        <w:t xml:space="preserve">will adhere to the implementation, </w:t>
      </w:r>
      <w:r w:rsidR="007D6B25">
        <w:t>installation</w:t>
      </w:r>
      <w:r w:rsidR="008F11C1">
        <w:t xml:space="preserve"> and program restriction</w:t>
      </w:r>
      <w:r w:rsidR="007D6B25">
        <w:t xml:space="preserve"> requirements</w:t>
      </w:r>
      <w:r w:rsidR="008F11C1">
        <w:t xml:space="preserve"> as identified in those approved already wps or MWD’s program requirements.</w:t>
      </w:r>
      <w:r w:rsidR="006E3070">
        <w:t xml:space="preserve"> As identified in </w:t>
      </w:r>
      <w:r w:rsidR="006E3070" w:rsidRPr="006E3070">
        <w:rPr>
          <w:b/>
        </w:rPr>
        <w:t>Table 1</w:t>
      </w:r>
      <w:r w:rsidR="006E3070">
        <w:t>, WEN Measures could come from Statewide IOU wps or WEN Measures could come from MWD</w:t>
      </w:r>
      <w:r w:rsidR="009D564C">
        <w:t xml:space="preserve"> as identified in </w:t>
      </w:r>
      <w:r w:rsidR="00527ACD" w:rsidRPr="00527ACD">
        <w:rPr>
          <w:b/>
          <w:bCs/>
        </w:rPr>
        <w:fldChar w:fldCharType="begin"/>
      </w:r>
      <w:r w:rsidR="00527ACD" w:rsidRPr="00527ACD">
        <w:rPr>
          <w:b/>
          <w:bCs/>
        </w:rPr>
        <w:instrText xml:space="preserve"> REF _Ref19591794 \h </w:instrText>
      </w:r>
      <w:r w:rsidR="00527ACD">
        <w:rPr>
          <w:b/>
          <w:bCs/>
        </w:rPr>
        <w:instrText xml:space="preserve"> \* MERGEFORMAT </w:instrText>
      </w:r>
      <w:r w:rsidR="00527ACD" w:rsidRPr="00527ACD">
        <w:rPr>
          <w:b/>
          <w:bCs/>
        </w:rPr>
      </w:r>
      <w:r w:rsidR="00527ACD" w:rsidRPr="00527ACD">
        <w:rPr>
          <w:b/>
          <w:bCs/>
        </w:rPr>
        <w:fldChar w:fldCharType="separate"/>
      </w:r>
      <w:r w:rsidR="00527ACD" w:rsidRPr="00527ACD">
        <w:rPr>
          <w:b/>
          <w:bCs/>
        </w:rPr>
        <w:t xml:space="preserve">Table </w:t>
      </w:r>
      <w:r w:rsidR="00527ACD" w:rsidRPr="00527ACD">
        <w:rPr>
          <w:b/>
          <w:bCs/>
          <w:noProof/>
        </w:rPr>
        <w:t>2</w:t>
      </w:r>
      <w:r w:rsidR="00527ACD" w:rsidRPr="00527ACD">
        <w:rPr>
          <w:b/>
          <w:bCs/>
        </w:rPr>
        <w:fldChar w:fldCharType="end"/>
      </w:r>
      <w:r w:rsidR="006E3070">
        <w:t>.</w:t>
      </w:r>
    </w:p>
    <w:p w14:paraId="64035A8C" w14:textId="77777777" w:rsidR="00932535" w:rsidRDefault="00932535" w:rsidP="001A0073"/>
    <w:p w14:paraId="6FB59768" w14:textId="77777777" w:rsidR="00932535" w:rsidRDefault="00932535" w:rsidP="001A0073">
      <w:r w:rsidRPr="00932535">
        <w:t xml:space="preserve">A goal of this </w:t>
      </w:r>
      <w:r>
        <w:t>WEN program</w:t>
      </w:r>
      <w:r w:rsidRPr="00932535">
        <w:t xml:space="preserve"> should </w:t>
      </w:r>
      <w:r>
        <w:t>attempt</w:t>
      </w:r>
      <w:r w:rsidRPr="00932535">
        <w:t xml:space="preserve"> to minimize customer requirements to file multiple incentive applications with multiple parties. To realize this goal, appropriate delivery mechanisms sh</w:t>
      </w:r>
      <w:r>
        <w:t xml:space="preserve">ould be evaluated and applied. </w:t>
      </w:r>
      <w:r w:rsidRPr="00932535">
        <w:t xml:space="preserve">An assessment of how to integrate the delivery mechanism between incentives offered by water agencies and those offered for energy efficiency needs to be discussed.  </w:t>
      </w:r>
    </w:p>
    <w:p w14:paraId="247E55DD" w14:textId="77777777" w:rsidR="00E16609" w:rsidRDefault="00E16609" w:rsidP="005F2091">
      <w:pPr>
        <w:pStyle w:val="Heading2"/>
        <w:spacing w:before="120"/>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1DB0B41D" w14:textId="77777777" w:rsidR="003F7AC8" w:rsidRPr="00EB4AE6" w:rsidRDefault="003F7AC8" w:rsidP="005F2091">
      <w:pPr>
        <w:pStyle w:val="Heading3"/>
        <w:spacing w:before="120"/>
        <w:rPr>
          <w:rFonts w:asciiTheme="minorHAnsi" w:hAnsiTheme="minorHAnsi"/>
          <w:iCs/>
          <w:smallCaps/>
          <w:sz w:val="28"/>
          <w:szCs w:val="28"/>
        </w:rPr>
      </w:pPr>
      <w:r w:rsidRPr="00EB4AE6">
        <w:rPr>
          <w:rFonts w:asciiTheme="minorHAnsi" w:hAnsiTheme="minorHAnsi"/>
          <w:iCs/>
          <w:smallCaps/>
          <w:sz w:val="28"/>
          <w:szCs w:val="28"/>
        </w:rPr>
        <w:t>Water Energy Nexus Cost Calculator</w:t>
      </w:r>
    </w:p>
    <w:p w14:paraId="1EFA7230" w14:textId="0E387611" w:rsidR="005F2091" w:rsidRDefault="00C438DD" w:rsidP="00086AA4">
      <w:pPr>
        <w:jc w:val="both"/>
      </w:pPr>
      <w:r>
        <w:t xml:space="preserve">It takes energy to produce, deliver, and dispose of potable water. It can take energy to push or pull the water from the place where nature produces it to the place where it is needed. It often takes energy to move the water to storage or to deliver it to a customer. It takes energy to clean the water after it becomes waste and before it can be released to the greater environment. </w:t>
      </w:r>
      <w:r w:rsidR="0054062D">
        <w:t>Thus,</w:t>
      </w:r>
      <w:r>
        <w:t xml:space="preserve"> if it takes energy to use water, then it must save energy if one can avoid using it.</w:t>
      </w:r>
      <w:r w:rsidR="005F2091">
        <w:t xml:space="preserve"> </w:t>
      </w:r>
    </w:p>
    <w:p w14:paraId="08FB5104" w14:textId="77777777" w:rsidR="005F2091" w:rsidRDefault="005F2091" w:rsidP="00086AA4">
      <w:pPr>
        <w:jc w:val="both"/>
      </w:pPr>
    </w:p>
    <w:p w14:paraId="2C5FB50F" w14:textId="77777777" w:rsidR="00086AA4" w:rsidRDefault="00086AA4" w:rsidP="00086AA4">
      <w:pPr>
        <w:jc w:val="both"/>
      </w:pPr>
      <w:r>
        <w:t xml:space="preserve">The Navigant Water/Energy Cost‐Effectiveness Analysis Final Report defined </w:t>
      </w:r>
      <w:r w:rsidRPr="004E2C98">
        <w:rPr>
          <w:b/>
          <w:i/>
        </w:rPr>
        <w:t>Embedded Energy</w:t>
      </w:r>
      <w:r w:rsidRPr="00086AA4">
        <w:rPr>
          <w:b/>
        </w:rPr>
        <w:t xml:space="preserve"> </w:t>
      </w:r>
      <w:r>
        <w:t>in water as the amount of energy that is used to collect, convey, treat, and distribute a unit of water to end users, and the amount of energy that is used to collect and transport used water for treatment prior to safe discharge of the effluent in accordance with regulatory rules.</w:t>
      </w:r>
    </w:p>
    <w:p w14:paraId="0E177012" w14:textId="1F528DFB" w:rsidR="005F2091" w:rsidRDefault="00B245DE" w:rsidP="005F2091">
      <w:pPr>
        <w:jc w:val="both"/>
      </w:pPr>
      <w:r>
        <w:lastRenderedPageBreak/>
        <w:t xml:space="preserve">In </w:t>
      </w:r>
      <w:r w:rsidR="004E2C98" w:rsidRPr="004E2C98">
        <w:t>Decision (D.) 15-09-023</w:t>
      </w:r>
      <w:r>
        <w:t xml:space="preserve">, the </w:t>
      </w:r>
      <w:r w:rsidR="004E2C98">
        <w:t>CPUC</w:t>
      </w:r>
      <w:r>
        <w:t xml:space="preserve"> unanimously adopted in the Water Energy Nexus Cost Calculator tool </w:t>
      </w:r>
      <w:r w:rsidR="00504056">
        <w:t>(</w:t>
      </w:r>
      <w:r w:rsidR="004E2C98">
        <w:t xml:space="preserve">WEN </w:t>
      </w:r>
      <w:r w:rsidR="00504056">
        <w:t xml:space="preserve">Calculator) </w:t>
      </w:r>
      <w:r>
        <w:t xml:space="preserve">designed to calculate the embedded energy in water and the avoided capacity cost associated with water savings. Incorporating this tool within the energy efficiency discipline is ongoing, including updates. </w:t>
      </w:r>
      <w:r w:rsidR="009D3AA5">
        <w:t xml:space="preserve">The most current version </w:t>
      </w:r>
      <w:r w:rsidR="001438B0">
        <w:t xml:space="preserve">of the WEN Calculator </w:t>
      </w:r>
      <w:r w:rsidR="009D3AA5">
        <w:t>(1.05) is u</w:t>
      </w:r>
      <w:r w:rsidR="001438B0">
        <w:t xml:space="preserve">sed to </w:t>
      </w:r>
      <w:r w:rsidR="009D3AA5">
        <w:t>est</w:t>
      </w:r>
      <w:r w:rsidR="001438B0">
        <w:t xml:space="preserve">imate embedded energy savings for </w:t>
      </w:r>
      <w:r w:rsidR="00527ACD">
        <w:t xml:space="preserve">IOU Wen </w:t>
      </w:r>
      <w:r w:rsidR="001438B0">
        <w:t xml:space="preserve">measures identified in </w:t>
      </w:r>
      <w:r w:rsidR="001438B0" w:rsidRPr="00063683">
        <w:rPr>
          <w:b/>
        </w:rPr>
        <w:fldChar w:fldCharType="begin"/>
      </w:r>
      <w:r w:rsidR="001438B0" w:rsidRPr="00063683">
        <w:rPr>
          <w:b/>
        </w:rPr>
        <w:instrText xml:space="preserve"> REF _Ref467323681 \h </w:instrText>
      </w:r>
      <w:r w:rsidR="00063683">
        <w:rPr>
          <w:b/>
        </w:rPr>
        <w:instrText xml:space="preserve"> \* MERGEFORMAT </w:instrText>
      </w:r>
      <w:r w:rsidR="001438B0" w:rsidRPr="00063683">
        <w:rPr>
          <w:b/>
        </w:rPr>
      </w:r>
      <w:r w:rsidR="001438B0" w:rsidRPr="00063683">
        <w:rPr>
          <w:b/>
        </w:rPr>
        <w:fldChar w:fldCharType="separate"/>
      </w:r>
      <w:r w:rsidR="001438B0" w:rsidRPr="00063683">
        <w:rPr>
          <w:b/>
        </w:rPr>
        <w:t xml:space="preserve">Table </w:t>
      </w:r>
      <w:r w:rsidR="001438B0" w:rsidRPr="00063683">
        <w:rPr>
          <w:b/>
          <w:noProof/>
        </w:rPr>
        <w:t>1</w:t>
      </w:r>
      <w:r w:rsidR="001438B0" w:rsidRPr="00063683">
        <w:rPr>
          <w:b/>
        </w:rPr>
        <w:fldChar w:fldCharType="end"/>
      </w:r>
      <w:r w:rsidR="00527ACD">
        <w:rPr>
          <w:b/>
        </w:rPr>
        <w:t xml:space="preserve"> </w:t>
      </w:r>
      <w:r w:rsidR="00527ACD">
        <w:rPr>
          <w:bCs/>
        </w:rPr>
        <w:t xml:space="preserve">and MWD WEN measures in </w:t>
      </w:r>
      <w:r w:rsidR="00527ACD" w:rsidRPr="00527ACD">
        <w:rPr>
          <w:b/>
        </w:rPr>
        <w:fldChar w:fldCharType="begin"/>
      </w:r>
      <w:r w:rsidR="00527ACD" w:rsidRPr="00527ACD">
        <w:rPr>
          <w:b/>
        </w:rPr>
        <w:instrText xml:space="preserve"> REF _Ref19591794 \h </w:instrText>
      </w:r>
      <w:r w:rsidR="00527ACD">
        <w:rPr>
          <w:b/>
        </w:rPr>
        <w:instrText xml:space="preserve"> \* MERGEFORMAT </w:instrText>
      </w:r>
      <w:r w:rsidR="00527ACD" w:rsidRPr="00527ACD">
        <w:rPr>
          <w:b/>
        </w:rPr>
      </w:r>
      <w:r w:rsidR="00527ACD" w:rsidRPr="00527ACD">
        <w:rPr>
          <w:b/>
        </w:rPr>
        <w:fldChar w:fldCharType="separate"/>
      </w:r>
      <w:r w:rsidR="00527ACD" w:rsidRPr="00527ACD">
        <w:rPr>
          <w:b/>
        </w:rPr>
        <w:t xml:space="preserve">Table </w:t>
      </w:r>
      <w:r w:rsidR="00527ACD" w:rsidRPr="00527ACD">
        <w:rPr>
          <w:b/>
          <w:noProof/>
        </w:rPr>
        <w:t>2</w:t>
      </w:r>
      <w:r w:rsidR="00527ACD" w:rsidRPr="00527ACD">
        <w:rPr>
          <w:b/>
        </w:rPr>
        <w:fldChar w:fldCharType="end"/>
      </w:r>
      <w:r w:rsidR="001438B0">
        <w:t>.</w:t>
      </w:r>
    </w:p>
    <w:p w14:paraId="617189E9" w14:textId="77777777" w:rsidR="009D3AA5" w:rsidRDefault="009D3AA5" w:rsidP="005F2091">
      <w:pPr>
        <w:jc w:val="both"/>
      </w:pPr>
    </w:p>
    <w:p w14:paraId="34332D05" w14:textId="50F3F5E2" w:rsidR="00FD4173" w:rsidRDefault="00504056" w:rsidP="005F2091">
      <w:pPr>
        <w:jc w:val="both"/>
      </w:pPr>
      <w:r w:rsidRPr="00B245DE">
        <w:t>Prior energy efficiency tools measured only the direct energy savings associated with reduced water use in site-specific energy savings programs directed at customers.</w:t>
      </w:r>
      <w:r>
        <w:t xml:space="preserve"> Consequently, programs or projects targeting the energy required in the water system above and beyond the energy used in a </w:t>
      </w:r>
      <w:r w:rsidR="0067496B">
        <w:t>site</w:t>
      </w:r>
      <w:r>
        <w:t xml:space="preserve">-specific program could not be quantified prior to the </w:t>
      </w:r>
      <w:r w:rsidR="000C04BC">
        <w:t xml:space="preserve">WEN </w:t>
      </w:r>
      <w:r>
        <w:t>Calculator.</w:t>
      </w:r>
      <w:r w:rsidR="005F2091">
        <w:t xml:space="preserve"> </w:t>
      </w:r>
      <w:r>
        <w:t xml:space="preserve">However, with </w:t>
      </w:r>
      <w:r w:rsidR="002A134F">
        <w:t xml:space="preserve">CPUC </w:t>
      </w:r>
      <w:r>
        <w:t xml:space="preserve">approval of the </w:t>
      </w:r>
      <w:r w:rsidR="00B81069">
        <w:t xml:space="preserve">new </w:t>
      </w:r>
      <w:r w:rsidR="000C04BC">
        <w:t xml:space="preserve">WEN </w:t>
      </w:r>
      <w:r w:rsidR="00B81069">
        <w:t>Calculator</w:t>
      </w:r>
      <w:r>
        <w:t xml:space="preserve">, </w:t>
      </w:r>
      <w:r w:rsidR="00B81069">
        <w:t>energy savings from water conservation projects and programs targeting the water system as well as how to allocate costs and benefits among program administrators</w:t>
      </w:r>
      <w:r>
        <w:t xml:space="preserve"> can be quantified</w:t>
      </w:r>
      <w:r w:rsidR="00B81069">
        <w:t xml:space="preserve">. The </w:t>
      </w:r>
      <w:r w:rsidR="000C04BC">
        <w:t xml:space="preserve">WEN </w:t>
      </w:r>
      <w:r w:rsidR="00B81069">
        <w:t>Calculator assesses water-energy program cost effectiveness for energy efficiency portfolios.</w:t>
      </w:r>
      <w:r w:rsidR="00932535">
        <w:t xml:space="preserve"> </w:t>
      </w:r>
      <w:r w:rsidR="0030544D" w:rsidRPr="00C438DD">
        <w:t>The intended use</w:t>
      </w:r>
      <w:r w:rsidR="00FD4173" w:rsidRPr="00C438DD">
        <w:t xml:space="preserve"> of </w:t>
      </w:r>
      <w:r w:rsidR="0030544D" w:rsidRPr="00C438DD">
        <w:t xml:space="preserve">water/energy cost-effectiveness </w:t>
      </w:r>
      <w:r w:rsidR="00FD4173" w:rsidRPr="00C438DD">
        <w:t xml:space="preserve">analysis </w:t>
      </w:r>
      <w:r w:rsidR="0030544D" w:rsidRPr="00C438DD">
        <w:t>tool is to:</w:t>
      </w:r>
    </w:p>
    <w:p w14:paraId="2A52E16C" w14:textId="77777777" w:rsidR="00C438DD" w:rsidRDefault="00C438DD" w:rsidP="00FD4173">
      <w:pPr>
        <w:pStyle w:val="Default"/>
        <w:spacing w:after="93"/>
        <w:rPr>
          <w:rFonts w:asciiTheme="minorHAnsi" w:eastAsia="Times New Roman" w:hAnsiTheme="minorHAnsi" w:cs="Times New Roman"/>
          <w:color w:val="auto"/>
          <w:sz w:val="22"/>
        </w:rPr>
      </w:pPr>
    </w:p>
    <w:p w14:paraId="489EC673" w14:textId="77777777" w:rsidR="00C438DD" w:rsidRDefault="00FD4173" w:rsidP="00226D53">
      <w:pPr>
        <w:pStyle w:val="Default"/>
        <w:numPr>
          <w:ilvl w:val="0"/>
          <w:numId w:val="4"/>
        </w:numPr>
        <w:spacing w:after="93"/>
        <w:rPr>
          <w:rFonts w:asciiTheme="minorHAnsi" w:eastAsia="Times New Roman" w:hAnsiTheme="minorHAnsi" w:cs="Times New Roman"/>
          <w:color w:val="auto"/>
          <w:sz w:val="22"/>
        </w:rPr>
      </w:pPr>
      <w:r w:rsidRPr="00C438DD">
        <w:rPr>
          <w:rFonts w:asciiTheme="minorHAnsi" w:eastAsia="Times New Roman" w:hAnsiTheme="minorHAnsi" w:cs="Times New Roman"/>
          <w:color w:val="auto"/>
          <w:sz w:val="22"/>
        </w:rPr>
        <w:t>Estimate the IOU and non-IOU embedded energy savings that result f</w:t>
      </w:r>
      <w:r w:rsidR="00C438DD">
        <w:rPr>
          <w:rFonts w:asciiTheme="minorHAnsi" w:eastAsia="Times New Roman" w:hAnsiTheme="minorHAnsi" w:cs="Times New Roman"/>
          <w:color w:val="auto"/>
          <w:sz w:val="22"/>
        </w:rPr>
        <w:t>rom joint water-energy programs;</w:t>
      </w:r>
    </w:p>
    <w:p w14:paraId="0E2FF7EE" w14:textId="77777777" w:rsidR="00C438DD" w:rsidRDefault="00FD4173" w:rsidP="00226D53">
      <w:pPr>
        <w:pStyle w:val="Default"/>
        <w:numPr>
          <w:ilvl w:val="0"/>
          <w:numId w:val="4"/>
        </w:numPr>
        <w:spacing w:after="93"/>
        <w:rPr>
          <w:rFonts w:asciiTheme="minorHAnsi" w:eastAsia="Times New Roman" w:hAnsiTheme="minorHAnsi" w:cs="Times New Roman"/>
          <w:color w:val="auto"/>
          <w:sz w:val="22"/>
        </w:rPr>
      </w:pPr>
      <w:r w:rsidRPr="00C438DD">
        <w:rPr>
          <w:rFonts w:asciiTheme="minorHAnsi" w:eastAsia="Times New Roman" w:hAnsiTheme="minorHAnsi" w:cs="Times New Roman"/>
          <w:color w:val="auto"/>
          <w:sz w:val="22"/>
        </w:rPr>
        <w:t xml:space="preserve">Assess the benefits that accrue to energy utilities and to water utilities from programs and measures </w:t>
      </w:r>
      <w:r w:rsidR="00C438DD">
        <w:rPr>
          <w:rFonts w:asciiTheme="minorHAnsi" w:eastAsia="Times New Roman" w:hAnsiTheme="minorHAnsi" w:cs="Times New Roman"/>
          <w:color w:val="auto"/>
          <w:sz w:val="22"/>
        </w:rPr>
        <w:t>that save both energy and water; and</w:t>
      </w:r>
    </w:p>
    <w:p w14:paraId="61472A3E" w14:textId="77777777" w:rsidR="00FD4173" w:rsidRDefault="00FD4173" w:rsidP="00226D53">
      <w:pPr>
        <w:pStyle w:val="Default"/>
        <w:numPr>
          <w:ilvl w:val="0"/>
          <w:numId w:val="4"/>
        </w:numPr>
        <w:spacing w:after="93"/>
        <w:rPr>
          <w:rFonts w:asciiTheme="minorHAnsi" w:eastAsia="Times New Roman" w:hAnsiTheme="minorHAnsi" w:cs="Times New Roman"/>
          <w:color w:val="auto"/>
          <w:sz w:val="22"/>
        </w:rPr>
      </w:pPr>
      <w:r w:rsidRPr="00C438DD">
        <w:rPr>
          <w:rFonts w:asciiTheme="minorHAnsi" w:eastAsia="Times New Roman" w:hAnsiTheme="minorHAnsi" w:cs="Times New Roman"/>
          <w:color w:val="auto"/>
          <w:sz w:val="22"/>
        </w:rPr>
        <w:t>Determine if incentivizing measures and programs that save both energy and water is a cost- effective use of IOU energy utility funds</w:t>
      </w:r>
      <w:r w:rsidR="00C438DD">
        <w:rPr>
          <w:rFonts w:asciiTheme="minorHAnsi" w:eastAsia="Times New Roman" w:hAnsiTheme="minorHAnsi" w:cs="Times New Roman"/>
          <w:color w:val="auto"/>
          <w:sz w:val="22"/>
        </w:rPr>
        <w:t>.</w:t>
      </w:r>
      <w:r w:rsidRPr="00C438DD">
        <w:rPr>
          <w:rFonts w:asciiTheme="minorHAnsi" w:eastAsia="Times New Roman" w:hAnsiTheme="minorHAnsi" w:cs="Times New Roman"/>
          <w:color w:val="auto"/>
          <w:sz w:val="22"/>
        </w:rPr>
        <w:t xml:space="preserve"> </w:t>
      </w:r>
    </w:p>
    <w:p w14:paraId="022C82FD" w14:textId="77777777" w:rsidR="00697868"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13CC20BE" w14:textId="77777777" w:rsidR="00C467BD" w:rsidRDefault="00185302" w:rsidP="00185302">
      <w:r>
        <w:t xml:space="preserve">The </w:t>
      </w:r>
      <w:r w:rsidR="00C467BD">
        <w:t xml:space="preserve">IOU </w:t>
      </w:r>
      <w:r>
        <w:t xml:space="preserve">WEN measures identified in </w:t>
      </w:r>
      <w:r w:rsidRPr="00185302">
        <w:rPr>
          <w:b/>
        </w:rPr>
        <w:fldChar w:fldCharType="begin"/>
      </w:r>
      <w:r w:rsidRPr="00185302">
        <w:rPr>
          <w:b/>
        </w:rPr>
        <w:instrText xml:space="preserve"> REF _Ref467323681 \h </w:instrText>
      </w:r>
      <w:r>
        <w:rPr>
          <w:b/>
        </w:rPr>
        <w:instrText xml:space="preserve"> \* MERGEFORMAT </w:instrText>
      </w:r>
      <w:r w:rsidRPr="00185302">
        <w:rPr>
          <w:b/>
        </w:rPr>
      </w:r>
      <w:r w:rsidRPr="00185302">
        <w:rPr>
          <w:b/>
        </w:rPr>
        <w:fldChar w:fldCharType="separate"/>
      </w:r>
      <w:r w:rsidRPr="00185302">
        <w:rPr>
          <w:b/>
        </w:rPr>
        <w:t xml:space="preserve">Table </w:t>
      </w:r>
      <w:r w:rsidRPr="00185302">
        <w:rPr>
          <w:b/>
          <w:noProof/>
        </w:rPr>
        <w:t>1</w:t>
      </w:r>
      <w:r w:rsidRPr="00185302">
        <w:rPr>
          <w:b/>
        </w:rPr>
        <w:fldChar w:fldCharType="end"/>
      </w:r>
      <w:r>
        <w:t xml:space="preserve"> </w:t>
      </w:r>
      <w:r w:rsidR="00C467BD">
        <w:t xml:space="preserve">and MWD WEN measures identified in </w:t>
      </w:r>
      <w:r w:rsidR="00C467BD" w:rsidRPr="00C467BD">
        <w:rPr>
          <w:b/>
          <w:bCs/>
        </w:rPr>
        <w:fldChar w:fldCharType="begin"/>
      </w:r>
      <w:r w:rsidR="00C467BD" w:rsidRPr="00C467BD">
        <w:rPr>
          <w:b/>
          <w:bCs/>
        </w:rPr>
        <w:instrText xml:space="preserve"> REF _Ref19591794 \h </w:instrText>
      </w:r>
      <w:r w:rsidR="00C467BD">
        <w:rPr>
          <w:b/>
          <w:bCs/>
        </w:rPr>
        <w:instrText xml:space="preserve"> \* MERGEFORMAT </w:instrText>
      </w:r>
      <w:r w:rsidR="00C467BD" w:rsidRPr="00C467BD">
        <w:rPr>
          <w:b/>
          <w:bCs/>
        </w:rPr>
      </w:r>
      <w:r w:rsidR="00C467BD" w:rsidRPr="00C467BD">
        <w:rPr>
          <w:b/>
          <w:bCs/>
        </w:rPr>
        <w:fldChar w:fldCharType="separate"/>
      </w:r>
      <w:r w:rsidR="00C467BD" w:rsidRPr="00C467BD">
        <w:rPr>
          <w:b/>
          <w:bCs/>
        </w:rPr>
        <w:t xml:space="preserve">Table </w:t>
      </w:r>
      <w:r w:rsidR="00C467BD" w:rsidRPr="00C467BD">
        <w:rPr>
          <w:b/>
          <w:bCs/>
          <w:noProof/>
        </w:rPr>
        <w:t>2</w:t>
      </w:r>
      <w:r w:rsidR="00C467BD" w:rsidRPr="00C467BD">
        <w:rPr>
          <w:b/>
          <w:bCs/>
        </w:rPr>
        <w:fldChar w:fldCharType="end"/>
      </w:r>
      <w:r w:rsidR="00C467BD">
        <w:t xml:space="preserve"> </w:t>
      </w:r>
      <w:r>
        <w:t xml:space="preserve">are </w:t>
      </w:r>
      <w:r w:rsidR="004E2C98" w:rsidRPr="004E2C98">
        <w:rPr>
          <w:b/>
          <w:i/>
        </w:rPr>
        <w:t>Rider Measures</w:t>
      </w:r>
      <w:r>
        <w:t xml:space="preserve"> and adhere to the installation types and delivery mechanisms already identified in the </w:t>
      </w:r>
      <w:r w:rsidRPr="00185302">
        <w:t>existing wps a</w:t>
      </w:r>
      <w:r>
        <w:t>nd/or MWD’s water savings list.</w:t>
      </w:r>
    </w:p>
    <w:p w14:paraId="00A9DE0F" w14:textId="16BE0B81" w:rsidR="00185302" w:rsidRDefault="00185302" w:rsidP="00185302">
      <w:r>
        <w:t xml:space="preserve"> </w:t>
      </w:r>
    </w:p>
    <w:p w14:paraId="0FB89722" w14:textId="57D23F4D" w:rsidR="00E16609" w:rsidRPr="00500C4E" w:rsidRDefault="00824F1C" w:rsidP="007B55D9">
      <w:pPr>
        <w:pStyle w:val="Heading2"/>
        <w:spacing w:before="120"/>
        <w:rPr>
          <w:rFonts w:asciiTheme="minorHAnsi" w:hAnsiTheme="minorHAnsi" w:cstheme="minorHAnsi"/>
        </w:rPr>
      </w:pPr>
      <w:bookmarkStart w:id="10"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0"/>
      <w:r w:rsidR="00F810DD">
        <w:rPr>
          <w:rFonts w:asciiTheme="minorHAnsi" w:hAnsiTheme="minorHAnsi" w:cstheme="minorHAnsi"/>
        </w:rPr>
        <w:t>Parameters</w:t>
      </w:r>
    </w:p>
    <w:p w14:paraId="378AA7DF" w14:textId="77777777" w:rsidR="00F06CCF" w:rsidRPr="00500C4E" w:rsidRDefault="00F06CCF" w:rsidP="007B55D9">
      <w:pPr>
        <w:pStyle w:val="Heading3"/>
        <w:spacing w:before="120"/>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5D56E963" w14:textId="7B49DEFA" w:rsidR="00E326BA" w:rsidRPr="00920905" w:rsidRDefault="00185302" w:rsidP="00185302">
      <w:pPr>
        <w:pStyle w:val="Caption"/>
        <w:jc w:val="center"/>
        <w:rPr>
          <w:rFonts w:cs="Arial"/>
          <w:szCs w:val="22"/>
        </w:rPr>
      </w:pPr>
      <w:bookmarkStart w:id="11" w:name="_Toc385592671"/>
      <w:bookmarkStart w:id="12" w:name="_Toc214003087"/>
      <w:r>
        <w:t xml:space="preserve">Table </w:t>
      </w:r>
      <w:r w:rsidR="00054031">
        <w:fldChar w:fldCharType="begin"/>
      </w:r>
      <w:r w:rsidR="00054031">
        <w:instrText xml:space="preserve"> SEQ Table \* ARABIC </w:instrText>
      </w:r>
      <w:r w:rsidR="00054031">
        <w:fldChar w:fldCharType="separate"/>
      </w:r>
      <w:r w:rsidR="00602E9A">
        <w:rPr>
          <w:noProof/>
        </w:rPr>
        <w:t>3</w:t>
      </w:r>
      <w:r w:rsidR="00054031">
        <w:rPr>
          <w:noProof/>
        </w:rPr>
        <w:fldChar w:fldCharType="end"/>
      </w:r>
      <w:r>
        <w:t xml:space="preserve">: </w:t>
      </w:r>
      <w:r w:rsidR="00E326BA" w:rsidRPr="00920905">
        <w:rPr>
          <w:rFonts w:cs="Arial"/>
          <w:szCs w:val="22"/>
        </w:rPr>
        <w:t>DEER Difference Summary</w:t>
      </w:r>
      <w:bookmarkEnd w:id="11"/>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5C0BCFD7" w14:textId="77777777" w:rsidTr="00920905">
        <w:trPr>
          <w:trHeight w:val="20"/>
        </w:trPr>
        <w:tc>
          <w:tcPr>
            <w:tcW w:w="1548" w:type="pct"/>
            <w:shd w:val="clear" w:color="auto" w:fill="D9D9D9" w:themeFill="background1" w:themeFillShade="D9"/>
          </w:tcPr>
          <w:p w14:paraId="6A44630A" w14:textId="77777777"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5C985BEF" w14:textId="77777777"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ACF67F1" w14:textId="77777777" w:rsidTr="00920905">
        <w:trPr>
          <w:trHeight w:val="20"/>
        </w:trPr>
        <w:tc>
          <w:tcPr>
            <w:tcW w:w="1548" w:type="pct"/>
          </w:tcPr>
          <w:p w14:paraId="4C315A26"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C5C44FD" w14:textId="77777777" w:rsidR="00E326BA" w:rsidRPr="002561D0" w:rsidRDefault="002561D0" w:rsidP="00920905">
            <w:pPr>
              <w:rPr>
                <w:rFonts w:cs="Arial"/>
                <w:szCs w:val="20"/>
              </w:rPr>
            </w:pPr>
            <w:r>
              <w:rPr>
                <w:rFonts w:cs="Arial"/>
                <w:szCs w:val="20"/>
              </w:rPr>
              <w:t>No</w:t>
            </w:r>
          </w:p>
        </w:tc>
      </w:tr>
      <w:tr w:rsidR="00726AD5" w:rsidRPr="00500C4E" w14:paraId="6D227790" w14:textId="77777777" w:rsidTr="00920905">
        <w:trPr>
          <w:trHeight w:val="20"/>
        </w:trPr>
        <w:tc>
          <w:tcPr>
            <w:tcW w:w="1548" w:type="pct"/>
          </w:tcPr>
          <w:p w14:paraId="21D34DB6"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2590BB2" w14:textId="77777777" w:rsidR="00E326BA" w:rsidRPr="00920905" w:rsidRDefault="002561D0" w:rsidP="00920905">
            <w:pPr>
              <w:rPr>
                <w:rFonts w:cs="Arial"/>
                <w:color w:val="FF0000"/>
                <w:szCs w:val="20"/>
              </w:rPr>
            </w:pPr>
            <w:r>
              <w:rPr>
                <w:rFonts w:cs="Arial"/>
                <w:szCs w:val="20"/>
              </w:rPr>
              <w:t>No</w:t>
            </w:r>
          </w:p>
        </w:tc>
      </w:tr>
      <w:tr w:rsidR="00726AD5" w:rsidRPr="00500C4E" w14:paraId="20075968" w14:textId="77777777" w:rsidTr="00920905">
        <w:trPr>
          <w:trHeight w:val="20"/>
        </w:trPr>
        <w:tc>
          <w:tcPr>
            <w:tcW w:w="1548" w:type="pct"/>
          </w:tcPr>
          <w:p w14:paraId="5E51CF97"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395AC80" w14:textId="77777777" w:rsidR="00E326BA" w:rsidRPr="00920905" w:rsidRDefault="002561D0" w:rsidP="00920905">
            <w:pPr>
              <w:rPr>
                <w:rFonts w:cs="Arial"/>
                <w:color w:val="FF0000"/>
                <w:szCs w:val="20"/>
              </w:rPr>
            </w:pPr>
            <w:r>
              <w:rPr>
                <w:rFonts w:cs="Arial"/>
                <w:szCs w:val="20"/>
              </w:rPr>
              <w:t>No</w:t>
            </w:r>
          </w:p>
        </w:tc>
      </w:tr>
      <w:tr w:rsidR="00726AD5" w:rsidRPr="00500C4E" w14:paraId="1B9C451E" w14:textId="77777777" w:rsidTr="00920905">
        <w:trPr>
          <w:trHeight w:val="20"/>
        </w:trPr>
        <w:tc>
          <w:tcPr>
            <w:tcW w:w="1548" w:type="pct"/>
          </w:tcPr>
          <w:p w14:paraId="54FDB961"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24BDACD6" w14:textId="77777777" w:rsidR="00E326BA" w:rsidRPr="00920905" w:rsidRDefault="002561D0" w:rsidP="00920905">
            <w:pPr>
              <w:rPr>
                <w:rFonts w:cs="Arial"/>
                <w:color w:val="FF0000"/>
                <w:szCs w:val="20"/>
              </w:rPr>
            </w:pPr>
            <w:r>
              <w:rPr>
                <w:rFonts w:cs="Arial"/>
                <w:szCs w:val="20"/>
              </w:rPr>
              <w:t>No</w:t>
            </w:r>
          </w:p>
        </w:tc>
      </w:tr>
      <w:tr w:rsidR="00726AD5" w:rsidRPr="00500C4E" w14:paraId="7FD68C3C" w14:textId="77777777" w:rsidTr="00920905">
        <w:trPr>
          <w:trHeight w:val="20"/>
        </w:trPr>
        <w:tc>
          <w:tcPr>
            <w:tcW w:w="1548" w:type="pct"/>
          </w:tcPr>
          <w:p w14:paraId="55144C4A"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06BF9C29" w14:textId="77777777" w:rsidR="00E326BA" w:rsidRPr="00790A93" w:rsidRDefault="00790A93" w:rsidP="00920905">
            <w:pPr>
              <w:rPr>
                <w:rFonts w:cs="Arial"/>
                <w:szCs w:val="20"/>
              </w:rPr>
            </w:pPr>
            <w:r>
              <w:rPr>
                <w:rFonts w:cs="Arial"/>
                <w:szCs w:val="20"/>
              </w:rPr>
              <w:t>Yes</w:t>
            </w:r>
          </w:p>
        </w:tc>
      </w:tr>
      <w:tr w:rsidR="00726AD5" w:rsidRPr="00500C4E" w14:paraId="5564CE9E" w14:textId="77777777" w:rsidTr="00920905">
        <w:trPr>
          <w:trHeight w:val="20"/>
        </w:trPr>
        <w:tc>
          <w:tcPr>
            <w:tcW w:w="1548" w:type="pct"/>
          </w:tcPr>
          <w:p w14:paraId="64CED49A"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6DBF0D0E" w14:textId="77777777" w:rsidR="00E326BA" w:rsidRPr="00920905" w:rsidRDefault="002561D0" w:rsidP="00920905">
            <w:pPr>
              <w:rPr>
                <w:rFonts w:cs="Arial"/>
                <w:color w:val="FF0000"/>
                <w:szCs w:val="20"/>
              </w:rPr>
            </w:pPr>
            <w:r>
              <w:rPr>
                <w:rFonts w:cs="Arial"/>
                <w:szCs w:val="20"/>
              </w:rPr>
              <w:t>No</w:t>
            </w:r>
          </w:p>
        </w:tc>
      </w:tr>
      <w:tr w:rsidR="00726AD5" w:rsidRPr="00500C4E" w14:paraId="4B5EA0E4" w14:textId="77777777" w:rsidTr="00920905">
        <w:trPr>
          <w:trHeight w:val="20"/>
        </w:trPr>
        <w:tc>
          <w:tcPr>
            <w:tcW w:w="1548" w:type="pct"/>
          </w:tcPr>
          <w:p w14:paraId="1757590B" w14:textId="77777777"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0CFFC614" w14:textId="77777777" w:rsidR="00505CEC" w:rsidRPr="00920905" w:rsidDel="00505CEC" w:rsidRDefault="002561D0" w:rsidP="00920905">
            <w:pPr>
              <w:rPr>
                <w:rFonts w:cs="Arial"/>
                <w:color w:val="FF0000"/>
                <w:szCs w:val="20"/>
              </w:rPr>
            </w:pPr>
            <w:r>
              <w:rPr>
                <w:rFonts w:cs="Arial"/>
                <w:szCs w:val="20"/>
              </w:rPr>
              <w:t>No</w:t>
            </w:r>
          </w:p>
        </w:tc>
      </w:tr>
      <w:tr w:rsidR="00D86A9D" w:rsidRPr="00500C4E" w14:paraId="27CD6FB8" w14:textId="77777777" w:rsidTr="00920905">
        <w:trPr>
          <w:trHeight w:val="20"/>
        </w:trPr>
        <w:tc>
          <w:tcPr>
            <w:tcW w:w="1548" w:type="pct"/>
          </w:tcPr>
          <w:p w14:paraId="084F2A71" w14:textId="77777777" w:rsidR="00D86A9D" w:rsidRPr="00500C4E" w:rsidRDefault="00D86A9D" w:rsidP="00175D14">
            <w:pPr>
              <w:rPr>
                <w:rFonts w:cs="Arial"/>
                <w:szCs w:val="20"/>
              </w:rPr>
            </w:pPr>
            <w:r w:rsidRPr="00500C4E">
              <w:rPr>
                <w:rFonts w:cs="Arial"/>
                <w:szCs w:val="20"/>
              </w:rPr>
              <w:t>DEER Version</w:t>
            </w:r>
          </w:p>
        </w:tc>
        <w:tc>
          <w:tcPr>
            <w:tcW w:w="3452" w:type="pct"/>
          </w:tcPr>
          <w:p w14:paraId="601BDBD5" w14:textId="7975413A" w:rsidR="00D86A9D" w:rsidRPr="00500C4E" w:rsidRDefault="00790A93" w:rsidP="00175D14">
            <w:pPr>
              <w:rPr>
                <w:rFonts w:cs="Arial"/>
                <w:color w:val="FF0000"/>
                <w:szCs w:val="20"/>
              </w:rPr>
            </w:pPr>
            <w:r w:rsidRPr="00790A93">
              <w:rPr>
                <w:rFonts w:cstheme="minorHAnsi"/>
                <w:szCs w:val="20"/>
              </w:rPr>
              <w:t>DEER 20</w:t>
            </w:r>
            <w:r w:rsidR="00BA76DF">
              <w:rPr>
                <w:rFonts w:cstheme="minorHAnsi"/>
                <w:szCs w:val="20"/>
              </w:rPr>
              <w:t>19</w:t>
            </w:r>
            <w:r w:rsidR="00D86A9D" w:rsidRPr="002561D0">
              <w:rPr>
                <w:rFonts w:cstheme="minorHAnsi"/>
                <w:szCs w:val="20"/>
              </w:rPr>
              <w:t>, R</w:t>
            </w:r>
            <w:r w:rsidR="002561D0" w:rsidRPr="002561D0">
              <w:rPr>
                <w:rFonts w:cstheme="minorHAnsi"/>
                <w:szCs w:val="20"/>
              </w:rPr>
              <w:t>EADI v2.</w:t>
            </w:r>
            <w:r w:rsidR="00BA76DF">
              <w:rPr>
                <w:rFonts w:cstheme="minorHAnsi"/>
                <w:szCs w:val="20"/>
              </w:rPr>
              <w:t>5.1</w:t>
            </w:r>
          </w:p>
        </w:tc>
      </w:tr>
      <w:tr w:rsidR="00726AD5" w:rsidRPr="00500C4E" w14:paraId="4B8A9B1C" w14:textId="77777777" w:rsidTr="00920905">
        <w:trPr>
          <w:trHeight w:val="20"/>
        </w:trPr>
        <w:tc>
          <w:tcPr>
            <w:tcW w:w="1548" w:type="pct"/>
          </w:tcPr>
          <w:p w14:paraId="0F43AA8E"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31F2D2B8" w14:textId="77777777" w:rsidR="00E326BA" w:rsidRPr="002561D0" w:rsidRDefault="002561D0" w:rsidP="00920905">
            <w:pPr>
              <w:rPr>
                <w:rFonts w:cs="Arial"/>
                <w:szCs w:val="20"/>
              </w:rPr>
            </w:pPr>
            <w:r w:rsidRPr="002561D0">
              <w:rPr>
                <w:rFonts w:cs="Arial"/>
                <w:szCs w:val="20"/>
              </w:rPr>
              <w:t>DEER does not contain embedded water energy savings</w:t>
            </w:r>
            <w:r w:rsidR="009D73F3">
              <w:rPr>
                <w:rFonts w:cs="Arial"/>
                <w:szCs w:val="20"/>
              </w:rPr>
              <w:t xml:space="preserve"> for WEN measures</w:t>
            </w:r>
          </w:p>
        </w:tc>
      </w:tr>
      <w:tr w:rsidR="00726AD5" w:rsidRPr="00500C4E" w14:paraId="37253A67" w14:textId="77777777" w:rsidTr="00920905">
        <w:trPr>
          <w:trHeight w:val="20"/>
        </w:trPr>
        <w:tc>
          <w:tcPr>
            <w:tcW w:w="1548" w:type="pct"/>
          </w:tcPr>
          <w:p w14:paraId="1F6D58D7" w14:textId="77777777"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40F5F783" w14:textId="77777777" w:rsidR="00E326BA" w:rsidRPr="00920905" w:rsidRDefault="002561D0" w:rsidP="00920905">
            <w:pPr>
              <w:rPr>
                <w:rFonts w:cs="Arial"/>
                <w:color w:val="FF0000"/>
                <w:szCs w:val="20"/>
              </w:rPr>
            </w:pPr>
            <w:r w:rsidRPr="002561D0">
              <w:rPr>
                <w:rFonts w:cs="Arial"/>
                <w:szCs w:val="20"/>
              </w:rPr>
              <w:t>N/A</w:t>
            </w:r>
          </w:p>
        </w:tc>
      </w:tr>
    </w:tbl>
    <w:p w14:paraId="2A3E44C8" w14:textId="77777777" w:rsidR="00472250" w:rsidRPr="00500C4E" w:rsidRDefault="00472250" w:rsidP="00920905">
      <w:pPr>
        <w:pStyle w:val="Caption"/>
        <w:keepNext/>
        <w:rPr>
          <w:rFonts w:cstheme="minorHAnsi"/>
          <w:b w:val="0"/>
          <w:i/>
          <w:szCs w:val="22"/>
        </w:rPr>
      </w:pPr>
    </w:p>
    <w:p w14:paraId="5E900657" w14:textId="77777777" w:rsidR="000E4CD1" w:rsidRDefault="000E4CD1" w:rsidP="00472250">
      <w:pPr>
        <w:pStyle w:val="Reminders"/>
        <w:rPr>
          <w:rFonts w:asciiTheme="minorHAnsi" w:hAnsiTheme="minorHAnsi" w:cstheme="minorHAnsi"/>
          <w:b/>
          <w:i w:val="0"/>
          <w:color w:val="auto"/>
          <w:szCs w:val="22"/>
        </w:rPr>
      </w:pPr>
    </w:p>
    <w:p w14:paraId="5A9A1E7D" w14:textId="77777777" w:rsidR="000E4CD1" w:rsidRDefault="000E4CD1" w:rsidP="00472250">
      <w:pPr>
        <w:pStyle w:val="Reminders"/>
        <w:rPr>
          <w:rFonts w:asciiTheme="minorHAnsi" w:hAnsiTheme="minorHAnsi" w:cstheme="minorHAnsi"/>
          <w:b/>
          <w:i w:val="0"/>
          <w:color w:val="auto"/>
          <w:szCs w:val="22"/>
        </w:rPr>
      </w:pPr>
    </w:p>
    <w:p w14:paraId="52A8970F" w14:textId="56501DF5"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lastRenderedPageBreak/>
        <w:t>Net-to-Gross Ratio</w:t>
      </w:r>
    </w:p>
    <w:p w14:paraId="42E770DA" w14:textId="36015238" w:rsidR="00C25EA7" w:rsidRPr="000C04BC" w:rsidRDefault="00C25EA7" w:rsidP="00C25EA7">
      <w:pPr>
        <w:pStyle w:val="Reminders"/>
        <w:rPr>
          <w:rFonts w:asciiTheme="minorHAnsi" w:hAnsiTheme="minorHAnsi" w:cstheme="minorHAnsi"/>
          <w:i w:val="0"/>
          <w:color w:val="auto"/>
          <w:szCs w:val="22"/>
        </w:rPr>
      </w:pPr>
      <w:r w:rsidRPr="000C04BC">
        <w:rPr>
          <w:rFonts w:asciiTheme="minorHAnsi" w:hAnsiTheme="minorHAnsi" w:cstheme="minorHAnsi"/>
          <w:i w:val="0"/>
          <w:color w:val="auto"/>
          <w:szCs w:val="22"/>
        </w:rPr>
        <w:t xml:space="preserve">Where applicable, </w:t>
      </w:r>
      <w:r>
        <w:rPr>
          <w:rFonts w:asciiTheme="minorHAnsi" w:hAnsiTheme="minorHAnsi" w:cstheme="minorHAnsi"/>
          <w:i w:val="0"/>
          <w:color w:val="auto"/>
          <w:szCs w:val="22"/>
        </w:rPr>
        <w:t xml:space="preserve">Rider Measures will use </w:t>
      </w:r>
      <w:r w:rsidRPr="000C04BC">
        <w:rPr>
          <w:rFonts w:asciiTheme="minorHAnsi" w:hAnsiTheme="minorHAnsi" w:cstheme="minorHAnsi"/>
          <w:i w:val="0"/>
          <w:color w:val="auto"/>
          <w:szCs w:val="22"/>
        </w:rPr>
        <w:t xml:space="preserve">DEER </w:t>
      </w:r>
      <w:r w:rsidR="009E2737">
        <w:rPr>
          <w:rFonts w:asciiTheme="minorHAnsi" w:hAnsiTheme="minorHAnsi" w:cstheme="minorHAnsi"/>
          <w:i w:val="0"/>
          <w:color w:val="auto"/>
          <w:szCs w:val="22"/>
        </w:rPr>
        <w:t xml:space="preserve">cost-effectiveness values, including </w:t>
      </w:r>
      <w:r>
        <w:rPr>
          <w:rFonts w:asciiTheme="minorHAnsi" w:hAnsiTheme="minorHAnsi" w:cstheme="minorHAnsi"/>
          <w:i w:val="0"/>
          <w:color w:val="auto"/>
          <w:szCs w:val="22"/>
        </w:rPr>
        <w:t>Net-to-Gross (NTG) values</w:t>
      </w:r>
      <w:r w:rsidR="009E2737">
        <w:rPr>
          <w:rFonts w:asciiTheme="minorHAnsi" w:hAnsiTheme="minorHAnsi" w:cstheme="minorHAnsi"/>
          <w:i w:val="0"/>
          <w:color w:val="auto"/>
          <w:szCs w:val="22"/>
        </w:rPr>
        <w:t>,</w:t>
      </w:r>
      <w:r>
        <w:rPr>
          <w:rFonts w:asciiTheme="minorHAnsi" w:hAnsiTheme="minorHAnsi" w:cstheme="minorHAnsi"/>
          <w:i w:val="0"/>
          <w:color w:val="auto"/>
          <w:szCs w:val="22"/>
        </w:rPr>
        <w:t xml:space="preserve"> first. When Rider Measures are not found in DEER (i.e. toilets)</w:t>
      </w:r>
      <w:r w:rsidRPr="000C04BC">
        <w:rPr>
          <w:rFonts w:asciiTheme="minorHAnsi" w:hAnsiTheme="minorHAnsi" w:cstheme="minorHAnsi"/>
          <w:i w:val="0"/>
          <w:color w:val="auto"/>
          <w:szCs w:val="22"/>
        </w:rPr>
        <w:t xml:space="preserve"> then Metropolitan </w:t>
      </w:r>
      <w:r>
        <w:rPr>
          <w:rFonts w:asciiTheme="minorHAnsi" w:hAnsiTheme="minorHAnsi" w:cstheme="minorHAnsi"/>
          <w:i w:val="0"/>
          <w:color w:val="auto"/>
          <w:szCs w:val="22"/>
        </w:rPr>
        <w:t xml:space="preserve">Water District’s (MWD) NTG values are used. When both DEER and MWD parameters are not available, then NTG values derived from </w:t>
      </w:r>
      <w:r w:rsidRPr="000C04BC">
        <w:rPr>
          <w:rFonts w:asciiTheme="minorHAnsi" w:hAnsiTheme="minorHAnsi" w:cstheme="minorHAnsi"/>
          <w:i w:val="0"/>
          <w:color w:val="auto"/>
          <w:szCs w:val="22"/>
        </w:rPr>
        <w:t xml:space="preserve">the </w:t>
      </w:r>
      <w:r>
        <w:rPr>
          <w:rFonts w:asciiTheme="minorHAnsi" w:hAnsiTheme="minorHAnsi" w:cstheme="minorHAnsi"/>
          <w:i w:val="0"/>
          <w:color w:val="auto"/>
          <w:szCs w:val="22"/>
        </w:rPr>
        <w:t>California Public Utility Commission (</w:t>
      </w:r>
      <w:r w:rsidRPr="000C04BC">
        <w:rPr>
          <w:rFonts w:asciiTheme="minorHAnsi" w:hAnsiTheme="minorHAnsi" w:cstheme="minorHAnsi"/>
          <w:i w:val="0"/>
          <w:color w:val="auto"/>
          <w:szCs w:val="22"/>
        </w:rPr>
        <w:t>CPUC</w:t>
      </w:r>
      <w:r>
        <w:rPr>
          <w:rFonts w:asciiTheme="minorHAnsi" w:hAnsiTheme="minorHAnsi" w:cstheme="minorHAnsi"/>
          <w:i w:val="0"/>
          <w:color w:val="auto"/>
          <w:szCs w:val="22"/>
        </w:rPr>
        <w:t>)</w:t>
      </w:r>
      <w:r w:rsidRPr="000C04BC">
        <w:rPr>
          <w:rFonts w:asciiTheme="minorHAnsi" w:hAnsiTheme="minorHAnsi" w:cstheme="minorHAnsi"/>
          <w:i w:val="0"/>
          <w:color w:val="auto"/>
          <w:szCs w:val="22"/>
        </w:rPr>
        <w:t xml:space="preserve"> Decision D.15-09-023</w:t>
      </w:r>
      <w:r>
        <w:rPr>
          <w:rFonts w:asciiTheme="minorHAnsi" w:hAnsiTheme="minorHAnsi" w:cstheme="minorHAnsi"/>
          <w:i w:val="0"/>
          <w:color w:val="auto"/>
          <w:szCs w:val="22"/>
        </w:rPr>
        <w:t xml:space="preserve"> are used to </w:t>
      </w:r>
      <w:r w:rsidR="00EA5869">
        <w:rPr>
          <w:rFonts w:asciiTheme="minorHAnsi" w:hAnsiTheme="minorHAnsi" w:cstheme="minorHAnsi"/>
          <w:i w:val="0"/>
          <w:color w:val="auto"/>
          <w:szCs w:val="22"/>
        </w:rPr>
        <w:t xml:space="preserve">establish </w:t>
      </w:r>
      <w:r w:rsidR="009E2737">
        <w:rPr>
          <w:rFonts w:asciiTheme="minorHAnsi" w:hAnsiTheme="minorHAnsi" w:cstheme="minorHAnsi"/>
          <w:i w:val="0"/>
          <w:color w:val="auto"/>
          <w:szCs w:val="22"/>
        </w:rPr>
        <w:t>free ridership</w:t>
      </w:r>
      <w:r w:rsidRPr="000C04BC">
        <w:rPr>
          <w:rFonts w:asciiTheme="minorHAnsi" w:hAnsiTheme="minorHAnsi" w:cstheme="minorHAnsi"/>
          <w:i w:val="0"/>
          <w:color w:val="auto"/>
          <w:szCs w:val="22"/>
        </w:rPr>
        <w:t xml:space="preserve">. </w:t>
      </w:r>
    </w:p>
    <w:p w14:paraId="43E128BF" w14:textId="77777777" w:rsidR="00C25EA7" w:rsidRPr="000C04BC" w:rsidRDefault="00C25EA7" w:rsidP="00C25EA7">
      <w:pPr>
        <w:pStyle w:val="Reminders"/>
        <w:rPr>
          <w:rFonts w:asciiTheme="minorHAnsi" w:hAnsiTheme="minorHAnsi" w:cstheme="minorHAnsi"/>
          <w:i w:val="0"/>
          <w:color w:val="auto"/>
          <w:szCs w:val="22"/>
        </w:rPr>
      </w:pPr>
    </w:p>
    <w:p w14:paraId="1D2894E6" w14:textId="77777777" w:rsidR="00E803F5" w:rsidRDefault="00C25EA7" w:rsidP="00F64931">
      <w:pPr>
        <w:pStyle w:val="Reminders"/>
        <w:rPr>
          <w:rFonts w:asciiTheme="minorHAnsi" w:hAnsiTheme="minorHAnsi" w:cstheme="minorHAnsi"/>
          <w:i w:val="0"/>
          <w:color w:val="auto"/>
          <w:szCs w:val="22"/>
        </w:rPr>
      </w:pPr>
      <w:r w:rsidRPr="000C04BC">
        <w:rPr>
          <w:rFonts w:asciiTheme="minorHAnsi" w:hAnsiTheme="minorHAnsi" w:cstheme="minorHAnsi"/>
          <w:i w:val="0"/>
          <w:color w:val="auto"/>
          <w:szCs w:val="22"/>
        </w:rPr>
        <w:t xml:space="preserve">For example, for all </w:t>
      </w:r>
      <w:r w:rsidR="009E2737">
        <w:rPr>
          <w:rFonts w:asciiTheme="minorHAnsi" w:hAnsiTheme="minorHAnsi" w:cstheme="minorHAnsi"/>
          <w:i w:val="0"/>
          <w:color w:val="auto"/>
          <w:szCs w:val="22"/>
        </w:rPr>
        <w:t xml:space="preserve">existing </w:t>
      </w:r>
      <w:r w:rsidRPr="000C04BC">
        <w:rPr>
          <w:rFonts w:asciiTheme="minorHAnsi" w:hAnsiTheme="minorHAnsi" w:cstheme="minorHAnsi"/>
          <w:i w:val="0"/>
          <w:color w:val="auto"/>
          <w:szCs w:val="22"/>
        </w:rPr>
        <w:t xml:space="preserve">direct energy savings </w:t>
      </w:r>
      <w:r>
        <w:rPr>
          <w:rFonts w:asciiTheme="minorHAnsi" w:hAnsiTheme="minorHAnsi" w:cstheme="minorHAnsi"/>
          <w:i w:val="0"/>
          <w:color w:val="auto"/>
          <w:szCs w:val="22"/>
        </w:rPr>
        <w:t>Rider M</w:t>
      </w:r>
      <w:r w:rsidRPr="000C04BC">
        <w:rPr>
          <w:rFonts w:asciiTheme="minorHAnsi" w:hAnsiTheme="minorHAnsi" w:cstheme="minorHAnsi"/>
          <w:i w:val="0"/>
          <w:color w:val="auto"/>
          <w:szCs w:val="22"/>
        </w:rPr>
        <w:t>easures in DEER</w:t>
      </w:r>
      <w:r w:rsidR="009E2737">
        <w:rPr>
          <w:rFonts w:asciiTheme="minorHAnsi" w:hAnsiTheme="minorHAnsi" w:cstheme="minorHAnsi"/>
          <w:i w:val="0"/>
          <w:color w:val="auto"/>
          <w:szCs w:val="22"/>
        </w:rPr>
        <w:t>, such as a showerhead that has</w:t>
      </w:r>
      <w:r w:rsidRPr="000C04BC">
        <w:rPr>
          <w:rFonts w:asciiTheme="minorHAnsi" w:hAnsiTheme="minorHAnsi" w:cstheme="minorHAnsi"/>
          <w:i w:val="0"/>
          <w:color w:val="auto"/>
          <w:szCs w:val="22"/>
        </w:rPr>
        <w:t xml:space="preserve"> a water </w:t>
      </w:r>
      <w:r w:rsidR="009E2737">
        <w:rPr>
          <w:rFonts w:asciiTheme="minorHAnsi" w:hAnsiTheme="minorHAnsi" w:cstheme="minorHAnsi"/>
          <w:i w:val="0"/>
          <w:color w:val="auto"/>
          <w:szCs w:val="22"/>
        </w:rPr>
        <w:t xml:space="preserve">savings </w:t>
      </w:r>
      <w:r w:rsidRPr="000C04BC">
        <w:rPr>
          <w:rFonts w:asciiTheme="minorHAnsi" w:hAnsiTheme="minorHAnsi" w:cstheme="minorHAnsi"/>
          <w:i w:val="0"/>
          <w:color w:val="auto"/>
          <w:szCs w:val="22"/>
        </w:rPr>
        <w:t xml:space="preserve">component, the NTG from </w:t>
      </w:r>
      <w:r w:rsidR="00EA5869">
        <w:rPr>
          <w:rFonts w:asciiTheme="minorHAnsi" w:hAnsiTheme="minorHAnsi" w:cstheme="minorHAnsi"/>
          <w:i w:val="0"/>
          <w:color w:val="auto"/>
          <w:szCs w:val="22"/>
        </w:rPr>
        <w:t xml:space="preserve">the </w:t>
      </w:r>
      <w:r w:rsidR="009E2737">
        <w:rPr>
          <w:rFonts w:asciiTheme="minorHAnsi" w:hAnsiTheme="minorHAnsi" w:cstheme="minorHAnsi"/>
          <w:i w:val="0"/>
          <w:color w:val="auto"/>
          <w:szCs w:val="22"/>
        </w:rPr>
        <w:t>showerhead energy wp (0.55) will be used</w:t>
      </w:r>
      <w:r w:rsidRPr="000C04BC">
        <w:rPr>
          <w:rFonts w:asciiTheme="minorHAnsi" w:hAnsiTheme="minorHAnsi" w:cstheme="minorHAnsi"/>
          <w:i w:val="0"/>
          <w:color w:val="auto"/>
          <w:szCs w:val="22"/>
        </w:rPr>
        <w:t xml:space="preserve"> for the embedded energy component</w:t>
      </w:r>
      <w:r w:rsidR="009E2737">
        <w:rPr>
          <w:rFonts w:asciiTheme="minorHAnsi" w:hAnsiTheme="minorHAnsi" w:cstheme="minorHAnsi"/>
          <w:i w:val="0"/>
          <w:color w:val="auto"/>
          <w:szCs w:val="22"/>
        </w:rPr>
        <w:t xml:space="preserve"> </w:t>
      </w:r>
      <w:r w:rsidRPr="000C04BC">
        <w:rPr>
          <w:rFonts w:asciiTheme="minorHAnsi" w:hAnsiTheme="minorHAnsi" w:cstheme="minorHAnsi"/>
          <w:i w:val="0"/>
          <w:color w:val="auto"/>
          <w:szCs w:val="22"/>
        </w:rPr>
        <w:t xml:space="preserve">and not the </w:t>
      </w:r>
      <w:r w:rsidR="009E2737">
        <w:rPr>
          <w:rFonts w:asciiTheme="minorHAnsi" w:hAnsiTheme="minorHAnsi" w:cstheme="minorHAnsi"/>
          <w:i w:val="0"/>
          <w:color w:val="auto"/>
          <w:szCs w:val="22"/>
        </w:rPr>
        <w:t>default (</w:t>
      </w:r>
      <w:r w:rsidRPr="000C04BC">
        <w:rPr>
          <w:rFonts w:asciiTheme="minorHAnsi" w:hAnsiTheme="minorHAnsi" w:cstheme="minorHAnsi"/>
          <w:i w:val="0"/>
          <w:color w:val="auto"/>
          <w:szCs w:val="22"/>
        </w:rPr>
        <w:t>0.85</w:t>
      </w:r>
      <w:r w:rsidR="009E2737">
        <w:rPr>
          <w:rFonts w:asciiTheme="minorHAnsi" w:hAnsiTheme="minorHAnsi" w:cstheme="minorHAnsi"/>
          <w:i w:val="0"/>
          <w:color w:val="auto"/>
          <w:szCs w:val="22"/>
        </w:rPr>
        <w:t>)</w:t>
      </w:r>
      <w:r>
        <w:rPr>
          <w:rFonts w:asciiTheme="minorHAnsi" w:hAnsiTheme="minorHAnsi" w:cstheme="minorHAnsi"/>
          <w:i w:val="0"/>
          <w:color w:val="auto"/>
          <w:szCs w:val="22"/>
        </w:rPr>
        <w:t xml:space="preserve"> </w:t>
      </w:r>
      <w:r w:rsidR="009E2737">
        <w:rPr>
          <w:rFonts w:asciiTheme="minorHAnsi" w:hAnsiTheme="minorHAnsi" w:cstheme="minorHAnsi"/>
          <w:i w:val="0"/>
          <w:color w:val="auto"/>
          <w:szCs w:val="22"/>
        </w:rPr>
        <w:t>NTG value taken</w:t>
      </w:r>
      <w:r>
        <w:rPr>
          <w:rFonts w:asciiTheme="minorHAnsi" w:hAnsiTheme="minorHAnsi" w:cstheme="minorHAnsi"/>
          <w:i w:val="0"/>
          <w:color w:val="auto"/>
          <w:szCs w:val="22"/>
        </w:rPr>
        <w:t xml:space="preserve"> from </w:t>
      </w:r>
      <w:r w:rsidRPr="000C04BC">
        <w:rPr>
          <w:rFonts w:asciiTheme="minorHAnsi" w:hAnsiTheme="minorHAnsi" w:cstheme="minorHAnsi"/>
          <w:i w:val="0"/>
          <w:color w:val="auto"/>
          <w:szCs w:val="22"/>
        </w:rPr>
        <w:t xml:space="preserve">Decision D.15-09-023. </w:t>
      </w:r>
      <w:r>
        <w:rPr>
          <w:rFonts w:asciiTheme="minorHAnsi" w:hAnsiTheme="minorHAnsi" w:cstheme="minorHAnsi"/>
          <w:i w:val="0"/>
          <w:color w:val="auto"/>
          <w:szCs w:val="22"/>
        </w:rPr>
        <w:t>I</w:t>
      </w:r>
      <w:r w:rsidRPr="000C04BC">
        <w:rPr>
          <w:rFonts w:asciiTheme="minorHAnsi" w:hAnsiTheme="minorHAnsi" w:cstheme="minorHAnsi"/>
          <w:i w:val="0"/>
          <w:color w:val="auto"/>
          <w:szCs w:val="22"/>
        </w:rPr>
        <w:t xml:space="preserve">f the </w:t>
      </w:r>
      <w:r>
        <w:rPr>
          <w:rFonts w:asciiTheme="minorHAnsi" w:hAnsiTheme="minorHAnsi" w:cstheme="minorHAnsi"/>
          <w:i w:val="0"/>
          <w:color w:val="auto"/>
          <w:szCs w:val="22"/>
        </w:rPr>
        <w:t>Rider M</w:t>
      </w:r>
      <w:r w:rsidRPr="000C04BC">
        <w:rPr>
          <w:rFonts w:asciiTheme="minorHAnsi" w:hAnsiTheme="minorHAnsi" w:cstheme="minorHAnsi"/>
          <w:i w:val="0"/>
          <w:color w:val="auto"/>
          <w:szCs w:val="22"/>
        </w:rPr>
        <w:t>easure does not have a direct NTG counterpart currently in DEER, then the MWD NTG</w:t>
      </w:r>
      <w:r w:rsidR="009E2737">
        <w:rPr>
          <w:rFonts w:asciiTheme="minorHAnsi" w:hAnsiTheme="minorHAnsi" w:cstheme="minorHAnsi"/>
          <w:i w:val="0"/>
          <w:color w:val="auto"/>
          <w:szCs w:val="22"/>
        </w:rPr>
        <w:t xml:space="preserve"> value</w:t>
      </w:r>
      <w:r w:rsidRPr="000C04BC">
        <w:rPr>
          <w:rFonts w:asciiTheme="minorHAnsi" w:hAnsiTheme="minorHAnsi" w:cstheme="minorHAnsi"/>
          <w:i w:val="0"/>
          <w:color w:val="auto"/>
          <w:szCs w:val="22"/>
        </w:rPr>
        <w:t xml:space="preserve"> would apply. </w:t>
      </w:r>
    </w:p>
    <w:p w14:paraId="41739A6C" w14:textId="77777777" w:rsidR="00E803F5" w:rsidRDefault="00E803F5" w:rsidP="00F64931">
      <w:pPr>
        <w:pStyle w:val="Reminders"/>
        <w:rPr>
          <w:rFonts w:asciiTheme="minorHAnsi" w:hAnsiTheme="minorHAnsi" w:cstheme="minorHAnsi"/>
          <w:i w:val="0"/>
          <w:color w:val="auto"/>
          <w:szCs w:val="22"/>
        </w:rPr>
      </w:pPr>
    </w:p>
    <w:p w14:paraId="01844D3F" w14:textId="3D543715" w:rsidR="00776257" w:rsidRDefault="00C25EA7" w:rsidP="00F64931">
      <w:pPr>
        <w:pStyle w:val="Reminders"/>
        <w:rPr>
          <w:rFonts w:asciiTheme="minorHAnsi" w:hAnsiTheme="minorHAnsi" w:cstheme="minorHAnsi"/>
          <w:i w:val="0"/>
          <w:color w:val="auto"/>
          <w:szCs w:val="22"/>
        </w:rPr>
      </w:pPr>
      <w:r w:rsidRPr="000C04BC">
        <w:rPr>
          <w:rFonts w:asciiTheme="minorHAnsi" w:hAnsiTheme="minorHAnsi" w:cstheme="minorHAnsi"/>
          <w:i w:val="0"/>
          <w:color w:val="auto"/>
          <w:szCs w:val="22"/>
        </w:rPr>
        <w:t>In situations</w:t>
      </w:r>
      <w:r w:rsidR="00EA5869">
        <w:rPr>
          <w:rFonts w:asciiTheme="minorHAnsi" w:hAnsiTheme="minorHAnsi" w:cstheme="minorHAnsi"/>
          <w:i w:val="0"/>
          <w:color w:val="auto"/>
          <w:szCs w:val="22"/>
        </w:rPr>
        <w:t xml:space="preserve"> where</w:t>
      </w:r>
      <w:r w:rsidRPr="000C04BC">
        <w:rPr>
          <w:rFonts w:asciiTheme="minorHAnsi" w:hAnsiTheme="minorHAnsi" w:cstheme="minorHAnsi"/>
          <w:i w:val="0"/>
          <w:color w:val="auto"/>
          <w:szCs w:val="22"/>
        </w:rPr>
        <w:t xml:space="preserve"> </w:t>
      </w:r>
      <w:r w:rsidR="00F64931">
        <w:rPr>
          <w:rFonts w:asciiTheme="minorHAnsi" w:hAnsiTheme="minorHAnsi" w:cstheme="minorHAnsi"/>
          <w:i w:val="0"/>
          <w:color w:val="auto"/>
          <w:szCs w:val="22"/>
        </w:rPr>
        <w:t>new water-energy measures are introduced or when</w:t>
      </w:r>
      <w:r w:rsidRPr="000C04BC">
        <w:rPr>
          <w:rFonts w:asciiTheme="minorHAnsi" w:hAnsiTheme="minorHAnsi" w:cstheme="minorHAnsi"/>
          <w:i w:val="0"/>
          <w:color w:val="auto"/>
          <w:szCs w:val="22"/>
        </w:rPr>
        <w:t xml:space="preserve"> both DEER and MWD NTG values are unavailable, then Decision D.15-09-023 would then apply and locks in a default NTG ratio of 0.85 (OP-7).</w:t>
      </w:r>
      <w:r w:rsidR="00F64931">
        <w:rPr>
          <w:rFonts w:asciiTheme="minorHAnsi" w:hAnsiTheme="minorHAnsi" w:cstheme="minorHAnsi"/>
          <w:i w:val="0"/>
          <w:color w:val="auto"/>
          <w:szCs w:val="22"/>
        </w:rPr>
        <w:t xml:space="preserve"> Thus, MWD WEN Measures that do not have a direct NTG counterpart currently in DEER and </w:t>
      </w:r>
      <w:r w:rsidR="00EA5869">
        <w:rPr>
          <w:rFonts w:asciiTheme="minorHAnsi" w:hAnsiTheme="minorHAnsi" w:cstheme="minorHAnsi"/>
          <w:i w:val="0"/>
          <w:color w:val="auto"/>
          <w:szCs w:val="22"/>
        </w:rPr>
        <w:t xml:space="preserve">where </w:t>
      </w:r>
      <w:r w:rsidR="00F64931">
        <w:rPr>
          <w:rFonts w:asciiTheme="minorHAnsi" w:hAnsiTheme="minorHAnsi" w:cstheme="minorHAnsi"/>
          <w:i w:val="0"/>
          <w:color w:val="auto"/>
          <w:szCs w:val="22"/>
        </w:rPr>
        <w:t xml:space="preserve">MWD does not provide </w:t>
      </w:r>
      <w:r w:rsidR="00ED797B">
        <w:rPr>
          <w:rFonts w:asciiTheme="minorHAnsi" w:hAnsiTheme="minorHAnsi" w:cstheme="minorHAnsi"/>
          <w:i w:val="0"/>
          <w:color w:val="auto"/>
          <w:szCs w:val="22"/>
        </w:rPr>
        <w:t>an</w:t>
      </w:r>
      <w:r w:rsidR="00F64931">
        <w:rPr>
          <w:rFonts w:asciiTheme="minorHAnsi" w:hAnsiTheme="minorHAnsi" w:cstheme="minorHAnsi"/>
          <w:i w:val="0"/>
          <w:color w:val="auto"/>
          <w:szCs w:val="22"/>
        </w:rPr>
        <w:t xml:space="preserve"> NTG value, a 0.85 NTG will be assigned to that MWD WEN Measure.</w:t>
      </w:r>
      <w:r w:rsidR="00E803F5">
        <w:rPr>
          <w:rFonts w:asciiTheme="minorHAnsi" w:hAnsiTheme="minorHAnsi" w:cstheme="minorHAnsi"/>
          <w:i w:val="0"/>
          <w:color w:val="auto"/>
          <w:szCs w:val="22"/>
        </w:rPr>
        <w:t xml:space="preserve"> </w:t>
      </w:r>
    </w:p>
    <w:p w14:paraId="0D931AD0" w14:textId="77777777" w:rsidR="00776257" w:rsidRDefault="00776257" w:rsidP="00F64931">
      <w:pPr>
        <w:pStyle w:val="Reminders"/>
        <w:rPr>
          <w:rFonts w:asciiTheme="minorHAnsi" w:hAnsiTheme="minorHAnsi" w:cstheme="minorHAnsi"/>
          <w:i w:val="0"/>
          <w:color w:val="auto"/>
          <w:szCs w:val="22"/>
        </w:rPr>
      </w:pPr>
    </w:p>
    <w:p w14:paraId="686D424B" w14:textId="0CE30388" w:rsidR="00E803F5" w:rsidRDefault="00900127" w:rsidP="00F64931">
      <w:pPr>
        <w:pStyle w:val="Reminders"/>
        <w:rPr>
          <w:rFonts w:asciiTheme="minorHAnsi" w:hAnsiTheme="minorHAnsi" w:cstheme="minorHAnsi"/>
          <w:i w:val="0"/>
          <w:color w:val="auto"/>
          <w:szCs w:val="22"/>
        </w:rPr>
      </w:pPr>
      <w:r w:rsidRPr="00900127">
        <w:rPr>
          <w:rFonts w:asciiTheme="minorHAnsi" w:hAnsiTheme="minorHAnsi" w:cstheme="minorHAnsi"/>
          <w:b/>
          <w:bCs/>
          <w:i w:val="0"/>
          <w:color w:val="auto"/>
          <w:szCs w:val="22"/>
        </w:rPr>
        <w:fldChar w:fldCharType="begin"/>
      </w:r>
      <w:r w:rsidRPr="00900127">
        <w:rPr>
          <w:rFonts w:asciiTheme="minorHAnsi" w:hAnsiTheme="minorHAnsi" w:cstheme="minorHAnsi"/>
          <w:b/>
          <w:bCs/>
          <w:i w:val="0"/>
          <w:color w:val="auto"/>
          <w:szCs w:val="22"/>
        </w:rPr>
        <w:instrText xml:space="preserve"> REF _Ref19592155 \h  \* MERGEFORMAT </w:instrText>
      </w:r>
      <w:r w:rsidRPr="00900127">
        <w:rPr>
          <w:rFonts w:asciiTheme="minorHAnsi" w:hAnsiTheme="minorHAnsi" w:cstheme="minorHAnsi"/>
          <w:b/>
          <w:bCs/>
          <w:i w:val="0"/>
          <w:color w:val="auto"/>
          <w:szCs w:val="22"/>
        </w:rPr>
      </w:r>
      <w:r w:rsidRPr="00900127">
        <w:rPr>
          <w:rFonts w:asciiTheme="minorHAnsi" w:hAnsiTheme="minorHAnsi" w:cstheme="minorHAnsi"/>
          <w:b/>
          <w:bCs/>
          <w:i w:val="0"/>
          <w:color w:val="auto"/>
          <w:szCs w:val="22"/>
        </w:rPr>
        <w:fldChar w:fldCharType="separate"/>
      </w:r>
      <w:r w:rsidRPr="00900127">
        <w:rPr>
          <w:rFonts w:asciiTheme="minorHAnsi" w:hAnsiTheme="minorHAnsi" w:cstheme="minorHAnsi"/>
          <w:b/>
          <w:bCs/>
          <w:i w:val="0"/>
          <w:color w:val="auto"/>
          <w:szCs w:val="22"/>
        </w:rPr>
        <w:t>Table 4</w:t>
      </w:r>
      <w:r w:rsidRPr="00900127">
        <w:rPr>
          <w:rFonts w:asciiTheme="minorHAnsi" w:hAnsiTheme="minorHAnsi" w:cstheme="minorHAnsi"/>
          <w:b/>
          <w:bCs/>
          <w:i w:val="0"/>
          <w:color w:val="auto"/>
          <w:szCs w:val="22"/>
        </w:rPr>
        <w:fldChar w:fldCharType="end"/>
      </w:r>
      <w:r w:rsidR="00E803F5" w:rsidRPr="00E803F5">
        <w:rPr>
          <w:rFonts w:asciiTheme="minorHAnsi" w:hAnsiTheme="minorHAnsi" w:cstheme="minorHAnsi"/>
          <w:b/>
          <w:i w:val="0"/>
          <w:color w:val="auto"/>
          <w:szCs w:val="22"/>
        </w:rPr>
        <w:t xml:space="preserve"> </w:t>
      </w:r>
      <w:r w:rsidR="00E803F5">
        <w:rPr>
          <w:rFonts w:asciiTheme="minorHAnsi" w:hAnsiTheme="minorHAnsi" w:cstheme="minorHAnsi"/>
          <w:i w:val="0"/>
          <w:color w:val="auto"/>
          <w:szCs w:val="22"/>
        </w:rPr>
        <w:t xml:space="preserve">illustrates </w:t>
      </w:r>
      <w:r w:rsidR="00FF78B8">
        <w:rPr>
          <w:rFonts w:asciiTheme="minorHAnsi" w:hAnsiTheme="minorHAnsi" w:cstheme="minorHAnsi"/>
          <w:i w:val="0"/>
          <w:color w:val="auto"/>
          <w:szCs w:val="22"/>
        </w:rPr>
        <w:t xml:space="preserve">the first </w:t>
      </w:r>
      <w:r w:rsidR="006E579D">
        <w:rPr>
          <w:rFonts w:asciiTheme="minorHAnsi" w:hAnsiTheme="minorHAnsi" w:cstheme="minorHAnsi"/>
          <w:i w:val="0"/>
          <w:color w:val="auto"/>
          <w:szCs w:val="22"/>
        </w:rPr>
        <w:t xml:space="preserve">ten (10) </w:t>
      </w:r>
      <w:r w:rsidR="00FF78B8">
        <w:rPr>
          <w:rFonts w:asciiTheme="minorHAnsi" w:hAnsiTheme="minorHAnsi" w:cstheme="minorHAnsi"/>
          <w:i w:val="0"/>
          <w:color w:val="auto"/>
          <w:szCs w:val="22"/>
        </w:rPr>
        <w:t xml:space="preserve">IOU WEN </w:t>
      </w:r>
      <w:r w:rsidR="00E803F5">
        <w:rPr>
          <w:rFonts w:asciiTheme="minorHAnsi" w:hAnsiTheme="minorHAnsi" w:cstheme="minorHAnsi"/>
          <w:i w:val="0"/>
          <w:color w:val="auto"/>
          <w:szCs w:val="22"/>
        </w:rPr>
        <w:t>Rider Measures that will use DEER NTG values based on existing approved energy wps.</w:t>
      </w:r>
      <w:r w:rsidR="00776257">
        <w:rPr>
          <w:rFonts w:asciiTheme="minorHAnsi" w:hAnsiTheme="minorHAnsi" w:cstheme="minorHAnsi"/>
          <w:i w:val="0"/>
          <w:color w:val="auto"/>
          <w:szCs w:val="22"/>
        </w:rPr>
        <w:t xml:space="preserve"> </w:t>
      </w:r>
      <w:r w:rsidR="00FF78B8">
        <w:rPr>
          <w:rFonts w:asciiTheme="minorHAnsi" w:hAnsiTheme="minorHAnsi" w:cstheme="minorHAnsi"/>
          <w:i w:val="0"/>
          <w:color w:val="auto"/>
          <w:szCs w:val="22"/>
        </w:rPr>
        <w:t>The complete list of</w:t>
      </w:r>
      <w:r w:rsidR="006E579D">
        <w:rPr>
          <w:rFonts w:asciiTheme="minorHAnsi" w:hAnsiTheme="minorHAnsi" w:cstheme="minorHAnsi"/>
          <w:i w:val="0"/>
          <w:color w:val="auto"/>
          <w:szCs w:val="22"/>
        </w:rPr>
        <w:t xml:space="preserve"> IOU WEN Rider Measures can be found </w:t>
      </w:r>
      <w:r w:rsidR="001B1C12">
        <w:rPr>
          <w:rFonts w:asciiTheme="minorHAnsi" w:hAnsiTheme="minorHAnsi" w:cstheme="minorHAnsi"/>
          <w:i w:val="0"/>
          <w:color w:val="auto"/>
          <w:szCs w:val="22"/>
        </w:rPr>
        <w:t xml:space="preserve">in the </w:t>
      </w:r>
      <w:r w:rsidR="001B1C12" w:rsidRPr="001B1C12">
        <w:rPr>
          <w:rFonts w:asciiTheme="minorHAnsi" w:hAnsiTheme="minorHAnsi"/>
          <w:i w:val="0"/>
          <w:iCs/>
          <w:color w:val="auto"/>
        </w:rPr>
        <w:t>2019-09-17 WEN Measures List 2019 – FINAL.xlsx included with the workpaper upload onto the workpaper archive (WPA) website</w:t>
      </w:r>
      <w:r w:rsidR="001B1C12">
        <w:rPr>
          <w:rFonts w:asciiTheme="minorHAnsi" w:hAnsiTheme="minorHAnsi"/>
          <w:color w:val="auto"/>
        </w:rPr>
        <w:t>.</w:t>
      </w:r>
      <w:r w:rsidR="001B1C12">
        <w:rPr>
          <w:rFonts w:asciiTheme="minorHAnsi" w:hAnsiTheme="minorHAnsi" w:cstheme="minorHAnsi"/>
          <w:i w:val="0"/>
          <w:color w:val="auto"/>
          <w:szCs w:val="22"/>
        </w:rPr>
        <w:t xml:space="preserve"> </w:t>
      </w:r>
      <w:r w:rsidR="00776257">
        <w:rPr>
          <w:rFonts w:asciiTheme="minorHAnsi" w:hAnsiTheme="minorHAnsi" w:cstheme="minorHAnsi"/>
          <w:i w:val="0"/>
          <w:color w:val="auto"/>
          <w:szCs w:val="22"/>
        </w:rPr>
        <w:t>The MWD WEN Measures do not have a direct NTG currently in DEER and MWD does not provide NTG values for these measures at this time. Thus, these measures will be assigned a 0.85 NTG for cost-effectiveness calculation purposes.</w:t>
      </w:r>
    </w:p>
    <w:p w14:paraId="4CEBFB11" w14:textId="77777777" w:rsidR="00F170E2" w:rsidRDefault="00F170E2" w:rsidP="00E004FC">
      <w:pPr>
        <w:pStyle w:val="Caption"/>
        <w:jc w:val="center"/>
      </w:pPr>
      <w:bookmarkStart w:id="13" w:name="_Ref19592155"/>
    </w:p>
    <w:p w14:paraId="3B08635B" w14:textId="3A1EDC08" w:rsidR="00E004FC" w:rsidRPr="00920905" w:rsidRDefault="00E004FC" w:rsidP="00E004FC">
      <w:pPr>
        <w:pStyle w:val="Caption"/>
        <w:jc w:val="center"/>
      </w:pPr>
      <w:r>
        <w:t xml:space="preserve">Table </w:t>
      </w:r>
      <w:r w:rsidR="00054031">
        <w:fldChar w:fldCharType="begin"/>
      </w:r>
      <w:r w:rsidR="00054031">
        <w:instrText xml:space="preserve"> SEQ Table \* ARABIC </w:instrText>
      </w:r>
      <w:r w:rsidR="00054031">
        <w:fldChar w:fldCharType="separate"/>
      </w:r>
      <w:r w:rsidR="00602E9A">
        <w:rPr>
          <w:noProof/>
        </w:rPr>
        <w:t>4</w:t>
      </w:r>
      <w:r w:rsidR="00054031">
        <w:rPr>
          <w:noProof/>
        </w:rPr>
        <w:fldChar w:fldCharType="end"/>
      </w:r>
      <w:bookmarkEnd w:id="13"/>
      <w:r w:rsidR="00B47A09">
        <w:rPr>
          <w:noProof/>
        </w:rPr>
        <w:t>:</w:t>
      </w:r>
      <w:r>
        <w:t xml:space="preserve"> Net to Gross Ratio </w:t>
      </w:r>
      <w:r w:rsidR="00463CEF">
        <w:t>Table</w:t>
      </w:r>
      <w:r w:rsidR="00776257">
        <w:t xml:space="preserve"> for Rider Measures Using Existing Energy WPs  </w:t>
      </w:r>
    </w:p>
    <w:tbl>
      <w:tblPr>
        <w:tblStyle w:val="TableGrid1"/>
        <w:tblW w:w="5000" w:type="pct"/>
        <w:tblLayout w:type="fixed"/>
        <w:tblLook w:val="01E0" w:firstRow="1" w:lastRow="1" w:firstColumn="1" w:lastColumn="1" w:noHBand="0" w:noVBand="0"/>
      </w:tblPr>
      <w:tblGrid>
        <w:gridCol w:w="1110"/>
        <w:gridCol w:w="1109"/>
        <w:gridCol w:w="3020"/>
        <w:gridCol w:w="929"/>
        <w:gridCol w:w="1057"/>
        <w:gridCol w:w="1416"/>
        <w:gridCol w:w="709"/>
      </w:tblGrid>
      <w:tr w:rsidR="00F82F9E" w:rsidRPr="00500C4E" w14:paraId="4D38D6A5" w14:textId="77777777" w:rsidTr="005324EA">
        <w:trPr>
          <w:tblHeader/>
        </w:trPr>
        <w:tc>
          <w:tcPr>
            <w:tcW w:w="594" w:type="pct"/>
            <w:shd w:val="clear" w:color="auto" w:fill="D9D9D9" w:themeFill="background1" w:themeFillShade="D9"/>
            <w:vAlign w:val="center"/>
          </w:tcPr>
          <w:p w14:paraId="475E221E" w14:textId="331564F9" w:rsidR="00F82F9E" w:rsidRPr="00920905" w:rsidRDefault="00F82F9E" w:rsidP="00E803F5">
            <w:pPr>
              <w:jc w:val="center"/>
              <w:rPr>
                <w:rFonts w:cstheme="minorHAnsi"/>
                <w:b/>
                <w:szCs w:val="20"/>
              </w:rPr>
            </w:pPr>
            <w:r>
              <w:rPr>
                <w:rFonts w:cstheme="minorHAnsi"/>
                <w:b/>
                <w:szCs w:val="20"/>
              </w:rPr>
              <w:t>Measure #</w:t>
            </w:r>
          </w:p>
        </w:tc>
        <w:tc>
          <w:tcPr>
            <w:tcW w:w="593" w:type="pct"/>
            <w:shd w:val="clear" w:color="auto" w:fill="D9D9D9" w:themeFill="background1" w:themeFillShade="D9"/>
            <w:vAlign w:val="center"/>
          </w:tcPr>
          <w:p w14:paraId="4BD862E3" w14:textId="044ADF1E" w:rsidR="00F82F9E" w:rsidRPr="00920905" w:rsidRDefault="00F82F9E" w:rsidP="00E803F5">
            <w:pPr>
              <w:jc w:val="center"/>
              <w:rPr>
                <w:rFonts w:cstheme="minorHAnsi"/>
                <w:b/>
                <w:szCs w:val="20"/>
              </w:rPr>
            </w:pPr>
            <w:r w:rsidRPr="00920905">
              <w:rPr>
                <w:rFonts w:cstheme="minorHAnsi"/>
                <w:b/>
                <w:szCs w:val="20"/>
              </w:rPr>
              <w:t>NTG</w:t>
            </w:r>
            <w:r>
              <w:rPr>
                <w:rFonts w:cstheme="minorHAnsi"/>
                <w:b/>
                <w:szCs w:val="20"/>
              </w:rPr>
              <w:t>R ID</w:t>
            </w:r>
          </w:p>
        </w:tc>
        <w:tc>
          <w:tcPr>
            <w:tcW w:w="1615" w:type="pct"/>
            <w:shd w:val="clear" w:color="auto" w:fill="D9D9D9" w:themeFill="background1" w:themeFillShade="D9"/>
            <w:vAlign w:val="center"/>
          </w:tcPr>
          <w:p w14:paraId="47568D95" w14:textId="77777777" w:rsidR="00F82F9E" w:rsidRPr="00920905" w:rsidRDefault="00F82F9E" w:rsidP="00E803F5">
            <w:pPr>
              <w:jc w:val="center"/>
              <w:rPr>
                <w:rFonts w:cstheme="minorHAnsi"/>
                <w:b/>
                <w:szCs w:val="20"/>
              </w:rPr>
            </w:pPr>
            <w:r>
              <w:rPr>
                <w:rFonts w:cstheme="minorHAnsi"/>
                <w:b/>
                <w:szCs w:val="20"/>
              </w:rPr>
              <w:t>Description</w:t>
            </w:r>
          </w:p>
        </w:tc>
        <w:tc>
          <w:tcPr>
            <w:tcW w:w="497" w:type="pct"/>
            <w:shd w:val="clear" w:color="auto" w:fill="D9D9D9" w:themeFill="background1" w:themeFillShade="D9"/>
            <w:vAlign w:val="center"/>
          </w:tcPr>
          <w:p w14:paraId="5E827547" w14:textId="77777777" w:rsidR="00F82F9E" w:rsidRPr="00920905" w:rsidRDefault="00F82F9E" w:rsidP="00E803F5">
            <w:pPr>
              <w:jc w:val="center"/>
              <w:rPr>
                <w:rFonts w:cstheme="minorHAnsi"/>
                <w:b/>
                <w:szCs w:val="20"/>
              </w:rPr>
            </w:pPr>
            <w:r w:rsidRPr="00920905">
              <w:rPr>
                <w:rFonts w:cstheme="minorHAnsi"/>
                <w:b/>
                <w:szCs w:val="20"/>
              </w:rPr>
              <w:t>Sector</w:t>
            </w:r>
          </w:p>
        </w:tc>
        <w:tc>
          <w:tcPr>
            <w:tcW w:w="565" w:type="pct"/>
            <w:shd w:val="clear" w:color="auto" w:fill="D9D9D9" w:themeFill="background1" w:themeFillShade="D9"/>
            <w:vAlign w:val="center"/>
          </w:tcPr>
          <w:p w14:paraId="4DDA1110" w14:textId="77777777" w:rsidR="00F82F9E" w:rsidRPr="00920905" w:rsidRDefault="00F82F9E" w:rsidP="00E803F5">
            <w:pPr>
              <w:jc w:val="center"/>
              <w:rPr>
                <w:rFonts w:cstheme="minorHAnsi"/>
                <w:b/>
                <w:szCs w:val="20"/>
              </w:rPr>
            </w:pPr>
            <w:r w:rsidRPr="00920905">
              <w:rPr>
                <w:rFonts w:cstheme="minorHAnsi"/>
                <w:b/>
                <w:szCs w:val="20"/>
              </w:rPr>
              <w:t>BldgType</w:t>
            </w:r>
          </w:p>
        </w:tc>
        <w:tc>
          <w:tcPr>
            <w:tcW w:w="757" w:type="pct"/>
            <w:shd w:val="clear" w:color="auto" w:fill="D9D9D9" w:themeFill="background1" w:themeFillShade="D9"/>
            <w:vAlign w:val="center"/>
          </w:tcPr>
          <w:p w14:paraId="41CD7EB6" w14:textId="77777777" w:rsidR="00F82F9E" w:rsidRPr="00920905" w:rsidRDefault="00F82F9E" w:rsidP="00E803F5">
            <w:pPr>
              <w:jc w:val="center"/>
              <w:rPr>
                <w:rFonts w:cstheme="minorHAnsi"/>
                <w:b/>
                <w:szCs w:val="20"/>
              </w:rPr>
            </w:pPr>
            <w:r>
              <w:rPr>
                <w:rFonts w:cstheme="minorHAnsi"/>
                <w:b/>
                <w:szCs w:val="20"/>
              </w:rPr>
              <w:t>Measure Delivery</w:t>
            </w:r>
          </w:p>
        </w:tc>
        <w:tc>
          <w:tcPr>
            <w:tcW w:w="379" w:type="pct"/>
            <w:shd w:val="clear" w:color="auto" w:fill="D9D9D9" w:themeFill="background1" w:themeFillShade="D9"/>
            <w:vAlign w:val="center"/>
          </w:tcPr>
          <w:p w14:paraId="0382D52D" w14:textId="77777777" w:rsidR="00F82F9E" w:rsidRPr="00920905" w:rsidRDefault="00F82F9E" w:rsidP="00E803F5">
            <w:pPr>
              <w:jc w:val="center"/>
              <w:rPr>
                <w:rFonts w:cstheme="minorHAnsi"/>
                <w:b/>
                <w:szCs w:val="20"/>
              </w:rPr>
            </w:pPr>
            <w:r w:rsidRPr="00920905">
              <w:rPr>
                <w:rFonts w:cstheme="minorHAnsi"/>
                <w:b/>
                <w:szCs w:val="20"/>
              </w:rPr>
              <w:t>NTG</w:t>
            </w:r>
            <w:r>
              <w:rPr>
                <w:rFonts w:cstheme="minorHAnsi"/>
                <w:b/>
                <w:szCs w:val="20"/>
              </w:rPr>
              <w:t>R</w:t>
            </w:r>
          </w:p>
        </w:tc>
      </w:tr>
      <w:tr w:rsidR="00106072" w:rsidRPr="00500C4E" w14:paraId="614808CA" w14:textId="77777777" w:rsidTr="005324EA">
        <w:tc>
          <w:tcPr>
            <w:tcW w:w="594" w:type="pct"/>
            <w:vAlign w:val="center"/>
          </w:tcPr>
          <w:p w14:paraId="6A240759" w14:textId="1E8E3874" w:rsidR="00106072" w:rsidRPr="004A4206" w:rsidRDefault="00106072" w:rsidP="00106072">
            <w:pPr>
              <w:jc w:val="center"/>
              <w:rPr>
                <w:szCs w:val="20"/>
              </w:rPr>
            </w:pPr>
            <w:r w:rsidRPr="0081046B">
              <w:t>1</w:t>
            </w:r>
          </w:p>
        </w:tc>
        <w:tc>
          <w:tcPr>
            <w:tcW w:w="593" w:type="pct"/>
          </w:tcPr>
          <w:p w14:paraId="188F53BB" w14:textId="014FB6CA" w:rsidR="00106072" w:rsidRPr="006910DD" w:rsidRDefault="00106072" w:rsidP="005729C8">
            <w:pPr>
              <w:rPr>
                <w:szCs w:val="20"/>
              </w:rPr>
            </w:pPr>
            <w:r w:rsidRPr="004A4206">
              <w:rPr>
                <w:szCs w:val="20"/>
              </w:rPr>
              <w:t>Res-sAll-mCW</w:t>
            </w:r>
          </w:p>
        </w:tc>
        <w:tc>
          <w:tcPr>
            <w:tcW w:w="1615" w:type="pct"/>
            <w:vAlign w:val="center"/>
          </w:tcPr>
          <w:p w14:paraId="4D8BF3F7" w14:textId="0656EBDB" w:rsidR="00106072" w:rsidRPr="004A5910" w:rsidRDefault="00106072" w:rsidP="005729C8">
            <w:pPr>
              <w:rPr>
                <w:szCs w:val="20"/>
              </w:rPr>
            </w:pPr>
            <w:r w:rsidRPr="00503D9D">
              <w:t>Energy Star most efficient clothes washer, &gt;2.5 cubic ft</w:t>
            </w:r>
            <w:r>
              <w:t xml:space="preserve"> - </w:t>
            </w:r>
            <w:r w:rsidRPr="00FC76CB">
              <w:t>SFM. MFM In-Unit</w:t>
            </w:r>
          </w:p>
        </w:tc>
        <w:tc>
          <w:tcPr>
            <w:tcW w:w="497" w:type="pct"/>
            <w:vAlign w:val="center"/>
          </w:tcPr>
          <w:p w14:paraId="0D1B2C11" w14:textId="77777777" w:rsidR="00106072" w:rsidRPr="004A5910" w:rsidRDefault="00106072" w:rsidP="00F9463F">
            <w:pPr>
              <w:jc w:val="center"/>
              <w:rPr>
                <w:szCs w:val="20"/>
              </w:rPr>
            </w:pPr>
            <w:r>
              <w:rPr>
                <w:szCs w:val="20"/>
              </w:rPr>
              <w:t>Any</w:t>
            </w:r>
          </w:p>
        </w:tc>
        <w:tc>
          <w:tcPr>
            <w:tcW w:w="565" w:type="pct"/>
            <w:vAlign w:val="center"/>
          </w:tcPr>
          <w:p w14:paraId="667639C7" w14:textId="77777777" w:rsidR="00106072" w:rsidRPr="004A5910" w:rsidRDefault="00106072" w:rsidP="00F9463F">
            <w:pPr>
              <w:jc w:val="center"/>
              <w:rPr>
                <w:szCs w:val="20"/>
              </w:rPr>
            </w:pPr>
            <w:r>
              <w:rPr>
                <w:szCs w:val="20"/>
              </w:rPr>
              <w:t>Any</w:t>
            </w:r>
          </w:p>
        </w:tc>
        <w:tc>
          <w:tcPr>
            <w:tcW w:w="757" w:type="pct"/>
            <w:vAlign w:val="center"/>
          </w:tcPr>
          <w:p w14:paraId="60936A92" w14:textId="77777777" w:rsidR="00106072" w:rsidRPr="004A5910" w:rsidRDefault="00106072" w:rsidP="00F9463F">
            <w:pPr>
              <w:jc w:val="center"/>
              <w:rPr>
                <w:szCs w:val="20"/>
              </w:rPr>
            </w:pPr>
            <w:r>
              <w:rPr>
                <w:szCs w:val="20"/>
              </w:rPr>
              <w:t>Any</w:t>
            </w:r>
          </w:p>
        </w:tc>
        <w:tc>
          <w:tcPr>
            <w:tcW w:w="379" w:type="pct"/>
            <w:vAlign w:val="center"/>
          </w:tcPr>
          <w:p w14:paraId="126C56BB" w14:textId="4350C776" w:rsidR="00106072" w:rsidRPr="00500C4E" w:rsidRDefault="00106072" w:rsidP="00F9463F">
            <w:pPr>
              <w:jc w:val="center"/>
              <w:rPr>
                <w:color w:val="FF0000"/>
                <w:szCs w:val="20"/>
              </w:rPr>
            </w:pPr>
            <w:r>
              <w:rPr>
                <w:szCs w:val="20"/>
              </w:rPr>
              <w:t>0.31</w:t>
            </w:r>
          </w:p>
        </w:tc>
      </w:tr>
      <w:tr w:rsidR="00106072" w:rsidRPr="00500C4E" w14:paraId="68C2AD52" w14:textId="77777777" w:rsidTr="005324EA">
        <w:tc>
          <w:tcPr>
            <w:tcW w:w="594" w:type="pct"/>
            <w:vAlign w:val="center"/>
          </w:tcPr>
          <w:p w14:paraId="003F57B6" w14:textId="32D5C531" w:rsidR="00106072" w:rsidRPr="004A4206" w:rsidRDefault="00106072" w:rsidP="00106072">
            <w:pPr>
              <w:jc w:val="center"/>
              <w:rPr>
                <w:szCs w:val="20"/>
              </w:rPr>
            </w:pPr>
            <w:r w:rsidRPr="0081046B">
              <w:t>2</w:t>
            </w:r>
          </w:p>
        </w:tc>
        <w:tc>
          <w:tcPr>
            <w:tcW w:w="593" w:type="pct"/>
          </w:tcPr>
          <w:p w14:paraId="1366EA11" w14:textId="033AC25F" w:rsidR="00106072" w:rsidRPr="006910DD" w:rsidRDefault="00106072" w:rsidP="00402632">
            <w:pPr>
              <w:rPr>
                <w:szCs w:val="20"/>
              </w:rPr>
            </w:pPr>
            <w:r w:rsidRPr="004A4206">
              <w:rPr>
                <w:szCs w:val="20"/>
              </w:rPr>
              <w:t>Com-Default&gt;2yrs</w:t>
            </w:r>
          </w:p>
        </w:tc>
        <w:tc>
          <w:tcPr>
            <w:tcW w:w="1615" w:type="pct"/>
            <w:vAlign w:val="center"/>
          </w:tcPr>
          <w:p w14:paraId="6E2E4432" w14:textId="37D67626" w:rsidR="00106072" w:rsidRPr="004A5910" w:rsidRDefault="00106072" w:rsidP="00402632">
            <w:pPr>
              <w:rPr>
                <w:szCs w:val="20"/>
              </w:rPr>
            </w:pPr>
            <w:r w:rsidRPr="00503D9D">
              <w:t>Energy Star most efficient clothes washer, &gt;2.5 cubic ft</w:t>
            </w:r>
            <w:r>
              <w:t xml:space="preserve"> - </w:t>
            </w:r>
            <w:r w:rsidRPr="00FC76CB">
              <w:t>MFM Common Area</w:t>
            </w:r>
          </w:p>
        </w:tc>
        <w:tc>
          <w:tcPr>
            <w:tcW w:w="497" w:type="pct"/>
            <w:vAlign w:val="center"/>
          </w:tcPr>
          <w:p w14:paraId="7FFB30F0" w14:textId="77777777" w:rsidR="00106072" w:rsidRPr="004A5910" w:rsidRDefault="00106072" w:rsidP="00402632">
            <w:pPr>
              <w:jc w:val="center"/>
              <w:rPr>
                <w:szCs w:val="20"/>
              </w:rPr>
            </w:pPr>
            <w:r>
              <w:rPr>
                <w:szCs w:val="20"/>
              </w:rPr>
              <w:t>Any</w:t>
            </w:r>
          </w:p>
        </w:tc>
        <w:tc>
          <w:tcPr>
            <w:tcW w:w="565" w:type="pct"/>
            <w:vAlign w:val="center"/>
          </w:tcPr>
          <w:p w14:paraId="62917447" w14:textId="77777777" w:rsidR="00106072" w:rsidRPr="004A5910" w:rsidRDefault="00106072" w:rsidP="00402632">
            <w:pPr>
              <w:jc w:val="center"/>
              <w:rPr>
                <w:szCs w:val="20"/>
              </w:rPr>
            </w:pPr>
            <w:r>
              <w:rPr>
                <w:szCs w:val="20"/>
              </w:rPr>
              <w:t>Any</w:t>
            </w:r>
          </w:p>
        </w:tc>
        <w:tc>
          <w:tcPr>
            <w:tcW w:w="757" w:type="pct"/>
            <w:vAlign w:val="center"/>
          </w:tcPr>
          <w:p w14:paraId="0126A2D6" w14:textId="77777777" w:rsidR="00106072" w:rsidRPr="004A5910" w:rsidRDefault="00106072" w:rsidP="00402632">
            <w:pPr>
              <w:jc w:val="center"/>
              <w:rPr>
                <w:szCs w:val="20"/>
              </w:rPr>
            </w:pPr>
            <w:r>
              <w:rPr>
                <w:szCs w:val="20"/>
              </w:rPr>
              <w:t>Any</w:t>
            </w:r>
          </w:p>
        </w:tc>
        <w:tc>
          <w:tcPr>
            <w:tcW w:w="379" w:type="pct"/>
            <w:vAlign w:val="center"/>
          </w:tcPr>
          <w:p w14:paraId="42419374" w14:textId="1646C882" w:rsidR="00106072" w:rsidRPr="00500C4E" w:rsidRDefault="00106072" w:rsidP="00402632">
            <w:pPr>
              <w:jc w:val="center"/>
              <w:rPr>
                <w:color w:val="FF0000"/>
                <w:szCs w:val="20"/>
              </w:rPr>
            </w:pPr>
            <w:r>
              <w:rPr>
                <w:szCs w:val="20"/>
              </w:rPr>
              <w:t>0.60</w:t>
            </w:r>
          </w:p>
        </w:tc>
      </w:tr>
      <w:tr w:rsidR="00106072" w:rsidRPr="00500C4E" w14:paraId="0A50A4E1" w14:textId="77777777" w:rsidTr="005324EA">
        <w:tc>
          <w:tcPr>
            <w:tcW w:w="594" w:type="pct"/>
            <w:vAlign w:val="center"/>
          </w:tcPr>
          <w:p w14:paraId="4284B732" w14:textId="240A8D4B" w:rsidR="00106072" w:rsidRPr="004A4206" w:rsidRDefault="00106072" w:rsidP="00106072">
            <w:pPr>
              <w:jc w:val="center"/>
              <w:rPr>
                <w:szCs w:val="20"/>
              </w:rPr>
            </w:pPr>
            <w:r w:rsidRPr="0081046B">
              <w:t>3</w:t>
            </w:r>
          </w:p>
        </w:tc>
        <w:tc>
          <w:tcPr>
            <w:tcW w:w="593" w:type="pct"/>
          </w:tcPr>
          <w:p w14:paraId="6F495AE7" w14:textId="19148024" w:rsidR="00106072" w:rsidRPr="006910DD" w:rsidRDefault="00106072" w:rsidP="00402632">
            <w:pPr>
              <w:rPr>
                <w:szCs w:val="20"/>
              </w:rPr>
            </w:pPr>
            <w:r w:rsidRPr="004A4206">
              <w:rPr>
                <w:szCs w:val="20"/>
              </w:rPr>
              <w:t>Com-Default&gt;2yrs</w:t>
            </w:r>
          </w:p>
        </w:tc>
        <w:tc>
          <w:tcPr>
            <w:tcW w:w="1615" w:type="pct"/>
            <w:vAlign w:val="center"/>
          </w:tcPr>
          <w:p w14:paraId="6C3146D4" w14:textId="2D06D951" w:rsidR="00106072" w:rsidRPr="004A5910" w:rsidRDefault="00106072" w:rsidP="00402632">
            <w:pPr>
              <w:rPr>
                <w:szCs w:val="20"/>
              </w:rPr>
            </w:pPr>
            <w:r w:rsidRPr="00F429FC">
              <w:t>Energy Star most efficient clothes washer, &gt;2.5 cubic ft</w:t>
            </w:r>
            <w:r>
              <w:t xml:space="preserve"> - </w:t>
            </w:r>
            <w:r w:rsidR="00ED797B" w:rsidRPr="00FC76CB">
              <w:t>Non-Res</w:t>
            </w:r>
          </w:p>
        </w:tc>
        <w:tc>
          <w:tcPr>
            <w:tcW w:w="497" w:type="pct"/>
            <w:vAlign w:val="center"/>
          </w:tcPr>
          <w:p w14:paraId="3977170C" w14:textId="77777777" w:rsidR="00106072" w:rsidRPr="004A5910" w:rsidRDefault="00106072" w:rsidP="00402632">
            <w:pPr>
              <w:jc w:val="center"/>
              <w:rPr>
                <w:szCs w:val="20"/>
              </w:rPr>
            </w:pPr>
            <w:r>
              <w:rPr>
                <w:szCs w:val="20"/>
              </w:rPr>
              <w:t>Any</w:t>
            </w:r>
          </w:p>
        </w:tc>
        <w:tc>
          <w:tcPr>
            <w:tcW w:w="565" w:type="pct"/>
            <w:vAlign w:val="center"/>
          </w:tcPr>
          <w:p w14:paraId="28BBEDB8" w14:textId="77777777" w:rsidR="00106072" w:rsidRPr="004A5910" w:rsidRDefault="00106072" w:rsidP="00402632">
            <w:pPr>
              <w:jc w:val="center"/>
              <w:rPr>
                <w:szCs w:val="20"/>
              </w:rPr>
            </w:pPr>
            <w:r>
              <w:rPr>
                <w:szCs w:val="20"/>
              </w:rPr>
              <w:t>Any</w:t>
            </w:r>
          </w:p>
        </w:tc>
        <w:tc>
          <w:tcPr>
            <w:tcW w:w="757" w:type="pct"/>
            <w:vAlign w:val="center"/>
          </w:tcPr>
          <w:p w14:paraId="4C9B74D3" w14:textId="77777777" w:rsidR="00106072" w:rsidRPr="004A5910" w:rsidRDefault="00106072" w:rsidP="00402632">
            <w:pPr>
              <w:jc w:val="center"/>
              <w:rPr>
                <w:szCs w:val="20"/>
              </w:rPr>
            </w:pPr>
            <w:r>
              <w:rPr>
                <w:szCs w:val="20"/>
              </w:rPr>
              <w:t>Any</w:t>
            </w:r>
          </w:p>
        </w:tc>
        <w:tc>
          <w:tcPr>
            <w:tcW w:w="379" w:type="pct"/>
            <w:vAlign w:val="center"/>
          </w:tcPr>
          <w:p w14:paraId="02DD9959" w14:textId="32989A35" w:rsidR="00106072" w:rsidRPr="00500C4E" w:rsidRDefault="00106072" w:rsidP="00402632">
            <w:pPr>
              <w:jc w:val="center"/>
              <w:rPr>
                <w:color w:val="FF0000"/>
                <w:szCs w:val="20"/>
              </w:rPr>
            </w:pPr>
            <w:r>
              <w:rPr>
                <w:szCs w:val="20"/>
              </w:rPr>
              <w:t>0.60</w:t>
            </w:r>
          </w:p>
        </w:tc>
      </w:tr>
      <w:tr w:rsidR="00106072" w:rsidRPr="00500C4E" w14:paraId="6923AF0C" w14:textId="77777777" w:rsidTr="005324EA">
        <w:tc>
          <w:tcPr>
            <w:tcW w:w="594" w:type="pct"/>
            <w:vAlign w:val="center"/>
          </w:tcPr>
          <w:p w14:paraId="32D2D5ED" w14:textId="4B2FA09E" w:rsidR="00106072" w:rsidRPr="00C90279" w:rsidRDefault="00106072" w:rsidP="00106072">
            <w:pPr>
              <w:jc w:val="center"/>
            </w:pPr>
            <w:r w:rsidRPr="0081046B">
              <w:t>4</w:t>
            </w:r>
          </w:p>
        </w:tc>
        <w:tc>
          <w:tcPr>
            <w:tcW w:w="593" w:type="pct"/>
          </w:tcPr>
          <w:p w14:paraId="52D21266" w14:textId="7874C5BD" w:rsidR="00106072" w:rsidRPr="006910DD" w:rsidRDefault="00106072" w:rsidP="00402632">
            <w:pPr>
              <w:rPr>
                <w:szCs w:val="20"/>
              </w:rPr>
            </w:pPr>
            <w:r w:rsidRPr="00C90279">
              <w:t>Com-Default&gt;2yrs</w:t>
            </w:r>
          </w:p>
        </w:tc>
        <w:tc>
          <w:tcPr>
            <w:tcW w:w="1615" w:type="pct"/>
            <w:vAlign w:val="center"/>
          </w:tcPr>
          <w:p w14:paraId="6018A889" w14:textId="38E772FA" w:rsidR="00106072" w:rsidRPr="004A5910" w:rsidRDefault="00106072" w:rsidP="00402632">
            <w:pPr>
              <w:rPr>
                <w:szCs w:val="20"/>
              </w:rPr>
            </w:pPr>
            <w:r>
              <w:t>Commercial steam cooker Electric</w:t>
            </w:r>
          </w:p>
        </w:tc>
        <w:tc>
          <w:tcPr>
            <w:tcW w:w="497" w:type="pct"/>
            <w:vAlign w:val="center"/>
          </w:tcPr>
          <w:p w14:paraId="2D068A5B" w14:textId="77777777" w:rsidR="00106072" w:rsidRPr="004A5910" w:rsidRDefault="00106072" w:rsidP="00402632">
            <w:pPr>
              <w:jc w:val="center"/>
              <w:rPr>
                <w:szCs w:val="20"/>
              </w:rPr>
            </w:pPr>
            <w:r>
              <w:rPr>
                <w:szCs w:val="20"/>
              </w:rPr>
              <w:t>Any</w:t>
            </w:r>
          </w:p>
        </w:tc>
        <w:tc>
          <w:tcPr>
            <w:tcW w:w="565" w:type="pct"/>
            <w:vAlign w:val="center"/>
          </w:tcPr>
          <w:p w14:paraId="6EF67ED3" w14:textId="77777777" w:rsidR="00106072" w:rsidRPr="004A5910" w:rsidRDefault="00106072" w:rsidP="00402632">
            <w:pPr>
              <w:jc w:val="center"/>
              <w:rPr>
                <w:szCs w:val="20"/>
              </w:rPr>
            </w:pPr>
            <w:r>
              <w:rPr>
                <w:szCs w:val="20"/>
              </w:rPr>
              <w:t>Any</w:t>
            </w:r>
          </w:p>
        </w:tc>
        <w:tc>
          <w:tcPr>
            <w:tcW w:w="757" w:type="pct"/>
            <w:vAlign w:val="center"/>
          </w:tcPr>
          <w:p w14:paraId="016C6695" w14:textId="77777777" w:rsidR="00106072" w:rsidRPr="004A5910" w:rsidRDefault="00106072" w:rsidP="00402632">
            <w:pPr>
              <w:jc w:val="center"/>
              <w:rPr>
                <w:szCs w:val="20"/>
              </w:rPr>
            </w:pPr>
            <w:r>
              <w:rPr>
                <w:szCs w:val="20"/>
              </w:rPr>
              <w:t>Any</w:t>
            </w:r>
          </w:p>
        </w:tc>
        <w:tc>
          <w:tcPr>
            <w:tcW w:w="379" w:type="pct"/>
            <w:vAlign w:val="center"/>
          </w:tcPr>
          <w:p w14:paraId="36A81468" w14:textId="69684D4B" w:rsidR="00106072" w:rsidRPr="00500C4E" w:rsidRDefault="00106072" w:rsidP="00402632">
            <w:pPr>
              <w:jc w:val="center"/>
              <w:rPr>
                <w:color w:val="FF0000"/>
                <w:szCs w:val="20"/>
              </w:rPr>
            </w:pPr>
            <w:r>
              <w:rPr>
                <w:szCs w:val="20"/>
              </w:rPr>
              <w:t>0.60</w:t>
            </w:r>
          </w:p>
        </w:tc>
      </w:tr>
      <w:tr w:rsidR="00106072" w:rsidRPr="00500C4E" w14:paraId="3C3C8ECA" w14:textId="77777777" w:rsidTr="005324EA">
        <w:tc>
          <w:tcPr>
            <w:tcW w:w="594" w:type="pct"/>
            <w:vAlign w:val="center"/>
          </w:tcPr>
          <w:p w14:paraId="23608E9A" w14:textId="76B58C23" w:rsidR="00106072" w:rsidRPr="00035637" w:rsidRDefault="00106072" w:rsidP="00106072">
            <w:pPr>
              <w:jc w:val="center"/>
            </w:pPr>
            <w:r w:rsidRPr="0081046B">
              <w:t>5</w:t>
            </w:r>
          </w:p>
        </w:tc>
        <w:tc>
          <w:tcPr>
            <w:tcW w:w="593" w:type="pct"/>
          </w:tcPr>
          <w:p w14:paraId="053108F4" w14:textId="5D65BF16" w:rsidR="00106072" w:rsidRPr="006910DD" w:rsidRDefault="00106072" w:rsidP="00402632">
            <w:pPr>
              <w:rPr>
                <w:szCs w:val="20"/>
              </w:rPr>
            </w:pPr>
            <w:r w:rsidRPr="00035637">
              <w:t>Com-Default&gt;2yrs</w:t>
            </w:r>
          </w:p>
        </w:tc>
        <w:tc>
          <w:tcPr>
            <w:tcW w:w="1615" w:type="pct"/>
            <w:vAlign w:val="center"/>
          </w:tcPr>
          <w:p w14:paraId="453130E9" w14:textId="0C5597EB" w:rsidR="00106072" w:rsidRPr="004A5910" w:rsidRDefault="00106072" w:rsidP="00402632">
            <w:pPr>
              <w:rPr>
                <w:szCs w:val="20"/>
              </w:rPr>
            </w:pPr>
            <w:r>
              <w:t>Commercial steam cooker Natural gas</w:t>
            </w:r>
          </w:p>
        </w:tc>
        <w:tc>
          <w:tcPr>
            <w:tcW w:w="497" w:type="pct"/>
            <w:vAlign w:val="center"/>
          </w:tcPr>
          <w:p w14:paraId="0B2E444C" w14:textId="77777777" w:rsidR="00106072" w:rsidRPr="004A5910" w:rsidRDefault="00106072" w:rsidP="00402632">
            <w:pPr>
              <w:jc w:val="center"/>
              <w:rPr>
                <w:szCs w:val="20"/>
              </w:rPr>
            </w:pPr>
            <w:r>
              <w:rPr>
                <w:szCs w:val="20"/>
              </w:rPr>
              <w:t>Any</w:t>
            </w:r>
          </w:p>
        </w:tc>
        <w:tc>
          <w:tcPr>
            <w:tcW w:w="565" w:type="pct"/>
            <w:vAlign w:val="center"/>
          </w:tcPr>
          <w:p w14:paraId="08FECF6F" w14:textId="77777777" w:rsidR="00106072" w:rsidRPr="004A5910" w:rsidRDefault="00106072" w:rsidP="00402632">
            <w:pPr>
              <w:jc w:val="center"/>
              <w:rPr>
                <w:szCs w:val="20"/>
              </w:rPr>
            </w:pPr>
            <w:r>
              <w:rPr>
                <w:szCs w:val="20"/>
              </w:rPr>
              <w:t>Any</w:t>
            </w:r>
          </w:p>
        </w:tc>
        <w:tc>
          <w:tcPr>
            <w:tcW w:w="757" w:type="pct"/>
            <w:vAlign w:val="center"/>
          </w:tcPr>
          <w:p w14:paraId="3268952A" w14:textId="77777777" w:rsidR="00106072" w:rsidRPr="004A5910" w:rsidRDefault="00106072" w:rsidP="00402632">
            <w:pPr>
              <w:jc w:val="center"/>
              <w:rPr>
                <w:szCs w:val="20"/>
              </w:rPr>
            </w:pPr>
            <w:r>
              <w:rPr>
                <w:szCs w:val="20"/>
              </w:rPr>
              <w:t>Any</w:t>
            </w:r>
          </w:p>
        </w:tc>
        <w:tc>
          <w:tcPr>
            <w:tcW w:w="379" w:type="pct"/>
            <w:vAlign w:val="center"/>
          </w:tcPr>
          <w:p w14:paraId="712F3CCE" w14:textId="15BCAC79" w:rsidR="00106072" w:rsidRPr="00500C4E" w:rsidRDefault="00106072" w:rsidP="004A4206">
            <w:pPr>
              <w:jc w:val="center"/>
              <w:rPr>
                <w:color w:val="FF0000"/>
                <w:szCs w:val="20"/>
              </w:rPr>
            </w:pPr>
            <w:r>
              <w:rPr>
                <w:szCs w:val="20"/>
              </w:rPr>
              <w:t>0</w:t>
            </w:r>
            <w:r w:rsidRPr="0049639B">
              <w:rPr>
                <w:szCs w:val="20"/>
              </w:rPr>
              <w:t>.60</w:t>
            </w:r>
          </w:p>
        </w:tc>
      </w:tr>
      <w:tr w:rsidR="00106072" w:rsidRPr="00500C4E" w14:paraId="1C07D244" w14:textId="77777777" w:rsidTr="005324EA">
        <w:tc>
          <w:tcPr>
            <w:tcW w:w="594" w:type="pct"/>
            <w:vAlign w:val="center"/>
          </w:tcPr>
          <w:p w14:paraId="4CBE16B1" w14:textId="55CC080D" w:rsidR="00106072" w:rsidRPr="00035637" w:rsidRDefault="00106072" w:rsidP="00106072">
            <w:pPr>
              <w:jc w:val="center"/>
            </w:pPr>
            <w:r w:rsidRPr="0081046B">
              <w:t>6</w:t>
            </w:r>
          </w:p>
        </w:tc>
        <w:tc>
          <w:tcPr>
            <w:tcW w:w="593" w:type="pct"/>
          </w:tcPr>
          <w:p w14:paraId="7A3EC135" w14:textId="4A4B7B18" w:rsidR="00106072" w:rsidRPr="006910DD" w:rsidRDefault="00106072" w:rsidP="00402632">
            <w:pPr>
              <w:rPr>
                <w:szCs w:val="20"/>
              </w:rPr>
            </w:pPr>
            <w:r w:rsidRPr="00035637">
              <w:t>Com-Default&gt;2yrs</w:t>
            </w:r>
          </w:p>
        </w:tc>
        <w:tc>
          <w:tcPr>
            <w:tcW w:w="1615" w:type="pct"/>
            <w:vAlign w:val="center"/>
          </w:tcPr>
          <w:p w14:paraId="548708B0" w14:textId="65B1B2A1" w:rsidR="00106072" w:rsidRPr="004A5910" w:rsidRDefault="00106072" w:rsidP="00402632">
            <w:pPr>
              <w:rPr>
                <w:szCs w:val="20"/>
              </w:rPr>
            </w:pPr>
            <w:r>
              <w:rPr>
                <w:rFonts w:ascii="Calibri" w:hAnsi="Calibri"/>
                <w:color w:val="000000"/>
                <w:szCs w:val="20"/>
              </w:rPr>
              <w:t>Commercial combination oven/steamer Electric (less than 15 pans)</w:t>
            </w:r>
          </w:p>
        </w:tc>
        <w:tc>
          <w:tcPr>
            <w:tcW w:w="497" w:type="pct"/>
            <w:vAlign w:val="center"/>
          </w:tcPr>
          <w:p w14:paraId="5B651A48" w14:textId="77777777" w:rsidR="00106072" w:rsidRPr="004A5910" w:rsidRDefault="00106072" w:rsidP="00402632">
            <w:pPr>
              <w:jc w:val="center"/>
              <w:rPr>
                <w:szCs w:val="20"/>
              </w:rPr>
            </w:pPr>
            <w:r>
              <w:rPr>
                <w:szCs w:val="20"/>
              </w:rPr>
              <w:t>Any</w:t>
            </w:r>
          </w:p>
        </w:tc>
        <w:tc>
          <w:tcPr>
            <w:tcW w:w="565" w:type="pct"/>
            <w:vAlign w:val="center"/>
          </w:tcPr>
          <w:p w14:paraId="50AE2DE6" w14:textId="77777777" w:rsidR="00106072" w:rsidRPr="004A5910" w:rsidRDefault="00106072" w:rsidP="00402632">
            <w:pPr>
              <w:jc w:val="center"/>
              <w:rPr>
                <w:szCs w:val="20"/>
              </w:rPr>
            </w:pPr>
            <w:r>
              <w:rPr>
                <w:szCs w:val="20"/>
              </w:rPr>
              <w:t>Any</w:t>
            </w:r>
          </w:p>
        </w:tc>
        <w:tc>
          <w:tcPr>
            <w:tcW w:w="757" w:type="pct"/>
            <w:vAlign w:val="center"/>
          </w:tcPr>
          <w:p w14:paraId="4523A00E" w14:textId="77777777" w:rsidR="00106072" w:rsidRPr="004A5910" w:rsidRDefault="00106072" w:rsidP="00402632">
            <w:pPr>
              <w:jc w:val="center"/>
              <w:rPr>
                <w:szCs w:val="20"/>
              </w:rPr>
            </w:pPr>
            <w:r>
              <w:rPr>
                <w:szCs w:val="20"/>
              </w:rPr>
              <w:t>Any</w:t>
            </w:r>
          </w:p>
        </w:tc>
        <w:tc>
          <w:tcPr>
            <w:tcW w:w="379" w:type="pct"/>
            <w:vAlign w:val="center"/>
          </w:tcPr>
          <w:p w14:paraId="02C00837" w14:textId="66AB4B6B" w:rsidR="00106072" w:rsidRPr="00500C4E" w:rsidRDefault="00106072" w:rsidP="004A4206">
            <w:pPr>
              <w:jc w:val="center"/>
              <w:rPr>
                <w:color w:val="FF0000"/>
                <w:szCs w:val="20"/>
              </w:rPr>
            </w:pPr>
            <w:r w:rsidRPr="00F20F8C">
              <w:rPr>
                <w:szCs w:val="20"/>
              </w:rPr>
              <w:t>0.60</w:t>
            </w:r>
          </w:p>
        </w:tc>
      </w:tr>
      <w:tr w:rsidR="00106072" w:rsidRPr="00500C4E" w14:paraId="3A63FAF6" w14:textId="77777777" w:rsidTr="005324EA">
        <w:tc>
          <w:tcPr>
            <w:tcW w:w="594" w:type="pct"/>
            <w:vAlign w:val="center"/>
          </w:tcPr>
          <w:p w14:paraId="54B27F01" w14:textId="18636FCF" w:rsidR="00106072" w:rsidRPr="00035637" w:rsidRDefault="00106072" w:rsidP="00106072">
            <w:pPr>
              <w:jc w:val="center"/>
            </w:pPr>
            <w:r w:rsidRPr="0081046B">
              <w:lastRenderedPageBreak/>
              <w:t>7</w:t>
            </w:r>
          </w:p>
        </w:tc>
        <w:tc>
          <w:tcPr>
            <w:tcW w:w="593" w:type="pct"/>
          </w:tcPr>
          <w:p w14:paraId="731A3B97" w14:textId="33796F60" w:rsidR="00106072" w:rsidRPr="006910DD" w:rsidRDefault="00106072" w:rsidP="00402632">
            <w:pPr>
              <w:rPr>
                <w:szCs w:val="20"/>
              </w:rPr>
            </w:pPr>
            <w:r w:rsidRPr="00035637">
              <w:t>Com-Default&gt;2yrs</w:t>
            </w:r>
          </w:p>
        </w:tc>
        <w:tc>
          <w:tcPr>
            <w:tcW w:w="1615" w:type="pct"/>
            <w:vAlign w:val="center"/>
          </w:tcPr>
          <w:p w14:paraId="506D0C3C" w14:textId="4BC3D9FD" w:rsidR="00106072" w:rsidRPr="004A5910" w:rsidRDefault="00106072" w:rsidP="00402632">
            <w:pPr>
              <w:rPr>
                <w:szCs w:val="20"/>
              </w:rPr>
            </w:pPr>
            <w:r>
              <w:rPr>
                <w:rFonts w:ascii="Calibri" w:hAnsi="Calibri"/>
                <w:color w:val="000000"/>
                <w:szCs w:val="20"/>
              </w:rPr>
              <w:t>Commercial combination oven/steamer Electric (15-28 pans)</w:t>
            </w:r>
          </w:p>
        </w:tc>
        <w:tc>
          <w:tcPr>
            <w:tcW w:w="497" w:type="pct"/>
            <w:vAlign w:val="center"/>
          </w:tcPr>
          <w:p w14:paraId="027B47B9" w14:textId="77777777" w:rsidR="00106072" w:rsidRPr="004A5910" w:rsidRDefault="00106072" w:rsidP="00402632">
            <w:pPr>
              <w:jc w:val="center"/>
              <w:rPr>
                <w:szCs w:val="20"/>
              </w:rPr>
            </w:pPr>
            <w:r>
              <w:rPr>
                <w:szCs w:val="20"/>
              </w:rPr>
              <w:t>Any</w:t>
            </w:r>
          </w:p>
        </w:tc>
        <w:tc>
          <w:tcPr>
            <w:tcW w:w="565" w:type="pct"/>
            <w:vAlign w:val="center"/>
          </w:tcPr>
          <w:p w14:paraId="4E7B233A" w14:textId="77777777" w:rsidR="00106072" w:rsidRPr="004A5910" w:rsidRDefault="00106072" w:rsidP="00402632">
            <w:pPr>
              <w:jc w:val="center"/>
              <w:rPr>
                <w:szCs w:val="20"/>
              </w:rPr>
            </w:pPr>
            <w:r>
              <w:rPr>
                <w:szCs w:val="20"/>
              </w:rPr>
              <w:t>Any</w:t>
            </w:r>
          </w:p>
        </w:tc>
        <w:tc>
          <w:tcPr>
            <w:tcW w:w="757" w:type="pct"/>
            <w:vAlign w:val="center"/>
          </w:tcPr>
          <w:p w14:paraId="6503498D" w14:textId="77777777" w:rsidR="00106072" w:rsidRPr="004A5910" w:rsidRDefault="00106072" w:rsidP="00402632">
            <w:pPr>
              <w:jc w:val="center"/>
              <w:rPr>
                <w:szCs w:val="20"/>
              </w:rPr>
            </w:pPr>
            <w:r>
              <w:rPr>
                <w:szCs w:val="20"/>
              </w:rPr>
              <w:t>Any</w:t>
            </w:r>
          </w:p>
        </w:tc>
        <w:tc>
          <w:tcPr>
            <w:tcW w:w="379" w:type="pct"/>
            <w:vAlign w:val="center"/>
          </w:tcPr>
          <w:p w14:paraId="4A29A321" w14:textId="4A36A4F0" w:rsidR="00106072" w:rsidRPr="00500C4E" w:rsidRDefault="00106072" w:rsidP="004A4206">
            <w:pPr>
              <w:jc w:val="center"/>
              <w:rPr>
                <w:color w:val="FF0000"/>
                <w:szCs w:val="20"/>
              </w:rPr>
            </w:pPr>
            <w:r w:rsidRPr="00F20F8C">
              <w:rPr>
                <w:szCs w:val="20"/>
              </w:rPr>
              <w:t>0.60</w:t>
            </w:r>
          </w:p>
        </w:tc>
      </w:tr>
      <w:tr w:rsidR="00106072" w:rsidRPr="00500C4E" w14:paraId="1598C7D2" w14:textId="77777777" w:rsidTr="005324EA">
        <w:tc>
          <w:tcPr>
            <w:tcW w:w="594" w:type="pct"/>
            <w:vAlign w:val="center"/>
          </w:tcPr>
          <w:p w14:paraId="675440F0" w14:textId="5658294A" w:rsidR="00106072" w:rsidRPr="00035637" w:rsidRDefault="00106072" w:rsidP="00106072">
            <w:pPr>
              <w:jc w:val="center"/>
            </w:pPr>
            <w:r w:rsidRPr="0081046B">
              <w:t>8</w:t>
            </w:r>
          </w:p>
        </w:tc>
        <w:tc>
          <w:tcPr>
            <w:tcW w:w="593" w:type="pct"/>
          </w:tcPr>
          <w:p w14:paraId="289F7E45" w14:textId="5EBF2DFE" w:rsidR="00106072" w:rsidRPr="006910DD" w:rsidRDefault="00106072" w:rsidP="00402632">
            <w:pPr>
              <w:rPr>
                <w:szCs w:val="20"/>
              </w:rPr>
            </w:pPr>
            <w:r w:rsidRPr="00035637">
              <w:t>Com-Default&gt;2yrs</w:t>
            </w:r>
          </w:p>
        </w:tc>
        <w:tc>
          <w:tcPr>
            <w:tcW w:w="1615" w:type="pct"/>
            <w:vAlign w:val="center"/>
          </w:tcPr>
          <w:p w14:paraId="09BBDAD0" w14:textId="01784490" w:rsidR="00106072" w:rsidRPr="004A5910" w:rsidRDefault="00106072" w:rsidP="00402632">
            <w:pPr>
              <w:rPr>
                <w:szCs w:val="20"/>
              </w:rPr>
            </w:pPr>
            <w:r>
              <w:rPr>
                <w:rFonts w:ascii="Calibri" w:hAnsi="Calibri"/>
                <w:color w:val="000000"/>
                <w:szCs w:val="20"/>
              </w:rPr>
              <w:t>Commercial combination oven/steamer Electric (more than 28 pans)</w:t>
            </w:r>
          </w:p>
        </w:tc>
        <w:tc>
          <w:tcPr>
            <w:tcW w:w="497" w:type="pct"/>
            <w:vAlign w:val="center"/>
          </w:tcPr>
          <w:p w14:paraId="06C60474" w14:textId="77777777" w:rsidR="00106072" w:rsidRPr="004A5910" w:rsidRDefault="00106072" w:rsidP="00402632">
            <w:pPr>
              <w:jc w:val="center"/>
              <w:rPr>
                <w:szCs w:val="20"/>
              </w:rPr>
            </w:pPr>
            <w:r>
              <w:rPr>
                <w:szCs w:val="20"/>
              </w:rPr>
              <w:t>Any</w:t>
            </w:r>
          </w:p>
        </w:tc>
        <w:tc>
          <w:tcPr>
            <w:tcW w:w="565" w:type="pct"/>
            <w:vAlign w:val="center"/>
          </w:tcPr>
          <w:p w14:paraId="75A59407" w14:textId="77777777" w:rsidR="00106072" w:rsidRPr="004A5910" w:rsidRDefault="00106072" w:rsidP="00402632">
            <w:pPr>
              <w:jc w:val="center"/>
              <w:rPr>
                <w:szCs w:val="20"/>
              </w:rPr>
            </w:pPr>
            <w:r>
              <w:rPr>
                <w:szCs w:val="20"/>
              </w:rPr>
              <w:t>Any</w:t>
            </w:r>
          </w:p>
        </w:tc>
        <w:tc>
          <w:tcPr>
            <w:tcW w:w="757" w:type="pct"/>
            <w:vAlign w:val="center"/>
          </w:tcPr>
          <w:p w14:paraId="6C2CD217" w14:textId="77777777" w:rsidR="00106072" w:rsidRPr="004A5910" w:rsidRDefault="00106072" w:rsidP="00402632">
            <w:pPr>
              <w:jc w:val="center"/>
              <w:rPr>
                <w:szCs w:val="20"/>
              </w:rPr>
            </w:pPr>
            <w:r>
              <w:rPr>
                <w:szCs w:val="20"/>
              </w:rPr>
              <w:t>Any</w:t>
            </w:r>
          </w:p>
        </w:tc>
        <w:tc>
          <w:tcPr>
            <w:tcW w:w="379" w:type="pct"/>
            <w:vAlign w:val="center"/>
          </w:tcPr>
          <w:p w14:paraId="0E84BECF" w14:textId="342EFF2E" w:rsidR="00106072" w:rsidRPr="00500C4E" w:rsidRDefault="00106072" w:rsidP="004A4206">
            <w:pPr>
              <w:jc w:val="center"/>
              <w:rPr>
                <w:color w:val="FF0000"/>
                <w:szCs w:val="20"/>
              </w:rPr>
            </w:pPr>
            <w:r w:rsidRPr="00F20F8C">
              <w:rPr>
                <w:szCs w:val="20"/>
              </w:rPr>
              <w:t>0.60</w:t>
            </w:r>
          </w:p>
        </w:tc>
      </w:tr>
      <w:tr w:rsidR="00106072" w:rsidRPr="00500C4E" w14:paraId="5B9ED543" w14:textId="77777777" w:rsidTr="005324EA">
        <w:tc>
          <w:tcPr>
            <w:tcW w:w="594" w:type="pct"/>
            <w:vAlign w:val="center"/>
          </w:tcPr>
          <w:p w14:paraId="5232A8D0" w14:textId="779C1B86" w:rsidR="00106072" w:rsidRPr="00035637" w:rsidRDefault="00106072" w:rsidP="00106072">
            <w:pPr>
              <w:jc w:val="center"/>
            </w:pPr>
            <w:r w:rsidRPr="0081046B">
              <w:t>9</w:t>
            </w:r>
          </w:p>
        </w:tc>
        <w:tc>
          <w:tcPr>
            <w:tcW w:w="593" w:type="pct"/>
          </w:tcPr>
          <w:p w14:paraId="0F285CE9" w14:textId="264C24F6" w:rsidR="00106072" w:rsidRPr="006910DD" w:rsidRDefault="00106072" w:rsidP="00402632">
            <w:pPr>
              <w:rPr>
                <w:szCs w:val="20"/>
              </w:rPr>
            </w:pPr>
            <w:r w:rsidRPr="00035637">
              <w:t>Com-Default&gt;2yrs</w:t>
            </w:r>
          </w:p>
        </w:tc>
        <w:tc>
          <w:tcPr>
            <w:tcW w:w="1615" w:type="pct"/>
            <w:vAlign w:val="center"/>
          </w:tcPr>
          <w:p w14:paraId="1A80FCDC" w14:textId="3A968862" w:rsidR="00106072" w:rsidRPr="004A5910" w:rsidRDefault="00106072" w:rsidP="00402632">
            <w:pPr>
              <w:rPr>
                <w:szCs w:val="20"/>
              </w:rPr>
            </w:pPr>
            <w:r>
              <w:rPr>
                <w:rFonts w:ascii="Calibri" w:hAnsi="Calibri"/>
                <w:color w:val="000000"/>
                <w:szCs w:val="20"/>
              </w:rPr>
              <w:t>Commercial combination oven/steamer Natural gas (less than 15 pans)</w:t>
            </w:r>
          </w:p>
        </w:tc>
        <w:tc>
          <w:tcPr>
            <w:tcW w:w="497" w:type="pct"/>
            <w:vAlign w:val="center"/>
          </w:tcPr>
          <w:p w14:paraId="61714FD3" w14:textId="77777777" w:rsidR="00106072" w:rsidRPr="004A5910" w:rsidRDefault="00106072" w:rsidP="00402632">
            <w:pPr>
              <w:jc w:val="center"/>
              <w:rPr>
                <w:szCs w:val="20"/>
              </w:rPr>
            </w:pPr>
            <w:r>
              <w:rPr>
                <w:szCs w:val="20"/>
              </w:rPr>
              <w:t>Any</w:t>
            </w:r>
          </w:p>
        </w:tc>
        <w:tc>
          <w:tcPr>
            <w:tcW w:w="565" w:type="pct"/>
            <w:vAlign w:val="center"/>
          </w:tcPr>
          <w:p w14:paraId="53102B91" w14:textId="77777777" w:rsidR="00106072" w:rsidRPr="004A5910" w:rsidRDefault="00106072" w:rsidP="00402632">
            <w:pPr>
              <w:jc w:val="center"/>
              <w:rPr>
                <w:szCs w:val="20"/>
              </w:rPr>
            </w:pPr>
            <w:r>
              <w:rPr>
                <w:szCs w:val="20"/>
              </w:rPr>
              <w:t>Any</w:t>
            </w:r>
          </w:p>
        </w:tc>
        <w:tc>
          <w:tcPr>
            <w:tcW w:w="757" w:type="pct"/>
            <w:vAlign w:val="center"/>
          </w:tcPr>
          <w:p w14:paraId="2E643251" w14:textId="77777777" w:rsidR="00106072" w:rsidRPr="004A5910" w:rsidRDefault="00106072" w:rsidP="00402632">
            <w:pPr>
              <w:jc w:val="center"/>
              <w:rPr>
                <w:szCs w:val="20"/>
              </w:rPr>
            </w:pPr>
            <w:r>
              <w:rPr>
                <w:szCs w:val="20"/>
              </w:rPr>
              <w:t>Any</w:t>
            </w:r>
          </w:p>
        </w:tc>
        <w:tc>
          <w:tcPr>
            <w:tcW w:w="379" w:type="pct"/>
            <w:vAlign w:val="center"/>
          </w:tcPr>
          <w:p w14:paraId="54EB22B1" w14:textId="49C285E1" w:rsidR="00106072" w:rsidRPr="00500C4E" w:rsidRDefault="00106072" w:rsidP="004A4206">
            <w:pPr>
              <w:jc w:val="center"/>
              <w:rPr>
                <w:color w:val="FF0000"/>
                <w:szCs w:val="20"/>
              </w:rPr>
            </w:pPr>
            <w:r w:rsidRPr="00F20F8C">
              <w:rPr>
                <w:szCs w:val="20"/>
              </w:rPr>
              <w:t>0.60</w:t>
            </w:r>
          </w:p>
        </w:tc>
      </w:tr>
      <w:tr w:rsidR="00106072" w:rsidRPr="00500C4E" w14:paraId="5D7E3C18" w14:textId="77777777" w:rsidTr="005324EA">
        <w:tc>
          <w:tcPr>
            <w:tcW w:w="594" w:type="pct"/>
            <w:vAlign w:val="center"/>
          </w:tcPr>
          <w:p w14:paraId="4D075EAC" w14:textId="2D9707AE" w:rsidR="00106072" w:rsidRPr="00035637" w:rsidRDefault="00106072" w:rsidP="00106072">
            <w:pPr>
              <w:jc w:val="center"/>
            </w:pPr>
            <w:r w:rsidRPr="0081046B">
              <w:t>10</w:t>
            </w:r>
          </w:p>
        </w:tc>
        <w:tc>
          <w:tcPr>
            <w:tcW w:w="593" w:type="pct"/>
          </w:tcPr>
          <w:p w14:paraId="776859EE" w14:textId="7C831D48" w:rsidR="00106072" w:rsidRPr="006910DD" w:rsidRDefault="00106072" w:rsidP="00402632">
            <w:pPr>
              <w:rPr>
                <w:szCs w:val="20"/>
              </w:rPr>
            </w:pPr>
            <w:r w:rsidRPr="00035637">
              <w:t>Com-Default&gt;2yrs</w:t>
            </w:r>
          </w:p>
        </w:tc>
        <w:tc>
          <w:tcPr>
            <w:tcW w:w="1615" w:type="pct"/>
            <w:vAlign w:val="center"/>
          </w:tcPr>
          <w:p w14:paraId="794F038E" w14:textId="2654FEFB" w:rsidR="00106072" w:rsidRPr="004A5910" w:rsidRDefault="00106072" w:rsidP="00402632">
            <w:pPr>
              <w:rPr>
                <w:szCs w:val="20"/>
              </w:rPr>
            </w:pPr>
            <w:r>
              <w:rPr>
                <w:rFonts w:ascii="Calibri" w:hAnsi="Calibri"/>
                <w:color w:val="000000"/>
                <w:szCs w:val="20"/>
              </w:rPr>
              <w:t>Commercial combination oven/steamer Natural gas (15-28 pans)</w:t>
            </w:r>
          </w:p>
        </w:tc>
        <w:tc>
          <w:tcPr>
            <w:tcW w:w="497" w:type="pct"/>
            <w:vAlign w:val="center"/>
          </w:tcPr>
          <w:p w14:paraId="674867C7" w14:textId="77777777" w:rsidR="00106072" w:rsidRPr="004A5910" w:rsidRDefault="00106072" w:rsidP="00402632">
            <w:pPr>
              <w:jc w:val="center"/>
              <w:rPr>
                <w:szCs w:val="20"/>
              </w:rPr>
            </w:pPr>
            <w:r>
              <w:rPr>
                <w:szCs w:val="20"/>
              </w:rPr>
              <w:t>Any</w:t>
            </w:r>
          </w:p>
        </w:tc>
        <w:tc>
          <w:tcPr>
            <w:tcW w:w="565" w:type="pct"/>
            <w:vAlign w:val="center"/>
          </w:tcPr>
          <w:p w14:paraId="5FC22D9C" w14:textId="77777777" w:rsidR="00106072" w:rsidRPr="004A5910" w:rsidRDefault="00106072" w:rsidP="00402632">
            <w:pPr>
              <w:jc w:val="center"/>
              <w:rPr>
                <w:szCs w:val="20"/>
              </w:rPr>
            </w:pPr>
            <w:r>
              <w:rPr>
                <w:szCs w:val="20"/>
              </w:rPr>
              <w:t>Any</w:t>
            </w:r>
          </w:p>
        </w:tc>
        <w:tc>
          <w:tcPr>
            <w:tcW w:w="757" w:type="pct"/>
            <w:vAlign w:val="center"/>
          </w:tcPr>
          <w:p w14:paraId="375C9E3A" w14:textId="77777777" w:rsidR="00106072" w:rsidRPr="004A5910" w:rsidRDefault="00106072" w:rsidP="00402632">
            <w:pPr>
              <w:jc w:val="center"/>
              <w:rPr>
                <w:szCs w:val="20"/>
              </w:rPr>
            </w:pPr>
            <w:r>
              <w:rPr>
                <w:szCs w:val="20"/>
              </w:rPr>
              <w:t>Any</w:t>
            </w:r>
          </w:p>
        </w:tc>
        <w:tc>
          <w:tcPr>
            <w:tcW w:w="379" w:type="pct"/>
            <w:vAlign w:val="center"/>
          </w:tcPr>
          <w:p w14:paraId="772EE7C4" w14:textId="26EF08E3" w:rsidR="00106072" w:rsidRPr="00500C4E" w:rsidRDefault="00106072" w:rsidP="004A4206">
            <w:pPr>
              <w:jc w:val="center"/>
              <w:rPr>
                <w:color w:val="FF0000"/>
                <w:szCs w:val="20"/>
              </w:rPr>
            </w:pPr>
            <w:r w:rsidRPr="00F20F8C">
              <w:rPr>
                <w:szCs w:val="20"/>
              </w:rPr>
              <w:t>0.60</w:t>
            </w:r>
          </w:p>
        </w:tc>
      </w:tr>
    </w:tbl>
    <w:p w14:paraId="389E5FF6" w14:textId="77777777" w:rsidR="0074467E" w:rsidRDefault="0074467E" w:rsidP="003003EC">
      <w:pPr>
        <w:pStyle w:val="Reminders"/>
        <w:rPr>
          <w:rFonts w:asciiTheme="minorHAnsi" w:hAnsiTheme="minorHAnsi" w:cstheme="minorHAnsi"/>
          <w:b/>
          <w:i w:val="0"/>
          <w:color w:val="auto"/>
          <w:szCs w:val="22"/>
        </w:rPr>
      </w:pPr>
    </w:p>
    <w:p w14:paraId="23862AD1" w14:textId="1BC03AD9"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6D2549F2" w14:textId="344C4153"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w:t>
      </w:r>
      <w:r w:rsidR="00DD61C0">
        <w:rPr>
          <w:rFonts w:asciiTheme="minorHAnsi" w:hAnsiTheme="minorHAnsi" w:cstheme="minorHAnsi"/>
          <w:i w:val="0"/>
          <w:color w:val="auto"/>
          <w:szCs w:val="22"/>
        </w:rPr>
        <w:t>e rates are not tracked in wps</w:t>
      </w:r>
      <w:r w:rsidRPr="00500C4E">
        <w:rPr>
          <w:rFonts w:asciiTheme="minorHAnsi" w:hAnsiTheme="minorHAnsi" w:cstheme="minorHAnsi"/>
          <w:i w:val="0"/>
          <w:color w:val="auto"/>
          <w:szCs w:val="22"/>
        </w:rPr>
        <w:t>; they are tracked in an external document which will be supplied to the Commission Staff.</w:t>
      </w:r>
    </w:p>
    <w:p w14:paraId="4A92C7B1" w14:textId="77777777" w:rsidR="00463CEF" w:rsidRDefault="00463CEF" w:rsidP="000968C6">
      <w:pPr>
        <w:pStyle w:val="Reminders"/>
        <w:rPr>
          <w:rFonts w:asciiTheme="minorHAnsi" w:hAnsiTheme="minorHAnsi" w:cstheme="minorHAnsi"/>
          <w:b/>
          <w:i w:val="0"/>
          <w:color w:val="auto"/>
          <w:szCs w:val="22"/>
        </w:rPr>
      </w:pPr>
    </w:p>
    <w:p w14:paraId="7C03B806"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15EB55EC" w14:textId="6F988F5B" w:rsidR="00240B74" w:rsidRDefault="002D0BF0" w:rsidP="00920905">
      <w:pPr>
        <w:pStyle w:val="NoSpacing"/>
      </w:pPr>
      <w:r>
        <w:t>Realization rates, GSIA values, and overall installation rates are presented in the appendix and are proposed to be incorp</w:t>
      </w:r>
      <w:r w:rsidR="00DA5710">
        <w:t xml:space="preserve">orated as best available data. </w:t>
      </w:r>
      <w:r w:rsidR="000968C6" w:rsidRPr="00920905">
        <w:t>Th</w:t>
      </w:r>
      <w:r w:rsidR="00061A8E" w:rsidRPr="00920905">
        <w:t>e IR</w:t>
      </w:r>
      <w:r w:rsidR="000968C6" w:rsidRPr="00920905">
        <w:t xml:space="preserve"> value</w:t>
      </w:r>
      <w:r w:rsidR="00061A8E" w:rsidRPr="00920905">
        <w:t>s</w:t>
      </w:r>
      <w:r w:rsidR="000968C6" w:rsidRPr="00920905">
        <w:t xml:space="preserve"> </w:t>
      </w:r>
      <w:r w:rsidR="00061A8E" w:rsidRPr="00920905">
        <w:t>were</w:t>
      </w:r>
      <w:r w:rsidR="000968C6" w:rsidRPr="00920905">
        <w:t xml:space="preserve"> obtained </w:t>
      </w:r>
      <w:r w:rsidR="00BC6524" w:rsidRPr="00920905">
        <w:t>using the DEER READI tool</w:t>
      </w:r>
      <w:r w:rsidR="00240B74" w:rsidRPr="00920905">
        <w:t>.</w:t>
      </w:r>
      <w:r w:rsidR="000968C6" w:rsidRPr="00920905">
        <w:t xml:space="preserve"> </w:t>
      </w:r>
      <w:r w:rsidR="00061A8E" w:rsidRPr="00920905">
        <w:t>The relevant IR value</w:t>
      </w:r>
      <w:r w:rsidR="00DD61C0">
        <w:t xml:space="preserve">s for the measures in this wp </w:t>
      </w:r>
      <w:r w:rsidR="00061A8E" w:rsidRPr="00920905">
        <w:t>are in the table below</w:t>
      </w:r>
      <w:r w:rsidR="008B1357" w:rsidRPr="00920905">
        <w:t>.</w:t>
      </w:r>
    </w:p>
    <w:p w14:paraId="004C0A57" w14:textId="77777777" w:rsidR="00E004FC" w:rsidRDefault="00E004FC" w:rsidP="00920905">
      <w:pPr>
        <w:pStyle w:val="NoSpacing"/>
      </w:pPr>
    </w:p>
    <w:p w14:paraId="003569A6" w14:textId="0F30AFD6" w:rsidR="00E004FC" w:rsidRPr="00920905" w:rsidRDefault="00E004FC" w:rsidP="00E004FC">
      <w:pPr>
        <w:pStyle w:val="Caption"/>
        <w:jc w:val="center"/>
      </w:pPr>
      <w:r>
        <w:t xml:space="preserve">Table </w:t>
      </w:r>
      <w:r w:rsidR="00054031">
        <w:fldChar w:fldCharType="begin"/>
      </w:r>
      <w:r w:rsidR="00054031">
        <w:instrText xml:space="preserve"> SEQ Table \* ARABIC </w:instrText>
      </w:r>
      <w:r w:rsidR="00054031">
        <w:fldChar w:fldCharType="separate"/>
      </w:r>
      <w:r w:rsidR="00602E9A">
        <w:rPr>
          <w:noProof/>
        </w:rPr>
        <w:t>5</w:t>
      </w:r>
      <w:r w:rsidR="00054031">
        <w:rPr>
          <w:noProof/>
        </w:rPr>
        <w:fldChar w:fldCharType="end"/>
      </w:r>
      <w:r w:rsidR="00B47A09">
        <w:rPr>
          <w:noProof/>
        </w:rPr>
        <w:t>:</w:t>
      </w:r>
      <w:r>
        <w:t xml:space="preserve"> GSIA Table</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6AAD0E07" w14:textId="77777777" w:rsidTr="00920905">
        <w:tc>
          <w:tcPr>
            <w:tcW w:w="722" w:type="pct"/>
            <w:shd w:val="clear" w:color="auto" w:fill="D9D9D9" w:themeFill="background1" w:themeFillShade="D9"/>
          </w:tcPr>
          <w:p w14:paraId="1C22C812"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7D62165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6FF1A06"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73962C52"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632F4551"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27831443" w14:textId="77777777" w:rsidR="006B4A48" w:rsidRPr="00920905" w:rsidRDefault="00FB2590" w:rsidP="005729C8">
            <w:pPr>
              <w:rPr>
                <w:rFonts w:cstheme="minorHAnsi"/>
                <w:b/>
                <w:szCs w:val="20"/>
              </w:rPr>
            </w:pPr>
            <w:r w:rsidRPr="00920905">
              <w:rPr>
                <w:rFonts w:cstheme="minorHAnsi"/>
                <w:b/>
                <w:szCs w:val="20"/>
              </w:rPr>
              <w:t>GSIAValue</w:t>
            </w:r>
          </w:p>
        </w:tc>
      </w:tr>
      <w:tr w:rsidR="002F4E34" w:rsidRPr="00500C4E" w14:paraId="1BBEA71D" w14:textId="77777777" w:rsidTr="00920905">
        <w:tc>
          <w:tcPr>
            <w:tcW w:w="722" w:type="pct"/>
          </w:tcPr>
          <w:p w14:paraId="0C000B85" w14:textId="77777777" w:rsidR="002F4E34" w:rsidRPr="00E004FC" w:rsidRDefault="002F4E34" w:rsidP="005729C8">
            <w:pPr>
              <w:rPr>
                <w:szCs w:val="20"/>
              </w:rPr>
            </w:pPr>
            <w:r w:rsidRPr="00E004FC">
              <w:rPr>
                <w:szCs w:val="20"/>
              </w:rPr>
              <w:t>Def-GSIA</w:t>
            </w:r>
          </w:p>
        </w:tc>
        <w:tc>
          <w:tcPr>
            <w:tcW w:w="1404" w:type="pct"/>
          </w:tcPr>
          <w:p w14:paraId="78C6B325" w14:textId="77777777" w:rsidR="002F4E34" w:rsidRPr="00E004FC" w:rsidRDefault="002F4E34" w:rsidP="005729C8">
            <w:pPr>
              <w:rPr>
                <w:szCs w:val="20"/>
              </w:rPr>
            </w:pPr>
            <w:r w:rsidRPr="00E004FC">
              <w:rPr>
                <w:szCs w:val="20"/>
              </w:rPr>
              <w:t>Default GSIA values</w:t>
            </w:r>
          </w:p>
        </w:tc>
        <w:tc>
          <w:tcPr>
            <w:tcW w:w="688" w:type="pct"/>
          </w:tcPr>
          <w:p w14:paraId="79D39DBB" w14:textId="77777777" w:rsidR="002F4E34" w:rsidRPr="00E004FC" w:rsidRDefault="002F4E34" w:rsidP="005729C8">
            <w:pPr>
              <w:rPr>
                <w:szCs w:val="20"/>
              </w:rPr>
            </w:pPr>
            <w:r w:rsidRPr="00E004FC">
              <w:rPr>
                <w:szCs w:val="20"/>
              </w:rPr>
              <w:t>Any</w:t>
            </w:r>
          </w:p>
        </w:tc>
        <w:tc>
          <w:tcPr>
            <w:tcW w:w="858" w:type="pct"/>
          </w:tcPr>
          <w:p w14:paraId="4657028C" w14:textId="77777777" w:rsidR="002F4E34" w:rsidRPr="00E004FC" w:rsidRDefault="002F4E34" w:rsidP="005729C8">
            <w:pPr>
              <w:rPr>
                <w:szCs w:val="20"/>
              </w:rPr>
            </w:pPr>
            <w:r w:rsidRPr="00E004FC">
              <w:rPr>
                <w:szCs w:val="20"/>
              </w:rPr>
              <w:t>Any</w:t>
            </w:r>
          </w:p>
        </w:tc>
        <w:tc>
          <w:tcPr>
            <w:tcW w:w="693" w:type="pct"/>
          </w:tcPr>
          <w:p w14:paraId="13099931" w14:textId="77777777" w:rsidR="002F4E34" w:rsidRPr="00E004FC" w:rsidRDefault="002F4E34" w:rsidP="005729C8">
            <w:pPr>
              <w:rPr>
                <w:szCs w:val="20"/>
              </w:rPr>
            </w:pPr>
            <w:r w:rsidRPr="00E004FC">
              <w:rPr>
                <w:szCs w:val="20"/>
              </w:rPr>
              <w:t>Any</w:t>
            </w:r>
          </w:p>
        </w:tc>
        <w:tc>
          <w:tcPr>
            <w:tcW w:w="634" w:type="pct"/>
          </w:tcPr>
          <w:p w14:paraId="7246A897" w14:textId="77777777" w:rsidR="002F4E34" w:rsidRPr="00E004FC" w:rsidRDefault="002F4E34" w:rsidP="005729C8">
            <w:pPr>
              <w:rPr>
                <w:szCs w:val="20"/>
              </w:rPr>
            </w:pPr>
            <w:r w:rsidRPr="00E004FC">
              <w:rPr>
                <w:szCs w:val="20"/>
              </w:rPr>
              <w:t>1</w:t>
            </w:r>
          </w:p>
        </w:tc>
      </w:tr>
    </w:tbl>
    <w:p w14:paraId="7C1DB98E" w14:textId="77777777" w:rsidR="006B4A48" w:rsidRPr="00B05647" w:rsidRDefault="006B4A48" w:rsidP="000968C6">
      <w:pPr>
        <w:pStyle w:val="Reminders"/>
        <w:rPr>
          <w:rFonts w:asciiTheme="minorHAnsi" w:hAnsiTheme="minorHAnsi" w:cstheme="minorHAnsi"/>
          <w:b/>
          <w:i w:val="0"/>
          <w:color w:val="auto"/>
          <w:szCs w:val="22"/>
        </w:rPr>
      </w:pPr>
    </w:p>
    <w:p w14:paraId="1B647B5E" w14:textId="2ED444FF" w:rsidR="008B1357" w:rsidRPr="00500C4E" w:rsidRDefault="00DA5710" w:rsidP="008B1357">
      <w:pPr>
        <w:rPr>
          <w:rFonts w:cstheme="minorHAnsi"/>
          <w:b/>
          <w:szCs w:val="22"/>
        </w:rPr>
      </w:pPr>
      <w:r>
        <w:rPr>
          <w:rFonts w:cstheme="minorHAnsi"/>
          <w:b/>
          <w:szCs w:val="22"/>
        </w:rPr>
        <w:t xml:space="preserve">IOU WEN Measures - </w:t>
      </w:r>
      <w:r w:rsidR="008B1357" w:rsidRPr="00500C4E">
        <w:rPr>
          <w:rFonts w:cstheme="minorHAnsi"/>
          <w:b/>
          <w:szCs w:val="22"/>
        </w:rPr>
        <w:t>Effective</w:t>
      </w:r>
      <w:r w:rsidR="00CE4386" w:rsidRPr="00500C4E">
        <w:rPr>
          <w:rFonts w:cstheme="minorHAnsi"/>
          <w:b/>
          <w:szCs w:val="22"/>
        </w:rPr>
        <w:t xml:space="preserve"> and Remaining</w:t>
      </w:r>
      <w:r w:rsidR="008B1357" w:rsidRPr="00500C4E">
        <w:rPr>
          <w:rFonts w:cstheme="minorHAnsi"/>
          <w:b/>
          <w:szCs w:val="22"/>
        </w:rPr>
        <w:t xml:space="preserve"> Useful Life</w:t>
      </w:r>
    </w:p>
    <w:p w14:paraId="78DD8582" w14:textId="4BE693ED" w:rsidR="008B1357" w:rsidRDefault="00DA5710" w:rsidP="00920905">
      <w:pPr>
        <w:pStyle w:val="NoSpacing"/>
      </w:pPr>
      <w:r>
        <w:t>For the IOU WEN M</w:t>
      </w:r>
      <w:r w:rsidR="00E004FC">
        <w:t>easures, t</w:t>
      </w:r>
      <w:r w:rsidR="006A6D15" w:rsidRPr="0087393E">
        <w:t xml:space="preserve">he EUL and RUL values were obtained </w:t>
      </w:r>
      <w:r w:rsidR="00BC6524" w:rsidRPr="0087393E">
        <w:t>using the DEER READI tool</w:t>
      </w:r>
      <w:r w:rsidR="00E004FC">
        <w:t xml:space="preserve"> (</w:t>
      </w:r>
      <w:r w:rsidR="00E004FC" w:rsidRPr="00E004FC">
        <w:t>DEER 2016, READI v2.</w:t>
      </w:r>
      <w:r w:rsidR="00BA76DF">
        <w:t>5.1</w:t>
      </w:r>
      <w:r w:rsidR="00E004FC">
        <w:t>)</w:t>
      </w:r>
      <w:r w:rsidR="006A6D15" w:rsidRPr="0087393E">
        <w:t xml:space="preserve">. DEER defines the RUL as 1/3 of the EUL value. The RUL value is only applicable to the first baseline period for an RET measure with an applicable code baseline. The relevant EUL and RUL values for the </w:t>
      </w:r>
      <w:r w:rsidR="00DA4B85">
        <w:t xml:space="preserve">first </w:t>
      </w:r>
      <w:r w:rsidR="00B433C3">
        <w:t xml:space="preserve">ten (10) </w:t>
      </w:r>
      <w:r w:rsidR="00DA4B85">
        <w:t xml:space="preserve">IOU WEN </w:t>
      </w:r>
      <w:r w:rsidR="006A6D15" w:rsidRPr="0087393E">
        <w:t xml:space="preserve">measures are </w:t>
      </w:r>
      <w:r w:rsidR="00DA4B85">
        <w:t xml:space="preserve">shown </w:t>
      </w:r>
      <w:r w:rsidR="006A6D15" w:rsidRPr="0087393E">
        <w:t xml:space="preserve">in the </w:t>
      </w:r>
      <w:r w:rsidR="0074467E" w:rsidRPr="0074467E">
        <w:rPr>
          <w:b/>
        </w:rPr>
        <w:fldChar w:fldCharType="begin"/>
      </w:r>
      <w:r w:rsidR="0074467E" w:rsidRPr="0074467E">
        <w:rPr>
          <w:b/>
        </w:rPr>
        <w:instrText xml:space="preserve"> REF _Ref19592472 \h  \* MERGEFORMAT </w:instrText>
      </w:r>
      <w:r w:rsidR="0074467E" w:rsidRPr="0074467E">
        <w:rPr>
          <w:b/>
        </w:rPr>
      </w:r>
      <w:r w:rsidR="0074467E" w:rsidRPr="0074467E">
        <w:rPr>
          <w:b/>
        </w:rPr>
        <w:fldChar w:fldCharType="separate"/>
      </w:r>
      <w:r w:rsidR="0074467E" w:rsidRPr="0074467E">
        <w:rPr>
          <w:b/>
        </w:rPr>
        <w:t xml:space="preserve">Table </w:t>
      </w:r>
      <w:r w:rsidR="0074467E" w:rsidRPr="0074467E">
        <w:rPr>
          <w:b/>
          <w:noProof/>
        </w:rPr>
        <w:t>6</w:t>
      </w:r>
      <w:r w:rsidR="0074467E" w:rsidRPr="0074467E">
        <w:rPr>
          <w:b/>
        </w:rPr>
        <w:fldChar w:fldCharType="end"/>
      </w:r>
      <w:r w:rsidR="006A6D15" w:rsidRPr="0087393E">
        <w:t>.</w:t>
      </w:r>
      <w:r w:rsidR="00DA4B85">
        <w:t xml:space="preserve"> The remaining IOU WEN measures can be found in</w:t>
      </w:r>
      <w:r w:rsidR="00813420" w:rsidRPr="00813420">
        <w:rPr>
          <w:rFonts w:cstheme="minorHAnsi"/>
          <w:iCs/>
        </w:rPr>
        <w:t xml:space="preserve"> the </w:t>
      </w:r>
      <w:r w:rsidR="00813420" w:rsidRPr="00813420">
        <w:rPr>
          <w:rFonts w:eastAsia="Times New Roman" w:cs="Times New Roman"/>
          <w:iCs/>
        </w:rPr>
        <w:t>2019-09-17 WEN Measures List 2019 – FINAL.xlsx included with the workpaper upload onto the workpaper archive (WPA) website</w:t>
      </w:r>
      <w:r w:rsidR="00813420" w:rsidRPr="00813420">
        <w:rPr>
          <w:iCs/>
        </w:rPr>
        <w:t>.</w:t>
      </w:r>
    </w:p>
    <w:p w14:paraId="6557CD8D" w14:textId="77777777" w:rsidR="00E004FC" w:rsidRDefault="00E004FC" w:rsidP="00920905">
      <w:pPr>
        <w:pStyle w:val="NoSpacing"/>
      </w:pPr>
    </w:p>
    <w:p w14:paraId="1D49B0B9" w14:textId="1071DEDF" w:rsidR="00E004FC" w:rsidRPr="00920905" w:rsidRDefault="00463CEF" w:rsidP="00463CEF">
      <w:pPr>
        <w:pStyle w:val="Caption"/>
        <w:jc w:val="center"/>
      </w:pPr>
      <w:bookmarkStart w:id="14" w:name="_Ref19592472"/>
      <w:r>
        <w:t xml:space="preserve">Table </w:t>
      </w:r>
      <w:r w:rsidR="00054031">
        <w:fldChar w:fldCharType="begin"/>
      </w:r>
      <w:r w:rsidR="00054031">
        <w:instrText xml:space="preserve"> SEQ Table \* ARABIC </w:instrText>
      </w:r>
      <w:r w:rsidR="00054031">
        <w:fldChar w:fldCharType="separate"/>
      </w:r>
      <w:r w:rsidR="00602E9A">
        <w:rPr>
          <w:noProof/>
        </w:rPr>
        <w:t>6</w:t>
      </w:r>
      <w:r w:rsidR="00054031">
        <w:rPr>
          <w:noProof/>
        </w:rPr>
        <w:fldChar w:fldCharType="end"/>
      </w:r>
      <w:bookmarkEnd w:id="14"/>
      <w:r w:rsidR="00B47A09">
        <w:rPr>
          <w:noProof/>
        </w:rPr>
        <w:t>:</w:t>
      </w:r>
      <w:r>
        <w:t xml:space="preserve"> </w:t>
      </w:r>
      <w:r w:rsidR="00DA5710">
        <w:t xml:space="preserve">IOU WEN Measures - </w:t>
      </w:r>
      <w:r>
        <w:t>EUL/RUL Table</w:t>
      </w:r>
    </w:p>
    <w:tbl>
      <w:tblPr>
        <w:tblStyle w:val="TableGrid1"/>
        <w:tblW w:w="4492" w:type="pct"/>
        <w:jc w:val="center"/>
        <w:tblLook w:val="04A0" w:firstRow="1" w:lastRow="0" w:firstColumn="1" w:lastColumn="0" w:noHBand="0" w:noVBand="1"/>
      </w:tblPr>
      <w:tblGrid>
        <w:gridCol w:w="950"/>
        <w:gridCol w:w="1448"/>
        <w:gridCol w:w="1798"/>
        <w:gridCol w:w="1190"/>
        <w:gridCol w:w="1270"/>
        <w:gridCol w:w="897"/>
        <w:gridCol w:w="847"/>
      </w:tblGrid>
      <w:tr w:rsidR="00463CEF" w:rsidRPr="00500C4E" w14:paraId="16E076D5" w14:textId="77777777" w:rsidTr="00E33F75">
        <w:trPr>
          <w:tblHeader/>
          <w:jc w:val="center"/>
        </w:trPr>
        <w:tc>
          <w:tcPr>
            <w:tcW w:w="565" w:type="pct"/>
            <w:shd w:val="clear" w:color="auto" w:fill="D9D9D9" w:themeFill="background1" w:themeFillShade="D9"/>
            <w:vAlign w:val="center"/>
          </w:tcPr>
          <w:p w14:paraId="2F0D7530" w14:textId="77777777" w:rsidR="00463CEF" w:rsidRPr="00920905" w:rsidRDefault="00463CEF" w:rsidP="00463CEF">
            <w:pPr>
              <w:jc w:val="center"/>
              <w:rPr>
                <w:rFonts w:cstheme="minorHAnsi"/>
                <w:b/>
                <w:szCs w:val="20"/>
              </w:rPr>
            </w:pPr>
            <w:r>
              <w:rPr>
                <w:rFonts w:cstheme="minorHAnsi"/>
                <w:b/>
                <w:szCs w:val="20"/>
              </w:rPr>
              <w:t>Measure #</w:t>
            </w:r>
          </w:p>
        </w:tc>
        <w:tc>
          <w:tcPr>
            <w:tcW w:w="862" w:type="pct"/>
            <w:shd w:val="clear" w:color="auto" w:fill="D9D9D9" w:themeFill="background1" w:themeFillShade="D9"/>
            <w:vAlign w:val="center"/>
          </w:tcPr>
          <w:p w14:paraId="32556CF5" w14:textId="77777777" w:rsidR="00463CEF" w:rsidRPr="00920905" w:rsidRDefault="00463CEF" w:rsidP="00463CEF">
            <w:pPr>
              <w:jc w:val="center"/>
              <w:rPr>
                <w:rFonts w:cstheme="minorHAnsi"/>
                <w:b/>
                <w:szCs w:val="20"/>
              </w:rPr>
            </w:pPr>
            <w:r w:rsidRPr="00920905">
              <w:rPr>
                <w:rFonts w:cstheme="minorHAnsi"/>
                <w:b/>
                <w:szCs w:val="20"/>
              </w:rPr>
              <w:t>EUL ID</w:t>
            </w:r>
          </w:p>
        </w:tc>
        <w:tc>
          <w:tcPr>
            <w:tcW w:w="1070" w:type="pct"/>
            <w:shd w:val="clear" w:color="auto" w:fill="D9D9D9" w:themeFill="background1" w:themeFillShade="D9"/>
            <w:vAlign w:val="center"/>
          </w:tcPr>
          <w:p w14:paraId="1241C787" w14:textId="77777777" w:rsidR="00463CEF" w:rsidRPr="00920905" w:rsidRDefault="00463CEF" w:rsidP="00463CEF">
            <w:pPr>
              <w:jc w:val="center"/>
              <w:rPr>
                <w:rFonts w:cstheme="minorHAnsi"/>
                <w:b/>
                <w:szCs w:val="20"/>
              </w:rPr>
            </w:pPr>
            <w:r w:rsidRPr="00920905">
              <w:rPr>
                <w:rFonts w:cstheme="minorHAnsi"/>
                <w:b/>
                <w:szCs w:val="20"/>
              </w:rPr>
              <w:t>Description</w:t>
            </w:r>
          </w:p>
        </w:tc>
        <w:tc>
          <w:tcPr>
            <w:tcW w:w="708" w:type="pct"/>
            <w:shd w:val="clear" w:color="auto" w:fill="D9D9D9" w:themeFill="background1" w:themeFillShade="D9"/>
            <w:vAlign w:val="center"/>
          </w:tcPr>
          <w:p w14:paraId="00903554" w14:textId="77777777" w:rsidR="00463CEF" w:rsidRPr="00920905" w:rsidRDefault="00463CEF" w:rsidP="00463CEF">
            <w:pPr>
              <w:jc w:val="center"/>
              <w:rPr>
                <w:rFonts w:cstheme="minorHAnsi"/>
                <w:b/>
                <w:szCs w:val="20"/>
              </w:rPr>
            </w:pPr>
            <w:r w:rsidRPr="00920905">
              <w:rPr>
                <w:rFonts w:cstheme="minorHAnsi"/>
                <w:b/>
                <w:szCs w:val="20"/>
              </w:rPr>
              <w:t>Sector</w:t>
            </w:r>
          </w:p>
        </w:tc>
        <w:tc>
          <w:tcPr>
            <w:tcW w:w="756" w:type="pct"/>
            <w:shd w:val="clear" w:color="auto" w:fill="D9D9D9" w:themeFill="background1" w:themeFillShade="D9"/>
            <w:vAlign w:val="center"/>
          </w:tcPr>
          <w:p w14:paraId="375A7C3B" w14:textId="77777777" w:rsidR="00463CEF" w:rsidRPr="00920905" w:rsidRDefault="00463CEF" w:rsidP="00463CEF">
            <w:pPr>
              <w:jc w:val="center"/>
              <w:rPr>
                <w:rFonts w:cstheme="minorHAnsi"/>
                <w:b/>
                <w:szCs w:val="20"/>
              </w:rPr>
            </w:pPr>
            <w:r w:rsidRPr="00920905">
              <w:rPr>
                <w:rFonts w:cstheme="minorHAnsi"/>
                <w:b/>
                <w:szCs w:val="20"/>
              </w:rPr>
              <w:t>UseCategory</w:t>
            </w:r>
          </w:p>
        </w:tc>
        <w:tc>
          <w:tcPr>
            <w:tcW w:w="534" w:type="pct"/>
            <w:shd w:val="clear" w:color="auto" w:fill="D9D9D9" w:themeFill="background1" w:themeFillShade="D9"/>
            <w:vAlign w:val="center"/>
          </w:tcPr>
          <w:p w14:paraId="255CBD6D" w14:textId="77777777" w:rsidR="00463CEF" w:rsidRPr="00920905" w:rsidRDefault="00463CEF" w:rsidP="00463CEF">
            <w:pPr>
              <w:jc w:val="center"/>
              <w:rPr>
                <w:rFonts w:cstheme="minorHAnsi"/>
                <w:b/>
                <w:szCs w:val="20"/>
              </w:rPr>
            </w:pPr>
            <w:r w:rsidRPr="00920905">
              <w:rPr>
                <w:rFonts w:cstheme="minorHAnsi"/>
                <w:b/>
                <w:szCs w:val="20"/>
              </w:rPr>
              <w:t>EUL (Years)</w:t>
            </w:r>
          </w:p>
        </w:tc>
        <w:tc>
          <w:tcPr>
            <w:tcW w:w="504" w:type="pct"/>
            <w:shd w:val="clear" w:color="auto" w:fill="D9D9D9" w:themeFill="background1" w:themeFillShade="D9"/>
            <w:vAlign w:val="center"/>
          </w:tcPr>
          <w:p w14:paraId="71DBC34E" w14:textId="77777777" w:rsidR="00463CEF" w:rsidRPr="00920905" w:rsidRDefault="00463CEF" w:rsidP="00463CEF">
            <w:pPr>
              <w:jc w:val="center"/>
              <w:rPr>
                <w:rFonts w:cstheme="minorHAnsi"/>
                <w:b/>
                <w:szCs w:val="20"/>
              </w:rPr>
            </w:pPr>
            <w:r w:rsidRPr="00920905">
              <w:rPr>
                <w:rFonts w:cstheme="minorHAnsi"/>
                <w:b/>
                <w:szCs w:val="20"/>
              </w:rPr>
              <w:t>RUL (Years)</w:t>
            </w:r>
          </w:p>
        </w:tc>
      </w:tr>
      <w:tr w:rsidR="008750CF" w:rsidRPr="00500C4E" w14:paraId="6D5F9194" w14:textId="77777777" w:rsidTr="00E33F75">
        <w:trPr>
          <w:trHeight w:val="243"/>
          <w:jc w:val="center"/>
        </w:trPr>
        <w:tc>
          <w:tcPr>
            <w:tcW w:w="565" w:type="pct"/>
            <w:vAlign w:val="center"/>
          </w:tcPr>
          <w:p w14:paraId="01B7D415" w14:textId="467873C3" w:rsidR="008750CF" w:rsidRPr="00F429FC" w:rsidRDefault="008750CF" w:rsidP="008750CF">
            <w:pPr>
              <w:jc w:val="center"/>
            </w:pPr>
            <w:r w:rsidRPr="0059752A">
              <w:t>1</w:t>
            </w:r>
          </w:p>
        </w:tc>
        <w:tc>
          <w:tcPr>
            <w:tcW w:w="862" w:type="pct"/>
            <w:vAlign w:val="center"/>
          </w:tcPr>
          <w:p w14:paraId="044FE114" w14:textId="77777777" w:rsidR="008750CF" w:rsidRPr="00BE7C78" w:rsidRDefault="008750CF" w:rsidP="00BE7C78">
            <w:pPr>
              <w:rPr>
                <w:szCs w:val="20"/>
              </w:rPr>
            </w:pPr>
            <w:r w:rsidRPr="00BE7C78">
              <w:rPr>
                <w:szCs w:val="20"/>
              </w:rPr>
              <w:t>Appl-EffCW</w:t>
            </w:r>
          </w:p>
        </w:tc>
        <w:tc>
          <w:tcPr>
            <w:tcW w:w="1070" w:type="pct"/>
            <w:vAlign w:val="center"/>
          </w:tcPr>
          <w:p w14:paraId="077A7FA2" w14:textId="2186E112" w:rsidR="008750CF" w:rsidRPr="00BE7C78" w:rsidRDefault="008750CF" w:rsidP="0013477F">
            <w:pPr>
              <w:rPr>
                <w:rFonts w:cs="Calibri"/>
                <w:color w:val="000000"/>
                <w:szCs w:val="20"/>
              </w:rPr>
            </w:pPr>
            <w:r w:rsidRPr="00503D9D">
              <w:t>Energy Star most efficient clothes washer, &gt;2.5 cubic ft</w:t>
            </w:r>
            <w:r>
              <w:t xml:space="preserve"> - </w:t>
            </w:r>
            <w:r w:rsidRPr="00FC76CB">
              <w:t>SFM. MFM In-Unit</w:t>
            </w:r>
          </w:p>
        </w:tc>
        <w:tc>
          <w:tcPr>
            <w:tcW w:w="708" w:type="pct"/>
            <w:vAlign w:val="center"/>
          </w:tcPr>
          <w:p w14:paraId="017F1947" w14:textId="77777777" w:rsidR="008750CF" w:rsidRPr="00BE7C78" w:rsidRDefault="008750CF" w:rsidP="00314057">
            <w:pPr>
              <w:jc w:val="center"/>
              <w:rPr>
                <w:rFonts w:cs="Calibri"/>
                <w:color w:val="000000"/>
                <w:szCs w:val="20"/>
              </w:rPr>
            </w:pPr>
            <w:r w:rsidRPr="00BE7C78">
              <w:rPr>
                <w:rFonts w:cs="Calibri"/>
                <w:color w:val="000000"/>
                <w:szCs w:val="20"/>
              </w:rPr>
              <w:t>SFM. MFM In-Unit</w:t>
            </w:r>
          </w:p>
        </w:tc>
        <w:tc>
          <w:tcPr>
            <w:tcW w:w="756" w:type="pct"/>
            <w:vAlign w:val="center"/>
          </w:tcPr>
          <w:p w14:paraId="03F95C31" w14:textId="77777777" w:rsidR="008750CF" w:rsidRPr="009D417C" w:rsidRDefault="008750CF" w:rsidP="009D417C">
            <w:pPr>
              <w:jc w:val="center"/>
              <w:rPr>
                <w:szCs w:val="20"/>
              </w:rPr>
            </w:pPr>
            <w:r w:rsidRPr="009D417C">
              <w:rPr>
                <w:szCs w:val="20"/>
              </w:rPr>
              <w:t>AppPlug</w:t>
            </w:r>
          </w:p>
        </w:tc>
        <w:tc>
          <w:tcPr>
            <w:tcW w:w="534" w:type="pct"/>
            <w:vAlign w:val="center"/>
          </w:tcPr>
          <w:p w14:paraId="10527480" w14:textId="77777777" w:rsidR="008750CF" w:rsidRPr="00BE7C78" w:rsidRDefault="008750CF" w:rsidP="0013477F">
            <w:pPr>
              <w:jc w:val="center"/>
              <w:rPr>
                <w:rFonts w:cs="Calibri"/>
                <w:color w:val="000000"/>
                <w:szCs w:val="20"/>
              </w:rPr>
            </w:pPr>
            <w:r w:rsidRPr="00BE7C78">
              <w:rPr>
                <w:rFonts w:cs="Calibri"/>
                <w:color w:val="000000"/>
                <w:szCs w:val="20"/>
              </w:rPr>
              <w:t>11</w:t>
            </w:r>
          </w:p>
        </w:tc>
        <w:tc>
          <w:tcPr>
            <w:tcW w:w="504" w:type="pct"/>
            <w:vAlign w:val="center"/>
          </w:tcPr>
          <w:p w14:paraId="464C04C3" w14:textId="77777777" w:rsidR="008750CF" w:rsidRPr="00BE7C78" w:rsidRDefault="008750CF" w:rsidP="0013477F">
            <w:pPr>
              <w:jc w:val="center"/>
              <w:rPr>
                <w:szCs w:val="20"/>
              </w:rPr>
            </w:pPr>
            <w:r w:rsidRPr="00BE7C78">
              <w:rPr>
                <w:szCs w:val="20"/>
              </w:rPr>
              <w:t>3.7</w:t>
            </w:r>
          </w:p>
        </w:tc>
      </w:tr>
      <w:tr w:rsidR="008750CF" w:rsidRPr="00500C4E" w14:paraId="69BD3A35" w14:textId="77777777" w:rsidTr="00E33F75">
        <w:trPr>
          <w:trHeight w:val="243"/>
          <w:jc w:val="center"/>
        </w:trPr>
        <w:tc>
          <w:tcPr>
            <w:tcW w:w="565" w:type="pct"/>
            <w:vAlign w:val="center"/>
          </w:tcPr>
          <w:p w14:paraId="0660D01B" w14:textId="487D63E6" w:rsidR="008750CF" w:rsidRDefault="008750CF" w:rsidP="008750CF">
            <w:pPr>
              <w:jc w:val="center"/>
            </w:pPr>
            <w:r w:rsidRPr="0059752A">
              <w:t>2</w:t>
            </w:r>
          </w:p>
        </w:tc>
        <w:tc>
          <w:tcPr>
            <w:tcW w:w="862" w:type="pct"/>
            <w:vAlign w:val="center"/>
          </w:tcPr>
          <w:p w14:paraId="4B1C60AB" w14:textId="77777777" w:rsidR="008750CF" w:rsidRPr="00BE7C78" w:rsidRDefault="008750CF" w:rsidP="00BE7C78">
            <w:pPr>
              <w:rPr>
                <w:szCs w:val="20"/>
              </w:rPr>
            </w:pPr>
            <w:r w:rsidRPr="00BE7C78">
              <w:rPr>
                <w:szCs w:val="20"/>
              </w:rPr>
              <w:t>Appl-EffCW</w:t>
            </w:r>
          </w:p>
        </w:tc>
        <w:tc>
          <w:tcPr>
            <w:tcW w:w="1070" w:type="pct"/>
            <w:vAlign w:val="center"/>
          </w:tcPr>
          <w:p w14:paraId="1AB55731" w14:textId="02C6B459" w:rsidR="008750CF" w:rsidRPr="00BE7C78" w:rsidRDefault="008750CF" w:rsidP="0013477F">
            <w:pPr>
              <w:rPr>
                <w:rFonts w:cs="Calibri"/>
                <w:color w:val="000000"/>
                <w:szCs w:val="20"/>
              </w:rPr>
            </w:pPr>
            <w:r w:rsidRPr="00503D9D">
              <w:t xml:space="preserve">Energy Star most efficient clothes washer, &gt;2.5 cubic </w:t>
            </w:r>
            <w:r w:rsidRPr="00503D9D">
              <w:lastRenderedPageBreak/>
              <w:t>ft</w:t>
            </w:r>
            <w:r>
              <w:t xml:space="preserve"> - </w:t>
            </w:r>
            <w:r w:rsidRPr="00FC76CB">
              <w:t>MFM Common Area</w:t>
            </w:r>
          </w:p>
        </w:tc>
        <w:tc>
          <w:tcPr>
            <w:tcW w:w="708" w:type="pct"/>
            <w:vAlign w:val="center"/>
          </w:tcPr>
          <w:p w14:paraId="39DEA8D3" w14:textId="77777777" w:rsidR="008750CF" w:rsidRPr="00BE7C78" w:rsidRDefault="008750CF" w:rsidP="00314057">
            <w:pPr>
              <w:jc w:val="center"/>
              <w:rPr>
                <w:rFonts w:cs="Calibri"/>
                <w:color w:val="000000"/>
                <w:szCs w:val="20"/>
              </w:rPr>
            </w:pPr>
            <w:r w:rsidRPr="00BE7C78">
              <w:rPr>
                <w:rFonts w:cs="Calibri"/>
                <w:color w:val="000000"/>
                <w:szCs w:val="20"/>
              </w:rPr>
              <w:lastRenderedPageBreak/>
              <w:t>MFM Common Area</w:t>
            </w:r>
          </w:p>
        </w:tc>
        <w:tc>
          <w:tcPr>
            <w:tcW w:w="756" w:type="pct"/>
            <w:vAlign w:val="center"/>
          </w:tcPr>
          <w:p w14:paraId="2DFF7F12" w14:textId="77777777" w:rsidR="008750CF" w:rsidRPr="009D417C" w:rsidRDefault="008750CF" w:rsidP="009D417C">
            <w:pPr>
              <w:jc w:val="center"/>
              <w:rPr>
                <w:szCs w:val="20"/>
              </w:rPr>
            </w:pPr>
            <w:r w:rsidRPr="009D417C">
              <w:rPr>
                <w:szCs w:val="20"/>
              </w:rPr>
              <w:t>AppPlug</w:t>
            </w:r>
          </w:p>
        </w:tc>
        <w:tc>
          <w:tcPr>
            <w:tcW w:w="534" w:type="pct"/>
            <w:vAlign w:val="center"/>
          </w:tcPr>
          <w:p w14:paraId="3DBA95E7" w14:textId="77777777" w:rsidR="008750CF" w:rsidRPr="00BE7C78" w:rsidRDefault="008750CF" w:rsidP="0013477F">
            <w:pPr>
              <w:jc w:val="center"/>
              <w:rPr>
                <w:rFonts w:cs="Calibri"/>
                <w:color w:val="000000"/>
                <w:szCs w:val="20"/>
              </w:rPr>
            </w:pPr>
            <w:r w:rsidRPr="00BE7C78">
              <w:rPr>
                <w:rFonts w:cs="Calibri"/>
                <w:color w:val="000000"/>
                <w:szCs w:val="20"/>
              </w:rPr>
              <w:t>11</w:t>
            </w:r>
          </w:p>
        </w:tc>
        <w:tc>
          <w:tcPr>
            <w:tcW w:w="504" w:type="pct"/>
            <w:vAlign w:val="center"/>
          </w:tcPr>
          <w:p w14:paraId="3A1599E2" w14:textId="77777777" w:rsidR="008750CF" w:rsidRPr="00BE7C78" w:rsidRDefault="008750CF" w:rsidP="0013477F">
            <w:pPr>
              <w:jc w:val="center"/>
              <w:rPr>
                <w:szCs w:val="20"/>
              </w:rPr>
            </w:pPr>
            <w:r w:rsidRPr="00BE7C78">
              <w:rPr>
                <w:szCs w:val="20"/>
              </w:rPr>
              <w:t>3.7</w:t>
            </w:r>
          </w:p>
        </w:tc>
      </w:tr>
      <w:tr w:rsidR="008750CF" w:rsidRPr="00500C4E" w14:paraId="4B141688" w14:textId="77777777" w:rsidTr="00E33F75">
        <w:trPr>
          <w:trHeight w:val="243"/>
          <w:jc w:val="center"/>
        </w:trPr>
        <w:tc>
          <w:tcPr>
            <w:tcW w:w="565" w:type="pct"/>
            <w:vAlign w:val="center"/>
          </w:tcPr>
          <w:p w14:paraId="1B6EEB8F" w14:textId="5949AE78" w:rsidR="008750CF" w:rsidRDefault="008750CF" w:rsidP="008750CF">
            <w:pPr>
              <w:jc w:val="center"/>
            </w:pPr>
            <w:r w:rsidRPr="0059752A">
              <w:t>3</w:t>
            </w:r>
          </w:p>
        </w:tc>
        <w:tc>
          <w:tcPr>
            <w:tcW w:w="862" w:type="pct"/>
            <w:vAlign w:val="center"/>
          </w:tcPr>
          <w:p w14:paraId="094F7A6F" w14:textId="77777777" w:rsidR="008750CF" w:rsidRPr="00BE7C78" w:rsidRDefault="008750CF" w:rsidP="00BE7C78">
            <w:pPr>
              <w:rPr>
                <w:szCs w:val="20"/>
              </w:rPr>
            </w:pPr>
            <w:r w:rsidRPr="00BE7C78">
              <w:rPr>
                <w:szCs w:val="20"/>
              </w:rPr>
              <w:t>ComLau-EffCW</w:t>
            </w:r>
          </w:p>
        </w:tc>
        <w:tc>
          <w:tcPr>
            <w:tcW w:w="1070" w:type="pct"/>
            <w:vAlign w:val="center"/>
          </w:tcPr>
          <w:p w14:paraId="4918B19E" w14:textId="78934945" w:rsidR="008750CF" w:rsidRPr="00BE7C78" w:rsidRDefault="008750CF" w:rsidP="0013477F">
            <w:pPr>
              <w:rPr>
                <w:rFonts w:cs="Calibri"/>
                <w:color w:val="000000"/>
                <w:szCs w:val="20"/>
              </w:rPr>
            </w:pPr>
            <w:r w:rsidRPr="00F429FC">
              <w:t>Energy Star most efficient clothes washer, &gt;2.5 cubic ft</w:t>
            </w:r>
            <w:r>
              <w:t xml:space="preserve"> - </w:t>
            </w:r>
            <w:r w:rsidR="00ED797B" w:rsidRPr="00FC76CB">
              <w:t>Non-Res</w:t>
            </w:r>
          </w:p>
        </w:tc>
        <w:tc>
          <w:tcPr>
            <w:tcW w:w="708" w:type="pct"/>
            <w:vAlign w:val="center"/>
          </w:tcPr>
          <w:p w14:paraId="5362C434" w14:textId="45A6BB9C" w:rsidR="008750CF" w:rsidRPr="00BE7C78" w:rsidRDefault="00ED797B" w:rsidP="00314057">
            <w:pPr>
              <w:jc w:val="center"/>
              <w:rPr>
                <w:rFonts w:cs="Calibri"/>
                <w:color w:val="000000"/>
                <w:szCs w:val="20"/>
              </w:rPr>
            </w:pPr>
            <w:r w:rsidRPr="00BE7C78">
              <w:rPr>
                <w:rFonts w:cs="Calibri"/>
                <w:color w:val="000000"/>
                <w:szCs w:val="20"/>
              </w:rPr>
              <w:t>Non-Res</w:t>
            </w:r>
          </w:p>
        </w:tc>
        <w:tc>
          <w:tcPr>
            <w:tcW w:w="756" w:type="pct"/>
            <w:vAlign w:val="center"/>
          </w:tcPr>
          <w:p w14:paraId="0F0DD583" w14:textId="77777777" w:rsidR="008750CF" w:rsidRPr="009D417C" w:rsidRDefault="008750CF" w:rsidP="009D417C">
            <w:pPr>
              <w:jc w:val="center"/>
              <w:rPr>
                <w:szCs w:val="20"/>
              </w:rPr>
            </w:pPr>
            <w:r w:rsidRPr="009D417C">
              <w:rPr>
                <w:szCs w:val="20"/>
              </w:rPr>
              <w:t>AppPlug</w:t>
            </w:r>
          </w:p>
        </w:tc>
        <w:tc>
          <w:tcPr>
            <w:tcW w:w="534" w:type="pct"/>
            <w:vAlign w:val="center"/>
          </w:tcPr>
          <w:p w14:paraId="20C4B52B" w14:textId="77777777" w:rsidR="008750CF" w:rsidRPr="00BE7C78" w:rsidRDefault="008750CF" w:rsidP="0013477F">
            <w:pPr>
              <w:jc w:val="center"/>
              <w:rPr>
                <w:rFonts w:cs="Calibri"/>
                <w:color w:val="000000"/>
                <w:szCs w:val="20"/>
              </w:rPr>
            </w:pPr>
            <w:r w:rsidRPr="00BE7C78">
              <w:rPr>
                <w:rFonts w:cs="Calibri"/>
                <w:color w:val="000000"/>
                <w:szCs w:val="20"/>
              </w:rPr>
              <w:t>11</w:t>
            </w:r>
          </w:p>
        </w:tc>
        <w:tc>
          <w:tcPr>
            <w:tcW w:w="504" w:type="pct"/>
            <w:vAlign w:val="center"/>
          </w:tcPr>
          <w:p w14:paraId="3566FD67" w14:textId="77777777" w:rsidR="008750CF" w:rsidRPr="00BE7C78" w:rsidRDefault="008750CF" w:rsidP="0013477F">
            <w:pPr>
              <w:jc w:val="center"/>
              <w:rPr>
                <w:szCs w:val="20"/>
              </w:rPr>
            </w:pPr>
            <w:r w:rsidRPr="00BE7C78">
              <w:rPr>
                <w:szCs w:val="20"/>
              </w:rPr>
              <w:t>3.7</w:t>
            </w:r>
          </w:p>
        </w:tc>
      </w:tr>
      <w:tr w:rsidR="008750CF" w:rsidRPr="00500C4E" w14:paraId="70D6CE9B" w14:textId="77777777" w:rsidTr="00E33F75">
        <w:trPr>
          <w:trHeight w:val="50"/>
          <w:jc w:val="center"/>
        </w:trPr>
        <w:tc>
          <w:tcPr>
            <w:tcW w:w="565" w:type="pct"/>
            <w:vAlign w:val="center"/>
          </w:tcPr>
          <w:p w14:paraId="5CB14F7F" w14:textId="5B66B12F" w:rsidR="008750CF" w:rsidRDefault="008750CF" w:rsidP="008750CF">
            <w:pPr>
              <w:jc w:val="center"/>
              <w:rPr>
                <w:rFonts w:ascii="Calibri" w:hAnsi="Calibri" w:cs="Calibri"/>
                <w:color w:val="000000"/>
                <w:szCs w:val="22"/>
              </w:rPr>
            </w:pPr>
            <w:r w:rsidRPr="0059752A">
              <w:t>4</w:t>
            </w:r>
          </w:p>
        </w:tc>
        <w:tc>
          <w:tcPr>
            <w:tcW w:w="862" w:type="pct"/>
            <w:vAlign w:val="center"/>
          </w:tcPr>
          <w:p w14:paraId="1943B127" w14:textId="77777777" w:rsidR="008750CF" w:rsidRPr="00314057" w:rsidRDefault="008750CF" w:rsidP="00BE7C78">
            <w:pPr>
              <w:rPr>
                <w:szCs w:val="20"/>
              </w:rPr>
            </w:pPr>
            <w:r w:rsidRPr="00314057">
              <w:rPr>
                <w:szCs w:val="20"/>
              </w:rPr>
              <w:t>Cook-ElecStmCooker</w:t>
            </w:r>
          </w:p>
        </w:tc>
        <w:tc>
          <w:tcPr>
            <w:tcW w:w="1070" w:type="pct"/>
            <w:vAlign w:val="center"/>
          </w:tcPr>
          <w:p w14:paraId="54EFDBDD" w14:textId="77174CE2" w:rsidR="008750CF" w:rsidRPr="00BE7C78" w:rsidRDefault="008750CF" w:rsidP="0013477F">
            <w:pPr>
              <w:rPr>
                <w:rFonts w:cs="Calibri"/>
                <w:color w:val="000000"/>
                <w:szCs w:val="20"/>
              </w:rPr>
            </w:pPr>
            <w:r>
              <w:t>Commercial steam cooker Electric</w:t>
            </w:r>
          </w:p>
        </w:tc>
        <w:tc>
          <w:tcPr>
            <w:tcW w:w="708" w:type="pct"/>
            <w:vAlign w:val="center"/>
          </w:tcPr>
          <w:p w14:paraId="10D29E0E" w14:textId="77777777" w:rsidR="008750CF" w:rsidRPr="00BE7C78" w:rsidRDefault="008750CF" w:rsidP="00314057">
            <w:pPr>
              <w:jc w:val="center"/>
              <w:rPr>
                <w:rFonts w:cs="Calibri"/>
                <w:color w:val="000000"/>
                <w:szCs w:val="20"/>
              </w:rPr>
            </w:pPr>
            <w:r w:rsidRPr="00BE7C78">
              <w:rPr>
                <w:rFonts w:cs="Calibri"/>
                <w:color w:val="000000"/>
                <w:szCs w:val="20"/>
              </w:rPr>
              <w:t>Commercial</w:t>
            </w:r>
          </w:p>
        </w:tc>
        <w:tc>
          <w:tcPr>
            <w:tcW w:w="756" w:type="pct"/>
            <w:vAlign w:val="center"/>
          </w:tcPr>
          <w:p w14:paraId="7B0640B8" w14:textId="7AF6AEAD" w:rsidR="008750CF" w:rsidRPr="009D417C" w:rsidRDefault="008750CF" w:rsidP="009D417C">
            <w:pPr>
              <w:jc w:val="center"/>
              <w:rPr>
                <w:szCs w:val="20"/>
              </w:rPr>
            </w:pPr>
            <w:r w:rsidRPr="00A65F85">
              <w:rPr>
                <w:szCs w:val="20"/>
              </w:rPr>
              <w:t>FoodServ</w:t>
            </w:r>
          </w:p>
        </w:tc>
        <w:tc>
          <w:tcPr>
            <w:tcW w:w="534" w:type="pct"/>
            <w:vAlign w:val="center"/>
          </w:tcPr>
          <w:p w14:paraId="39EDD78B" w14:textId="77777777" w:rsidR="008750CF" w:rsidRPr="00BE7C78" w:rsidRDefault="008750CF" w:rsidP="0013477F">
            <w:pPr>
              <w:jc w:val="center"/>
              <w:rPr>
                <w:rFonts w:cs="Calibri"/>
                <w:color w:val="000000"/>
                <w:szCs w:val="20"/>
              </w:rPr>
            </w:pPr>
            <w:r w:rsidRPr="00BE7C78">
              <w:rPr>
                <w:rFonts w:cs="Calibri"/>
                <w:color w:val="000000"/>
                <w:szCs w:val="20"/>
              </w:rPr>
              <w:t>12</w:t>
            </w:r>
          </w:p>
        </w:tc>
        <w:tc>
          <w:tcPr>
            <w:tcW w:w="504" w:type="pct"/>
            <w:vAlign w:val="center"/>
          </w:tcPr>
          <w:p w14:paraId="7472BD58" w14:textId="77777777" w:rsidR="008750CF" w:rsidRPr="00BE7C78" w:rsidRDefault="008750CF" w:rsidP="0013477F">
            <w:pPr>
              <w:jc w:val="center"/>
              <w:rPr>
                <w:szCs w:val="20"/>
              </w:rPr>
            </w:pPr>
            <w:r w:rsidRPr="00BE7C78">
              <w:rPr>
                <w:szCs w:val="20"/>
              </w:rPr>
              <w:t>4</w:t>
            </w:r>
          </w:p>
        </w:tc>
      </w:tr>
      <w:tr w:rsidR="008750CF" w:rsidRPr="00500C4E" w14:paraId="75BAFBEA" w14:textId="77777777" w:rsidTr="00E33F75">
        <w:trPr>
          <w:trHeight w:val="243"/>
          <w:jc w:val="center"/>
        </w:trPr>
        <w:tc>
          <w:tcPr>
            <w:tcW w:w="565" w:type="pct"/>
            <w:vAlign w:val="center"/>
          </w:tcPr>
          <w:p w14:paraId="7BC0F10A" w14:textId="0B588F9C" w:rsidR="008750CF" w:rsidRPr="00F429FC" w:rsidRDefault="008750CF" w:rsidP="008750CF">
            <w:pPr>
              <w:jc w:val="center"/>
              <w:rPr>
                <w:rFonts w:ascii="Calibri" w:hAnsi="Calibri" w:cs="Calibri"/>
                <w:color w:val="000000"/>
                <w:szCs w:val="22"/>
              </w:rPr>
            </w:pPr>
            <w:r w:rsidRPr="0059752A">
              <w:t>5</w:t>
            </w:r>
          </w:p>
        </w:tc>
        <w:tc>
          <w:tcPr>
            <w:tcW w:w="862" w:type="pct"/>
            <w:vAlign w:val="center"/>
          </w:tcPr>
          <w:p w14:paraId="33EBF9A8" w14:textId="77777777" w:rsidR="008750CF" w:rsidRPr="00314057" w:rsidRDefault="008750CF" w:rsidP="00BE7C78">
            <w:pPr>
              <w:rPr>
                <w:szCs w:val="20"/>
              </w:rPr>
            </w:pPr>
            <w:r w:rsidRPr="00314057">
              <w:rPr>
                <w:szCs w:val="20"/>
              </w:rPr>
              <w:t>Cook-GasStmCooker</w:t>
            </w:r>
          </w:p>
        </w:tc>
        <w:tc>
          <w:tcPr>
            <w:tcW w:w="1070" w:type="pct"/>
            <w:vAlign w:val="center"/>
          </w:tcPr>
          <w:p w14:paraId="7ED56098" w14:textId="558B95E9" w:rsidR="008750CF" w:rsidRPr="00BE7C78" w:rsidRDefault="008750CF" w:rsidP="0013477F">
            <w:pPr>
              <w:rPr>
                <w:rFonts w:cs="Calibri"/>
                <w:color w:val="000000"/>
                <w:szCs w:val="20"/>
              </w:rPr>
            </w:pPr>
            <w:r>
              <w:t>Commercial steam cooker Natural gas</w:t>
            </w:r>
          </w:p>
        </w:tc>
        <w:tc>
          <w:tcPr>
            <w:tcW w:w="708" w:type="pct"/>
            <w:vAlign w:val="center"/>
          </w:tcPr>
          <w:p w14:paraId="5AE79AC2" w14:textId="77777777" w:rsidR="008750CF" w:rsidRPr="00BE7C78" w:rsidRDefault="008750CF" w:rsidP="00314057">
            <w:pPr>
              <w:jc w:val="center"/>
              <w:rPr>
                <w:rFonts w:cs="Calibri"/>
                <w:color w:val="000000"/>
                <w:szCs w:val="20"/>
              </w:rPr>
            </w:pPr>
            <w:r w:rsidRPr="00BE7C78">
              <w:rPr>
                <w:rFonts w:cs="Calibri"/>
                <w:color w:val="000000"/>
                <w:szCs w:val="20"/>
              </w:rPr>
              <w:t>Commercial</w:t>
            </w:r>
          </w:p>
        </w:tc>
        <w:tc>
          <w:tcPr>
            <w:tcW w:w="756" w:type="pct"/>
          </w:tcPr>
          <w:p w14:paraId="0228E1EB" w14:textId="3DF1CDFF" w:rsidR="008750CF" w:rsidRPr="009D417C" w:rsidRDefault="008750CF" w:rsidP="009D417C">
            <w:pPr>
              <w:jc w:val="center"/>
              <w:rPr>
                <w:szCs w:val="20"/>
              </w:rPr>
            </w:pPr>
            <w:r w:rsidRPr="009418D2">
              <w:rPr>
                <w:szCs w:val="20"/>
              </w:rPr>
              <w:t>FoodServ</w:t>
            </w:r>
          </w:p>
        </w:tc>
        <w:tc>
          <w:tcPr>
            <w:tcW w:w="534" w:type="pct"/>
            <w:vAlign w:val="center"/>
          </w:tcPr>
          <w:p w14:paraId="756F94E3" w14:textId="77777777" w:rsidR="008750CF" w:rsidRPr="00BE7C78" w:rsidRDefault="008750CF" w:rsidP="0013477F">
            <w:pPr>
              <w:jc w:val="center"/>
              <w:rPr>
                <w:rFonts w:cs="Calibri"/>
                <w:color w:val="000000"/>
                <w:szCs w:val="20"/>
              </w:rPr>
            </w:pPr>
            <w:r w:rsidRPr="00BE7C78">
              <w:rPr>
                <w:rFonts w:cs="Calibri"/>
                <w:color w:val="000000"/>
                <w:szCs w:val="20"/>
              </w:rPr>
              <w:t>12</w:t>
            </w:r>
          </w:p>
        </w:tc>
        <w:tc>
          <w:tcPr>
            <w:tcW w:w="504" w:type="pct"/>
            <w:vAlign w:val="center"/>
          </w:tcPr>
          <w:p w14:paraId="54AFC23A" w14:textId="77777777" w:rsidR="008750CF" w:rsidRPr="00BE7C78" w:rsidRDefault="008750CF" w:rsidP="0013477F">
            <w:pPr>
              <w:jc w:val="center"/>
              <w:rPr>
                <w:szCs w:val="20"/>
              </w:rPr>
            </w:pPr>
            <w:r w:rsidRPr="00BE7C78">
              <w:rPr>
                <w:szCs w:val="20"/>
              </w:rPr>
              <w:t>4</w:t>
            </w:r>
          </w:p>
        </w:tc>
      </w:tr>
      <w:tr w:rsidR="008750CF" w:rsidRPr="00500C4E" w14:paraId="3B6C3B88" w14:textId="77777777" w:rsidTr="00E33F75">
        <w:trPr>
          <w:trHeight w:val="243"/>
          <w:jc w:val="center"/>
        </w:trPr>
        <w:tc>
          <w:tcPr>
            <w:tcW w:w="565" w:type="pct"/>
            <w:vAlign w:val="center"/>
          </w:tcPr>
          <w:p w14:paraId="215F3FD6" w14:textId="4F40B775" w:rsidR="008750CF" w:rsidRPr="00F429FC" w:rsidRDefault="008750CF" w:rsidP="008750CF">
            <w:pPr>
              <w:jc w:val="center"/>
              <w:rPr>
                <w:rFonts w:ascii="Calibri" w:hAnsi="Calibri" w:cs="Calibri"/>
                <w:color w:val="000000"/>
                <w:szCs w:val="22"/>
              </w:rPr>
            </w:pPr>
            <w:r w:rsidRPr="0059752A">
              <w:t>6</w:t>
            </w:r>
          </w:p>
        </w:tc>
        <w:tc>
          <w:tcPr>
            <w:tcW w:w="862" w:type="pct"/>
            <w:vAlign w:val="center"/>
          </w:tcPr>
          <w:p w14:paraId="5E20CA16" w14:textId="77777777" w:rsidR="008750CF" w:rsidRPr="00314057" w:rsidRDefault="008750CF" w:rsidP="00BE7C78">
            <w:pPr>
              <w:rPr>
                <w:szCs w:val="20"/>
              </w:rPr>
            </w:pPr>
            <w:r w:rsidRPr="00314057">
              <w:rPr>
                <w:szCs w:val="20"/>
              </w:rPr>
              <w:t>Cook-ElecCombOven</w:t>
            </w:r>
          </w:p>
        </w:tc>
        <w:tc>
          <w:tcPr>
            <w:tcW w:w="1070" w:type="pct"/>
            <w:vAlign w:val="center"/>
          </w:tcPr>
          <w:p w14:paraId="2AF58390" w14:textId="77669DFB" w:rsidR="008750CF" w:rsidRPr="00BE7C78" w:rsidRDefault="008750CF" w:rsidP="0013477F">
            <w:pPr>
              <w:rPr>
                <w:rFonts w:cs="Calibri"/>
                <w:color w:val="000000"/>
                <w:szCs w:val="20"/>
              </w:rPr>
            </w:pPr>
            <w:r w:rsidRPr="0053631C">
              <w:rPr>
                <w:rFonts w:ascii="Calibri" w:hAnsi="Calibri" w:cs="Calibri"/>
                <w:color w:val="000000"/>
                <w:szCs w:val="20"/>
              </w:rPr>
              <w:t>Commercial combination oven/steamer Electric (less than 15 pans)</w:t>
            </w:r>
          </w:p>
        </w:tc>
        <w:tc>
          <w:tcPr>
            <w:tcW w:w="708" w:type="pct"/>
            <w:vAlign w:val="center"/>
          </w:tcPr>
          <w:p w14:paraId="27C4EF6D" w14:textId="77777777" w:rsidR="008750CF" w:rsidRPr="00BE7C78" w:rsidRDefault="008750CF" w:rsidP="00314057">
            <w:pPr>
              <w:jc w:val="center"/>
              <w:rPr>
                <w:rFonts w:cs="Calibri"/>
                <w:color w:val="000000"/>
                <w:szCs w:val="20"/>
              </w:rPr>
            </w:pPr>
            <w:r w:rsidRPr="00BE7C78">
              <w:rPr>
                <w:rFonts w:cs="Calibri"/>
                <w:color w:val="000000"/>
                <w:szCs w:val="20"/>
              </w:rPr>
              <w:t>Commercial</w:t>
            </w:r>
          </w:p>
        </w:tc>
        <w:tc>
          <w:tcPr>
            <w:tcW w:w="756" w:type="pct"/>
            <w:vAlign w:val="center"/>
          </w:tcPr>
          <w:p w14:paraId="4921E058" w14:textId="29B510B6" w:rsidR="008750CF" w:rsidRPr="009D417C" w:rsidRDefault="008750CF" w:rsidP="00A65F85">
            <w:pPr>
              <w:jc w:val="center"/>
              <w:rPr>
                <w:szCs w:val="20"/>
              </w:rPr>
            </w:pPr>
            <w:r w:rsidRPr="009418D2">
              <w:rPr>
                <w:szCs w:val="20"/>
              </w:rPr>
              <w:t>FoodServ</w:t>
            </w:r>
          </w:p>
        </w:tc>
        <w:tc>
          <w:tcPr>
            <w:tcW w:w="534" w:type="pct"/>
            <w:vAlign w:val="center"/>
          </w:tcPr>
          <w:p w14:paraId="33A86F34" w14:textId="77777777" w:rsidR="008750CF" w:rsidRPr="00BE7C78" w:rsidRDefault="008750CF" w:rsidP="0013477F">
            <w:pPr>
              <w:jc w:val="center"/>
              <w:rPr>
                <w:rFonts w:cs="Calibri"/>
                <w:color w:val="000000"/>
                <w:szCs w:val="20"/>
              </w:rPr>
            </w:pPr>
            <w:r w:rsidRPr="00BE7C78">
              <w:rPr>
                <w:rFonts w:cs="Calibri"/>
                <w:color w:val="000000"/>
                <w:szCs w:val="20"/>
              </w:rPr>
              <w:t>12</w:t>
            </w:r>
          </w:p>
        </w:tc>
        <w:tc>
          <w:tcPr>
            <w:tcW w:w="504" w:type="pct"/>
            <w:vAlign w:val="center"/>
          </w:tcPr>
          <w:p w14:paraId="5FBEF28F" w14:textId="77777777" w:rsidR="008750CF" w:rsidRPr="00BE7C78" w:rsidRDefault="008750CF" w:rsidP="0013477F">
            <w:pPr>
              <w:jc w:val="center"/>
              <w:rPr>
                <w:szCs w:val="20"/>
              </w:rPr>
            </w:pPr>
            <w:r w:rsidRPr="00BE7C78">
              <w:rPr>
                <w:szCs w:val="20"/>
              </w:rPr>
              <w:t>4</w:t>
            </w:r>
          </w:p>
        </w:tc>
      </w:tr>
      <w:tr w:rsidR="008750CF" w:rsidRPr="00500C4E" w14:paraId="48C0E4EB" w14:textId="77777777" w:rsidTr="00E33F75">
        <w:trPr>
          <w:trHeight w:val="243"/>
          <w:jc w:val="center"/>
        </w:trPr>
        <w:tc>
          <w:tcPr>
            <w:tcW w:w="565" w:type="pct"/>
            <w:vAlign w:val="center"/>
          </w:tcPr>
          <w:p w14:paraId="4234933E" w14:textId="00D6D370" w:rsidR="008750CF" w:rsidRPr="00F429FC" w:rsidRDefault="008750CF" w:rsidP="008750CF">
            <w:pPr>
              <w:jc w:val="center"/>
              <w:rPr>
                <w:rFonts w:ascii="Calibri" w:hAnsi="Calibri" w:cs="Calibri"/>
                <w:color w:val="000000"/>
                <w:szCs w:val="22"/>
              </w:rPr>
            </w:pPr>
            <w:r w:rsidRPr="0059752A">
              <w:t>7</w:t>
            </w:r>
          </w:p>
        </w:tc>
        <w:tc>
          <w:tcPr>
            <w:tcW w:w="862" w:type="pct"/>
            <w:vAlign w:val="center"/>
          </w:tcPr>
          <w:p w14:paraId="76018C42" w14:textId="77777777" w:rsidR="008750CF" w:rsidRPr="00314057" w:rsidRDefault="008750CF" w:rsidP="00BE7C78">
            <w:pPr>
              <w:rPr>
                <w:szCs w:val="20"/>
              </w:rPr>
            </w:pPr>
            <w:r w:rsidRPr="00314057">
              <w:rPr>
                <w:szCs w:val="20"/>
              </w:rPr>
              <w:t>Cook-ElecCombOven</w:t>
            </w:r>
          </w:p>
        </w:tc>
        <w:tc>
          <w:tcPr>
            <w:tcW w:w="1070" w:type="pct"/>
            <w:vAlign w:val="center"/>
          </w:tcPr>
          <w:p w14:paraId="346EBEE8" w14:textId="220AEF60" w:rsidR="008750CF" w:rsidRPr="00BE7C78" w:rsidRDefault="008750CF" w:rsidP="0013477F">
            <w:pPr>
              <w:rPr>
                <w:rFonts w:cs="Calibri"/>
                <w:color w:val="000000"/>
                <w:szCs w:val="20"/>
              </w:rPr>
            </w:pPr>
            <w:r w:rsidRPr="00F429FC">
              <w:rPr>
                <w:rFonts w:ascii="Calibri" w:hAnsi="Calibri" w:cs="Calibri"/>
                <w:color w:val="000000"/>
                <w:szCs w:val="22"/>
              </w:rPr>
              <w:t>Comm</w:t>
            </w:r>
            <w:r>
              <w:rPr>
                <w:rFonts w:ascii="Calibri" w:hAnsi="Calibri" w:cs="Calibri"/>
                <w:color w:val="000000"/>
                <w:szCs w:val="22"/>
              </w:rPr>
              <w:t xml:space="preserve">ercial combination oven/steamer </w:t>
            </w:r>
            <w:r w:rsidRPr="00F429FC">
              <w:rPr>
                <w:rFonts w:ascii="Calibri" w:hAnsi="Calibri" w:cs="Calibri"/>
                <w:color w:val="000000"/>
                <w:szCs w:val="22"/>
              </w:rPr>
              <w:t>Electric (15-28 pans)</w:t>
            </w:r>
          </w:p>
        </w:tc>
        <w:tc>
          <w:tcPr>
            <w:tcW w:w="708" w:type="pct"/>
            <w:vAlign w:val="center"/>
          </w:tcPr>
          <w:p w14:paraId="179E98BC" w14:textId="77777777" w:rsidR="008750CF" w:rsidRPr="00BE7C78" w:rsidRDefault="008750CF" w:rsidP="00314057">
            <w:pPr>
              <w:jc w:val="center"/>
              <w:rPr>
                <w:rFonts w:cs="Calibri"/>
                <w:color w:val="000000"/>
                <w:szCs w:val="20"/>
              </w:rPr>
            </w:pPr>
            <w:r w:rsidRPr="00BE7C78">
              <w:rPr>
                <w:rFonts w:cs="Calibri"/>
                <w:color w:val="000000"/>
                <w:szCs w:val="20"/>
              </w:rPr>
              <w:t>Commercial</w:t>
            </w:r>
          </w:p>
        </w:tc>
        <w:tc>
          <w:tcPr>
            <w:tcW w:w="756" w:type="pct"/>
            <w:vAlign w:val="center"/>
          </w:tcPr>
          <w:p w14:paraId="3A561E97" w14:textId="47A65AB5" w:rsidR="008750CF" w:rsidRPr="009D417C" w:rsidRDefault="008750CF" w:rsidP="00A65F85">
            <w:pPr>
              <w:jc w:val="center"/>
              <w:rPr>
                <w:szCs w:val="20"/>
              </w:rPr>
            </w:pPr>
            <w:r w:rsidRPr="009418D2">
              <w:rPr>
                <w:szCs w:val="20"/>
              </w:rPr>
              <w:t>FoodServ</w:t>
            </w:r>
          </w:p>
        </w:tc>
        <w:tc>
          <w:tcPr>
            <w:tcW w:w="534" w:type="pct"/>
            <w:vAlign w:val="center"/>
          </w:tcPr>
          <w:p w14:paraId="14E06CD6" w14:textId="77777777" w:rsidR="008750CF" w:rsidRPr="00BE7C78" w:rsidRDefault="008750CF" w:rsidP="0013477F">
            <w:pPr>
              <w:jc w:val="center"/>
              <w:rPr>
                <w:rFonts w:cs="Calibri"/>
                <w:color w:val="000000"/>
                <w:szCs w:val="20"/>
              </w:rPr>
            </w:pPr>
            <w:r w:rsidRPr="00BE7C78">
              <w:rPr>
                <w:rFonts w:cs="Calibri"/>
                <w:color w:val="000000"/>
                <w:szCs w:val="20"/>
              </w:rPr>
              <w:t>12</w:t>
            </w:r>
          </w:p>
        </w:tc>
        <w:tc>
          <w:tcPr>
            <w:tcW w:w="504" w:type="pct"/>
            <w:vAlign w:val="center"/>
          </w:tcPr>
          <w:p w14:paraId="00BC0964" w14:textId="77777777" w:rsidR="008750CF" w:rsidRPr="00BE7C78" w:rsidRDefault="008750CF" w:rsidP="0013477F">
            <w:pPr>
              <w:jc w:val="center"/>
              <w:rPr>
                <w:szCs w:val="20"/>
              </w:rPr>
            </w:pPr>
            <w:r w:rsidRPr="00BE7C78">
              <w:rPr>
                <w:szCs w:val="20"/>
              </w:rPr>
              <w:t>4</w:t>
            </w:r>
          </w:p>
        </w:tc>
      </w:tr>
      <w:tr w:rsidR="008750CF" w:rsidRPr="00500C4E" w14:paraId="6E09148B" w14:textId="77777777" w:rsidTr="00E33F75">
        <w:trPr>
          <w:trHeight w:val="243"/>
          <w:jc w:val="center"/>
        </w:trPr>
        <w:tc>
          <w:tcPr>
            <w:tcW w:w="565" w:type="pct"/>
            <w:vAlign w:val="center"/>
          </w:tcPr>
          <w:p w14:paraId="2B1AEFED" w14:textId="06530C09" w:rsidR="008750CF" w:rsidRPr="00F429FC" w:rsidRDefault="008750CF" w:rsidP="008750CF">
            <w:pPr>
              <w:jc w:val="center"/>
              <w:rPr>
                <w:rFonts w:ascii="Calibri" w:hAnsi="Calibri" w:cs="Calibri"/>
                <w:color w:val="000000"/>
                <w:szCs w:val="22"/>
              </w:rPr>
            </w:pPr>
            <w:r w:rsidRPr="0059752A">
              <w:t>8</w:t>
            </w:r>
          </w:p>
        </w:tc>
        <w:tc>
          <w:tcPr>
            <w:tcW w:w="862" w:type="pct"/>
            <w:vAlign w:val="center"/>
          </w:tcPr>
          <w:p w14:paraId="43733342" w14:textId="77777777" w:rsidR="008750CF" w:rsidRPr="00314057" w:rsidRDefault="008750CF" w:rsidP="00BE7C78">
            <w:pPr>
              <w:rPr>
                <w:szCs w:val="20"/>
              </w:rPr>
            </w:pPr>
            <w:r w:rsidRPr="00314057">
              <w:rPr>
                <w:szCs w:val="20"/>
              </w:rPr>
              <w:t>Cook-ElecCombOven</w:t>
            </w:r>
          </w:p>
        </w:tc>
        <w:tc>
          <w:tcPr>
            <w:tcW w:w="1070" w:type="pct"/>
            <w:vAlign w:val="center"/>
          </w:tcPr>
          <w:p w14:paraId="358254DA" w14:textId="19577B30" w:rsidR="008750CF" w:rsidRPr="00BE7C78" w:rsidRDefault="008750CF" w:rsidP="0013477F">
            <w:pPr>
              <w:rPr>
                <w:rFonts w:cs="Calibri"/>
                <w:color w:val="000000"/>
                <w:szCs w:val="20"/>
              </w:rPr>
            </w:pPr>
            <w:r w:rsidRPr="00F429FC">
              <w:rPr>
                <w:rFonts w:ascii="Calibri" w:hAnsi="Calibri" w:cs="Calibri"/>
                <w:color w:val="000000"/>
                <w:szCs w:val="22"/>
              </w:rPr>
              <w:t>Comm</w:t>
            </w:r>
            <w:r>
              <w:rPr>
                <w:rFonts w:ascii="Calibri" w:hAnsi="Calibri" w:cs="Calibri"/>
                <w:color w:val="000000"/>
                <w:szCs w:val="22"/>
              </w:rPr>
              <w:t xml:space="preserve">ercial combination oven/steamer </w:t>
            </w:r>
            <w:r w:rsidRPr="00F429FC">
              <w:rPr>
                <w:rFonts w:ascii="Calibri" w:hAnsi="Calibri" w:cs="Calibri"/>
                <w:color w:val="000000"/>
                <w:szCs w:val="22"/>
              </w:rPr>
              <w:t>Electric (more than 28 pans)</w:t>
            </w:r>
          </w:p>
        </w:tc>
        <w:tc>
          <w:tcPr>
            <w:tcW w:w="708" w:type="pct"/>
            <w:vAlign w:val="center"/>
          </w:tcPr>
          <w:p w14:paraId="63FDFBEC" w14:textId="77777777" w:rsidR="008750CF" w:rsidRPr="00BE7C78" w:rsidRDefault="008750CF" w:rsidP="00314057">
            <w:pPr>
              <w:jc w:val="center"/>
              <w:rPr>
                <w:rFonts w:cs="Calibri"/>
                <w:color w:val="000000"/>
                <w:szCs w:val="20"/>
              </w:rPr>
            </w:pPr>
            <w:r w:rsidRPr="00BE7C78">
              <w:rPr>
                <w:rFonts w:cs="Calibri"/>
                <w:color w:val="000000"/>
                <w:szCs w:val="20"/>
              </w:rPr>
              <w:t>Commercial</w:t>
            </w:r>
          </w:p>
        </w:tc>
        <w:tc>
          <w:tcPr>
            <w:tcW w:w="756" w:type="pct"/>
            <w:vAlign w:val="center"/>
          </w:tcPr>
          <w:p w14:paraId="21B66693" w14:textId="57636DB3" w:rsidR="008750CF" w:rsidRPr="009D417C" w:rsidRDefault="008750CF" w:rsidP="00A65F85">
            <w:pPr>
              <w:jc w:val="center"/>
              <w:rPr>
                <w:szCs w:val="20"/>
              </w:rPr>
            </w:pPr>
            <w:r w:rsidRPr="00D37429">
              <w:rPr>
                <w:szCs w:val="20"/>
              </w:rPr>
              <w:t>FoodServ</w:t>
            </w:r>
          </w:p>
        </w:tc>
        <w:tc>
          <w:tcPr>
            <w:tcW w:w="534" w:type="pct"/>
            <w:vAlign w:val="center"/>
          </w:tcPr>
          <w:p w14:paraId="6D89E712" w14:textId="77777777" w:rsidR="008750CF" w:rsidRPr="00BE7C78" w:rsidRDefault="008750CF" w:rsidP="0013477F">
            <w:pPr>
              <w:jc w:val="center"/>
              <w:rPr>
                <w:rFonts w:cs="Calibri"/>
                <w:color w:val="000000"/>
                <w:szCs w:val="20"/>
              </w:rPr>
            </w:pPr>
            <w:r w:rsidRPr="00BE7C78">
              <w:rPr>
                <w:rFonts w:cs="Calibri"/>
                <w:color w:val="000000"/>
                <w:szCs w:val="20"/>
              </w:rPr>
              <w:t>12</w:t>
            </w:r>
          </w:p>
        </w:tc>
        <w:tc>
          <w:tcPr>
            <w:tcW w:w="504" w:type="pct"/>
            <w:vAlign w:val="center"/>
          </w:tcPr>
          <w:p w14:paraId="5E729D4A" w14:textId="77777777" w:rsidR="008750CF" w:rsidRPr="00BE7C78" w:rsidRDefault="008750CF" w:rsidP="0013477F">
            <w:pPr>
              <w:jc w:val="center"/>
              <w:rPr>
                <w:szCs w:val="20"/>
              </w:rPr>
            </w:pPr>
            <w:r w:rsidRPr="00BE7C78">
              <w:rPr>
                <w:szCs w:val="20"/>
              </w:rPr>
              <w:t>4</w:t>
            </w:r>
          </w:p>
        </w:tc>
      </w:tr>
      <w:tr w:rsidR="008750CF" w:rsidRPr="00500C4E" w14:paraId="4DA55FAB" w14:textId="77777777" w:rsidTr="00E33F75">
        <w:trPr>
          <w:trHeight w:val="243"/>
          <w:jc w:val="center"/>
        </w:trPr>
        <w:tc>
          <w:tcPr>
            <w:tcW w:w="565" w:type="pct"/>
            <w:vAlign w:val="center"/>
          </w:tcPr>
          <w:p w14:paraId="6D661194" w14:textId="3E252FB1" w:rsidR="008750CF" w:rsidRPr="0095671B" w:rsidRDefault="008750CF" w:rsidP="008750CF">
            <w:pPr>
              <w:jc w:val="center"/>
              <w:rPr>
                <w:rFonts w:ascii="Calibri" w:hAnsi="Calibri" w:cs="Calibri"/>
                <w:color w:val="000000"/>
                <w:szCs w:val="22"/>
              </w:rPr>
            </w:pPr>
            <w:r w:rsidRPr="0059752A">
              <w:t>9</w:t>
            </w:r>
          </w:p>
        </w:tc>
        <w:tc>
          <w:tcPr>
            <w:tcW w:w="862" w:type="pct"/>
            <w:vAlign w:val="center"/>
          </w:tcPr>
          <w:p w14:paraId="7FBD48FB" w14:textId="77777777" w:rsidR="008750CF" w:rsidRPr="00314057" w:rsidRDefault="008750CF" w:rsidP="00BE7C78">
            <w:pPr>
              <w:rPr>
                <w:szCs w:val="20"/>
              </w:rPr>
            </w:pPr>
            <w:r w:rsidRPr="00314057">
              <w:rPr>
                <w:szCs w:val="20"/>
              </w:rPr>
              <w:t>Cook-GasCombOVen</w:t>
            </w:r>
          </w:p>
        </w:tc>
        <w:tc>
          <w:tcPr>
            <w:tcW w:w="1070" w:type="pct"/>
            <w:vAlign w:val="center"/>
          </w:tcPr>
          <w:p w14:paraId="1BA5CCE2" w14:textId="252DB047" w:rsidR="008750CF" w:rsidRPr="00BE7C78" w:rsidRDefault="008750CF" w:rsidP="0013477F">
            <w:pPr>
              <w:rPr>
                <w:rFonts w:cs="Calibri"/>
                <w:color w:val="000000"/>
                <w:szCs w:val="20"/>
              </w:rPr>
            </w:pPr>
            <w:r w:rsidRPr="00F429FC">
              <w:rPr>
                <w:rFonts w:ascii="Calibri" w:hAnsi="Calibri" w:cs="Calibri"/>
                <w:color w:val="000000"/>
                <w:szCs w:val="22"/>
              </w:rPr>
              <w:t>Commercial combination oven</w:t>
            </w:r>
            <w:r>
              <w:rPr>
                <w:rFonts w:ascii="Calibri" w:hAnsi="Calibri" w:cs="Calibri"/>
                <w:color w:val="000000"/>
                <w:szCs w:val="22"/>
              </w:rPr>
              <w:t xml:space="preserve">/steamer </w:t>
            </w:r>
            <w:r w:rsidRPr="00F429FC">
              <w:rPr>
                <w:rFonts w:ascii="Calibri" w:hAnsi="Calibri" w:cs="Calibri"/>
                <w:color w:val="000000"/>
                <w:szCs w:val="22"/>
              </w:rPr>
              <w:t>Natural gas (less than 15 pans)</w:t>
            </w:r>
          </w:p>
        </w:tc>
        <w:tc>
          <w:tcPr>
            <w:tcW w:w="708" w:type="pct"/>
            <w:vAlign w:val="center"/>
          </w:tcPr>
          <w:p w14:paraId="42B1ABC7" w14:textId="77777777" w:rsidR="008750CF" w:rsidRPr="00BE7C78" w:rsidRDefault="008750CF" w:rsidP="00314057">
            <w:pPr>
              <w:jc w:val="center"/>
              <w:rPr>
                <w:rFonts w:cs="Calibri"/>
                <w:color w:val="000000"/>
                <w:szCs w:val="20"/>
              </w:rPr>
            </w:pPr>
            <w:r w:rsidRPr="00BE7C78">
              <w:rPr>
                <w:rFonts w:cs="Calibri"/>
                <w:color w:val="000000"/>
                <w:szCs w:val="20"/>
              </w:rPr>
              <w:t>Commercial</w:t>
            </w:r>
          </w:p>
        </w:tc>
        <w:tc>
          <w:tcPr>
            <w:tcW w:w="756" w:type="pct"/>
            <w:vAlign w:val="center"/>
          </w:tcPr>
          <w:p w14:paraId="3517DB8B" w14:textId="32759529" w:rsidR="008750CF" w:rsidRPr="009D417C" w:rsidRDefault="008750CF" w:rsidP="00A65F85">
            <w:pPr>
              <w:jc w:val="center"/>
              <w:rPr>
                <w:szCs w:val="20"/>
              </w:rPr>
            </w:pPr>
            <w:r w:rsidRPr="00D37429">
              <w:rPr>
                <w:szCs w:val="20"/>
              </w:rPr>
              <w:t>FoodServ</w:t>
            </w:r>
          </w:p>
        </w:tc>
        <w:tc>
          <w:tcPr>
            <w:tcW w:w="534" w:type="pct"/>
            <w:vAlign w:val="center"/>
          </w:tcPr>
          <w:p w14:paraId="6F4E2CB3" w14:textId="77777777" w:rsidR="008750CF" w:rsidRPr="00BE7C78" w:rsidRDefault="008750CF" w:rsidP="0013477F">
            <w:pPr>
              <w:jc w:val="center"/>
              <w:rPr>
                <w:rFonts w:cs="Calibri"/>
                <w:color w:val="000000"/>
                <w:szCs w:val="20"/>
              </w:rPr>
            </w:pPr>
            <w:r w:rsidRPr="00BE7C78">
              <w:rPr>
                <w:rFonts w:cs="Calibri"/>
                <w:color w:val="000000"/>
                <w:szCs w:val="20"/>
              </w:rPr>
              <w:t>12</w:t>
            </w:r>
          </w:p>
        </w:tc>
        <w:tc>
          <w:tcPr>
            <w:tcW w:w="504" w:type="pct"/>
            <w:vAlign w:val="center"/>
          </w:tcPr>
          <w:p w14:paraId="2515BAA0" w14:textId="77777777" w:rsidR="008750CF" w:rsidRPr="00BE7C78" w:rsidRDefault="008750CF" w:rsidP="0013477F">
            <w:pPr>
              <w:jc w:val="center"/>
              <w:rPr>
                <w:szCs w:val="20"/>
              </w:rPr>
            </w:pPr>
            <w:r w:rsidRPr="00BE7C78">
              <w:rPr>
                <w:szCs w:val="20"/>
              </w:rPr>
              <w:t>4</w:t>
            </w:r>
          </w:p>
        </w:tc>
      </w:tr>
      <w:tr w:rsidR="008750CF" w:rsidRPr="00500C4E" w14:paraId="2E7EC59E" w14:textId="77777777" w:rsidTr="00E33F75">
        <w:trPr>
          <w:trHeight w:val="243"/>
          <w:jc w:val="center"/>
        </w:trPr>
        <w:tc>
          <w:tcPr>
            <w:tcW w:w="565" w:type="pct"/>
            <w:vAlign w:val="center"/>
          </w:tcPr>
          <w:p w14:paraId="5C541144" w14:textId="1F4BABD9" w:rsidR="008750CF" w:rsidRDefault="008750CF" w:rsidP="008750CF">
            <w:pPr>
              <w:jc w:val="center"/>
              <w:rPr>
                <w:rFonts w:ascii="Calibri" w:hAnsi="Calibri" w:cs="Calibri"/>
                <w:color w:val="000000"/>
                <w:szCs w:val="22"/>
              </w:rPr>
            </w:pPr>
            <w:r w:rsidRPr="0059752A">
              <w:t>10</w:t>
            </w:r>
          </w:p>
        </w:tc>
        <w:tc>
          <w:tcPr>
            <w:tcW w:w="862" w:type="pct"/>
            <w:vAlign w:val="center"/>
          </w:tcPr>
          <w:p w14:paraId="202737FE" w14:textId="77777777" w:rsidR="008750CF" w:rsidRPr="00314057" w:rsidRDefault="008750CF" w:rsidP="00BE7C78">
            <w:pPr>
              <w:rPr>
                <w:szCs w:val="20"/>
              </w:rPr>
            </w:pPr>
            <w:r w:rsidRPr="00314057">
              <w:rPr>
                <w:szCs w:val="20"/>
              </w:rPr>
              <w:t>Cook-GasCombOVen</w:t>
            </w:r>
          </w:p>
        </w:tc>
        <w:tc>
          <w:tcPr>
            <w:tcW w:w="1070" w:type="pct"/>
            <w:vAlign w:val="center"/>
          </w:tcPr>
          <w:p w14:paraId="1B9BE065" w14:textId="27F9F4D5" w:rsidR="008750CF" w:rsidRPr="00BE7C78" w:rsidRDefault="008750CF" w:rsidP="0013477F">
            <w:pPr>
              <w:rPr>
                <w:rFonts w:cs="Calibri"/>
                <w:color w:val="000000"/>
                <w:szCs w:val="20"/>
              </w:rPr>
            </w:pPr>
            <w:r w:rsidRPr="00F429FC">
              <w:rPr>
                <w:rFonts w:ascii="Calibri" w:hAnsi="Calibri" w:cs="Calibri"/>
                <w:color w:val="000000"/>
                <w:szCs w:val="22"/>
              </w:rPr>
              <w:t>Comm</w:t>
            </w:r>
            <w:r>
              <w:rPr>
                <w:rFonts w:ascii="Calibri" w:hAnsi="Calibri" w:cs="Calibri"/>
                <w:color w:val="000000"/>
                <w:szCs w:val="22"/>
              </w:rPr>
              <w:t xml:space="preserve">ercial combination oven/steamer </w:t>
            </w:r>
            <w:r w:rsidRPr="00F429FC">
              <w:rPr>
                <w:rFonts w:ascii="Calibri" w:hAnsi="Calibri" w:cs="Calibri"/>
                <w:color w:val="000000"/>
                <w:szCs w:val="22"/>
              </w:rPr>
              <w:t>Natural gas (15-28 pans)</w:t>
            </w:r>
          </w:p>
        </w:tc>
        <w:tc>
          <w:tcPr>
            <w:tcW w:w="708" w:type="pct"/>
            <w:vAlign w:val="center"/>
          </w:tcPr>
          <w:p w14:paraId="45FC435B" w14:textId="77777777" w:rsidR="008750CF" w:rsidRPr="00BE7C78" w:rsidRDefault="008750CF" w:rsidP="00314057">
            <w:pPr>
              <w:jc w:val="center"/>
              <w:rPr>
                <w:rFonts w:cs="Calibri"/>
                <w:color w:val="000000"/>
                <w:szCs w:val="20"/>
              </w:rPr>
            </w:pPr>
            <w:r w:rsidRPr="00BE7C78">
              <w:rPr>
                <w:rFonts w:cs="Calibri"/>
                <w:color w:val="000000"/>
                <w:szCs w:val="20"/>
              </w:rPr>
              <w:t>Commercial</w:t>
            </w:r>
          </w:p>
        </w:tc>
        <w:tc>
          <w:tcPr>
            <w:tcW w:w="756" w:type="pct"/>
            <w:vAlign w:val="center"/>
          </w:tcPr>
          <w:p w14:paraId="79B0CA87" w14:textId="581C833D" w:rsidR="008750CF" w:rsidRPr="009D417C" w:rsidRDefault="008750CF" w:rsidP="009D417C">
            <w:pPr>
              <w:jc w:val="center"/>
              <w:rPr>
                <w:szCs w:val="20"/>
              </w:rPr>
            </w:pPr>
            <w:r w:rsidRPr="00A65F85">
              <w:rPr>
                <w:szCs w:val="20"/>
              </w:rPr>
              <w:t>FoodServ</w:t>
            </w:r>
          </w:p>
        </w:tc>
        <w:tc>
          <w:tcPr>
            <w:tcW w:w="534" w:type="pct"/>
            <w:vAlign w:val="center"/>
          </w:tcPr>
          <w:p w14:paraId="0E56A065" w14:textId="77777777" w:rsidR="008750CF" w:rsidRPr="00BE7C78" w:rsidRDefault="008750CF" w:rsidP="0013477F">
            <w:pPr>
              <w:jc w:val="center"/>
              <w:rPr>
                <w:rFonts w:cs="Calibri"/>
                <w:color w:val="000000"/>
                <w:szCs w:val="20"/>
              </w:rPr>
            </w:pPr>
            <w:r w:rsidRPr="00BE7C78">
              <w:rPr>
                <w:rFonts w:cs="Calibri"/>
                <w:color w:val="000000"/>
                <w:szCs w:val="20"/>
              </w:rPr>
              <w:t>12</w:t>
            </w:r>
          </w:p>
        </w:tc>
        <w:tc>
          <w:tcPr>
            <w:tcW w:w="504" w:type="pct"/>
            <w:vAlign w:val="center"/>
          </w:tcPr>
          <w:p w14:paraId="2C540634" w14:textId="77777777" w:rsidR="008750CF" w:rsidRPr="00BE7C78" w:rsidRDefault="008750CF" w:rsidP="0013477F">
            <w:pPr>
              <w:jc w:val="center"/>
              <w:rPr>
                <w:szCs w:val="20"/>
              </w:rPr>
            </w:pPr>
            <w:r w:rsidRPr="00BE7C78">
              <w:rPr>
                <w:szCs w:val="20"/>
              </w:rPr>
              <w:t>4</w:t>
            </w:r>
          </w:p>
        </w:tc>
      </w:tr>
    </w:tbl>
    <w:p w14:paraId="034AFAD3" w14:textId="77777777" w:rsidR="00B47A09" w:rsidRDefault="00B47A09" w:rsidP="00DA5710">
      <w:pPr>
        <w:pStyle w:val="NoSpacing"/>
      </w:pPr>
    </w:p>
    <w:p w14:paraId="6E85166A" w14:textId="4881C095" w:rsidR="00B47A09" w:rsidRDefault="00DA5710" w:rsidP="00DA5710">
      <w:pPr>
        <w:pStyle w:val="NoSpacing"/>
      </w:pPr>
      <w:r>
        <w:t>Similar to NTG, when DEER EUL or RUL values are available, those values are used first.</w:t>
      </w:r>
      <w:r w:rsidR="00C612E9">
        <w:t xml:space="preserve"> </w:t>
      </w:r>
      <w:r>
        <w:t xml:space="preserve">However, when DEER EUL or RUL values are not available, it is proposed to adopt the EUL that has already been evaluated and approved by MWD for the MWD WEN Measures. These values may differ from existing wps or potential custom projects. </w:t>
      </w:r>
    </w:p>
    <w:p w14:paraId="2D53ACCC" w14:textId="77777777" w:rsidR="00B47A09" w:rsidRDefault="00B47A09" w:rsidP="00DA5710">
      <w:pPr>
        <w:pStyle w:val="NoSpacing"/>
      </w:pPr>
    </w:p>
    <w:p w14:paraId="2E5C85D4" w14:textId="68C09C2D" w:rsidR="00DA5710" w:rsidRDefault="00DA5710" w:rsidP="00DA5710">
      <w:pPr>
        <w:pStyle w:val="NoSpacing"/>
      </w:pPr>
      <w:r>
        <w:t>Since the wp will be “incremental” to any existing savings values</w:t>
      </w:r>
      <w:r w:rsidRPr="00E004FC">
        <w:t xml:space="preserve">, the differences in EUL are expected to be minimal. There may also be differing values between proposed MWD EUL parameters and those contained in READI or other </w:t>
      </w:r>
      <w:r>
        <w:t>wps</w:t>
      </w:r>
      <w:r w:rsidRPr="00E004FC">
        <w:t xml:space="preserve">.  Being an incremental </w:t>
      </w:r>
      <w:r>
        <w:t>wp</w:t>
      </w:r>
      <w:r w:rsidRPr="00E004FC">
        <w:t>, an assessment of the differences relative to the overall energy impact accuracy may be warranted.</w:t>
      </w:r>
      <w:r w:rsidR="00E16111">
        <w:t xml:space="preserve"> </w:t>
      </w:r>
      <w:r w:rsidR="00E16111" w:rsidRPr="00E16111">
        <w:t xml:space="preserve">The relevant EUL and RUL values for the first ten (10) </w:t>
      </w:r>
      <w:r w:rsidR="00E16111">
        <w:t>MWD</w:t>
      </w:r>
      <w:r w:rsidR="00E16111" w:rsidRPr="00E16111">
        <w:t xml:space="preserve"> WEN measures are shown in the </w:t>
      </w:r>
      <w:r w:rsidR="00E16111" w:rsidRPr="00E16111">
        <w:rPr>
          <w:b/>
          <w:bCs/>
        </w:rPr>
        <w:fldChar w:fldCharType="begin"/>
      </w:r>
      <w:r w:rsidR="00E16111" w:rsidRPr="00E16111">
        <w:rPr>
          <w:b/>
          <w:bCs/>
        </w:rPr>
        <w:instrText xml:space="preserve"> REF _Ref19593024 \h </w:instrText>
      </w:r>
      <w:r w:rsidR="00E16111">
        <w:rPr>
          <w:b/>
          <w:bCs/>
        </w:rPr>
        <w:instrText xml:space="preserve"> \* MERGEFORMAT </w:instrText>
      </w:r>
      <w:r w:rsidR="00E16111" w:rsidRPr="00E16111">
        <w:rPr>
          <w:b/>
          <w:bCs/>
        </w:rPr>
      </w:r>
      <w:r w:rsidR="00E16111" w:rsidRPr="00E16111">
        <w:rPr>
          <w:b/>
          <w:bCs/>
        </w:rPr>
        <w:fldChar w:fldCharType="separate"/>
      </w:r>
      <w:r w:rsidR="00E16111" w:rsidRPr="00E16111">
        <w:rPr>
          <w:b/>
          <w:bCs/>
        </w:rPr>
        <w:t xml:space="preserve">Table </w:t>
      </w:r>
      <w:r w:rsidR="00E16111" w:rsidRPr="00E16111">
        <w:rPr>
          <w:b/>
          <w:bCs/>
          <w:noProof/>
        </w:rPr>
        <w:t>7</w:t>
      </w:r>
      <w:r w:rsidR="00E16111" w:rsidRPr="00E16111">
        <w:rPr>
          <w:b/>
          <w:bCs/>
        </w:rPr>
        <w:fldChar w:fldCharType="end"/>
      </w:r>
      <w:r w:rsidR="00E16111" w:rsidRPr="00E16111">
        <w:t xml:space="preserve">. The remaining </w:t>
      </w:r>
      <w:r w:rsidR="00E16111">
        <w:t>MWD</w:t>
      </w:r>
      <w:r w:rsidR="00E16111" w:rsidRPr="00E16111">
        <w:t xml:space="preserve"> WEN measures can be found </w:t>
      </w:r>
      <w:r w:rsidR="00E16111" w:rsidRPr="00E16111">
        <w:lastRenderedPageBreak/>
        <w:t>in the 2019-09-17 WEN Measures List 2019 – FINAL.xlsx included with the workpaper upload onto the workpaper archive (WPA) website.</w:t>
      </w:r>
    </w:p>
    <w:p w14:paraId="2A998BEB" w14:textId="77777777" w:rsidR="00BA76DF" w:rsidRDefault="00BA76DF" w:rsidP="00DA5710">
      <w:pPr>
        <w:pStyle w:val="NoSpacing"/>
        <w:rPr>
          <w:color w:val="FF0000"/>
        </w:rPr>
      </w:pPr>
    </w:p>
    <w:p w14:paraId="2E86D6AE" w14:textId="6E80F1D2" w:rsidR="00DA5710" w:rsidRDefault="00DA5710" w:rsidP="00DA5710">
      <w:pPr>
        <w:pStyle w:val="Caption"/>
        <w:jc w:val="center"/>
      </w:pPr>
      <w:bookmarkStart w:id="15" w:name="_Ref19593024"/>
      <w:r>
        <w:t xml:space="preserve">Table </w:t>
      </w:r>
      <w:r w:rsidR="00054031">
        <w:fldChar w:fldCharType="begin"/>
      </w:r>
      <w:r w:rsidR="00054031">
        <w:instrText xml:space="preserve"> SEQ Table \* ARABIC </w:instrText>
      </w:r>
      <w:r w:rsidR="00054031">
        <w:fldChar w:fldCharType="separate"/>
      </w:r>
      <w:r w:rsidR="00602E9A">
        <w:rPr>
          <w:noProof/>
        </w:rPr>
        <w:t>7</w:t>
      </w:r>
      <w:r w:rsidR="00054031">
        <w:rPr>
          <w:noProof/>
        </w:rPr>
        <w:fldChar w:fldCharType="end"/>
      </w:r>
      <w:bookmarkEnd w:id="15"/>
      <w:r w:rsidR="00B47A09">
        <w:rPr>
          <w:noProof/>
        </w:rPr>
        <w:t>:</w:t>
      </w:r>
      <w:r>
        <w:t xml:space="preserve"> MWD</w:t>
      </w:r>
      <w:r w:rsidRPr="00DA5710">
        <w:t xml:space="preserve"> WEN Measures - EUL/RUL Table</w:t>
      </w:r>
    </w:p>
    <w:tbl>
      <w:tblPr>
        <w:tblStyle w:val="TableGrid1"/>
        <w:tblW w:w="4492" w:type="pct"/>
        <w:jc w:val="center"/>
        <w:tblLook w:val="04A0" w:firstRow="1" w:lastRow="0" w:firstColumn="1" w:lastColumn="0" w:noHBand="0" w:noVBand="1"/>
      </w:tblPr>
      <w:tblGrid>
        <w:gridCol w:w="950"/>
        <w:gridCol w:w="1403"/>
        <w:gridCol w:w="1813"/>
        <w:gridCol w:w="1190"/>
        <w:gridCol w:w="1270"/>
        <w:gridCol w:w="912"/>
        <w:gridCol w:w="862"/>
      </w:tblGrid>
      <w:tr w:rsidR="00DA5710" w:rsidRPr="00500C4E" w14:paraId="1A90BE98" w14:textId="77777777" w:rsidTr="00E16111">
        <w:trPr>
          <w:trHeight w:val="243"/>
          <w:jc w:val="center"/>
        </w:trPr>
        <w:tc>
          <w:tcPr>
            <w:tcW w:w="565" w:type="pct"/>
            <w:shd w:val="clear" w:color="auto" w:fill="D9D9D9" w:themeFill="background1" w:themeFillShade="D9"/>
            <w:vAlign w:val="center"/>
          </w:tcPr>
          <w:p w14:paraId="5C9935DA" w14:textId="500BBE38" w:rsidR="00DA5710" w:rsidRDefault="00DA5710" w:rsidP="00DA5710">
            <w:pPr>
              <w:jc w:val="center"/>
              <w:rPr>
                <w:rFonts w:ascii="Calibri" w:hAnsi="Calibri" w:cs="Calibri"/>
                <w:color w:val="000000"/>
                <w:szCs w:val="22"/>
              </w:rPr>
            </w:pPr>
            <w:r>
              <w:rPr>
                <w:rFonts w:cstheme="minorHAnsi"/>
                <w:b/>
                <w:szCs w:val="20"/>
              </w:rPr>
              <w:t>Measure #</w:t>
            </w:r>
          </w:p>
        </w:tc>
        <w:tc>
          <w:tcPr>
            <w:tcW w:w="835" w:type="pct"/>
            <w:shd w:val="clear" w:color="auto" w:fill="D9D9D9" w:themeFill="background1" w:themeFillShade="D9"/>
            <w:vAlign w:val="center"/>
          </w:tcPr>
          <w:p w14:paraId="7CB3D145" w14:textId="6D8D5005" w:rsidR="00DA5710" w:rsidRPr="00BE7C78" w:rsidRDefault="00DA5710" w:rsidP="00DA5710">
            <w:pPr>
              <w:jc w:val="center"/>
              <w:rPr>
                <w:color w:val="FF0000"/>
                <w:szCs w:val="20"/>
              </w:rPr>
            </w:pPr>
            <w:r w:rsidRPr="00920905">
              <w:rPr>
                <w:rFonts w:cstheme="minorHAnsi"/>
                <w:b/>
                <w:szCs w:val="20"/>
              </w:rPr>
              <w:t>EUL ID</w:t>
            </w:r>
          </w:p>
        </w:tc>
        <w:tc>
          <w:tcPr>
            <w:tcW w:w="1079" w:type="pct"/>
            <w:shd w:val="clear" w:color="auto" w:fill="D9D9D9" w:themeFill="background1" w:themeFillShade="D9"/>
            <w:vAlign w:val="center"/>
          </w:tcPr>
          <w:p w14:paraId="1970458C" w14:textId="6143BC50" w:rsidR="00DA5710" w:rsidRPr="00BE7C78" w:rsidRDefault="00DA5710" w:rsidP="00DA5710">
            <w:pPr>
              <w:jc w:val="center"/>
              <w:rPr>
                <w:rFonts w:cs="Calibri"/>
                <w:color w:val="000000"/>
                <w:szCs w:val="20"/>
              </w:rPr>
            </w:pPr>
            <w:r w:rsidRPr="00920905">
              <w:rPr>
                <w:rFonts w:cstheme="minorHAnsi"/>
                <w:b/>
                <w:szCs w:val="20"/>
              </w:rPr>
              <w:t>Description</w:t>
            </w:r>
          </w:p>
        </w:tc>
        <w:tc>
          <w:tcPr>
            <w:tcW w:w="708" w:type="pct"/>
            <w:shd w:val="clear" w:color="auto" w:fill="D9D9D9" w:themeFill="background1" w:themeFillShade="D9"/>
            <w:vAlign w:val="center"/>
          </w:tcPr>
          <w:p w14:paraId="0328BA8B" w14:textId="7E9C237F" w:rsidR="00DA5710" w:rsidRDefault="00DA5710" w:rsidP="00DA5710">
            <w:pPr>
              <w:jc w:val="center"/>
              <w:rPr>
                <w:rFonts w:cs="Calibri"/>
                <w:color w:val="000000"/>
                <w:szCs w:val="20"/>
              </w:rPr>
            </w:pPr>
            <w:r w:rsidRPr="00920905">
              <w:rPr>
                <w:rFonts w:cstheme="minorHAnsi"/>
                <w:b/>
                <w:szCs w:val="20"/>
              </w:rPr>
              <w:t>Sector</w:t>
            </w:r>
          </w:p>
        </w:tc>
        <w:tc>
          <w:tcPr>
            <w:tcW w:w="756" w:type="pct"/>
            <w:shd w:val="clear" w:color="auto" w:fill="D9D9D9" w:themeFill="background1" w:themeFillShade="D9"/>
            <w:vAlign w:val="center"/>
          </w:tcPr>
          <w:p w14:paraId="4C892031" w14:textId="470AC88E" w:rsidR="00DA5710" w:rsidRPr="009D417C" w:rsidRDefault="00DA5710" w:rsidP="00DA5710">
            <w:pPr>
              <w:jc w:val="center"/>
              <w:rPr>
                <w:szCs w:val="20"/>
              </w:rPr>
            </w:pPr>
            <w:r w:rsidRPr="00920905">
              <w:rPr>
                <w:rFonts w:cstheme="minorHAnsi"/>
                <w:b/>
                <w:szCs w:val="20"/>
              </w:rPr>
              <w:t>UseCategory</w:t>
            </w:r>
          </w:p>
        </w:tc>
        <w:tc>
          <w:tcPr>
            <w:tcW w:w="543" w:type="pct"/>
            <w:shd w:val="clear" w:color="auto" w:fill="D9D9D9" w:themeFill="background1" w:themeFillShade="D9"/>
            <w:vAlign w:val="center"/>
          </w:tcPr>
          <w:p w14:paraId="43A4CC66" w14:textId="03BCCE86" w:rsidR="00DA5710" w:rsidRDefault="00DA5710" w:rsidP="00DA5710">
            <w:pPr>
              <w:jc w:val="center"/>
              <w:rPr>
                <w:rFonts w:cs="Calibri"/>
                <w:color w:val="000000"/>
                <w:szCs w:val="20"/>
              </w:rPr>
            </w:pPr>
            <w:r w:rsidRPr="00920905">
              <w:rPr>
                <w:rFonts w:cstheme="minorHAnsi"/>
                <w:b/>
                <w:szCs w:val="20"/>
              </w:rPr>
              <w:t>EUL (Years)</w:t>
            </w:r>
          </w:p>
        </w:tc>
        <w:tc>
          <w:tcPr>
            <w:tcW w:w="513" w:type="pct"/>
            <w:shd w:val="clear" w:color="auto" w:fill="D9D9D9" w:themeFill="background1" w:themeFillShade="D9"/>
            <w:vAlign w:val="center"/>
          </w:tcPr>
          <w:p w14:paraId="2442324F" w14:textId="7D4BA379" w:rsidR="00DA5710" w:rsidRDefault="00DA5710" w:rsidP="00DA5710">
            <w:pPr>
              <w:jc w:val="center"/>
              <w:rPr>
                <w:rFonts w:cs="Calibri"/>
                <w:szCs w:val="20"/>
              </w:rPr>
            </w:pPr>
            <w:r w:rsidRPr="00920905">
              <w:rPr>
                <w:rFonts w:cstheme="minorHAnsi"/>
                <w:b/>
                <w:szCs w:val="20"/>
              </w:rPr>
              <w:t>RUL (Years)</w:t>
            </w:r>
          </w:p>
        </w:tc>
      </w:tr>
      <w:tr w:rsidR="00BA6903" w:rsidRPr="00500C4E" w14:paraId="7CA737FF" w14:textId="77777777" w:rsidTr="00E16111">
        <w:trPr>
          <w:trHeight w:val="243"/>
          <w:jc w:val="center"/>
        </w:trPr>
        <w:tc>
          <w:tcPr>
            <w:tcW w:w="565" w:type="pct"/>
            <w:vAlign w:val="center"/>
          </w:tcPr>
          <w:p w14:paraId="7B189462" w14:textId="6870A0D8" w:rsidR="00BA6903" w:rsidRPr="004E0560" w:rsidRDefault="00BA6903" w:rsidP="00BA6903">
            <w:pPr>
              <w:jc w:val="center"/>
              <w:rPr>
                <w:rFonts w:ascii="Calibri" w:hAnsi="Calibri" w:cs="Calibri"/>
                <w:color w:val="000000"/>
                <w:szCs w:val="22"/>
              </w:rPr>
            </w:pPr>
            <w:r w:rsidRPr="00920369">
              <w:t>53</w:t>
            </w:r>
          </w:p>
        </w:tc>
        <w:tc>
          <w:tcPr>
            <w:tcW w:w="835" w:type="pct"/>
            <w:vAlign w:val="center"/>
          </w:tcPr>
          <w:p w14:paraId="7901675D" w14:textId="77777777" w:rsidR="00BA6903" w:rsidRPr="00BE7C78" w:rsidRDefault="00BA6903" w:rsidP="00BE7C78">
            <w:pPr>
              <w:rPr>
                <w:color w:val="FF0000"/>
                <w:szCs w:val="20"/>
              </w:rPr>
            </w:pPr>
          </w:p>
        </w:tc>
        <w:tc>
          <w:tcPr>
            <w:tcW w:w="1079" w:type="pct"/>
            <w:vAlign w:val="bottom"/>
          </w:tcPr>
          <w:p w14:paraId="45E74D0D" w14:textId="77777777" w:rsidR="00BA6903" w:rsidRPr="00BE7C78" w:rsidRDefault="00BA6903" w:rsidP="00F9463F">
            <w:pPr>
              <w:rPr>
                <w:rFonts w:cs="Calibri"/>
                <w:color w:val="000000"/>
                <w:szCs w:val="20"/>
              </w:rPr>
            </w:pPr>
            <w:r w:rsidRPr="00BE7C78">
              <w:rPr>
                <w:rFonts w:cs="Calibri"/>
                <w:color w:val="000000"/>
                <w:szCs w:val="20"/>
              </w:rPr>
              <w:t>Com-High Efficiency Toilet (Melded)</w:t>
            </w:r>
          </w:p>
        </w:tc>
        <w:tc>
          <w:tcPr>
            <w:tcW w:w="708" w:type="pct"/>
            <w:vAlign w:val="center"/>
          </w:tcPr>
          <w:p w14:paraId="5583C5B6" w14:textId="77777777" w:rsidR="00BA6903" w:rsidRPr="00BE7C78" w:rsidRDefault="00BA6903" w:rsidP="00314057">
            <w:pPr>
              <w:jc w:val="center"/>
              <w:rPr>
                <w:rFonts w:cs="Calibri"/>
                <w:color w:val="000000"/>
                <w:szCs w:val="20"/>
              </w:rPr>
            </w:pPr>
            <w:r>
              <w:rPr>
                <w:rFonts w:cs="Calibri"/>
                <w:color w:val="000000"/>
                <w:szCs w:val="20"/>
              </w:rPr>
              <w:t>Commercial</w:t>
            </w:r>
          </w:p>
        </w:tc>
        <w:tc>
          <w:tcPr>
            <w:tcW w:w="756" w:type="pct"/>
            <w:vAlign w:val="center"/>
          </w:tcPr>
          <w:p w14:paraId="3B44B6BA" w14:textId="77777777" w:rsidR="00BA6903" w:rsidRPr="009D417C" w:rsidRDefault="00BA6903" w:rsidP="009D417C">
            <w:pPr>
              <w:jc w:val="center"/>
              <w:rPr>
                <w:szCs w:val="20"/>
              </w:rPr>
            </w:pPr>
          </w:p>
        </w:tc>
        <w:tc>
          <w:tcPr>
            <w:tcW w:w="543" w:type="pct"/>
            <w:vAlign w:val="center"/>
          </w:tcPr>
          <w:p w14:paraId="5622CEB7" w14:textId="77777777" w:rsidR="00BA6903" w:rsidRPr="00BE7C78" w:rsidRDefault="00BA6903" w:rsidP="00F9463F">
            <w:pPr>
              <w:jc w:val="center"/>
              <w:rPr>
                <w:rFonts w:cs="Calibri"/>
                <w:color w:val="000000"/>
                <w:szCs w:val="20"/>
              </w:rPr>
            </w:pPr>
            <w:r>
              <w:rPr>
                <w:rFonts w:cs="Calibri"/>
                <w:color w:val="000000"/>
                <w:szCs w:val="20"/>
              </w:rPr>
              <w:t>20</w:t>
            </w:r>
          </w:p>
        </w:tc>
        <w:tc>
          <w:tcPr>
            <w:tcW w:w="513" w:type="pct"/>
            <w:vAlign w:val="center"/>
          </w:tcPr>
          <w:p w14:paraId="106137D2" w14:textId="77777777" w:rsidR="00BA6903" w:rsidRPr="00BE7C78" w:rsidRDefault="00BA6903" w:rsidP="00F9463F">
            <w:pPr>
              <w:jc w:val="center"/>
              <w:rPr>
                <w:szCs w:val="20"/>
              </w:rPr>
            </w:pPr>
            <w:r>
              <w:rPr>
                <w:rFonts w:cs="Calibri"/>
                <w:szCs w:val="20"/>
              </w:rPr>
              <w:t>6.67</w:t>
            </w:r>
          </w:p>
        </w:tc>
      </w:tr>
      <w:tr w:rsidR="00BA6903" w:rsidRPr="00500C4E" w14:paraId="0607FA36" w14:textId="77777777" w:rsidTr="00E16111">
        <w:trPr>
          <w:trHeight w:val="243"/>
          <w:jc w:val="center"/>
        </w:trPr>
        <w:tc>
          <w:tcPr>
            <w:tcW w:w="565" w:type="pct"/>
            <w:vAlign w:val="center"/>
          </w:tcPr>
          <w:p w14:paraId="361C2122" w14:textId="3C5A2736" w:rsidR="00BA6903" w:rsidRPr="004E0560" w:rsidRDefault="00BA6903" w:rsidP="00BA6903">
            <w:pPr>
              <w:jc w:val="center"/>
              <w:rPr>
                <w:rFonts w:ascii="Calibri" w:hAnsi="Calibri" w:cs="Calibri"/>
                <w:color w:val="000000"/>
                <w:szCs w:val="22"/>
              </w:rPr>
            </w:pPr>
            <w:r w:rsidRPr="00920369">
              <w:t>54</w:t>
            </w:r>
          </w:p>
        </w:tc>
        <w:tc>
          <w:tcPr>
            <w:tcW w:w="835" w:type="pct"/>
            <w:vAlign w:val="center"/>
          </w:tcPr>
          <w:p w14:paraId="702FD39D" w14:textId="77777777" w:rsidR="00BA6903" w:rsidRPr="00BE7C78" w:rsidRDefault="00BA6903" w:rsidP="00BE7C78">
            <w:pPr>
              <w:rPr>
                <w:color w:val="FF0000"/>
                <w:szCs w:val="20"/>
              </w:rPr>
            </w:pPr>
          </w:p>
        </w:tc>
        <w:tc>
          <w:tcPr>
            <w:tcW w:w="1079" w:type="pct"/>
            <w:vAlign w:val="bottom"/>
          </w:tcPr>
          <w:p w14:paraId="75D62C10" w14:textId="77777777" w:rsidR="00BA6903" w:rsidRPr="00BE7C78" w:rsidRDefault="00BA6903" w:rsidP="00F9463F">
            <w:pPr>
              <w:rPr>
                <w:rFonts w:cs="Calibri"/>
                <w:color w:val="000000"/>
                <w:szCs w:val="20"/>
              </w:rPr>
            </w:pPr>
            <w:r w:rsidRPr="00BE7C78">
              <w:rPr>
                <w:rFonts w:cs="Calibri"/>
                <w:color w:val="000000"/>
                <w:szCs w:val="20"/>
              </w:rPr>
              <w:t>Com-4 Liter Toilet (Melded)</w:t>
            </w:r>
          </w:p>
        </w:tc>
        <w:tc>
          <w:tcPr>
            <w:tcW w:w="708" w:type="pct"/>
            <w:vAlign w:val="center"/>
          </w:tcPr>
          <w:p w14:paraId="34654FBC" w14:textId="77777777" w:rsidR="00BA6903" w:rsidRDefault="00BA6903" w:rsidP="00314057">
            <w:pPr>
              <w:jc w:val="center"/>
            </w:pPr>
            <w:r w:rsidRPr="00C2464B">
              <w:rPr>
                <w:rFonts w:cs="Calibri"/>
                <w:color w:val="000000"/>
                <w:szCs w:val="20"/>
              </w:rPr>
              <w:t>Commercial</w:t>
            </w:r>
          </w:p>
        </w:tc>
        <w:tc>
          <w:tcPr>
            <w:tcW w:w="756" w:type="pct"/>
            <w:vAlign w:val="center"/>
          </w:tcPr>
          <w:p w14:paraId="2DB0A4C2" w14:textId="77777777" w:rsidR="00BA6903" w:rsidRPr="009D417C" w:rsidRDefault="00BA6903" w:rsidP="009D417C">
            <w:pPr>
              <w:jc w:val="center"/>
              <w:rPr>
                <w:szCs w:val="20"/>
              </w:rPr>
            </w:pPr>
          </w:p>
        </w:tc>
        <w:tc>
          <w:tcPr>
            <w:tcW w:w="543" w:type="pct"/>
            <w:vAlign w:val="center"/>
          </w:tcPr>
          <w:p w14:paraId="6CAD6890" w14:textId="77777777" w:rsidR="00BA6903" w:rsidRPr="00BE7C78" w:rsidRDefault="00BA6903" w:rsidP="00F9463F">
            <w:pPr>
              <w:jc w:val="center"/>
              <w:rPr>
                <w:rFonts w:cs="Calibri"/>
                <w:color w:val="000000"/>
                <w:szCs w:val="20"/>
              </w:rPr>
            </w:pPr>
            <w:r>
              <w:rPr>
                <w:rFonts w:cs="Calibri"/>
                <w:color w:val="000000"/>
                <w:szCs w:val="20"/>
              </w:rPr>
              <w:t>20</w:t>
            </w:r>
          </w:p>
        </w:tc>
        <w:tc>
          <w:tcPr>
            <w:tcW w:w="513" w:type="pct"/>
            <w:vAlign w:val="center"/>
          </w:tcPr>
          <w:p w14:paraId="53913E18" w14:textId="77777777" w:rsidR="00BA6903" w:rsidRPr="00BE7C78" w:rsidRDefault="00BA6903" w:rsidP="00F9463F">
            <w:pPr>
              <w:jc w:val="center"/>
              <w:rPr>
                <w:szCs w:val="20"/>
              </w:rPr>
            </w:pPr>
            <w:r>
              <w:rPr>
                <w:rFonts w:cs="Calibri"/>
                <w:szCs w:val="20"/>
              </w:rPr>
              <w:t>6.67</w:t>
            </w:r>
          </w:p>
        </w:tc>
      </w:tr>
      <w:tr w:rsidR="00BA6903" w:rsidRPr="00500C4E" w14:paraId="0DDFC0D2" w14:textId="77777777" w:rsidTr="00E16111">
        <w:trPr>
          <w:trHeight w:val="243"/>
          <w:jc w:val="center"/>
        </w:trPr>
        <w:tc>
          <w:tcPr>
            <w:tcW w:w="565" w:type="pct"/>
            <w:vAlign w:val="center"/>
          </w:tcPr>
          <w:p w14:paraId="7B1694C6" w14:textId="153F26C5" w:rsidR="00BA6903" w:rsidRPr="00B5089C" w:rsidRDefault="00BA6903" w:rsidP="00BA6903">
            <w:pPr>
              <w:jc w:val="center"/>
              <w:rPr>
                <w:rFonts w:ascii="Calibri" w:hAnsi="Calibri" w:cs="Calibri"/>
                <w:color w:val="000000"/>
                <w:szCs w:val="22"/>
              </w:rPr>
            </w:pPr>
            <w:r w:rsidRPr="00920369">
              <w:t>55</w:t>
            </w:r>
          </w:p>
        </w:tc>
        <w:tc>
          <w:tcPr>
            <w:tcW w:w="835" w:type="pct"/>
            <w:vAlign w:val="center"/>
          </w:tcPr>
          <w:p w14:paraId="2C5661BF" w14:textId="77777777" w:rsidR="00BA6903" w:rsidRPr="00BE7C78" w:rsidRDefault="00BA6903" w:rsidP="00BE7C78">
            <w:pPr>
              <w:rPr>
                <w:color w:val="FF0000"/>
                <w:szCs w:val="20"/>
              </w:rPr>
            </w:pPr>
          </w:p>
        </w:tc>
        <w:tc>
          <w:tcPr>
            <w:tcW w:w="1079" w:type="pct"/>
            <w:vAlign w:val="bottom"/>
          </w:tcPr>
          <w:p w14:paraId="08F0B2EF" w14:textId="77777777" w:rsidR="00BA6903" w:rsidRPr="00BE7C78" w:rsidRDefault="00BA6903" w:rsidP="00F9463F">
            <w:pPr>
              <w:rPr>
                <w:rFonts w:cs="Calibri"/>
                <w:color w:val="000000"/>
                <w:szCs w:val="20"/>
              </w:rPr>
            </w:pPr>
            <w:r w:rsidRPr="00BE7C78">
              <w:rPr>
                <w:rFonts w:cs="Calibri"/>
                <w:color w:val="000000"/>
                <w:szCs w:val="20"/>
              </w:rPr>
              <w:t>Com-Zero/Ultra Low Water Urinal</w:t>
            </w:r>
          </w:p>
        </w:tc>
        <w:tc>
          <w:tcPr>
            <w:tcW w:w="708" w:type="pct"/>
            <w:vAlign w:val="center"/>
          </w:tcPr>
          <w:p w14:paraId="150D266F" w14:textId="77777777" w:rsidR="00BA6903" w:rsidRDefault="00BA6903" w:rsidP="00314057">
            <w:pPr>
              <w:jc w:val="center"/>
            </w:pPr>
            <w:r w:rsidRPr="00C2464B">
              <w:rPr>
                <w:rFonts w:cs="Calibri"/>
                <w:color w:val="000000"/>
                <w:szCs w:val="20"/>
              </w:rPr>
              <w:t>Commercial</w:t>
            </w:r>
          </w:p>
        </w:tc>
        <w:tc>
          <w:tcPr>
            <w:tcW w:w="756" w:type="pct"/>
            <w:vAlign w:val="center"/>
          </w:tcPr>
          <w:p w14:paraId="34883F3A" w14:textId="77777777" w:rsidR="00BA6903" w:rsidRPr="009D417C" w:rsidRDefault="00BA6903" w:rsidP="009D417C">
            <w:pPr>
              <w:jc w:val="center"/>
              <w:rPr>
                <w:szCs w:val="20"/>
              </w:rPr>
            </w:pPr>
          </w:p>
        </w:tc>
        <w:tc>
          <w:tcPr>
            <w:tcW w:w="543" w:type="pct"/>
            <w:vAlign w:val="center"/>
          </w:tcPr>
          <w:p w14:paraId="69EE51CF" w14:textId="77777777" w:rsidR="00BA6903" w:rsidRPr="00BE7C78" w:rsidRDefault="00BA6903" w:rsidP="00F9463F">
            <w:pPr>
              <w:jc w:val="center"/>
              <w:rPr>
                <w:rFonts w:cs="Calibri"/>
                <w:color w:val="000000"/>
                <w:szCs w:val="20"/>
              </w:rPr>
            </w:pPr>
            <w:r>
              <w:rPr>
                <w:rFonts w:cs="Calibri"/>
                <w:color w:val="000000"/>
                <w:szCs w:val="20"/>
              </w:rPr>
              <w:t>20</w:t>
            </w:r>
          </w:p>
        </w:tc>
        <w:tc>
          <w:tcPr>
            <w:tcW w:w="513" w:type="pct"/>
            <w:vAlign w:val="center"/>
          </w:tcPr>
          <w:p w14:paraId="76C565D0" w14:textId="77777777" w:rsidR="00BA6903" w:rsidRPr="00BE7C78" w:rsidRDefault="00BA6903" w:rsidP="00F9463F">
            <w:pPr>
              <w:jc w:val="center"/>
              <w:rPr>
                <w:szCs w:val="20"/>
              </w:rPr>
            </w:pPr>
            <w:r>
              <w:rPr>
                <w:rFonts w:cs="Calibri"/>
                <w:szCs w:val="20"/>
              </w:rPr>
              <w:t>6.67</w:t>
            </w:r>
          </w:p>
        </w:tc>
      </w:tr>
      <w:tr w:rsidR="00BA6903" w:rsidRPr="00500C4E" w14:paraId="0BB838FC" w14:textId="77777777" w:rsidTr="00E16111">
        <w:trPr>
          <w:trHeight w:val="243"/>
          <w:jc w:val="center"/>
        </w:trPr>
        <w:tc>
          <w:tcPr>
            <w:tcW w:w="565" w:type="pct"/>
            <w:vAlign w:val="center"/>
          </w:tcPr>
          <w:p w14:paraId="767522B7" w14:textId="65D43EC9" w:rsidR="00BA6903" w:rsidRPr="00B5089C" w:rsidRDefault="00BA6903" w:rsidP="00BA6903">
            <w:pPr>
              <w:jc w:val="center"/>
              <w:rPr>
                <w:rFonts w:ascii="Calibri" w:hAnsi="Calibri" w:cs="Calibri"/>
                <w:color w:val="000000"/>
                <w:szCs w:val="22"/>
              </w:rPr>
            </w:pPr>
            <w:r w:rsidRPr="00920369">
              <w:t>56</w:t>
            </w:r>
          </w:p>
        </w:tc>
        <w:tc>
          <w:tcPr>
            <w:tcW w:w="835" w:type="pct"/>
            <w:vAlign w:val="center"/>
          </w:tcPr>
          <w:p w14:paraId="06C1BD65" w14:textId="77777777" w:rsidR="00BA6903" w:rsidRPr="00BE7C78" w:rsidRDefault="00BA6903" w:rsidP="00BE7C78">
            <w:pPr>
              <w:rPr>
                <w:color w:val="FF0000"/>
                <w:szCs w:val="20"/>
              </w:rPr>
            </w:pPr>
          </w:p>
        </w:tc>
        <w:tc>
          <w:tcPr>
            <w:tcW w:w="1079" w:type="pct"/>
            <w:vAlign w:val="bottom"/>
          </w:tcPr>
          <w:p w14:paraId="518B895B" w14:textId="77777777" w:rsidR="00BA6903" w:rsidRPr="00BE7C78" w:rsidRDefault="00BA6903" w:rsidP="00F9463F">
            <w:pPr>
              <w:rPr>
                <w:rFonts w:cs="Calibri"/>
                <w:color w:val="000000"/>
                <w:szCs w:val="20"/>
              </w:rPr>
            </w:pPr>
            <w:r w:rsidRPr="00BE7C78">
              <w:rPr>
                <w:rFonts w:cs="Calibri"/>
                <w:color w:val="000000"/>
                <w:szCs w:val="20"/>
              </w:rPr>
              <w:t>Com-Dry Vacuum Pump (/1/2 hp)</w:t>
            </w:r>
          </w:p>
        </w:tc>
        <w:tc>
          <w:tcPr>
            <w:tcW w:w="708" w:type="pct"/>
            <w:vAlign w:val="center"/>
          </w:tcPr>
          <w:p w14:paraId="712154B4" w14:textId="77777777" w:rsidR="00BA6903" w:rsidRPr="00BE7C78" w:rsidRDefault="00BA6903" w:rsidP="00314057">
            <w:pPr>
              <w:jc w:val="center"/>
              <w:rPr>
                <w:rFonts w:cs="Calibri"/>
                <w:color w:val="000000"/>
                <w:szCs w:val="20"/>
              </w:rPr>
            </w:pPr>
            <w:r>
              <w:rPr>
                <w:rFonts w:cs="Calibri"/>
                <w:color w:val="000000"/>
                <w:szCs w:val="20"/>
              </w:rPr>
              <w:t>Commercial</w:t>
            </w:r>
          </w:p>
        </w:tc>
        <w:tc>
          <w:tcPr>
            <w:tcW w:w="756" w:type="pct"/>
            <w:vAlign w:val="center"/>
          </w:tcPr>
          <w:p w14:paraId="26BB65C5" w14:textId="77777777" w:rsidR="00BA6903" w:rsidRPr="009D417C" w:rsidRDefault="00BA6903" w:rsidP="009D417C">
            <w:pPr>
              <w:jc w:val="center"/>
              <w:rPr>
                <w:szCs w:val="20"/>
              </w:rPr>
            </w:pPr>
          </w:p>
        </w:tc>
        <w:tc>
          <w:tcPr>
            <w:tcW w:w="543" w:type="pct"/>
            <w:vAlign w:val="center"/>
          </w:tcPr>
          <w:p w14:paraId="7E3BEB16" w14:textId="77777777" w:rsidR="00BA6903" w:rsidRPr="00BE7C78" w:rsidRDefault="00BA6903" w:rsidP="00F9463F">
            <w:pPr>
              <w:jc w:val="center"/>
              <w:rPr>
                <w:rFonts w:cs="Calibri"/>
                <w:color w:val="000000"/>
                <w:szCs w:val="20"/>
              </w:rPr>
            </w:pPr>
            <w:r>
              <w:rPr>
                <w:rFonts w:cs="Calibri"/>
                <w:color w:val="000000"/>
                <w:szCs w:val="20"/>
              </w:rPr>
              <w:t>7</w:t>
            </w:r>
          </w:p>
        </w:tc>
        <w:tc>
          <w:tcPr>
            <w:tcW w:w="513" w:type="pct"/>
            <w:vAlign w:val="center"/>
          </w:tcPr>
          <w:p w14:paraId="5BB6B7DB" w14:textId="77777777" w:rsidR="00BA6903" w:rsidRPr="00BE7C78" w:rsidRDefault="00BA6903" w:rsidP="00F9463F">
            <w:pPr>
              <w:jc w:val="center"/>
              <w:rPr>
                <w:szCs w:val="20"/>
              </w:rPr>
            </w:pPr>
            <w:r>
              <w:rPr>
                <w:rFonts w:cs="Calibri"/>
                <w:color w:val="000000"/>
                <w:szCs w:val="20"/>
              </w:rPr>
              <w:t>2.33</w:t>
            </w:r>
          </w:p>
        </w:tc>
      </w:tr>
      <w:tr w:rsidR="00BA6903" w:rsidRPr="00500C4E" w14:paraId="7AB5986E" w14:textId="77777777" w:rsidTr="00E16111">
        <w:trPr>
          <w:trHeight w:val="243"/>
          <w:jc w:val="center"/>
        </w:trPr>
        <w:tc>
          <w:tcPr>
            <w:tcW w:w="565" w:type="pct"/>
            <w:vAlign w:val="center"/>
          </w:tcPr>
          <w:p w14:paraId="356EC8A8" w14:textId="466B5CE6" w:rsidR="00BA6903" w:rsidRPr="004E0560" w:rsidRDefault="00BA6903" w:rsidP="00BA6903">
            <w:pPr>
              <w:jc w:val="center"/>
              <w:rPr>
                <w:rFonts w:ascii="Calibri" w:hAnsi="Calibri" w:cs="Calibri"/>
                <w:color w:val="000000"/>
                <w:szCs w:val="22"/>
              </w:rPr>
            </w:pPr>
            <w:r w:rsidRPr="00920369">
              <w:t>57</w:t>
            </w:r>
          </w:p>
        </w:tc>
        <w:tc>
          <w:tcPr>
            <w:tcW w:w="835" w:type="pct"/>
            <w:vAlign w:val="center"/>
          </w:tcPr>
          <w:p w14:paraId="761495D7" w14:textId="77777777" w:rsidR="00BA6903" w:rsidRPr="00BE7C78" w:rsidRDefault="00BA6903" w:rsidP="00BE7C78">
            <w:pPr>
              <w:rPr>
                <w:color w:val="FF0000"/>
                <w:szCs w:val="20"/>
              </w:rPr>
            </w:pPr>
          </w:p>
        </w:tc>
        <w:tc>
          <w:tcPr>
            <w:tcW w:w="1079" w:type="pct"/>
            <w:vAlign w:val="bottom"/>
          </w:tcPr>
          <w:p w14:paraId="0EC55DE2" w14:textId="77777777" w:rsidR="00BA6903" w:rsidRPr="00BE7C78" w:rsidRDefault="00BA6903" w:rsidP="00F9463F">
            <w:pPr>
              <w:rPr>
                <w:rFonts w:cs="Calibri"/>
                <w:color w:val="000000"/>
                <w:szCs w:val="20"/>
              </w:rPr>
            </w:pPr>
            <w:r w:rsidRPr="00BE7C78">
              <w:rPr>
                <w:rFonts w:cs="Calibri"/>
                <w:color w:val="000000"/>
                <w:szCs w:val="20"/>
              </w:rPr>
              <w:t>Com-Cooling Tower Conductivity Controller</w:t>
            </w:r>
          </w:p>
        </w:tc>
        <w:tc>
          <w:tcPr>
            <w:tcW w:w="708" w:type="pct"/>
            <w:vAlign w:val="center"/>
          </w:tcPr>
          <w:p w14:paraId="44AF557B" w14:textId="77777777" w:rsidR="00BA6903" w:rsidRPr="00BE7C78" w:rsidRDefault="00BA6903" w:rsidP="00314057">
            <w:pPr>
              <w:jc w:val="center"/>
              <w:rPr>
                <w:rFonts w:cs="Calibri"/>
                <w:color w:val="000000"/>
                <w:szCs w:val="20"/>
              </w:rPr>
            </w:pPr>
            <w:r>
              <w:rPr>
                <w:rFonts w:cs="Calibri"/>
                <w:color w:val="000000"/>
                <w:szCs w:val="20"/>
              </w:rPr>
              <w:t>Commercial</w:t>
            </w:r>
          </w:p>
        </w:tc>
        <w:tc>
          <w:tcPr>
            <w:tcW w:w="756" w:type="pct"/>
            <w:vAlign w:val="center"/>
          </w:tcPr>
          <w:p w14:paraId="156F3A3C" w14:textId="77777777" w:rsidR="00BA6903" w:rsidRPr="009D417C" w:rsidRDefault="00BA6903" w:rsidP="009D417C">
            <w:pPr>
              <w:jc w:val="center"/>
              <w:rPr>
                <w:szCs w:val="20"/>
              </w:rPr>
            </w:pPr>
          </w:p>
        </w:tc>
        <w:tc>
          <w:tcPr>
            <w:tcW w:w="543" w:type="pct"/>
            <w:vAlign w:val="center"/>
          </w:tcPr>
          <w:p w14:paraId="6719CE83" w14:textId="77777777" w:rsidR="00BA6903" w:rsidRPr="00BE7C78" w:rsidRDefault="00BA6903" w:rsidP="00F9463F">
            <w:pPr>
              <w:jc w:val="center"/>
              <w:rPr>
                <w:rFonts w:cs="Calibri"/>
                <w:color w:val="000000"/>
                <w:szCs w:val="20"/>
              </w:rPr>
            </w:pPr>
            <w:r>
              <w:rPr>
                <w:rFonts w:cs="Calibri"/>
                <w:color w:val="000000"/>
                <w:szCs w:val="20"/>
              </w:rPr>
              <w:t>5</w:t>
            </w:r>
          </w:p>
        </w:tc>
        <w:tc>
          <w:tcPr>
            <w:tcW w:w="513" w:type="pct"/>
            <w:vAlign w:val="center"/>
          </w:tcPr>
          <w:p w14:paraId="641452B3" w14:textId="77777777" w:rsidR="00BA6903" w:rsidRPr="00BE7C78" w:rsidRDefault="00BA6903" w:rsidP="00F9463F">
            <w:pPr>
              <w:jc w:val="center"/>
              <w:rPr>
                <w:szCs w:val="20"/>
              </w:rPr>
            </w:pPr>
            <w:r>
              <w:rPr>
                <w:rFonts w:cs="Calibri"/>
                <w:color w:val="000000"/>
                <w:szCs w:val="20"/>
              </w:rPr>
              <w:t>1.67</w:t>
            </w:r>
          </w:p>
        </w:tc>
      </w:tr>
      <w:tr w:rsidR="00BA6903" w:rsidRPr="00500C4E" w14:paraId="045F7BC8" w14:textId="77777777" w:rsidTr="00E16111">
        <w:trPr>
          <w:trHeight w:val="243"/>
          <w:jc w:val="center"/>
        </w:trPr>
        <w:tc>
          <w:tcPr>
            <w:tcW w:w="565" w:type="pct"/>
            <w:vAlign w:val="center"/>
          </w:tcPr>
          <w:p w14:paraId="23A5BA62" w14:textId="31D76562" w:rsidR="00BA6903" w:rsidRPr="004E0560" w:rsidRDefault="00BA6903" w:rsidP="00BA6903">
            <w:pPr>
              <w:jc w:val="center"/>
              <w:rPr>
                <w:rFonts w:ascii="Calibri" w:hAnsi="Calibri" w:cs="Calibri"/>
                <w:color w:val="000000"/>
                <w:szCs w:val="22"/>
              </w:rPr>
            </w:pPr>
            <w:r w:rsidRPr="00920369">
              <w:t>58</w:t>
            </w:r>
          </w:p>
        </w:tc>
        <w:tc>
          <w:tcPr>
            <w:tcW w:w="835" w:type="pct"/>
            <w:vAlign w:val="center"/>
          </w:tcPr>
          <w:p w14:paraId="27EC1659" w14:textId="77777777" w:rsidR="00BA6903" w:rsidRPr="00BE7C78" w:rsidRDefault="00BA6903" w:rsidP="00BE7C78">
            <w:pPr>
              <w:rPr>
                <w:color w:val="FF0000"/>
                <w:szCs w:val="20"/>
              </w:rPr>
            </w:pPr>
          </w:p>
        </w:tc>
        <w:tc>
          <w:tcPr>
            <w:tcW w:w="1079" w:type="pct"/>
            <w:vAlign w:val="bottom"/>
          </w:tcPr>
          <w:p w14:paraId="27221885" w14:textId="77777777" w:rsidR="00BA6903" w:rsidRPr="00BE7C78" w:rsidRDefault="00BA6903" w:rsidP="00F9463F">
            <w:pPr>
              <w:rPr>
                <w:rFonts w:cs="Calibri"/>
                <w:color w:val="000000"/>
                <w:szCs w:val="20"/>
              </w:rPr>
            </w:pPr>
            <w:r w:rsidRPr="00BE7C78">
              <w:rPr>
                <w:rFonts w:cs="Calibri"/>
                <w:color w:val="000000"/>
                <w:szCs w:val="20"/>
              </w:rPr>
              <w:t>Com-pH Cooling Tower Controller</w:t>
            </w:r>
          </w:p>
        </w:tc>
        <w:tc>
          <w:tcPr>
            <w:tcW w:w="708" w:type="pct"/>
            <w:vAlign w:val="center"/>
          </w:tcPr>
          <w:p w14:paraId="62136508" w14:textId="77777777" w:rsidR="00BA6903" w:rsidRPr="00BE7C78" w:rsidRDefault="00BA6903" w:rsidP="00314057">
            <w:pPr>
              <w:jc w:val="center"/>
              <w:rPr>
                <w:rFonts w:cs="Calibri"/>
                <w:color w:val="000000"/>
                <w:szCs w:val="20"/>
              </w:rPr>
            </w:pPr>
            <w:r>
              <w:rPr>
                <w:rFonts w:cs="Calibri"/>
                <w:color w:val="000000"/>
                <w:szCs w:val="20"/>
              </w:rPr>
              <w:t>Commercial</w:t>
            </w:r>
          </w:p>
        </w:tc>
        <w:tc>
          <w:tcPr>
            <w:tcW w:w="756" w:type="pct"/>
            <w:vAlign w:val="center"/>
          </w:tcPr>
          <w:p w14:paraId="1D17BF06" w14:textId="77777777" w:rsidR="00BA6903" w:rsidRPr="009D417C" w:rsidRDefault="00BA6903" w:rsidP="009D417C">
            <w:pPr>
              <w:jc w:val="center"/>
              <w:rPr>
                <w:szCs w:val="20"/>
              </w:rPr>
            </w:pPr>
          </w:p>
        </w:tc>
        <w:tc>
          <w:tcPr>
            <w:tcW w:w="543" w:type="pct"/>
            <w:vAlign w:val="center"/>
          </w:tcPr>
          <w:p w14:paraId="3307F7DC" w14:textId="77777777" w:rsidR="00BA6903" w:rsidRPr="00BE7C78" w:rsidRDefault="00BA6903" w:rsidP="00F9463F">
            <w:pPr>
              <w:jc w:val="center"/>
              <w:rPr>
                <w:rFonts w:cs="Calibri"/>
                <w:color w:val="000000"/>
                <w:szCs w:val="20"/>
              </w:rPr>
            </w:pPr>
            <w:r>
              <w:rPr>
                <w:rFonts w:cs="Calibri"/>
                <w:color w:val="000000"/>
                <w:szCs w:val="20"/>
              </w:rPr>
              <w:t>5</w:t>
            </w:r>
          </w:p>
        </w:tc>
        <w:tc>
          <w:tcPr>
            <w:tcW w:w="513" w:type="pct"/>
            <w:vAlign w:val="center"/>
          </w:tcPr>
          <w:p w14:paraId="53BC92FB" w14:textId="77777777" w:rsidR="00BA6903" w:rsidRPr="00BE7C78" w:rsidRDefault="00BA6903" w:rsidP="00F9463F">
            <w:pPr>
              <w:jc w:val="center"/>
              <w:rPr>
                <w:szCs w:val="20"/>
              </w:rPr>
            </w:pPr>
            <w:r>
              <w:rPr>
                <w:rFonts w:cs="Calibri"/>
                <w:color w:val="000000"/>
                <w:szCs w:val="20"/>
              </w:rPr>
              <w:t>1.67</w:t>
            </w:r>
          </w:p>
        </w:tc>
      </w:tr>
      <w:tr w:rsidR="00BA6903" w:rsidRPr="00500C4E" w14:paraId="2AB86A8B" w14:textId="77777777" w:rsidTr="00E16111">
        <w:trPr>
          <w:trHeight w:val="243"/>
          <w:jc w:val="center"/>
        </w:trPr>
        <w:tc>
          <w:tcPr>
            <w:tcW w:w="565" w:type="pct"/>
            <w:vAlign w:val="center"/>
          </w:tcPr>
          <w:p w14:paraId="5E1C5DE7" w14:textId="0B1E6A01" w:rsidR="00BA6903" w:rsidRPr="004E0560" w:rsidRDefault="00BA6903" w:rsidP="00BA6903">
            <w:pPr>
              <w:jc w:val="center"/>
              <w:rPr>
                <w:rFonts w:ascii="Calibri" w:hAnsi="Calibri" w:cs="Calibri"/>
                <w:color w:val="000000"/>
                <w:szCs w:val="22"/>
              </w:rPr>
            </w:pPr>
            <w:r w:rsidRPr="00920369">
              <w:t>59</w:t>
            </w:r>
          </w:p>
        </w:tc>
        <w:tc>
          <w:tcPr>
            <w:tcW w:w="835" w:type="pct"/>
            <w:vAlign w:val="center"/>
          </w:tcPr>
          <w:p w14:paraId="014B543E" w14:textId="77777777" w:rsidR="00BA6903" w:rsidRPr="00BE7C78" w:rsidRDefault="00BA6903" w:rsidP="00BE7C78">
            <w:pPr>
              <w:rPr>
                <w:color w:val="FF0000"/>
                <w:szCs w:val="20"/>
              </w:rPr>
            </w:pPr>
          </w:p>
        </w:tc>
        <w:tc>
          <w:tcPr>
            <w:tcW w:w="1079" w:type="pct"/>
            <w:vAlign w:val="bottom"/>
          </w:tcPr>
          <w:p w14:paraId="41EB8286" w14:textId="77777777" w:rsidR="00BA6903" w:rsidRPr="00BE7C78" w:rsidRDefault="00BA6903" w:rsidP="00F9463F">
            <w:pPr>
              <w:rPr>
                <w:rFonts w:cs="Calibri"/>
                <w:color w:val="000000"/>
                <w:szCs w:val="20"/>
              </w:rPr>
            </w:pPr>
            <w:r w:rsidRPr="00BE7C78">
              <w:rPr>
                <w:rFonts w:cs="Calibri"/>
                <w:color w:val="000000"/>
                <w:szCs w:val="20"/>
              </w:rPr>
              <w:t>Com-Weather Based Irrigation Controller-Stat</w:t>
            </w:r>
          </w:p>
        </w:tc>
        <w:tc>
          <w:tcPr>
            <w:tcW w:w="708" w:type="pct"/>
            <w:vAlign w:val="center"/>
          </w:tcPr>
          <w:p w14:paraId="02FB2AC6" w14:textId="77777777" w:rsidR="00BA6903" w:rsidRPr="00BE7C78" w:rsidRDefault="00BA6903" w:rsidP="00314057">
            <w:pPr>
              <w:jc w:val="center"/>
              <w:rPr>
                <w:rFonts w:cs="Calibri"/>
                <w:color w:val="000000"/>
                <w:szCs w:val="20"/>
              </w:rPr>
            </w:pPr>
            <w:r>
              <w:rPr>
                <w:rFonts w:cs="Calibri"/>
                <w:color w:val="000000"/>
                <w:szCs w:val="20"/>
              </w:rPr>
              <w:t>Commercial</w:t>
            </w:r>
          </w:p>
        </w:tc>
        <w:tc>
          <w:tcPr>
            <w:tcW w:w="756" w:type="pct"/>
            <w:vAlign w:val="center"/>
          </w:tcPr>
          <w:p w14:paraId="78A48F92" w14:textId="77777777" w:rsidR="00BA6903" w:rsidRPr="009D417C" w:rsidRDefault="00BA6903" w:rsidP="009D417C">
            <w:pPr>
              <w:jc w:val="center"/>
              <w:rPr>
                <w:szCs w:val="20"/>
              </w:rPr>
            </w:pPr>
          </w:p>
        </w:tc>
        <w:tc>
          <w:tcPr>
            <w:tcW w:w="543" w:type="pct"/>
            <w:vAlign w:val="center"/>
          </w:tcPr>
          <w:p w14:paraId="5C24C33C" w14:textId="77777777" w:rsidR="00BA6903" w:rsidRPr="00BE7C78" w:rsidRDefault="00BA6903" w:rsidP="00F9463F">
            <w:pPr>
              <w:jc w:val="center"/>
              <w:rPr>
                <w:rFonts w:cs="Calibri"/>
                <w:color w:val="000000"/>
                <w:szCs w:val="20"/>
              </w:rPr>
            </w:pPr>
            <w:r>
              <w:rPr>
                <w:rFonts w:cs="Calibri"/>
                <w:color w:val="000000"/>
                <w:szCs w:val="20"/>
              </w:rPr>
              <w:t>10</w:t>
            </w:r>
          </w:p>
        </w:tc>
        <w:tc>
          <w:tcPr>
            <w:tcW w:w="513" w:type="pct"/>
            <w:vAlign w:val="center"/>
          </w:tcPr>
          <w:p w14:paraId="0962B4A2" w14:textId="77777777" w:rsidR="00BA6903" w:rsidRPr="00BE7C78" w:rsidRDefault="00BA6903" w:rsidP="00F9463F">
            <w:pPr>
              <w:jc w:val="center"/>
              <w:rPr>
                <w:szCs w:val="20"/>
              </w:rPr>
            </w:pPr>
            <w:r>
              <w:rPr>
                <w:rFonts w:cs="Calibri"/>
                <w:color w:val="000000"/>
                <w:szCs w:val="20"/>
              </w:rPr>
              <w:t>3.33</w:t>
            </w:r>
          </w:p>
        </w:tc>
      </w:tr>
      <w:tr w:rsidR="00BA6903" w:rsidRPr="00500C4E" w14:paraId="5C87E8C7" w14:textId="77777777" w:rsidTr="00E16111">
        <w:trPr>
          <w:trHeight w:val="243"/>
          <w:jc w:val="center"/>
        </w:trPr>
        <w:tc>
          <w:tcPr>
            <w:tcW w:w="565" w:type="pct"/>
            <w:vAlign w:val="center"/>
          </w:tcPr>
          <w:p w14:paraId="7FDC191B" w14:textId="1E0E4350" w:rsidR="00BA6903" w:rsidRPr="004E0560" w:rsidRDefault="00BA6903" w:rsidP="00BA6903">
            <w:pPr>
              <w:jc w:val="center"/>
              <w:rPr>
                <w:rFonts w:ascii="Calibri" w:hAnsi="Calibri" w:cs="Calibri"/>
                <w:color w:val="000000"/>
                <w:szCs w:val="22"/>
              </w:rPr>
            </w:pPr>
            <w:r w:rsidRPr="00920369">
              <w:t>60</w:t>
            </w:r>
          </w:p>
        </w:tc>
        <w:tc>
          <w:tcPr>
            <w:tcW w:w="835" w:type="pct"/>
            <w:vAlign w:val="center"/>
          </w:tcPr>
          <w:p w14:paraId="39BC0D01" w14:textId="77777777" w:rsidR="00BA6903" w:rsidRPr="00BE7C78" w:rsidRDefault="00BA6903" w:rsidP="00BE7C78">
            <w:pPr>
              <w:rPr>
                <w:color w:val="FF0000"/>
                <w:szCs w:val="20"/>
              </w:rPr>
            </w:pPr>
          </w:p>
        </w:tc>
        <w:tc>
          <w:tcPr>
            <w:tcW w:w="1079" w:type="pct"/>
            <w:vAlign w:val="bottom"/>
          </w:tcPr>
          <w:p w14:paraId="7E4BC44A" w14:textId="77777777" w:rsidR="00BA6903" w:rsidRPr="00BE7C78" w:rsidRDefault="00BA6903" w:rsidP="00F9463F">
            <w:pPr>
              <w:rPr>
                <w:rFonts w:cs="Calibri"/>
                <w:color w:val="000000"/>
                <w:szCs w:val="20"/>
              </w:rPr>
            </w:pPr>
            <w:r w:rsidRPr="00BE7C78">
              <w:rPr>
                <w:rFonts w:cs="Calibri"/>
                <w:color w:val="000000"/>
                <w:szCs w:val="20"/>
              </w:rPr>
              <w:t>Com-Central Computer Irrigation Controller-Stat</w:t>
            </w:r>
          </w:p>
        </w:tc>
        <w:tc>
          <w:tcPr>
            <w:tcW w:w="708" w:type="pct"/>
            <w:vAlign w:val="center"/>
          </w:tcPr>
          <w:p w14:paraId="3BB63E6C" w14:textId="77777777" w:rsidR="00BA6903" w:rsidRPr="00BE7C78" w:rsidRDefault="00BA6903" w:rsidP="00314057">
            <w:pPr>
              <w:jc w:val="center"/>
              <w:rPr>
                <w:rFonts w:cs="Calibri"/>
                <w:color w:val="000000"/>
                <w:szCs w:val="20"/>
              </w:rPr>
            </w:pPr>
            <w:r>
              <w:rPr>
                <w:rFonts w:cs="Calibri"/>
                <w:color w:val="000000"/>
                <w:szCs w:val="20"/>
              </w:rPr>
              <w:t>Commercial</w:t>
            </w:r>
          </w:p>
        </w:tc>
        <w:tc>
          <w:tcPr>
            <w:tcW w:w="756" w:type="pct"/>
            <w:vAlign w:val="center"/>
          </w:tcPr>
          <w:p w14:paraId="598592AB" w14:textId="77777777" w:rsidR="00BA6903" w:rsidRPr="009D417C" w:rsidRDefault="00BA6903" w:rsidP="009D417C">
            <w:pPr>
              <w:jc w:val="center"/>
              <w:rPr>
                <w:szCs w:val="20"/>
              </w:rPr>
            </w:pPr>
          </w:p>
        </w:tc>
        <w:tc>
          <w:tcPr>
            <w:tcW w:w="543" w:type="pct"/>
            <w:vAlign w:val="center"/>
          </w:tcPr>
          <w:p w14:paraId="7458975D" w14:textId="77777777" w:rsidR="00BA6903" w:rsidRPr="00BE7C78" w:rsidRDefault="00BA6903" w:rsidP="00F9463F">
            <w:pPr>
              <w:jc w:val="center"/>
              <w:rPr>
                <w:rFonts w:cs="Calibri"/>
                <w:color w:val="000000"/>
                <w:szCs w:val="20"/>
              </w:rPr>
            </w:pPr>
            <w:r>
              <w:rPr>
                <w:rFonts w:cs="Calibri"/>
                <w:color w:val="000000"/>
                <w:szCs w:val="20"/>
              </w:rPr>
              <w:t>10</w:t>
            </w:r>
          </w:p>
        </w:tc>
        <w:tc>
          <w:tcPr>
            <w:tcW w:w="513" w:type="pct"/>
            <w:vAlign w:val="center"/>
          </w:tcPr>
          <w:p w14:paraId="05B3C48C" w14:textId="77777777" w:rsidR="00BA6903" w:rsidRPr="00BE7C78" w:rsidRDefault="00BA6903" w:rsidP="00F9463F">
            <w:pPr>
              <w:jc w:val="center"/>
              <w:rPr>
                <w:szCs w:val="20"/>
              </w:rPr>
            </w:pPr>
            <w:r>
              <w:rPr>
                <w:rFonts w:cs="Calibri"/>
                <w:color w:val="000000"/>
                <w:szCs w:val="20"/>
              </w:rPr>
              <w:t>3.33</w:t>
            </w:r>
          </w:p>
        </w:tc>
      </w:tr>
      <w:tr w:rsidR="00BA6903" w:rsidRPr="00500C4E" w14:paraId="12E02F54" w14:textId="77777777" w:rsidTr="00E16111">
        <w:trPr>
          <w:trHeight w:val="243"/>
          <w:jc w:val="center"/>
        </w:trPr>
        <w:tc>
          <w:tcPr>
            <w:tcW w:w="565" w:type="pct"/>
            <w:vAlign w:val="center"/>
          </w:tcPr>
          <w:p w14:paraId="64FA03CA" w14:textId="3BC90076" w:rsidR="00BA6903" w:rsidRPr="004E0560" w:rsidRDefault="00BA6903" w:rsidP="00BA6903">
            <w:pPr>
              <w:jc w:val="center"/>
              <w:rPr>
                <w:rFonts w:ascii="Calibri" w:hAnsi="Calibri" w:cs="Calibri"/>
                <w:color w:val="000000"/>
                <w:szCs w:val="22"/>
              </w:rPr>
            </w:pPr>
            <w:r w:rsidRPr="00920369">
              <w:t>61</w:t>
            </w:r>
          </w:p>
        </w:tc>
        <w:tc>
          <w:tcPr>
            <w:tcW w:w="835" w:type="pct"/>
            <w:vAlign w:val="center"/>
          </w:tcPr>
          <w:p w14:paraId="667052FE" w14:textId="77777777" w:rsidR="00BA6903" w:rsidRPr="00BE7C78" w:rsidRDefault="00BA6903" w:rsidP="00BE7C78">
            <w:pPr>
              <w:rPr>
                <w:color w:val="FF0000"/>
                <w:szCs w:val="20"/>
              </w:rPr>
            </w:pPr>
          </w:p>
        </w:tc>
        <w:tc>
          <w:tcPr>
            <w:tcW w:w="1079" w:type="pct"/>
            <w:vAlign w:val="bottom"/>
          </w:tcPr>
          <w:p w14:paraId="7E2CC8B7" w14:textId="77777777" w:rsidR="00BA6903" w:rsidRPr="00BE7C78" w:rsidRDefault="00BA6903" w:rsidP="00F9463F">
            <w:pPr>
              <w:rPr>
                <w:rFonts w:cs="Calibri"/>
                <w:color w:val="000000"/>
                <w:szCs w:val="20"/>
              </w:rPr>
            </w:pPr>
            <w:r w:rsidRPr="00BE7C78">
              <w:rPr>
                <w:rFonts w:cs="Calibri"/>
                <w:color w:val="000000"/>
                <w:szCs w:val="20"/>
              </w:rPr>
              <w:t>Com-Rotary Multi-Stream Nozzle</w:t>
            </w:r>
          </w:p>
        </w:tc>
        <w:tc>
          <w:tcPr>
            <w:tcW w:w="708" w:type="pct"/>
            <w:vAlign w:val="center"/>
          </w:tcPr>
          <w:p w14:paraId="171D0AA5" w14:textId="77777777" w:rsidR="00BA6903" w:rsidRPr="00BE7C78" w:rsidRDefault="00BA6903" w:rsidP="00314057">
            <w:pPr>
              <w:jc w:val="center"/>
              <w:rPr>
                <w:rFonts w:cs="Calibri"/>
                <w:color w:val="000000"/>
                <w:szCs w:val="20"/>
              </w:rPr>
            </w:pPr>
            <w:r>
              <w:rPr>
                <w:rFonts w:cs="Calibri"/>
                <w:color w:val="000000"/>
                <w:szCs w:val="20"/>
              </w:rPr>
              <w:t>Commercial</w:t>
            </w:r>
          </w:p>
        </w:tc>
        <w:tc>
          <w:tcPr>
            <w:tcW w:w="756" w:type="pct"/>
            <w:vAlign w:val="center"/>
          </w:tcPr>
          <w:p w14:paraId="502E20A6" w14:textId="77777777" w:rsidR="00BA6903" w:rsidRPr="009D417C" w:rsidRDefault="00BA6903" w:rsidP="009D417C">
            <w:pPr>
              <w:jc w:val="center"/>
              <w:rPr>
                <w:szCs w:val="20"/>
              </w:rPr>
            </w:pPr>
          </w:p>
        </w:tc>
        <w:tc>
          <w:tcPr>
            <w:tcW w:w="543" w:type="pct"/>
            <w:vAlign w:val="center"/>
          </w:tcPr>
          <w:p w14:paraId="14A76FCD" w14:textId="77777777" w:rsidR="00BA6903" w:rsidRPr="00BE7C78" w:rsidRDefault="00BA6903" w:rsidP="00F9463F">
            <w:pPr>
              <w:jc w:val="center"/>
              <w:rPr>
                <w:rFonts w:cs="Calibri"/>
                <w:color w:val="000000"/>
                <w:szCs w:val="20"/>
              </w:rPr>
            </w:pPr>
            <w:r>
              <w:rPr>
                <w:rFonts w:cs="Calibri"/>
                <w:color w:val="000000"/>
                <w:szCs w:val="20"/>
              </w:rPr>
              <w:t>5</w:t>
            </w:r>
          </w:p>
        </w:tc>
        <w:tc>
          <w:tcPr>
            <w:tcW w:w="513" w:type="pct"/>
            <w:vAlign w:val="center"/>
          </w:tcPr>
          <w:p w14:paraId="7678C9BC" w14:textId="77777777" w:rsidR="00BA6903" w:rsidRPr="00BE7C78" w:rsidRDefault="00BA6903" w:rsidP="00F9463F">
            <w:pPr>
              <w:jc w:val="center"/>
              <w:rPr>
                <w:szCs w:val="20"/>
              </w:rPr>
            </w:pPr>
            <w:r>
              <w:rPr>
                <w:rFonts w:cs="Calibri"/>
                <w:color w:val="000000"/>
                <w:szCs w:val="20"/>
              </w:rPr>
              <w:t>1.67</w:t>
            </w:r>
          </w:p>
        </w:tc>
      </w:tr>
      <w:tr w:rsidR="00BA6903" w:rsidRPr="00500C4E" w14:paraId="6E308165" w14:textId="77777777" w:rsidTr="00E16111">
        <w:trPr>
          <w:trHeight w:val="243"/>
          <w:jc w:val="center"/>
        </w:trPr>
        <w:tc>
          <w:tcPr>
            <w:tcW w:w="565" w:type="pct"/>
            <w:vAlign w:val="center"/>
          </w:tcPr>
          <w:p w14:paraId="3D847113" w14:textId="4FC54184" w:rsidR="00BA6903" w:rsidRPr="004E0560" w:rsidRDefault="00BA6903" w:rsidP="00BA6903">
            <w:pPr>
              <w:jc w:val="center"/>
              <w:rPr>
                <w:rFonts w:ascii="Calibri" w:hAnsi="Calibri" w:cs="Calibri"/>
                <w:color w:val="000000"/>
                <w:szCs w:val="22"/>
              </w:rPr>
            </w:pPr>
            <w:r w:rsidRPr="00920369">
              <w:t>62</w:t>
            </w:r>
          </w:p>
        </w:tc>
        <w:tc>
          <w:tcPr>
            <w:tcW w:w="835" w:type="pct"/>
            <w:vAlign w:val="center"/>
          </w:tcPr>
          <w:p w14:paraId="1CF2AB4A" w14:textId="77777777" w:rsidR="00BA6903" w:rsidRPr="00BE7C78" w:rsidRDefault="00BA6903" w:rsidP="00BE7C78">
            <w:pPr>
              <w:rPr>
                <w:color w:val="FF0000"/>
                <w:szCs w:val="20"/>
              </w:rPr>
            </w:pPr>
          </w:p>
        </w:tc>
        <w:tc>
          <w:tcPr>
            <w:tcW w:w="1079" w:type="pct"/>
            <w:vAlign w:val="bottom"/>
          </w:tcPr>
          <w:p w14:paraId="24A1F101" w14:textId="77777777" w:rsidR="00BA6903" w:rsidRPr="00BE7C78" w:rsidRDefault="00BA6903" w:rsidP="00F9463F">
            <w:pPr>
              <w:rPr>
                <w:rFonts w:cs="Calibri"/>
                <w:color w:val="000000"/>
                <w:szCs w:val="20"/>
              </w:rPr>
            </w:pPr>
            <w:r w:rsidRPr="00BE7C78">
              <w:rPr>
                <w:rFonts w:cs="Calibri"/>
                <w:color w:val="000000"/>
                <w:szCs w:val="20"/>
              </w:rPr>
              <w:t>Com-Large Rotary Nozzle</w:t>
            </w:r>
          </w:p>
        </w:tc>
        <w:tc>
          <w:tcPr>
            <w:tcW w:w="708" w:type="pct"/>
            <w:vAlign w:val="center"/>
          </w:tcPr>
          <w:p w14:paraId="73A772E6" w14:textId="77777777" w:rsidR="00BA6903" w:rsidRPr="00BE7C78" w:rsidRDefault="00BA6903" w:rsidP="00314057">
            <w:pPr>
              <w:jc w:val="center"/>
              <w:rPr>
                <w:rFonts w:cs="Calibri"/>
                <w:color w:val="000000"/>
                <w:szCs w:val="20"/>
              </w:rPr>
            </w:pPr>
            <w:r>
              <w:rPr>
                <w:rFonts w:cs="Calibri"/>
                <w:color w:val="000000"/>
                <w:szCs w:val="20"/>
              </w:rPr>
              <w:t>Commercial</w:t>
            </w:r>
          </w:p>
        </w:tc>
        <w:tc>
          <w:tcPr>
            <w:tcW w:w="756" w:type="pct"/>
            <w:vAlign w:val="center"/>
          </w:tcPr>
          <w:p w14:paraId="79EFE2F4" w14:textId="77777777" w:rsidR="00BA6903" w:rsidRPr="009D417C" w:rsidRDefault="00BA6903" w:rsidP="009D417C">
            <w:pPr>
              <w:jc w:val="center"/>
              <w:rPr>
                <w:szCs w:val="20"/>
              </w:rPr>
            </w:pPr>
          </w:p>
        </w:tc>
        <w:tc>
          <w:tcPr>
            <w:tcW w:w="543" w:type="pct"/>
            <w:vAlign w:val="center"/>
          </w:tcPr>
          <w:p w14:paraId="02E29F28" w14:textId="77777777" w:rsidR="00BA6903" w:rsidRPr="00BE7C78" w:rsidRDefault="00BA6903" w:rsidP="00F9463F">
            <w:pPr>
              <w:jc w:val="center"/>
              <w:rPr>
                <w:rFonts w:cs="Calibri"/>
                <w:color w:val="000000"/>
                <w:szCs w:val="20"/>
              </w:rPr>
            </w:pPr>
            <w:r>
              <w:rPr>
                <w:rFonts w:cs="Calibri"/>
                <w:color w:val="000000"/>
                <w:szCs w:val="20"/>
              </w:rPr>
              <w:t>10</w:t>
            </w:r>
          </w:p>
        </w:tc>
        <w:tc>
          <w:tcPr>
            <w:tcW w:w="513" w:type="pct"/>
            <w:vAlign w:val="center"/>
          </w:tcPr>
          <w:p w14:paraId="4B008664" w14:textId="77777777" w:rsidR="00BA6903" w:rsidRPr="00BE7C78" w:rsidRDefault="00BA6903" w:rsidP="00F9463F">
            <w:pPr>
              <w:jc w:val="center"/>
              <w:rPr>
                <w:szCs w:val="20"/>
              </w:rPr>
            </w:pPr>
            <w:r>
              <w:rPr>
                <w:rFonts w:cs="Calibri"/>
                <w:color w:val="000000"/>
                <w:szCs w:val="20"/>
              </w:rPr>
              <w:t>3.33</w:t>
            </w:r>
          </w:p>
        </w:tc>
      </w:tr>
    </w:tbl>
    <w:p w14:paraId="27A86312" w14:textId="77777777" w:rsidR="00E16609"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2"/>
    </w:p>
    <w:p w14:paraId="01ED760C" w14:textId="01FBC675" w:rsidR="00643234" w:rsidRPr="00185302" w:rsidRDefault="00643234" w:rsidP="00643234">
      <w:r>
        <w:t xml:space="preserve">As indicated in prior sections, the WEN measures identified in </w:t>
      </w:r>
      <w:r w:rsidRPr="00185302">
        <w:rPr>
          <w:b/>
        </w:rPr>
        <w:fldChar w:fldCharType="begin"/>
      </w:r>
      <w:r w:rsidRPr="00185302">
        <w:rPr>
          <w:b/>
        </w:rPr>
        <w:instrText xml:space="preserve"> REF _Ref467323681 \h </w:instrText>
      </w:r>
      <w:r>
        <w:rPr>
          <w:b/>
        </w:rPr>
        <w:instrText xml:space="preserve"> \* MERGEFORMAT </w:instrText>
      </w:r>
      <w:r w:rsidRPr="00185302">
        <w:rPr>
          <w:b/>
        </w:rPr>
      </w:r>
      <w:r w:rsidRPr="00185302">
        <w:rPr>
          <w:b/>
        </w:rPr>
        <w:fldChar w:fldCharType="separate"/>
      </w:r>
      <w:r w:rsidRPr="00185302">
        <w:rPr>
          <w:b/>
        </w:rPr>
        <w:t xml:space="preserve">Table </w:t>
      </w:r>
      <w:r w:rsidRPr="00185302">
        <w:rPr>
          <w:b/>
          <w:noProof/>
        </w:rPr>
        <w:t>1</w:t>
      </w:r>
      <w:r w:rsidRPr="00185302">
        <w:rPr>
          <w:b/>
        </w:rPr>
        <w:fldChar w:fldCharType="end"/>
      </w:r>
      <w:r>
        <w:t xml:space="preserve"> </w:t>
      </w:r>
      <w:r w:rsidR="00E158F0">
        <w:t xml:space="preserve">and </w:t>
      </w:r>
      <w:r w:rsidR="00E158F0" w:rsidRPr="00E158F0">
        <w:rPr>
          <w:b/>
          <w:bCs/>
        </w:rPr>
        <w:fldChar w:fldCharType="begin"/>
      </w:r>
      <w:r w:rsidR="00E158F0" w:rsidRPr="00E158F0">
        <w:rPr>
          <w:b/>
          <w:bCs/>
        </w:rPr>
        <w:instrText xml:space="preserve"> REF _Ref19591794 \h </w:instrText>
      </w:r>
      <w:r w:rsidR="00E158F0">
        <w:rPr>
          <w:b/>
          <w:bCs/>
        </w:rPr>
        <w:instrText xml:space="preserve"> \* MERGEFORMAT </w:instrText>
      </w:r>
      <w:r w:rsidR="00E158F0" w:rsidRPr="00E158F0">
        <w:rPr>
          <w:b/>
          <w:bCs/>
        </w:rPr>
      </w:r>
      <w:r w:rsidR="00E158F0" w:rsidRPr="00E158F0">
        <w:rPr>
          <w:b/>
          <w:bCs/>
        </w:rPr>
        <w:fldChar w:fldCharType="separate"/>
      </w:r>
      <w:r w:rsidR="00E158F0" w:rsidRPr="00E158F0">
        <w:rPr>
          <w:b/>
          <w:bCs/>
        </w:rPr>
        <w:t xml:space="preserve">Table </w:t>
      </w:r>
      <w:r w:rsidR="00E158F0" w:rsidRPr="00E158F0">
        <w:rPr>
          <w:b/>
          <w:bCs/>
          <w:noProof/>
        </w:rPr>
        <w:t>2</w:t>
      </w:r>
      <w:r w:rsidR="00E158F0" w:rsidRPr="00E158F0">
        <w:rPr>
          <w:b/>
          <w:bCs/>
        </w:rPr>
        <w:fldChar w:fldCharType="end"/>
      </w:r>
      <w:r w:rsidR="00E158F0">
        <w:t xml:space="preserve"> </w:t>
      </w:r>
      <w:r>
        <w:t xml:space="preserve">are </w:t>
      </w:r>
      <w:r w:rsidRPr="00185302">
        <w:t>R</w:t>
      </w:r>
      <w:r w:rsidR="003C18D8">
        <w:t>ider M</w:t>
      </w:r>
      <w:r w:rsidRPr="00185302">
        <w:t>easures</w:t>
      </w:r>
      <w:r>
        <w:t xml:space="preserve"> and adhere to the applicable codes and standards already identified in the </w:t>
      </w:r>
      <w:r w:rsidRPr="00185302">
        <w:t>existing wps a</w:t>
      </w:r>
      <w:r>
        <w:t xml:space="preserve">nd/or MWD’s water savings list. </w:t>
      </w:r>
      <w:r w:rsidR="00932535">
        <w:t xml:space="preserve">Furthermore, </w:t>
      </w:r>
      <w:r w:rsidR="00932535" w:rsidRPr="00932535">
        <w:t>Appendix 9 as well as D.15-09-023 address</w:t>
      </w:r>
      <w:r w:rsidR="00932535">
        <w:t>es</w:t>
      </w:r>
      <w:r w:rsidR="00932535" w:rsidRPr="00932535">
        <w:t xml:space="preserve"> code impacts with regard to Plumbing Code and certain Title 24 Energy Code ramifications. Additional evaluation of T-24 with respect to the proposed measures is warranted.</w:t>
      </w:r>
    </w:p>
    <w:p w14:paraId="0DD648EF" w14:textId="77777777" w:rsidR="00572D2F" w:rsidRPr="00920905" w:rsidRDefault="00572D2F" w:rsidP="00920905">
      <w:pPr>
        <w:pStyle w:val="Heading2"/>
        <w:rPr>
          <w:rFonts w:cstheme="minorHAnsi"/>
          <w:b w:val="0"/>
          <w:bCs w:val="0"/>
          <w:iCs w:val="0"/>
          <w:smallCaps w:val="0"/>
        </w:rPr>
      </w:pPr>
      <w:bookmarkStart w:id="16" w:name="_Toc304800207"/>
      <w:bookmarkStart w:id="17" w:name="_Toc324318343"/>
      <w:bookmarkStart w:id="18" w:name="_Toc324340487"/>
      <w:bookmarkStart w:id="19" w:name="_Toc383441992"/>
      <w:bookmarkStart w:id="20"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6"/>
      <w:bookmarkEnd w:id="17"/>
      <w:bookmarkEnd w:id="18"/>
      <w:bookmarkEnd w:id="19"/>
    </w:p>
    <w:p w14:paraId="70B8B07F" w14:textId="77777777" w:rsidR="00572D2F" w:rsidRDefault="00572D2F" w:rsidP="00920905">
      <w:pPr>
        <w:pStyle w:val="Heading3"/>
        <w:rPr>
          <w:rFonts w:asciiTheme="minorHAnsi" w:hAnsiTheme="minorHAnsi"/>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643234">
        <w:rPr>
          <w:rFonts w:asciiTheme="minorHAnsi" w:hAnsiTheme="minorHAnsi"/>
        </w:rPr>
        <w:t xml:space="preserve">Navigant’s </w:t>
      </w:r>
      <w:r w:rsidR="0030544D" w:rsidRPr="0030544D">
        <w:rPr>
          <w:rFonts w:asciiTheme="minorHAnsi" w:hAnsiTheme="minorHAnsi"/>
        </w:rPr>
        <w:t>Water/Energy Cost-Effectiveness Analysis</w:t>
      </w:r>
    </w:p>
    <w:p w14:paraId="7857E767" w14:textId="77777777" w:rsidR="00307BD6" w:rsidRDefault="00643234" w:rsidP="00307BD6">
      <w:r>
        <w:t xml:space="preserve">The 2015 Navigant Water/Energy Cost-Effectiveness Analysis Report provided </w:t>
      </w:r>
      <w:r w:rsidR="00307BD6">
        <w:t>the tools and analyses developed in this study have very specific functions in informing CPUC decisions about the use of energy ratepayer funds on joint water‐energy programs. The intended uses of the tools and analysis developed by this study include the following:</w:t>
      </w:r>
    </w:p>
    <w:p w14:paraId="341408A6" w14:textId="77777777" w:rsidR="003C18D8" w:rsidRDefault="003C18D8" w:rsidP="00307BD6"/>
    <w:p w14:paraId="5F555094" w14:textId="77777777" w:rsidR="00307BD6" w:rsidRDefault="00307BD6" w:rsidP="00226D53">
      <w:pPr>
        <w:pStyle w:val="ListParagraph"/>
        <w:numPr>
          <w:ilvl w:val="0"/>
          <w:numId w:val="6"/>
        </w:numPr>
      </w:pPr>
      <w:r>
        <w:t>Estimate the IOU and non‐IOU embedded energy savings that result from joint water‐energy programs;</w:t>
      </w:r>
    </w:p>
    <w:p w14:paraId="7F9CA5F6" w14:textId="77777777" w:rsidR="003C18D8" w:rsidRDefault="003C18D8" w:rsidP="003C18D8">
      <w:pPr>
        <w:pStyle w:val="ListParagraph"/>
      </w:pPr>
    </w:p>
    <w:p w14:paraId="670128D6" w14:textId="77777777" w:rsidR="00643234" w:rsidRDefault="00307BD6" w:rsidP="00226D53">
      <w:pPr>
        <w:pStyle w:val="ListParagraph"/>
        <w:numPr>
          <w:ilvl w:val="0"/>
          <w:numId w:val="6"/>
        </w:numPr>
      </w:pPr>
      <w:r>
        <w:t>Assess the benefits that accrue to energy utilities and to water utilities from programs and measures that save both energy and water; and</w:t>
      </w:r>
    </w:p>
    <w:p w14:paraId="3797D085" w14:textId="77777777" w:rsidR="003C18D8" w:rsidRDefault="003C18D8" w:rsidP="003C18D8">
      <w:pPr>
        <w:pStyle w:val="ListParagraph"/>
      </w:pPr>
    </w:p>
    <w:p w14:paraId="3288893D" w14:textId="7970FC51" w:rsidR="00307BD6" w:rsidRDefault="00307BD6" w:rsidP="00226D53">
      <w:pPr>
        <w:pStyle w:val="ListParagraph"/>
        <w:numPr>
          <w:ilvl w:val="0"/>
          <w:numId w:val="6"/>
        </w:numPr>
      </w:pPr>
      <w:r>
        <w:t xml:space="preserve">Determine if incentivizing measures and programs that save both energy and water is a </w:t>
      </w:r>
      <w:r w:rsidR="00ED797B">
        <w:t>cost-effective</w:t>
      </w:r>
      <w:r>
        <w:t xml:space="preserve"> use of IOU energy utility funds.</w:t>
      </w:r>
    </w:p>
    <w:p w14:paraId="3B05A76D" w14:textId="77777777" w:rsidR="009844A1" w:rsidRDefault="009844A1" w:rsidP="00307BD6">
      <w:pPr>
        <w:pStyle w:val="Heading2"/>
        <w:spacing w:before="120"/>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62F4D843" w14:textId="263A3946" w:rsidR="00307BD6" w:rsidRDefault="00307BD6" w:rsidP="00307BD6">
      <w:pPr>
        <w:pStyle w:val="Heading3"/>
        <w:spacing w:before="120"/>
        <w:rPr>
          <w:rFonts w:asciiTheme="minorHAnsi" w:hAnsiTheme="minorHAnsi"/>
        </w:rPr>
      </w:pPr>
      <w:r>
        <w:rPr>
          <w:rFonts w:asciiTheme="minorHAnsi" w:hAnsiTheme="minorHAnsi"/>
        </w:rPr>
        <w:t xml:space="preserve">1.6.1 </w:t>
      </w:r>
      <w:r w:rsidRPr="00643234">
        <w:rPr>
          <w:rFonts w:asciiTheme="minorHAnsi" w:hAnsiTheme="minorHAnsi"/>
        </w:rPr>
        <w:t>Decision on Updating the Water Energy Nexus</w:t>
      </w:r>
      <w:r>
        <w:rPr>
          <w:rFonts w:asciiTheme="minorHAnsi" w:hAnsiTheme="minorHAnsi"/>
        </w:rPr>
        <w:t xml:space="preserve"> (</w:t>
      </w:r>
      <w:r w:rsidRPr="00643234">
        <w:rPr>
          <w:rFonts w:asciiTheme="minorHAnsi" w:hAnsiTheme="minorHAnsi"/>
        </w:rPr>
        <w:t>R.13-12-011</w:t>
      </w:r>
      <w:r>
        <w:rPr>
          <w:rFonts w:asciiTheme="minorHAnsi" w:hAnsiTheme="minorHAnsi"/>
        </w:rPr>
        <w:t>)</w:t>
      </w:r>
    </w:p>
    <w:p w14:paraId="6619701C" w14:textId="22B40C45" w:rsidR="00307BD6" w:rsidRDefault="00307BD6" w:rsidP="00307BD6">
      <w:r>
        <w:t>The conclusions of law at the end of the Commissioner Sandoval’s Decision on Updating the Water Energy Nexus (R.13.-12-011) indicated that:</w:t>
      </w:r>
    </w:p>
    <w:p w14:paraId="78EEBFFB" w14:textId="77777777" w:rsidR="00307BD6" w:rsidRDefault="00307BD6" w:rsidP="00307BD6"/>
    <w:p w14:paraId="7A47E9E7" w14:textId="346BCB53" w:rsidR="00307BD6" w:rsidRDefault="00307BD6" w:rsidP="00226D53">
      <w:pPr>
        <w:pStyle w:val="ListParagraph"/>
        <w:numPr>
          <w:ilvl w:val="0"/>
          <w:numId w:val="7"/>
        </w:numPr>
      </w:pPr>
      <w:r>
        <w:t xml:space="preserve">The Water Energy Nexus Cost Calculator </w:t>
      </w:r>
      <w:r w:rsidR="003C18D8">
        <w:t xml:space="preserve">(WEN Calculator) </w:t>
      </w:r>
      <w:r>
        <w:t xml:space="preserve">was approved in a unanimous Commission Decision </w:t>
      </w:r>
      <w:r w:rsidR="00D118C6">
        <w:t>15</w:t>
      </w:r>
      <w:r>
        <w:t>-09-023;</w:t>
      </w:r>
    </w:p>
    <w:p w14:paraId="3B9F2889" w14:textId="77777777" w:rsidR="003C18D8" w:rsidRDefault="003C18D8" w:rsidP="003C18D8">
      <w:pPr>
        <w:pStyle w:val="ListParagraph"/>
      </w:pPr>
    </w:p>
    <w:p w14:paraId="33E54E83" w14:textId="77777777" w:rsidR="00307BD6" w:rsidRDefault="00307BD6" w:rsidP="00226D53">
      <w:pPr>
        <w:pStyle w:val="ListParagraph"/>
        <w:numPr>
          <w:ilvl w:val="0"/>
          <w:numId w:val="7"/>
        </w:numPr>
      </w:pPr>
      <w:r>
        <w:t xml:space="preserve">Within 60 days of the date of this Decision, PG&amp;E, SCE, SDG&amp;E, and Southern California Gas shall file and serve the proceeding service list with a work plan to Energy Division to, in consultation and direction from Energy Division, facilitate and enable the following updates to the water energy nexus cost calculator to: </w:t>
      </w:r>
    </w:p>
    <w:p w14:paraId="1242E1B1" w14:textId="77777777" w:rsidR="003C18D8" w:rsidRDefault="003C18D8" w:rsidP="003C18D8">
      <w:pPr>
        <w:pStyle w:val="ListParagraph"/>
      </w:pPr>
    </w:p>
    <w:p w14:paraId="30ED1CC8" w14:textId="77777777" w:rsidR="00C303EE" w:rsidRDefault="00307BD6" w:rsidP="00C303EE">
      <w:pPr>
        <w:pStyle w:val="ListParagraph"/>
        <w:numPr>
          <w:ilvl w:val="0"/>
          <w:numId w:val="18"/>
        </w:numPr>
      </w:pPr>
      <w:r>
        <w:t xml:space="preserve">create a GHG emissions reductions output value for water energy nexus energy efficiency measures, and, </w:t>
      </w:r>
    </w:p>
    <w:p w14:paraId="304F6435" w14:textId="77777777" w:rsidR="00C303EE" w:rsidRDefault="00C303EE" w:rsidP="00B3081B">
      <w:pPr>
        <w:pStyle w:val="ListParagraph"/>
        <w:ind w:left="1080"/>
      </w:pPr>
    </w:p>
    <w:p w14:paraId="0056E278" w14:textId="33BF273D" w:rsidR="00307BD6" w:rsidRDefault="00307BD6" w:rsidP="00C303EE">
      <w:pPr>
        <w:pStyle w:val="ListParagraph"/>
        <w:numPr>
          <w:ilvl w:val="0"/>
          <w:numId w:val="18"/>
        </w:numPr>
      </w:pPr>
      <w:r>
        <w:t>connect the Calculator with the commonly used E3 energy efficiency program calculator.</w:t>
      </w:r>
    </w:p>
    <w:p w14:paraId="203ACC12" w14:textId="77777777" w:rsidR="00307BD6" w:rsidRDefault="00307BD6" w:rsidP="00B81069">
      <w:pPr>
        <w:jc w:val="both"/>
      </w:pPr>
    </w:p>
    <w:p w14:paraId="0AB3840B" w14:textId="47511FC8" w:rsidR="00B81069" w:rsidRDefault="00B81069" w:rsidP="00B81069">
      <w:pPr>
        <w:jc w:val="both"/>
      </w:pPr>
      <w:r>
        <w:t xml:space="preserve">In the Water Energy Nexus Cost Calculator 2.0 track of this proceeding, Energy Division staff is working with collaborating utilities on this effort. In this Decision </w:t>
      </w:r>
      <w:r w:rsidR="00307BD6">
        <w:t>the CPUC</w:t>
      </w:r>
      <w:r>
        <w:t xml:space="preserve"> advance</w:t>
      </w:r>
      <w:r w:rsidR="00307BD6">
        <w:t>s</w:t>
      </w:r>
      <w:r>
        <w:t xml:space="preserve"> </w:t>
      </w:r>
      <w:r w:rsidR="00307BD6">
        <w:t>its</w:t>
      </w:r>
      <w:r>
        <w:t xml:space="preserve"> work to integrate the </w:t>
      </w:r>
      <w:r w:rsidR="003C18D8">
        <w:t>WEN</w:t>
      </w:r>
      <w:r>
        <w:t xml:space="preserve"> Calculator tool with the E</w:t>
      </w:r>
      <w:r w:rsidR="00307BD6">
        <w:t xml:space="preserve">3 Energy Efficiency Calculator, proposes to </w:t>
      </w:r>
      <w:r>
        <w:t xml:space="preserve">calculate the greenhouse gas (GHG) emissions savings resulting from the reduced energy used to move water </w:t>
      </w:r>
      <w:r w:rsidR="00307BD6">
        <w:t>through the water system, and</w:t>
      </w:r>
      <w:r>
        <w:t xml:space="preserve"> integrate</w:t>
      </w:r>
      <w:r w:rsidR="00FF2978">
        <w:t>s</w:t>
      </w:r>
      <w:r>
        <w:t xml:space="preserve"> the embedded natural gas in the water sector into the </w:t>
      </w:r>
      <w:r w:rsidR="003C18D8">
        <w:t xml:space="preserve">WEN </w:t>
      </w:r>
      <w:r>
        <w:t>Calculator.</w:t>
      </w:r>
    </w:p>
    <w:p w14:paraId="23DD5005" w14:textId="77777777" w:rsidR="002907CB" w:rsidRDefault="002907CB" w:rsidP="00B81069">
      <w:pPr>
        <w:jc w:val="both"/>
      </w:pPr>
    </w:p>
    <w:p w14:paraId="7C53A83A" w14:textId="704784BC" w:rsidR="002907CB" w:rsidRDefault="002907CB" w:rsidP="00B81069">
      <w:pPr>
        <w:jc w:val="both"/>
        <w:rPr>
          <w:rFonts w:cs="Arial"/>
          <w:b/>
          <w:bCs/>
          <w:sz w:val="26"/>
          <w:szCs w:val="26"/>
        </w:rPr>
      </w:pPr>
      <w:r>
        <w:rPr>
          <w:rFonts w:cs="Arial"/>
          <w:b/>
          <w:bCs/>
          <w:sz w:val="26"/>
          <w:szCs w:val="26"/>
        </w:rPr>
        <w:t>1.6.2</w:t>
      </w:r>
      <w:r w:rsidRPr="002907CB">
        <w:rPr>
          <w:rFonts w:cs="Arial"/>
          <w:b/>
          <w:bCs/>
          <w:sz w:val="26"/>
          <w:szCs w:val="26"/>
        </w:rPr>
        <w:t xml:space="preserve"> Reporting for </w:t>
      </w:r>
      <w:r>
        <w:rPr>
          <w:rFonts w:cs="Arial"/>
          <w:b/>
          <w:bCs/>
          <w:sz w:val="26"/>
          <w:szCs w:val="26"/>
        </w:rPr>
        <w:t>WEN WP Measures</w:t>
      </w:r>
    </w:p>
    <w:p w14:paraId="3069C629" w14:textId="403D6562" w:rsidR="002907CB" w:rsidRDefault="002907CB" w:rsidP="002907CB">
      <w:pPr>
        <w:jc w:val="both"/>
      </w:pPr>
      <w:r>
        <w:t xml:space="preserve">In November of 2016, the </w:t>
      </w:r>
      <w:r w:rsidRPr="002907CB">
        <w:t>Energy Division’s Energy Efficiency</w:t>
      </w:r>
      <w:r w:rsidR="00327A7F">
        <w:t xml:space="preserve"> Data Management and Reporting T</w:t>
      </w:r>
      <w:r w:rsidRPr="002907CB">
        <w:t>eam was asked to work with Water-Energy stakeholders, including IOU program managers, to propose a method for reporting savings claims for “embedded” energy savings derived from water-savings measur</w:t>
      </w:r>
      <w:r>
        <w:t xml:space="preserve">es. Before the meeting ended, </w:t>
      </w:r>
      <w:r w:rsidR="00DC1AC9">
        <w:t>a list of questions was</w:t>
      </w:r>
      <w:r>
        <w:t xml:space="preserve"> issued for stakeholder consideration before the reporting schemes for accounting for WEN measures were finalized. Questions included: </w:t>
      </w:r>
    </w:p>
    <w:p w14:paraId="64E3EDEE" w14:textId="77777777" w:rsidR="002907CB" w:rsidRDefault="002907CB" w:rsidP="002907CB">
      <w:pPr>
        <w:jc w:val="both"/>
      </w:pPr>
    </w:p>
    <w:p w14:paraId="172BB7E7" w14:textId="77777777" w:rsidR="002907CB" w:rsidRDefault="002907CB" w:rsidP="00B3081B">
      <w:pPr>
        <w:pStyle w:val="ListParagraph"/>
        <w:numPr>
          <w:ilvl w:val="0"/>
          <w:numId w:val="19"/>
        </w:numPr>
        <w:jc w:val="both"/>
      </w:pPr>
      <w:r>
        <w:t>Before adding this WaterMeasure table to the EE program tracking specification, the team has some threshold questions for energy water stakeholders:</w:t>
      </w:r>
    </w:p>
    <w:p w14:paraId="033AD6BD" w14:textId="77777777" w:rsidR="00975CA8" w:rsidRDefault="00975CA8" w:rsidP="00975CA8">
      <w:pPr>
        <w:pStyle w:val="ListParagraph"/>
        <w:jc w:val="both"/>
      </w:pPr>
    </w:p>
    <w:p w14:paraId="034CBE85" w14:textId="77777777" w:rsidR="002907CB" w:rsidRDefault="002907CB" w:rsidP="00226D53">
      <w:pPr>
        <w:pStyle w:val="ListParagraph"/>
        <w:numPr>
          <w:ilvl w:val="0"/>
          <w:numId w:val="14"/>
        </w:numPr>
        <w:jc w:val="both"/>
      </w:pPr>
      <w:r>
        <w:t>Does this approach seem reasonable; if not, what modifications should be considered?</w:t>
      </w:r>
    </w:p>
    <w:p w14:paraId="3235AE17" w14:textId="77777777" w:rsidR="00975CA8" w:rsidRDefault="00975CA8" w:rsidP="00975CA8">
      <w:pPr>
        <w:pStyle w:val="ListParagraph"/>
        <w:ind w:left="1440"/>
        <w:jc w:val="both"/>
      </w:pPr>
    </w:p>
    <w:p w14:paraId="5064748D" w14:textId="77777777" w:rsidR="002907CB" w:rsidRDefault="002907CB" w:rsidP="00226D53">
      <w:pPr>
        <w:pStyle w:val="ListParagraph"/>
        <w:numPr>
          <w:ilvl w:val="0"/>
          <w:numId w:val="14"/>
        </w:numPr>
        <w:jc w:val="both"/>
      </w:pPr>
      <w:r>
        <w:t>Does the table capture all of the appropriate fields?</w:t>
      </w:r>
    </w:p>
    <w:p w14:paraId="38D8335E" w14:textId="77777777" w:rsidR="00975CA8" w:rsidRDefault="00975CA8" w:rsidP="00975CA8">
      <w:pPr>
        <w:pStyle w:val="ListParagraph"/>
        <w:ind w:left="1440"/>
        <w:jc w:val="both"/>
      </w:pPr>
    </w:p>
    <w:p w14:paraId="59377770" w14:textId="77777777" w:rsidR="002907CB" w:rsidRDefault="002907CB" w:rsidP="00226D53">
      <w:pPr>
        <w:pStyle w:val="ListParagraph"/>
        <w:numPr>
          <w:ilvl w:val="0"/>
          <w:numId w:val="14"/>
        </w:numPr>
        <w:jc w:val="both"/>
      </w:pPr>
      <w:r>
        <w:t>Is there a reason why the calculator does not produce kW savings;</w:t>
      </w:r>
    </w:p>
    <w:p w14:paraId="3FEDD8CE" w14:textId="77777777" w:rsidR="002907CB" w:rsidRDefault="002907CB" w:rsidP="00226D53">
      <w:pPr>
        <w:pStyle w:val="ListParagraph"/>
        <w:numPr>
          <w:ilvl w:val="1"/>
          <w:numId w:val="14"/>
        </w:numPr>
        <w:jc w:val="both"/>
      </w:pPr>
      <w:r>
        <w:t>Should kW be added to the table?  Are kW savings available for reporting?</w:t>
      </w:r>
    </w:p>
    <w:p w14:paraId="22A33DDD" w14:textId="77777777" w:rsidR="00975CA8" w:rsidRDefault="00975CA8" w:rsidP="00975CA8">
      <w:pPr>
        <w:pStyle w:val="ListParagraph"/>
        <w:ind w:left="1440"/>
        <w:jc w:val="both"/>
      </w:pPr>
    </w:p>
    <w:p w14:paraId="6B8917C1" w14:textId="247C86FB" w:rsidR="002907CB" w:rsidRDefault="002907CB" w:rsidP="00226D53">
      <w:pPr>
        <w:pStyle w:val="ListParagraph"/>
        <w:numPr>
          <w:ilvl w:val="0"/>
          <w:numId w:val="14"/>
        </w:numPr>
        <w:jc w:val="both"/>
      </w:pPr>
      <w:r>
        <w:t xml:space="preserve">Is there a reason why the water calculator provides </w:t>
      </w:r>
      <w:r w:rsidR="003C18D8">
        <w:t>(</w:t>
      </w:r>
      <w:r>
        <w:t>AvAnnualTherms</w:t>
      </w:r>
      <w:r w:rsidR="003C18D8">
        <w:t>)</w:t>
      </w:r>
      <w:r>
        <w:t xml:space="preserve"> as a savings field for embedded water/energy savings?</w:t>
      </w:r>
    </w:p>
    <w:p w14:paraId="5D66ABE9" w14:textId="77777777" w:rsidR="006E3070" w:rsidRDefault="002907CB" w:rsidP="006E3070">
      <w:pPr>
        <w:pStyle w:val="ListParagraph"/>
        <w:numPr>
          <w:ilvl w:val="1"/>
          <w:numId w:val="14"/>
        </w:numPr>
        <w:jc w:val="both"/>
      </w:pPr>
      <w:r>
        <w:t>This question will not impact the proposal necessarily; just informational.</w:t>
      </w:r>
    </w:p>
    <w:p w14:paraId="00727ABF" w14:textId="123476BD" w:rsidR="00E16609" w:rsidRDefault="00E16609" w:rsidP="006E3070">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0"/>
      <w:r w:rsidR="00755A45" w:rsidRPr="00500C4E">
        <w:rPr>
          <w:rFonts w:cstheme="minorHAnsi"/>
        </w:rPr>
        <w:t xml:space="preserve"> Methodology</w:t>
      </w:r>
    </w:p>
    <w:p w14:paraId="42DB97C0" w14:textId="536F6555" w:rsidR="00E3608D" w:rsidRDefault="007003E7" w:rsidP="00E3608D">
      <w:r>
        <w:t>N</w:t>
      </w:r>
      <w:r w:rsidR="00960BCE">
        <w:t>avigant</w:t>
      </w:r>
      <w:r w:rsidR="00853F04">
        <w:t xml:space="preserve">’s </w:t>
      </w:r>
      <w:r w:rsidR="00853F04" w:rsidRPr="00853F04">
        <w:t>Water/Energy Cost-Effectiveness Analysis</w:t>
      </w:r>
      <w:r w:rsidR="00960BCE">
        <w:t xml:space="preserve"> </w:t>
      </w:r>
      <w:r w:rsidR="00853F04">
        <w:t xml:space="preserve">Report </w:t>
      </w:r>
      <w:r w:rsidRPr="007003E7">
        <w:rPr>
          <w:b/>
        </w:rPr>
        <w:fldChar w:fldCharType="begin"/>
      </w:r>
      <w:r w:rsidRPr="007003E7">
        <w:rPr>
          <w:b/>
        </w:rPr>
        <w:instrText xml:space="preserve"> REF _Ref467338646 \h  \* MERGEFORMAT </w:instrText>
      </w:r>
      <w:r w:rsidRPr="007003E7">
        <w:rPr>
          <w:b/>
        </w:rPr>
      </w:r>
      <w:r w:rsidRPr="007003E7">
        <w:rPr>
          <w:b/>
        </w:rPr>
        <w:fldChar w:fldCharType="separate"/>
      </w:r>
      <w:r w:rsidRPr="007003E7">
        <w:rPr>
          <w:b/>
        </w:rPr>
        <w:t xml:space="preserve">Figure </w:t>
      </w:r>
      <w:r w:rsidRPr="007003E7">
        <w:rPr>
          <w:b/>
          <w:noProof/>
        </w:rPr>
        <w:t>1</w:t>
      </w:r>
      <w:r w:rsidRPr="007003E7">
        <w:rPr>
          <w:b/>
        </w:rPr>
        <w:fldChar w:fldCharType="end"/>
      </w:r>
      <w:r>
        <w:t xml:space="preserve"> </w:t>
      </w:r>
      <w:r w:rsidR="00E3608D">
        <w:t>provides an overview of tool</w:t>
      </w:r>
      <w:r w:rsidR="00853F04">
        <w:t>s and analysis developed in the</w:t>
      </w:r>
      <w:r w:rsidR="00E3608D">
        <w:t xml:space="preserve"> stud</w:t>
      </w:r>
      <w:r w:rsidR="00853F04">
        <w:t xml:space="preserve">y as well as their relationship to </w:t>
      </w:r>
      <w:r w:rsidR="00E3608D">
        <w:t xml:space="preserve">existing tools. The </w:t>
      </w:r>
      <w:r w:rsidR="009D3AA5">
        <w:t xml:space="preserve">latest version of the </w:t>
      </w:r>
      <w:r>
        <w:t xml:space="preserve">WEN </w:t>
      </w:r>
      <w:r w:rsidR="00E3608D">
        <w:t xml:space="preserve">Calculator </w:t>
      </w:r>
      <w:r w:rsidR="009D3AA5">
        <w:t>(</w:t>
      </w:r>
      <w:r w:rsidR="009D3AA5" w:rsidRPr="009D3AA5">
        <w:t>version 1.05</w:t>
      </w:r>
      <w:r w:rsidR="009D3AA5">
        <w:t xml:space="preserve">) </w:t>
      </w:r>
      <w:r w:rsidR="00E3608D">
        <w:t>includes all three water‐related benefits in a single tool that</w:t>
      </w:r>
      <w:r w:rsidR="00853F04">
        <w:t xml:space="preserve"> </w:t>
      </w:r>
      <w:r w:rsidR="00E3608D">
        <w:t>can be used for analyzing the benefits of water conservation measures.</w:t>
      </w:r>
      <w:r w:rsidR="00853F04">
        <w:t xml:space="preserve"> The Calculator provides:</w:t>
      </w:r>
    </w:p>
    <w:p w14:paraId="7D597A96" w14:textId="77777777" w:rsidR="00853F04" w:rsidRDefault="00853F04" w:rsidP="00E3608D"/>
    <w:p w14:paraId="6CC0CFFD" w14:textId="77777777" w:rsidR="00853F04" w:rsidRDefault="00E3608D" w:rsidP="00226D53">
      <w:pPr>
        <w:pStyle w:val="ListParagraph"/>
        <w:numPr>
          <w:ilvl w:val="0"/>
          <w:numId w:val="8"/>
        </w:numPr>
      </w:pPr>
      <w:r>
        <w:t>Analysis of the Avoided Embedded IOU Energy in Water is contained within the Water Energy</w:t>
      </w:r>
      <w:r w:rsidR="00853F04">
        <w:t xml:space="preserve"> </w:t>
      </w:r>
      <w:r>
        <w:t>Calculator.</w:t>
      </w:r>
    </w:p>
    <w:p w14:paraId="3BF814B9" w14:textId="77777777" w:rsidR="00853F04" w:rsidRDefault="00853F04" w:rsidP="00853F04">
      <w:pPr>
        <w:pStyle w:val="ListParagraph"/>
      </w:pPr>
    </w:p>
    <w:p w14:paraId="373FC1C4" w14:textId="77777777" w:rsidR="00853F04" w:rsidRDefault="00E3608D" w:rsidP="00226D53">
      <w:pPr>
        <w:pStyle w:val="ListParagraph"/>
        <w:numPr>
          <w:ilvl w:val="0"/>
          <w:numId w:val="8"/>
        </w:numPr>
      </w:pPr>
      <w:r>
        <w:t>The Avoided Capacity Cost of Water is calculated by the Avoided Water Capacity Cost Model</w:t>
      </w:r>
      <w:r w:rsidR="00853F04">
        <w:t xml:space="preserve"> </w:t>
      </w:r>
      <w:r>
        <w:t>(developed by the Navigant team). These values feed into the Water Energy Calculator.</w:t>
      </w:r>
      <w:r w:rsidR="00853F04">
        <w:t xml:space="preserve"> </w:t>
      </w:r>
    </w:p>
    <w:p w14:paraId="23F95DC3" w14:textId="77777777" w:rsidR="00853F04" w:rsidRDefault="00853F04" w:rsidP="00853F04">
      <w:pPr>
        <w:pStyle w:val="ListParagraph"/>
      </w:pPr>
    </w:p>
    <w:p w14:paraId="308EC859" w14:textId="77777777" w:rsidR="00E3608D" w:rsidRDefault="00E3608D" w:rsidP="00226D53">
      <w:pPr>
        <w:pStyle w:val="ListParagraph"/>
        <w:numPr>
          <w:ilvl w:val="0"/>
          <w:numId w:val="8"/>
        </w:numPr>
      </w:pPr>
      <w:r>
        <w:t>Environmental Benefits of Reduced Water Use is obtained from secondary data review of</w:t>
      </w:r>
      <w:r w:rsidR="00853F04">
        <w:t xml:space="preserve"> </w:t>
      </w:r>
      <w:r>
        <w:t>existing environmental benefits models.</w:t>
      </w:r>
    </w:p>
    <w:p w14:paraId="4A18A1C2" w14:textId="77777777" w:rsidR="008F11C1" w:rsidRDefault="008F11C1" w:rsidP="00E4743F">
      <w:pPr>
        <w:pStyle w:val="Default"/>
        <w:rPr>
          <w:color w:val="auto"/>
          <w:sz w:val="21"/>
          <w:szCs w:val="21"/>
        </w:rPr>
      </w:pPr>
    </w:p>
    <w:p w14:paraId="2E027C6C" w14:textId="77777777" w:rsidR="008F11C1" w:rsidRDefault="00630F18" w:rsidP="008F11C1">
      <w:pPr>
        <w:pStyle w:val="Default"/>
        <w:jc w:val="center"/>
        <w:rPr>
          <w:color w:val="auto"/>
          <w:sz w:val="21"/>
          <w:szCs w:val="21"/>
        </w:rPr>
      </w:pPr>
      <w:r>
        <w:rPr>
          <w:noProof/>
        </w:rPr>
        <w:drawing>
          <wp:inline distT="0" distB="0" distL="0" distR="0" wp14:anchorId="27629CB4" wp14:editId="7A57CC68">
            <wp:extent cx="4179533" cy="314389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23619" t="19475" r="20779" b="6127"/>
                    <a:stretch/>
                  </pic:blipFill>
                  <pic:spPr bwMode="auto">
                    <a:xfrm>
                      <a:off x="0" y="0"/>
                      <a:ext cx="4200466" cy="3159642"/>
                    </a:xfrm>
                    <a:prstGeom prst="rect">
                      <a:avLst/>
                    </a:prstGeom>
                    <a:ln>
                      <a:noFill/>
                    </a:ln>
                    <a:extLst>
                      <a:ext uri="{53640926-AAD7-44D8-BBD7-CCE9431645EC}">
                        <a14:shadowObscured xmlns:a14="http://schemas.microsoft.com/office/drawing/2010/main"/>
                      </a:ext>
                    </a:extLst>
                  </pic:spPr>
                </pic:pic>
              </a:graphicData>
            </a:graphic>
          </wp:inline>
        </w:drawing>
      </w:r>
    </w:p>
    <w:p w14:paraId="306C191F" w14:textId="77777777" w:rsidR="00EC05E7" w:rsidRDefault="00EC05E7" w:rsidP="00630F18">
      <w:pPr>
        <w:pStyle w:val="Default"/>
        <w:rPr>
          <w:rFonts w:asciiTheme="minorHAnsi" w:eastAsia="Times New Roman" w:hAnsiTheme="minorHAnsi" w:cs="Times New Roman"/>
          <w:color w:val="auto"/>
          <w:sz w:val="22"/>
        </w:rPr>
      </w:pPr>
    </w:p>
    <w:p w14:paraId="3E0C8497" w14:textId="02791FF5" w:rsidR="00EC05E7" w:rsidRDefault="00EC05E7" w:rsidP="00EC05E7">
      <w:pPr>
        <w:pStyle w:val="Caption"/>
        <w:jc w:val="center"/>
      </w:pPr>
      <w:bookmarkStart w:id="21" w:name="_Ref467338646"/>
      <w:r>
        <w:t xml:space="preserve">Figure </w:t>
      </w:r>
      <w:r w:rsidR="00054031">
        <w:fldChar w:fldCharType="begin"/>
      </w:r>
      <w:r w:rsidR="00054031">
        <w:instrText xml:space="preserve"> SEQ Figure \* ARABIC </w:instrText>
      </w:r>
      <w:r w:rsidR="00054031">
        <w:fldChar w:fldCharType="separate"/>
      </w:r>
      <w:r w:rsidR="00E3027B">
        <w:rPr>
          <w:noProof/>
        </w:rPr>
        <w:t>1</w:t>
      </w:r>
      <w:r w:rsidR="00054031">
        <w:rPr>
          <w:noProof/>
        </w:rPr>
        <w:fldChar w:fldCharType="end"/>
      </w:r>
      <w:bookmarkEnd w:id="21"/>
      <w:r w:rsidR="00B47A09">
        <w:rPr>
          <w:noProof/>
        </w:rPr>
        <w:t>:</w:t>
      </w:r>
      <w:r w:rsidR="00B47A09">
        <w:t xml:space="preserve"> </w:t>
      </w:r>
      <w:r>
        <w:t>Navigant Consulting’s Overview of Tools and Analysis</w:t>
      </w:r>
    </w:p>
    <w:p w14:paraId="2D8267EC" w14:textId="1EE3C45F" w:rsidR="00E4743F" w:rsidRPr="00853F04" w:rsidRDefault="00630F18" w:rsidP="00630F18">
      <w:pPr>
        <w:pStyle w:val="Default"/>
        <w:rPr>
          <w:rFonts w:asciiTheme="minorHAnsi" w:eastAsia="Times New Roman" w:hAnsiTheme="minorHAnsi" w:cs="Times New Roman"/>
          <w:color w:val="auto"/>
          <w:sz w:val="22"/>
        </w:rPr>
      </w:pPr>
      <w:r w:rsidRPr="00853F04">
        <w:rPr>
          <w:rFonts w:asciiTheme="minorHAnsi" w:eastAsia="Times New Roman" w:hAnsiTheme="minorHAnsi" w:cs="Times New Roman"/>
          <w:color w:val="auto"/>
          <w:sz w:val="22"/>
        </w:rPr>
        <w:lastRenderedPageBreak/>
        <w:t xml:space="preserve">The </w:t>
      </w:r>
      <w:r w:rsidR="00853F04" w:rsidRPr="00853F04">
        <w:rPr>
          <w:rFonts w:asciiTheme="minorHAnsi" w:eastAsia="Times New Roman" w:hAnsiTheme="minorHAnsi" w:cs="Times New Roman"/>
          <w:color w:val="auto"/>
          <w:sz w:val="22"/>
        </w:rPr>
        <w:t>WEN</w:t>
      </w:r>
      <w:r w:rsidRPr="00853F04">
        <w:rPr>
          <w:rFonts w:asciiTheme="minorHAnsi" w:eastAsia="Times New Roman" w:hAnsiTheme="minorHAnsi" w:cs="Times New Roman"/>
          <w:color w:val="auto"/>
          <w:sz w:val="22"/>
        </w:rPr>
        <w:t xml:space="preserve"> Calculator estimates IOU and non‐IOU</w:t>
      </w:r>
      <w:r w:rsidR="00853F04">
        <w:rPr>
          <w:rFonts w:asciiTheme="minorHAnsi" w:eastAsia="Times New Roman" w:hAnsiTheme="minorHAnsi" w:cs="Times New Roman"/>
          <w:color w:val="auto"/>
          <w:sz w:val="22"/>
        </w:rPr>
        <w:t xml:space="preserve"> embedded energy savings. These </w:t>
      </w:r>
      <w:r w:rsidRPr="00853F04">
        <w:rPr>
          <w:rFonts w:asciiTheme="minorHAnsi" w:eastAsia="Times New Roman" w:hAnsiTheme="minorHAnsi" w:cs="Times New Roman"/>
          <w:color w:val="auto"/>
          <w:sz w:val="22"/>
        </w:rPr>
        <w:t xml:space="preserve">embedded energy savings </w:t>
      </w:r>
      <w:r w:rsidR="00054031" w:rsidRPr="00853F04">
        <w:rPr>
          <w:rFonts w:asciiTheme="minorHAnsi" w:eastAsia="Times New Roman" w:hAnsiTheme="minorHAnsi" w:cs="Times New Roman"/>
          <w:color w:val="auto"/>
          <w:sz w:val="22"/>
        </w:rPr>
        <w:t>consider</w:t>
      </w:r>
      <w:r w:rsidRPr="00853F04">
        <w:rPr>
          <w:rFonts w:asciiTheme="minorHAnsi" w:eastAsia="Times New Roman" w:hAnsiTheme="minorHAnsi" w:cs="Times New Roman"/>
          <w:color w:val="auto"/>
          <w:sz w:val="22"/>
        </w:rPr>
        <w:t xml:space="preserve"> </w:t>
      </w:r>
      <w:bookmarkStart w:id="22" w:name="_GoBack"/>
      <w:bookmarkEnd w:id="22"/>
      <w:r w:rsidRPr="00853F04">
        <w:rPr>
          <w:rFonts w:asciiTheme="minorHAnsi" w:eastAsia="Times New Roman" w:hAnsiTheme="minorHAnsi" w:cs="Times New Roman"/>
          <w:color w:val="auto"/>
          <w:sz w:val="22"/>
        </w:rPr>
        <w:t>the energy intensity of the weighted average mix of water supplies to a given region as well as the energy intensities of the other system components (treatment, distribution, and wastewater systems as appropriate).</w:t>
      </w:r>
    </w:p>
    <w:p w14:paraId="7ED99622" w14:textId="77777777" w:rsidR="00630F18" w:rsidRDefault="00630F18" w:rsidP="00630F18">
      <w:pPr>
        <w:pStyle w:val="Default"/>
        <w:rPr>
          <w:color w:val="auto"/>
          <w:sz w:val="21"/>
          <w:szCs w:val="21"/>
        </w:rPr>
      </w:pPr>
    </w:p>
    <w:p w14:paraId="7C61940A" w14:textId="77777777" w:rsidR="00853F04" w:rsidRDefault="00853F04" w:rsidP="00853F04">
      <w:pPr>
        <w:rPr>
          <w:noProof/>
        </w:rPr>
      </w:pPr>
      <w:r>
        <w:rPr>
          <w:noProof/>
        </w:rPr>
        <w:t xml:space="preserve">As indicated in section 1, </w:t>
      </w:r>
      <w:r w:rsidRPr="00853F04">
        <w:rPr>
          <w:noProof/>
        </w:rPr>
        <w:t xml:space="preserve">embedded energy savings outputted from the WEN Calculator through the use of two input sources including water savings values from existing approved </w:t>
      </w:r>
      <w:r>
        <w:rPr>
          <w:noProof/>
        </w:rPr>
        <w:t>IOU</w:t>
      </w:r>
      <w:r w:rsidRPr="00853F04">
        <w:rPr>
          <w:noProof/>
        </w:rPr>
        <w:t xml:space="preserve"> wps and/or water savings values developed by the Metropolitan Water District (MWD).</w:t>
      </w:r>
      <w:r w:rsidR="00244393">
        <w:rPr>
          <w:noProof/>
        </w:rPr>
        <w:t xml:space="preserve"> The following sections detail the step-by-step procedures on how the final embedded water energy savings are outputted from the Calculator.</w:t>
      </w:r>
    </w:p>
    <w:p w14:paraId="46794BA1" w14:textId="77777777" w:rsidR="00E23E06" w:rsidRDefault="00853F04" w:rsidP="00E23E06">
      <w:pPr>
        <w:pStyle w:val="Heading3"/>
        <w:rPr>
          <w:rFonts w:asciiTheme="minorHAnsi" w:hAnsiTheme="minorHAnsi"/>
          <w:iCs/>
          <w:smallCaps/>
          <w:sz w:val="28"/>
          <w:szCs w:val="28"/>
        </w:rPr>
      </w:pPr>
      <w:r w:rsidRPr="00EC05E7">
        <w:rPr>
          <w:rFonts w:asciiTheme="minorHAnsi" w:hAnsiTheme="minorHAnsi"/>
          <w:iCs/>
          <w:smallCaps/>
          <w:sz w:val="28"/>
          <w:szCs w:val="28"/>
        </w:rPr>
        <w:t xml:space="preserve">Embedded Energy Savings from Existing Approved IOU WPs </w:t>
      </w:r>
    </w:p>
    <w:p w14:paraId="36572D0A" w14:textId="77777777" w:rsidR="00E23E06" w:rsidRDefault="00570850" w:rsidP="00E23E06">
      <w:r>
        <w:t xml:space="preserve">A statewide </w:t>
      </w:r>
      <w:r w:rsidR="00E23E06">
        <w:t xml:space="preserve">WEN measures </w:t>
      </w:r>
      <w:r>
        <w:t xml:space="preserve">IOU wp </w:t>
      </w:r>
      <w:r w:rsidR="00E23E06">
        <w:t xml:space="preserve">list was identified. </w:t>
      </w:r>
      <w:r w:rsidRPr="00CB2E01">
        <w:rPr>
          <w:b/>
        </w:rPr>
        <w:fldChar w:fldCharType="begin"/>
      </w:r>
      <w:r w:rsidRPr="00CB2E01">
        <w:rPr>
          <w:b/>
        </w:rPr>
        <w:instrText xml:space="preserve"> REF _Ref467339065 \h </w:instrText>
      </w:r>
      <w:r w:rsidR="00CB2E01">
        <w:rPr>
          <w:b/>
        </w:rPr>
        <w:instrText xml:space="preserve"> \* MERGEFORMAT </w:instrText>
      </w:r>
      <w:r w:rsidRPr="00CB2E01">
        <w:rPr>
          <w:b/>
        </w:rPr>
      </w:r>
      <w:r w:rsidRPr="00CB2E01">
        <w:rPr>
          <w:b/>
        </w:rPr>
        <w:fldChar w:fldCharType="separate"/>
      </w:r>
      <w:r w:rsidRPr="00CB2E01">
        <w:rPr>
          <w:b/>
        </w:rPr>
        <w:t xml:space="preserve">Figure </w:t>
      </w:r>
      <w:r w:rsidRPr="00CB2E01">
        <w:rPr>
          <w:b/>
          <w:noProof/>
        </w:rPr>
        <w:t>2</w:t>
      </w:r>
      <w:r w:rsidRPr="00CB2E01">
        <w:rPr>
          <w:b/>
        </w:rPr>
        <w:fldChar w:fldCharType="end"/>
      </w:r>
      <w:r>
        <w:t xml:space="preserve"> provides an example of WEN measures that are currently supported by existing and approved IOU wps.</w:t>
      </w:r>
    </w:p>
    <w:p w14:paraId="28F5F8C8" w14:textId="77777777" w:rsidR="008A5BE0" w:rsidRDefault="008A5BE0" w:rsidP="00E23E06"/>
    <w:p w14:paraId="4967B266" w14:textId="5BD7D6EF" w:rsidR="00E23E06" w:rsidRDefault="008C5307" w:rsidP="008A5BE0">
      <w:pPr>
        <w:jc w:val="center"/>
      </w:pPr>
      <w:r w:rsidRPr="008C5307">
        <w:rPr>
          <w:noProof/>
        </w:rPr>
        <w:drawing>
          <wp:inline distT="0" distB="0" distL="0" distR="0" wp14:anchorId="390D5134" wp14:editId="22E50CC1">
            <wp:extent cx="5656731" cy="2093264"/>
            <wp:effectExtent l="0" t="0" r="127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77145" cy="2100818"/>
                    </a:xfrm>
                    <a:prstGeom prst="rect">
                      <a:avLst/>
                    </a:prstGeom>
                    <a:noFill/>
                    <a:ln>
                      <a:noFill/>
                    </a:ln>
                  </pic:spPr>
                </pic:pic>
              </a:graphicData>
            </a:graphic>
          </wp:inline>
        </w:drawing>
      </w:r>
    </w:p>
    <w:p w14:paraId="1E0398FD" w14:textId="77777777" w:rsidR="00E4743F" w:rsidRDefault="00E4743F" w:rsidP="00570850">
      <w:pPr>
        <w:ind w:left="360"/>
        <w:jc w:val="center"/>
        <w:rPr>
          <w:noProof/>
        </w:rPr>
      </w:pPr>
    </w:p>
    <w:p w14:paraId="0B10EFC4" w14:textId="7BCBB4D2" w:rsidR="00570850" w:rsidRDefault="00570850" w:rsidP="00570850">
      <w:pPr>
        <w:pStyle w:val="Caption"/>
        <w:jc w:val="center"/>
      </w:pPr>
      <w:bookmarkStart w:id="23" w:name="_Ref467339065"/>
      <w:r>
        <w:t xml:space="preserve">Figure </w:t>
      </w:r>
      <w:r w:rsidR="00054031">
        <w:fldChar w:fldCharType="begin"/>
      </w:r>
      <w:r w:rsidR="00054031">
        <w:instrText xml:space="preserve"> SEQ Figure \* ARABIC </w:instrText>
      </w:r>
      <w:r w:rsidR="00054031">
        <w:fldChar w:fldCharType="separate"/>
      </w:r>
      <w:r w:rsidR="00E3027B">
        <w:rPr>
          <w:noProof/>
        </w:rPr>
        <w:t>2</w:t>
      </w:r>
      <w:r w:rsidR="00054031">
        <w:rPr>
          <w:noProof/>
        </w:rPr>
        <w:fldChar w:fldCharType="end"/>
      </w:r>
      <w:bookmarkEnd w:id="23"/>
      <w:r w:rsidR="00B47A09">
        <w:rPr>
          <w:noProof/>
        </w:rPr>
        <w:t>:</w:t>
      </w:r>
      <w:r>
        <w:t xml:space="preserve"> Sample List of IOU WP WEN Measures</w:t>
      </w:r>
    </w:p>
    <w:p w14:paraId="5F8F9589" w14:textId="77777777" w:rsidR="00CC08B0" w:rsidRDefault="00CC08B0" w:rsidP="008B5365"/>
    <w:p w14:paraId="23CADB1E" w14:textId="45CCDEE3" w:rsidR="008B5365" w:rsidRDefault="008B5365" w:rsidP="008B5365">
      <w:r>
        <w:t xml:space="preserve">A WEN measure is then inputted into the </w:t>
      </w:r>
      <w:r w:rsidR="007003E7">
        <w:t xml:space="preserve">WEN </w:t>
      </w:r>
      <w:r>
        <w:t xml:space="preserve">Calculator. Parameters that are fed into the input sheet include: </w:t>
      </w:r>
    </w:p>
    <w:p w14:paraId="3844C81E" w14:textId="77777777" w:rsidR="008B5365" w:rsidRDefault="008B5365" w:rsidP="008B5365"/>
    <w:p w14:paraId="41BE05E8" w14:textId="77777777" w:rsidR="008B5365" w:rsidRDefault="008B5365" w:rsidP="00226D53">
      <w:pPr>
        <w:pStyle w:val="ListParagraph"/>
        <w:numPr>
          <w:ilvl w:val="0"/>
          <w:numId w:val="9"/>
        </w:numPr>
      </w:pPr>
      <w:r>
        <w:t xml:space="preserve">Annual Water Savings (gallons) </w:t>
      </w:r>
    </w:p>
    <w:p w14:paraId="31F57B69" w14:textId="77777777" w:rsidR="008B5365" w:rsidRDefault="008B5365" w:rsidP="00226D53">
      <w:pPr>
        <w:pStyle w:val="ListParagraph"/>
        <w:numPr>
          <w:ilvl w:val="0"/>
          <w:numId w:val="9"/>
        </w:numPr>
      </w:pPr>
      <w:r>
        <w:t xml:space="preserve">Installation Year </w:t>
      </w:r>
    </w:p>
    <w:p w14:paraId="318C34BA" w14:textId="77777777" w:rsidR="008B5365" w:rsidRDefault="008B5365" w:rsidP="00226D53">
      <w:pPr>
        <w:pStyle w:val="ListParagraph"/>
        <w:numPr>
          <w:ilvl w:val="0"/>
          <w:numId w:val="9"/>
        </w:numPr>
      </w:pPr>
      <w:r>
        <w:t>Savings Profile (i.e. Constant, Cooling Tower or Irrigation)</w:t>
      </w:r>
    </w:p>
    <w:p w14:paraId="6ACF8548" w14:textId="77777777" w:rsidR="008B5365" w:rsidRDefault="008B5365" w:rsidP="00226D53">
      <w:pPr>
        <w:pStyle w:val="ListParagraph"/>
        <w:numPr>
          <w:ilvl w:val="0"/>
          <w:numId w:val="9"/>
        </w:numPr>
      </w:pPr>
      <w:r>
        <w:t>Hydrologic Region (10 in total)</w:t>
      </w:r>
    </w:p>
    <w:p w14:paraId="36390076" w14:textId="77777777" w:rsidR="008B5365" w:rsidRDefault="008B5365" w:rsidP="00226D53">
      <w:pPr>
        <w:pStyle w:val="ListParagraph"/>
        <w:numPr>
          <w:ilvl w:val="0"/>
          <w:numId w:val="9"/>
        </w:numPr>
      </w:pPr>
      <w:r>
        <w:t>Sector (i.e. Urban or Agricultural)</w:t>
      </w:r>
    </w:p>
    <w:p w14:paraId="43D37886" w14:textId="77777777" w:rsidR="008B5365" w:rsidRDefault="008B5365" w:rsidP="00226D53">
      <w:pPr>
        <w:pStyle w:val="ListParagraph"/>
        <w:numPr>
          <w:ilvl w:val="0"/>
          <w:numId w:val="9"/>
        </w:numPr>
      </w:pPr>
      <w:r>
        <w:t>Water Use (i.e. Indoor or Outdoor)</w:t>
      </w:r>
    </w:p>
    <w:p w14:paraId="22C3755D" w14:textId="77777777" w:rsidR="008B5365" w:rsidRDefault="008B5365" w:rsidP="008B5365">
      <w:pPr>
        <w:pStyle w:val="ListParagraph"/>
      </w:pPr>
    </w:p>
    <w:p w14:paraId="3F7A2B9B" w14:textId="77777777" w:rsidR="008B5365" w:rsidRDefault="008B5365" w:rsidP="008A2813">
      <w:pPr>
        <w:ind w:left="360"/>
        <w:jc w:val="center"/>
      </w:pPr>
      <w:r>
        <w:rPr>
          <w:noProof/>
        </w:rPr>
        <w:lastRenderedPageBreak/>
        <w:drawing>
          <wp:inline distT="0" distB="0" distL="0" distR="0" wp14:anchorId="6BB5FC6A" wp14:editId="614B7A1E">
            <wp:extent cx="4458042" cy="242858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481834" cy="2441545"/>
                    </a:xfrm>
                    <a:prstGeom prst="rect">
                      <a:avLst/>
                    </a:prstGeom>
                  </pic:spPr>
                </pic:pic>
              </a:graphicData>
            </a:graphic>
          </wp:inline>
        </w:drawing>
      </w:r>
    </w:p>
    <w:p w14:paraId="4CE7A356" w14:textId="77777777" w:rsidR="008B5365" w:rsidRDefault="008B5365" w:rsidP="008B5365">
      <w:pPr>
        <w:ind w:left="360"/>
      </w:pPr>
    </w:p>
    <w:p w14:paraId="6D7205C3" w14:textId="50E4CCAF" w:rsidR="008B5365" w:rsidRDefault="008B5365" w:rsidP="008B5365">
      <w:pPr>
        <w:pStyle w:val="Caption"/>
        <w:jc w:val="center"/>
      </w:pPr>
      <w:bookmarkStart w:id="24" w:name="_Ref467341694"/>
      <w:r>
        <w:t xml:space="preserve">Figure </w:t>
      </w:r>
      <w:r w:rsidR="00054031">
        <w:fldChar w:fldCharType="begin"/>
      </w:r>
      <w:r w:rsidR="00054031">
        <w:instrText xml:space="preserve"> SEQ Figure \* ARABIC </w:instrText>
      </w:r>
      <w:r w:rsidR="00054031">
        <w:fldChar w:fldCharType="separate"/>
      </w:r>
      <w:r w:rsidR="00E3027B">
        <w:rPr>
          <w:noProof/>
        </w:rPr>
        <w:t>3</w:t>
      </w:r>
      <w:r w:rsidR="00054031">
        <w:rPr>
          <w:noProof/>
        </w:rPr>
        <w:fldChar w:fldCharType="end"/>
      </w:r>
      <w:bookmarkEnd w:id="24"/>
      <w:r w:rsidR="00B47A09">
        <w:rPr>
          <w:noProof/>
        </w:rPr>
        <w:t>:</w:t>
      </w:r>
      <w:r>
        <w:t xml:space="preserve"> Navigant Water Energy Calculator Input Tab</w:t>
      </w:r>
    </w:p>
    <w:p w14:paraId="4A53FCC8" w14:textId="77777777" w:rsidR="00780EFE" w:rsidRPr="00EC05E7" w:rsidRDefault="00780EFE" w:rsidP="00780EFE">
      <w:pPr>
        <w:pStyle w:val="Heading3"/>
        <w:rPr>
          <w:rFonts w:asciiTheme="minorHAnsi" w:hAnsiTheme="minorHAnsi"/>
          <w:iCs/>
          <w:smallCaps/>
          <w:sz w:val="28"/>
          <w:szCs w:val="28"/>
        </w:rPr>
      </w:pPr>
      <w:r w:rsidRPr="00EC05E7">
        <w:rPr>
          <w:rFonts w:asciiTheme="minorHAnsi" w:hAnsiTheme="minorHAnsi"/>
          <w:iCs/>
          <w:smallCaps/>
          <w:sz w:val="28"/>
          <w:szCs w:val="28"/>
        </w:rPr>
        <w:t xml:space="preserve">Embedded Energy Savings from </w:t>
      </w:r>
      <w:r>
        <w:rPr>
          <w:rFonts w:asciiTheme="minorHAnsi" w:hAnsiTheme="minorHAnsi"/>
          <w:iCs/>
          <w:smallCaps/>
          <w:sz w:val="28"/>
          <w:szCs w:val="28"/>
        </w:rPr>
        <w:t>MWD Water Savings List</w:t>
      </w:r>
      <w:r w:rsidRPr="00EC05E7">
        <w:rPr>
          <w:rFonts w:asciiTheme="minorHAnsi" w:hAnsiTheme="minorHAnsi"/>
          <w:iCs/>
          <w:smallCaps/>
          <w:sz w:val="28"/>
          <w:szCs w:val="28"/>
        </w:rPr>
        <w:t xml:space="preserve"> </w:t>
      </w:r>
    </w:p>
    <w:p w14:paraId="131550B6" w14:textId="77777777" w:rsidR="00780EFE" w:rsidRPr="00E3608D" w:rsidRDefault="00780EFE" w:rsidP="00780EFE">
      <w:pPr>
        <w:pStyle w:val="Default"/>
        <w:rPr>
          <w:rFonts w:asciiTheme="minorHAnsi" w:eastAsia="Times New Roman" w:hAnsiTheme="minorHAnsi" w:cs="Times New Roman"/>
          <w:color w:val="auto"/>
          <w:sz w:val="22"/>
        </w:rPr>
      </w:pPr>
      <w:r>
        <w:rPr>
          <w:rFonts w:asciiTheme="minorHAnsi" w:eastAsia="Times New Roman" w:hAnsiTheme="minorHAnsi" w:cs="Times New Roman"/>
          <w:color w:val="auto"/>
          <w:sz w:val="22"/>
        </w:rPr>
        <w:t xml:space="preserve">A similar process is performed for MWD WEN measures. </w:t>
      </w:r>
      <w:r w:rsidRPr="00E3608D">
        <w:rPr>
          <w:rFonts w:asciiTheme="minorHAnsi" w:eastAsia="Times New Roman" w:hAnsiTheme="minorHAnsi" w:cs="Times New Roman"/>
          <w:color w:val="auto"/>
          <w:sz w:val="22"/>
        </w:rPr>
        <w:t xml:space="preserve">For MWD WEN measures, the DRAFT: 2015 Integrated Water Resources Plan Update – Appendices describe the how the active </w:t>
      </w:r>
      <w:r>
        <w:rPr>
          <w:rFonts w:asciiTheme="minorHAnsi" w:eastAsia="Times New Roman" w:hAnsiTheme="minorHAnsi" w:cs="Times New Roman"/>
          <w:color w:val="auto"/>
          <w:sz w:val="22"/>
        </w:rPr>
        <w:t xml:space="preserve">water </w:t>
      </w:r>
      <w:r w:rsidRPr="00E3608D">
        <w:rPr>
          <w:rFonts w:asciiTheme="minorHAnsi" w:eastAsia="Times New Roman" w:hAnsiTheme="minorHAnsi" w:cs="Times New Roman"/>
          <w:color w:val="auto"/>
          <w:sz w:val="22"/>
        </w:rPr>
        <w:t>savings estimates are calculated. Page 3 of the Appendices indicated</w:t>
      </w:r>
    </w:p>
    <w:p w14:paraId="33C6179B" w14:textId="77777777" w:rsidR="00780EFE" w:rsidRDefault="00780EFE" w:rsidP="00780EFE">
      <w:pPr>
        <w:pStyle w:val="Default"/>
        <w:rPr>
          <w:sz w:val="22"/>
          <w:szCs w:val="22"/>
        </w:rPr>
      </w:pPr>
    </w:p>
    <w:p w14:paraId="518465B5" w14:textId="77777777" w:rsidR="00780EFE" w:rsidRDefault="00780EFE" w:rsidP="00780EFE">
      <w:pPr>
        <w:pStyle w:val="Default"/>
        <w:ind w:left="720"/>
        <w:rPr>
          <w:rFonts w:asciiTheme="minorHAnsi" w:eastAsia="Times New Roman" w:hAnsiTheme="minorHAnsi" w:cs="Times New Roman"/>
          <w:color w:val="auto"/>
          <w:sz w:val="22"/>
        </w:rPr>
      </w:pPr>
      <w:r w:rsidRPr="00E3608D">
        <w:rPr>
          <w:rFonts w:asciiTheme="minorHAnsi" w:eastAsia="Times New Roman" w:hAnsiTheme="minorHAnsi" w:cs="Times New Roman"/>
          <w:color w:val="auto"/>
          <w:sz w:val="22"/>
        </w:rPr>
        <w:t xml:space="preserve">Device savings are limited by decay rates, or a corresponding device life, but not both at the same time. For example, a residential high-efficiency toilet (HET) saves about 38 gallons per day over a lifetime of 20 years with no assumed decay rate. For a complete list of current and past device and program savings factors, see Appendices A and B. Annual savings are expressed in acre-feet (AF). </w:t>
      </w:r>
    </w:p>
    <w:p w14:paraId="5F3EA6C5" w14:textId="77777777" w:rsidR="00780EFE" w:rsidRDefault="00780EFE" w:rsidP="00780EFE">
      <w:pPr>
        <w:pStyle w:val="Default"/>
        <w:jc w:val="center"/>
        <w:rPr>
          <w:rFonts w:ascii="Cambria Math" w:hAnsi="Cambria Math" w:cs="Cambria Math"/>
          <w:sz w:val="22"/>
          <w:szCs w:val="22"/>
        </w:rPr>
      </w:pPr>
      <w:r>
        <w:rPr>
          <w:noProof/>
        </w:rPr>
        <w:drawing>
          <wp:inline distT="0" distB="0" distL="0" distR="0" wp14:anchorId="2F7A29EE" wp14:editId="7CA76A1F">
            <wp:extent cx="2447925" cy="5143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447925" cy="514350"/>
                    </a:xfrm>
                    <a:prstGeom prst="rect">
                      <a:avLst/>
                    </a:prstGeom>
                  </pic:spPr>
                </pic:pic>
              </a:graphicData>
            </a:graphic>
          </wp:inline>
        </w:drawing>
      </w:r>
    </w:p>
    <w:p w14:paraId="0190C17E" w14:textId="77777777" w:rsidR="00780EFE" w:rsidRDefault="00780EFE" w:rsidP="00780EFE">
      <w:pPr>
        <w:pStyle w:val="Default"/>
        <w:rPr>
          <w:sz w:val="22"/>
          <w:szCs w:val="22"/>
        </w:rPr>
      </w:pPr>
    </w:p>
    <w:p w14:paraId="295B9DCC" w14:textId="35A4CDEF" w:rsidR="00780EFE" w:rsidRDefault="00780EFE" w:rsidP="00780EFE">
      <w:pPr>
        <w:pStyle w:val="Caption"/>
        <w:jc w:val="center"/>
      </w:pPr>
      <w:bookmarkStart w:id="25" w:name="_Ref467338056"/>
      <w:r>
        <w:t xml:space="preserve">Figure </w:t>
      </w:r>
      <w:r w:rsidR="00054031">
        <w:fldChar w:fldCharType="begin"/>
      </w:r>
      <w:r w:rsidR="00054031">
        <w:instrText xml:space="preserve"> SEQ Figure \* ARABIC </w:instrText>
      </w:r>
      <w:r w:rsidR="00054031">
        <w:fldChar w:fldCharType="separate"/>
      </w:r>
      <w:r w:rsidR="00E3027B">
        <w:rPr>
          <w:noProof/>
        </w:rPr>
        <w:t>4</w:t>
      </w:r>
      <w:r w:rsidR="00054031">
        <w:rPr>
          <w:noProof/>
        </w:rPr>
        <w:fldChar w:fldCharType="end"/>
      </w:r>
      <w:bookmarkEnd w:id="25"/>
      <w:r w:rsidR="00B47A09">
        <w:rPr>
          <w:noProof/>
        </w:rPr>
        <w:t>:</w:t>
      </w:r>
      <w:r>
        <w:t xml:space="preserve"> Annual Savings Expressed in Acre-Feet (AF)</w:t>
      </w:r>
    </w:p>
    <w:p w14:paraId="0E7D240B" w14:textId="77777777" w:rsidR="00A80059" w:rsidRPr="00A80059" w:rsidRDefault="00A80059" w:rsidP="00A80059"/>
    <w:p w14:paraId="3AC1563B" w14:textId="77777777" w:rsidR="00780EFE" w:rsidRPr="00E3608D" w:rsidRDefault="00780EFE" w:rsidP="00780EFE"/>
    <w:p w14:paraId="2615E07A" w14:textId="77777777" w:rsidR="00780EFE" w:rsidRDefault="00780EFE" w:rsidP="00226D53">
      <w:pPr>
        <w:pStyle w:val="Default"/>
        <w:numPr>
          <w:ilvl w:val="0"/>
          <w:numId w:val="2"/>
        </w:numPr>
        <w:spacing w:after="80"/>
        <w:rPr>
          <w:sz w:val="21"/>
          <w:szCs w:val="21"/>
        </w:rPr>
      </w:pPr>
      <w:r>
        <w:rPr>
          <w:rFonts w:ascii="Times New Roman" w:hAnsi="Times New Roman" w:cs="Times New Roman"/>
          <w:i/>
          <w:iCs/>
          <w:sz w:val="21"/>
          <w:szCs w:val="21"/>
        </w:rPr>
        <w:t>S</w:t>
      </w:r>
      <w:r>
        <w:rPr>
          <w:rFonts w:ascii="Times New Roman" w:hAnsi="Times New Roman" w:cs="Times New Roman"/>
          <w:i/>
          <w:iCs/>
          <w:sz w:val="14"/>
          <w:szCs w:val="14"/>
        </w:rPr>
        <w:t xml:space="preserve">i </w:t>
      </w:r>
      <w:r>
        <w:rPr>
          <w:sz w:val="21"/>
          <w:szCs w:val="21"/>
        </w:rPr>
        <w:t xml:space="preserve">is the annual savings in acre-feet (AF) for device </w:t>
      </w:r>
      <w:r>
        <w:rPr>
          <w:rFonts w:ascii="Times New Roman" w:hAnsi="Times New Roman" w:cs="Times New Roman"/>
          <w:i/>
          <w:iCs/>
          <w:sz w:val="21"/>
          <w:szCs w:val="21"/>
        </w:rPr>
        <w:t>i</w:t>
      </w:r>
      <w:r>
        <w:rPr>
          <w:sz w:val="21"/>
          <w:szCs w:val="21"/>
        </w:rPr>
        <w:t xml:space="preserve">. </w:t>
      </w:r>
    </w:p>
    <w:p w14:paraId="30516B9B" w14:textId="77777777" w:rsidR="00780EFE" w:rsidRDefault="00780EFE" w:rsidP="00226D53">
      <w:pPr>
        <w:pStyle w:val="Default"/>
        <w:numPr>
          <w:ilvl w:val="0"/>
          <w:numId w:val="2"/>
        </w:numPr>
        <w:spacing w:after="80"/>
        <w:rPr>
          <w:sz w:val="21"/>
          <w:szCs w:val="21"/>
        </w:rPr>
      </w:pPr>
      <w:r>
        <w:rPr>
          <w:rFonts w:ascii="Times New Roman" w:hAnsi="Times New Roman" w:cs="Times New Roman"/>
          <w:i/>
          <w:iCs/>
          <w:sz w:val="21"/>
          <w:szCs w:val="21"/>
        </w:rPr>
        <w:t>d</w:t>
      </w:r>
      <w:r>
        <w:rPr>
          <w:rFonts w:ascii="Times New Roman" w:hAnsi="Times New Roman" w:cs="Times New Roman"/>
          <w:i/>
          <w:iCs/>
          <w:sz w:val="14"/>
          <w:szCs w:val="14"/>
        </w:rPr>
        <w:t xml:space="preserve">i </w:t>
      </w:r>
      <w:r>
        <w:rPr>
          <w:sz w:val="21"/>
          <w:szCs w:val="21"/>
        </w:rPr>
        <w:t xml:space="preserve">is the number of device </w:t>
      </w:r>
      <w:r>
        <w:rPr>
          <w:rFonts w:ascii="Times New Roman" w:hAnsi="Times New Roman" w:cs="Times New Roman"/>
          <w:i/>
          <w:iCs/>
          <w:sz w:val="21"/>
          <w:szCs w:val="21"/>
        </w:rPr>
        <w:t xml:space="preserve">i </w:t>
      </w:r>
      <w:r>
        <w:rPr>
          <w:sz w:val="21"/>
          <w:szCs w:val="21"/>
        </w:rPr>
        <w:t xml:space="preserve">installed under an active conservation program. </w:t>
      </w:r>
    </w:p>
    <w:p w14:paraId="3E99F77E" w14:textId="77777777" w:rsidR="00780EFE" w:rsidRDefault="00780EFE" w:rsidP="00226D53">
      <w:pPr>
        <w:pStyle w:val="Default"/>
        <w:numPr>
          <w:ilvl w:val="0"/>
          <w:numId w:val="3"/>
        </w:numPr>
        <w:spacing w:after="80"/>
        <w:rPr>
          <w:sz w:val="21"/>
          <w:szCs w:val="21"/>
        </w:rPr>
      </w:pPr>
      <w:r>
        <w:rPr>
          <w:rFonts w:ascii="Times New Roman" w:hAnsi="Times New Roman" w:cs="Times New Roman"/>
          <w:i/>
          <w:iCs/>
          <w:sz w:val="21"/>
          <w:szCs w:val="21"/>
        </w:rPr>
        <w:t>a</w:t>
      </w:r>
      <w:r>
        <w:rPr>
          <w:rFonts w:ascii="Times New Roman" w:hAnsi="Times New Roman" w:cs="Times New Roman"/>
          <w:i/>
          <w:iCs/>
          <w:sz w:val="14"/>
          <w:szCs w:val="14"/>
        </w:rPr>
        <w:t xml:space="preserve">i </w:t>
      </w:r>
      <w:r>
        <w:rPr>
          <w:sz w:val="21"/>
          <w:szCs w:val="21"/>
        </w:rPr>
        <w:t xml:space="preserve">is the gallons per day savings from a baseline. Baselines are specific to each device and represent the typical amount of water usage for a conventional device prior to more efficient alternatives being made available, either through plumbing code enforcement or market innovations. For example, a HET with a 1.28 gallons-per-flush (GPF) has a savings factor of 38 gallons per day compared to the 3.5 GPF toilets available before the 1992 plumbing codes. </w:t>
      </w:r>
    </w:p>
    <w:p w14:paraId="33B882FA" w14:textId="77777777" w:rsidR="00780EFE" w:rsidRDefault="00780EFE" w:rsidP="00226D53">
      <w:pPr>
        <w:pStyle w:val="Default"/>
        <w:numPr>
          <w:ilvl w:val="0"/>
          <w:numId w:val="2"/>
        </w:numPr>
        <w:spacing w:after="80"/>
        <w:rPr>
          <w:sz w:val="21"/>
          <w:szCs w:val="21"/>
        </w:rPr>
      </w:pPr>
      <w:r>
        <w:rPr>
          <w:sz w:val="21"/>
          <w:szCs w:val="21"/>
        </w:rPr>
        <w:t xml:space="preserve">365 is the number of days assumed in one year for the purpose of simplifying the calculation. </w:t>
      </w:r>
    </w:p>
    <w:p w14:paraId="4885815E" w14:textId="77777777" w:rsidR="00780EFE" w:rsidRDefault="00780EFE" w:rsidP="00226D53">
      <w:pPr>
        <w:pStyle w:val="Default"/>
        <w:numPr>
          <w:ilvl w:val="0"/>
          <w:numId w:val="2"/>
        </w:numPr>
        <w:rPr>
          <w:sz w:val="21"/>
          <w:szCs w:val="21"/>
        </w:rPr>
      </w:pPr>
      <w:r>
        <w:rPr>
          <w:sz w:val="21"/>
          <w:szCs w:val="21"/>
        </w:rPr>
        <w:t xml:space="preserve">325,851 is the number of gallons in one acre-foot of water. </w:t>
      </w:r>
    </w:p>
    <w:p w14:paraId="3508E620" w14:textId="77777777" w:rsidR="00780EFE" w:rsidRDefault="00780EFE" w:rsidP="00780EFE">
      <w:pPr>
        <w:pStyle w:val="Default"/>
        <w:ind w:left="720"/>
        <w:rPr>
          <w:sz w:val="22"/>
          <w:szCs w:val="22"/>
        </w:rPr>
      </w:pPr>
      <w:r>
        <w:rPr>
          <w:sz w:val="22"/>
          <w:szCs w:val="22"/>
        </w:rPr>
        <w:lastRenderedPageBreak/>
        <w:t xml:space="preserve">Lifetime savings is the sum of annual savings over the life expectancy of the device. </w:t>
      </w:r>
    </w:p>
    <w:p w14:paraId="31711FC2" w14:textId="77777777" w:rsidR="00780EFE" w:rsidRDefault="00780EFE" w:rsidP="00780EFE">
      <w:pPr>
        <w:pStyle w:val="Default"/>
        <w:ind w:left="720"/>
        <w:rPr>
          <w:sz w:val="22"/>
          <w:szCs w:val="22"/>
        </w:rPr>
      </w:pPr>
    </w:p>
    <w:p w14:paraId="5BDC2FEA" w14:textId="77777777" w:rsidR="00780EFE" w:rsidRDefault="00780EFE" w:rsidP="00780EFE">
      <w:pPr>
        <w:pStyle w:val="Default"/>
        <w:ind w:left="720"/>
        <w:jc w:val="center"/>
        <w:rPr>
          <w:sz w:val="22"/>
          <w:szCs w:val="22"/>
        </w:rPr>
      </w:pPr>
      <w:r>
        <w:rPr>
          <w:noProof/>
        </w:rPr>
        <w:drawing>
          <wp:inline distT="0" distB="0" distL="0" distR="0" wp14:anchorId="3D9F1F39" wp14:editId="1C7DA035">
            <wp:extent cx="990600" cy="733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990600" cy="733425"/>
                    </a:xfrm>
                    <a:prstGeom prst="rect">
                      <a:avLst/>
                    </a:prstGeom>
                  </pic:spPr>
                </pic:pic>
              </a:graphicData>
            </a:graphic>
          </wp:inline>
        </w:drawing>
      </w:r>
    </w:p>
    <w:p w14:paraId="29270711" w14:textId="77777777" w:rsidR="00780EFE" w:rsidRDefault="00780EFE" w:rsidP="00780EFE">
      <w:pPr>
        <w:pStyle w:val="Default"/>
        <w:ind w:left="720"/>
        <w:rPr>
          <w:sz w:val="22"/>
          <w:szCs w:val="22"/>
        </w:rPr>
      </w:pPr>
    </w:p>
    <w:p w14:paraId="5946CF98" w14:textId="77777777" w:rsidR="00780EFE" w:rsidRPr="002572D2" w:rsidRDefault="00780EFE" w:rsidP="00226D53">
      <w:pPr>
        <w:pStyle w:val="Default"/>
        <w:numPr>
          <w:ilvl w:val="0"/>
          <w:numId w:val="2"/>
        </w:numPr>
        <w:rPr>
          <w:rFonts w:ascii="Times New Roman" w:hAnsi="Times New Roman" w:cs="Times New Roman"/>
          <w:i/>
          <w:iCs/>
          <w:sz w:val="21"/>
          <w:szCs w:val="21"/>
        </w:rPr>
      </w:pPr>
      <w:r w:rsidRPr="002572D2">
        <w:rPr>
          <w:rFonts w:ascii="Cambria Math" w:hAnsi="Cambria Math" w:cs="Cambria Math"/>
          <w:i/>
          <w:iCs/>
          <w:sz w:val="21"/>
          <w:szCs w:val="21"/>
        </w:rPr>
        <w:t>𝐿𝑖</w:t>
      </w:r>
      <w:r w:rsidRPr="002572D2">
        <w:rPr>
          <w:rFonts w:ascii="Times New Roman" w:hAnsi="Times New Roman" w:cs="Times New Roman"/>
          <w:i/>
          <w:iCs/>
          <w:sz w:val="21"/>
          <w:szCs w:val="21"/>
        </w:rPr>
        <w:t xml:space="preserve"> = Σ </w:t>
      </w:r>
      <w:r w:rsidRPr="002572D2">
        <w:rPr>
          <w:rFonts w:ascii="Cambria Math" w:hAnsi="Cambria Math" w:cs="Cambria Math"/>
          <w:i/>
          <w:iCs/>
          <w:sz w:val="21"/>
          <w:szCs w:val="21"/>
        </w:rPr>
        <w:t>𝑆𝑖</w:t>
      </w:r>
      <w:r w:rsidRPr="002572D2">
        <w:rPr>
          <w:rFonts w:ascii="Times New Roman" w:hAnsi="Times New Roman" w:cs="Times New Roman"/>
          <w:i/>
          <w:iCs/>
          <w:sz w:val="21"/>
          <w:szCs w:val="21"/>
        </w:rPr>
        <w:t xml:space="preserve"> </w:t>
      </w:r>
      <w:r w:rsidRPr="002572D2">
        <w:rPr>
          <w:rFonts w:ascii="Cambria Math" w:hAnsi="Cambria Math" w:cs="Cambria Math"/>
          <w:i/>
          <w:iCs/>
          <w:sz w:val="21"/>
          <w:szCs w:val="21"/>
        </w:rPr>
        <w:t>𝑛</w:t>
      </w:r>
      <w:r w:rsidRPr="002572D2">
        <w:rPr>
          <w:rFonts w:ascii="Times New Roman" w:hAnsi="Times New Roman" w:cs="Times New Roman"/>
          <w:i/>
          <w:iCs/>
          <w:sz w:val="21"/>
          <w:szCs w:val="21"/>
        </w:rPr>
        <w:t xml:space="preserve"> </w:t>
      </w:r>
      <w:r w:rsidRPr="002572D2">
        <w:rPr>
          <w:rFonts w:ascii="Cambria Math" w:hAnsi="Cambria Math" w:cs="Cambria Math"/>
          <w:i/>
          <w:iCs/>
          <w:sz w:val="21"/>
          <w:szCs w:val="21"/>
        </w:rPr>
        <w:t>𝑡𝑖</w:t>
      </w:r>
      <w:r w:rsidRPr="002572D2">
        <w:rPr>
          <w:rFonts w:ascii="Times New Roman" w:hAnsi="Times New Roman" w:cs="Times New Roman"/>
          <w:i/>
          <w:iCs/>
          <w:sz w:val="21"/>
          <w:szCs w:val="21"/>
        </w:rPr>
        <w:t xml:space="preserve">=1 </w:t>
      </w:r>
    </w:p>
    <w:p w14:paraId="0C96F1CF" w14:textId="77777777" w:rsidR="00780EFE" w:rsidRPr="002572D2" w:rsidRDefault="00780EFE" w:rsidP="00226D53">
      <w:pPr>
        <w:pStyle w:val="Default"/>
        <w:numPr>
          <w:ilvl w:val="0"/>
          <w:numId w:val="2"/>
        </w:numPr>
        <w:rPr>
          <w:rFonts w:ascii="Cambria Math" w:hAnsi="Cambria Math" w:cs="Cambria Math"/>
          <w:sz w:val="21"/>
          <w:szCs w:val="21"/>
        </w:rPr>
      </w:pPr>
      <w:r>
        <w:rPr>
          <w:rFonts w:ascii="Times New Roman" w:hAnsi="Times New Roman" w:cs="Times New Roman"/>
          <w:i/>
          <w:iCs/>
          <w:sz w:val="21"/>
          <w:szCs w:val="21"/>
        </w:rPr>
        <w:t>L</w:t>
      </w:r>
      <w:r>
        <w:rPr>
          <w:rFonts w:ascii="Times New Roman" w:hAnsi="Times New Roman" w:cs="Times New Roman"/>
          <w:i/>
          <w:iCs/>
          <w:sz w:val="14"/>
          <w:szCs w:val="14"/>
        </w:rPr>
        <w:t xml:space="preserve">i </w:t>
      </w:r>
      <w:r>
        <w:rPr>
          <w:sz w:val="21"/>
          <w:szCs w:val="21"/>
        </w:rPr>
        <w:t xml:space="preserve">is the lifetime savings of device </w:t>
      </w:r>
      <w:r>
        <w:rPr>
          <w:rFonts w:ascii="Times New Roman" w:hAnsi="Times New Roman" w:cs="Times New Roman"/>
          <w:i/>
          <w:iCs/>
          <w:sz w:val="21"/>
          <w:szCs w:val="21"/>
        </w:rPr>
        <w:t>i</w:t>
      </w:r>
      <w:r>
        <w:rPr>
          <w:rFonts w:ascii="Cambria Math" w:hAnsi="Cambria Math" w:cs="Cambria Math"/>
          <w:sz w:val="21"/>
          <w:szCs w:val="21"/>
        </w:rPr>
        <w:t xml:space="preserve">. </w:t>
      </w:r>
    </w:p>
    <w:p w14:paraId="15C741C8" w14:textId="77777777" w:rsidR="00780EFE" w:rsidRDefault="00780EFE" w:rsidP="00226D53">
      <w:pPr>
        <w:pStyle w:val="Default"/>
        <w:numPr>
          <w:ilvl w:val="0"/>
          <w:numId w:val="2"/>
        </w:numPr>
        <w:spacing w:after="81"/>
        <w:rPr>
          <w:color w:val="auto"/>
          <w:sz w:val="21"/>
          <w:szCs w:val="21"/>
        </w:rPr>
      </w:pPr>
      <w:r>
        <w:rPr>
          <w:rFonts w:ascii="Times New Roman" w:hAnsi="Times New Roman" w:cs="Times New Roman"/>
          <w:i/>
          <w:iCs/>
          <w:color w:val="auto"/>
          <w:sz w:val="21"/>
          <w:szCs w:val="21"/>
        </w:rPr>
        <w:t xml:space="preserve">n </w:t>
      </w:r>
      <w:r>
        <w:rPr>
          <w:color w:val="auto"/>
          <w:sz w:val="21"/>
          <w:szCs w:val="21"/>
        </w:rPr>
        <w:t xml:space="preserve">is the number of years a device is expected to produce savings before it fails. This varies depending on the type of device. </w:t>
      </w:r>
    </w:p>
    <w:p w14:paraId="1833563F" w14:textId="77777777" w:rsidR="00780EFE" w:rsidRDefault="00780EFE" w:rsidP="00226D53">
      <w:pPr>
        <w:pStyle w:val="Default"/>
        <w:numPr>
          <w:ilvl w:val="0"/>
          <w:numId w:val="2"/>
        </w:numPr>
        <w:spacing w:after="81"/>
        <w:rPr>
          <w:color w:val="auto"/>
          <w:sz w:val="21"/>
          <w:szCs w:val="21"/>
        </w:rPr>
      </w:pPr>
      <w:r>
        <w:rPr>
          <w:rFonts w:ascii="Times New Roman" w:hAnsi="Times New Roman" w:cs="Times New Roman"/>
          <w:i/>
          <w:iCs/>
          <w:color w:val="auto"/>
          <w:sz w:val="21"/>
          <w:szCs w:val="21"/>
        </w:rPr>
        <w:t xml:space="preserve">t </w:t>
      </w:r>
      <w:r>
        <w:rPr>
          <w:color w:val="auto"/>
          <w:sz w:val="21"/>
          <w:szCs w:val="21"/>
        </w:rPr>
        <w:t xml:space="preserve">is the year when device </w:t>
      </w:r>
      <w:r>
        <w:rPr>
          <w:rFonts w:ascii="Times New Roman" w:hAnsi="Times New Roman" w:cs="Times New Roman"/>
          <w:i/>
          <w:iCs/>
          <w:color w:val="auto"/>
          <w:sz w:val="21"/>
          <w:szCs w:val="21"/>
        </w:rPr>
        <w:t xml:space="preserve">i </w:t>
      </w:r>
      <w:r>
        <w:rPr>
          <w:color w:val="auto"/>
          <w:sz w:val="21"/>
          <w:szCs w:val="21"/>
        </w:rPr>
        <w:t xml:space="preserve">is producing savings. </w:t>
      </w:r>
    </w:p>
    <w:p w14:paraId="04807865" w14:textId="77777777" w:rsidR="00780EFE" w:rsidRDefault="00780EFE" w:rsidP="00226D53">
      <w:pPr>
        <w:pStyle w:val="Default"/>
        <w:numPr>
          <w:ilvl w:val="0"/>
          <w:numId w:val="2"/>
        </w:numPr>
        <w:rPr>
          <w:color w:val="auto"/>
          <w:sz w:val="21"/>
          <w:szCs w:val="21"/>
        </w:rPr>
      </w:pPr>
      <w:r>
        <w:rPr>
          <w:rFonts w:ascii="Times New Roman" w:hAnsi="Times New Roman" w:cs="Times New Roman"/>
          <w:i/>
          <w:iCs/>
          <w:color w:val="auto"/>
          <w:sz w:val="21"/>
          <w:szCs w:val="21"/>
        </w:rPr>
        <w:t>S</w:t>
      </w:r>
      <w:r>
        <w:rPr>
          <w:rFonts w:ascii="Times New Roman" w:hAnsi="Times New Roman" w:cs="Times New Roman"/>
          <w:i/>
          <w:iCs/>
          <w:color w:val="auto"/>
          <w:sz w:val="14"/>
          <w:szCs w:val="14"/>
        </w:rPr>
        <w:t xml:space="preserve">i </w:t>
      </w:r>
      <w:r>
        <w:rPr>
          <w:color w:val="auto"/>
          <w:sz w:val="21"/>
          <w:szCs w:val="21"/>
        </w:rPr>
        <w:t xml:space="preserve">is the annual savings in acre-feet (AF) for device </w:t>
      </w:r>
      <w:r>
        <w:rPr>
          <w:rFonts w:ascii="Times New Roman" w:hAnsi="Times New Roman" w:cs="Times New Roman"/>
          <w:i/>
          <w:iCs/>
          <w:color w:val="auto"/>
          <w:sz w:val="21"/>
          <w:szCs w:val="21"/>
        </w:rPr>
        <w:t>i</w:t>
      </w:r>
      <w:r>
        <w:rPr>
          <w:color w:val="auto"/>
          <w:sz w:val="21"/>
          <w:szCs w:val="21"/>
        </w:rPr>
        <w:t xml:space="preserve">. </w:t>
      </w:r>
    </w:p>
    <w:p w14:paraId="4F97756F" w14:textId="77777777" w:rsidR="00780EFE" w:rsidRDefault="00780EFE" w:rsidP="006E7D9B"/>
    <w:p w14:paraId="00810CC1" w14:textId="77777777" w:rsidR="00CB2E01" w:rsidRDefault="00CB2E01" w:rsidP="00780EFE"/>
    <w:p w14:paraId="71D2EB07" w14:textId="77777777" w:rsidR="00780EFE" w:rsidRDefault="00780EFE" w:rsidP="00780EFE">
      <w:r>
        <w:t xml:space="preserve">Similar to the IOU WEN measure, the water savings values from the MWD list are also inputted into Navigant’s WEN Calculator as shown in </w:t>
      </w:r>
      <w:r w:rsidRPr="00CB2E01">
        <w:rPr>
          <w:b/>
        </w:rPr>
        <w:fldChar w:fldCharType="begin"/>
      </w:r>
      <w:r w:rsidRPr="00CB2E01">
        <w:rPr>
          <w:b/>
        </w:rPr>
        <w:instrText xml:space="preserve"> REF _Ref467341694 \h </w:instrText>
      </w:r>
      <w:r w:rsidR="00CB2E01">
        <w:rPr>
          <w:b/>
        </w:rPr>
        <w:instrText xml:space="preserve"> \* MERGEFORMAT </w:instrText>
      </w:r>
      <w:r w:rsidRPr="00CB2E01">
        <w:rPr>
          <w:b/>
        </w:rPr>
      </w:r>
      <w:r w:rsidRPr="00CB2E01">
        <w:rPr>
          <w:b/>
        </w:rPr>
        <w:fldChar w:fldCharType="separate"/>
      </w:r>
      <w:r w:rsidR="002907CB" w:rsidRPr="002907CB">
        <w:rPr>
          <w:b/>
        </w:rPr>
        <w:t xml:space="preserve">Figure </w:t>
      </w:r>
      <w:r w:rsidR="002907CB" w:rsidRPr="002907CB">
        <w:rPr>
          <w:b/>
          <w:noProof/>
        </w:rPr>
        <w:t>3</w:t>
      </w:r>
      <w:r w:rsidRPr="00CB2E01">
        <w:rPr>
          <w:b/>
        </w:rPr>
        <w:fldChar w:fldCharType="end"/>
      </w:r>
      <w:r>
        <w:t>.</w:t>
      </w:r>
      <w:r w:rsidR="00CB2E01">
        <w:t xml:space="preserve"> </w:t>
      </w:r>
      <w:r>
        <w:t xml:space="preserve">After the applicable input fields are entered, the WEN calculator outputs the applicable fields as illustrated in </w:t>
      </w:r>
      <w:r w:rsidR="002907CB" w:rsidRPr="002907CB">
        <w:rPr>
          <w:b/>
        </w:rPr>
        <w:fldChar w:fldCharType="begin"/>
      </w:r>
      <w:r w:rsidR="002907CB" w:rsidRPr="002907CB">
        <w:rPr>
          <w:b/>
        </w:rPr>
        <w:instrText xml:space="preserve"> REF _Ref467342035 \h </w:instrText>
      </w:r>
      <w:r w:rsidR="002907CB">
        <w:rPr>
          <w:b/>
        </w:rPr>
        <w:instrText xml:space="preserve"> \* MERGEFORMAT </w:instrText>
      </w:r>
      <w:r w:rsidR="002907CB" w:rsidRPr="002907CB">
        <w:rPr>
          <w:b/>
        </w:rPr>
      </w:r>
      <w:r w:rsidR="002907CB" w:rsidRPr="002907CB">
        <w:rPr>
          <w:b/>
        </w:rPr>
        <w:fldChar w:fldCharType="separate"/>
      </w:r>
      <w:r w:rsidR="002907CB" w:rsidRPr="002907CB">
        <w:rPr>
          <w:b/>
        </w:rPr>
        <w:t xml:space="preserve">Figure </w:t>
      </w:r>
      <w:r w:rsidR="002907CB" w:rsidRPr="002907CB">
        <w:rPr>
          <w:b/>
          <w:noProof/>
        </w:rPr>
        <w:t>5</w:t>
      </w:r>
      <w:r w:rsidR="002907CB" w:rsidRPr="002907CB">
        <w:rPr>
          <w:b/>
        </w:rPr>
        <w:fldChar w:fldCharType="end"/>
      </w:r>
      <w:r w:rsidR="002907CB">
        <w:t xml:space="preserve"> </w:t>
      </w:r>
      <w:r>
        <w:t>including:</w:t>
      </w:r>
    </w:p>
    <w:p w14:paraId="438F5E1C" w14:textId="77777777" w:rsidR="00780EFE" w:rsidRDefault="00780EFE" w:rsidP="00780EFE"/>
    <w:p w14:paraId="6E1A3335" w14:textId="77777777" w:rsidR="00780EFE" w:rsidRDefault="00780EFE" w:rsidP="00226D53">
      <w:pPr>
        <w:pStyle w:val="ListParagraph"/>
        <w:numPr>
          <w:ilvl w:val="0"/>
          <w:numId w:val="10"/>
        </w:numPr>
      </w:pPr>
      <w:r>
        <w:t>Average Annual Embedded IOU Electric Energy (kWh)</w:t>
      </w:r>
    </w:p>
    <w:p w14:paraId="7E2B6CB0" w14:textId="77777777" w:rsidR="00780EFE" w:rsidRDefault="00780EFE" w:rsidP="00226D53">
      <w:pPr>
        <w:pStyle w:val="ListParagraph"/>
        <w:numPr>
          <w:ilvl w:val="0"/>
          <w:numId w:val="10"/>
        </w:numPr>
      </w:pPr>
      <w:r>
        <w:t>Average Annual Embedded Non-IOU Electric Energy (kWh)</w:t>
      </w:r>
    </w:p>
    <w:p w14:paraId="62F5A6A1" w14:textId="77777777" w:rsidR="00780EFE" w:rsidRDefault="00780EFE" w:rsidP="00226D53">
      <w:pPr>
        <w:pStyle w:val="ListParagraph"/>
        <w:numPr>
          <w:ilvl w:val="0"/>
          <w:numId w:val="10"/>
        </w:numPr>
      </w:pPr>
      <w:r>
        <w:t>Average Annual Embedded Gas Energy (therms)</w:t>
      </w:r>
    </w:p>
    <w:p w14:paraId="050650B9" w14:textId="77777777" w:rsidR="00780EFE" w:rsidRDefault="00780EFE" w:rsidP="00226D53">
      <w:pPr>
        <w:pStyle w:val="ListParagraph"/>
        <w:numPr>
          <w:ilvl w:val="0"/>
          <w:numId w:val="10"/>
        </w:numPr>
      </w:pPr>
      <w:r>
        <w:t>Avoided IOU Electric Energy Costs (in 2014 dollars)</w:t>
      </w:r>
    </w:p>
    <w:p w14:paraId="5E5381B4" w14:textId="13825FB1" w:rsidR="00780EFE" w:rsidRDefault="00780EFE" w:rsidP="00226D53">
      <w:pPr>
        <w:pStyle w:val="ListParagraph"/>
        <w:numPr>
          <w:ilvl w:val="0"/>
          <w:numId w:val="10"/>
        </w:numPr>
      </w:pPr>
      <w:r>
        <w:t>Avoided Gas Energy Cost (in 2014 dollars)</w:t>
      </w:r>
    </w:p>
    <w:p w14:paraId="0B9DB36A" w14:textId="77777777" w:rsidR="0060430F" w:rsidRDefault="0060430F" w:rsidP="0060430F">
      <w:pPr>
        <w:pStyle w:val="ListParagraph"/>
      </w:pPr>
    </w:p>
    <w:p w14:paraId="566D5BF3" w14:textId="77777777" w:rsidR="006E7D9B" w:rsidRDefault="006E7D9B" w:rsidP="006E7D9B">
      <w:pPr>
        <w:jc w:val="center"/>
      </w:pPr>
      <w:r>
        <w:rPr>
          <w:noProof/>
        </w:rPr>
        <w:drawing>
          <wp:inline distT="0" distB="0" distL="0" distR="0" wp14:anchorId="1A77C435" wp14:editId="6EF8206E">
            <wp:extent cx="4001209" cy="2849577"/>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4019983" cy="2862948"/>
                    </a:xfrm>
                    <a:prstGeom prst="rect">
                      <a:avLst/>
                    </a:prstGeom>
                  </pic:spPr>
                </pic:pic>
              </a:graphicData>
            </a:graphic>
          </wp:inline>
        </w:drawing>
      </w:r>
    </w:p>
    <w:p w14:paraId="4B1FE04B" w14:textId="67BCC30A" w:rsidR="006E7D9B" w:rsidRDefault="006E7D9B" w:rsidP="006E7D9B">
      <w:pPr>
        <w:pStyle w:val="Caption"/>
        <w:jc w:val="center"/>
      </w:pPr>
      <w:bookmarkStart w:id="26" w:name="_Ref467342035"/>
      <w:r>
        <w:t xml:space="preserve">Figure </w:t>
      </w:r>
      <w:r w:rsidR="00054031">
        <w:fldChar w:fldCharType="begin"/>
      </w:r>
      <w:r w:rsidR="00054031">
        <w:instrText xml:space="preserve"> SEQ Figure \* ARABIC </w:instrText>
      </w:r>
      <w:r w:rsidR="00054031">
        <w:fldChar w:fldCharType="separate"/>
      </w:r>
      <w:r w:rsidR="00E3027B">
        <w:rPr>
          <w:noProof/>
        </w:rPr>
        <w:t>5</w:t>
      </w:r>
      <w:r w:rsidR="00054031">
        <w:rPr>
          <w:noProof/>
        </w:rPr>
        <w:fldChar w:fldCharType="end"/>
      </w:r>
      <w:bookmarkEnd w:id="26"/>
      <w:r w:rsidR="00B47A09">
        <w:rPr>
          <w:noProof/>
        </w:rPr>
        <w:t>:</w:t>
      </w:r>
      <w:r>
        <w:t xml:space="preserve"> Navigant Water Energy Calculator Output Tab</w:t>
      </w:r>
    </w:p>
    <w:p w14:paraId="20EC69C0" w14:textId="77777777" w:rsidR="009508EC" w:rsidRDefault="009508EC" w:rsidP="009508EC"/>
    <w:p w14:paraId="28A1AFB0" w14:textId="77777777" w:rsidR="004D6CC5" w:rsidRPr="00EC05E7" w:rsidRDefault="004D6CC5" w:rsidP="004D6CC5">
      <w:pPr>
        <w:pStyle w:val="Heading3"/>
        <w:rPr>
          <w:rFonts w:asciiTheme="minorHAnsi" w:hAnsiTheme="minorHAnsi"/>
          <w:iCs/>
          <w:smallCaps/>
          <w:sz w:val="28"/>
          <w:szCs w:val="28"/>
        </w:rPr>
      </w:pPr>
      <w:r w:rsidRPr="00D478B2">
        <w:rPr>
          <w:rFonts w:asciiTheme="minorHAnsi" w:hAnsiTheme="minorHAnsi"/>
          <w:iCs/>
          <w:smallCaps/>
          <w:sz w:val="28"/>
          <w:szCs w:val="28"/>
        </w:rPr>
        <w:lastRenderedPageBreak/>
        <w:t>Hydrologic Region to Climate Zone Table</w:t>
      </w:r>
      <w:r w:rsidRPr="00EC05E7">
        <w:rPr>
          <w:rFonts w:asciiTheme="minorHAnsi" w:hAnsiTheme="minorHAnsi"/>
          <w:iCs/>
          <w:smallCaps/>
          <w:sz w:val="28"/>
          <w:szCs w:val="28"/>
        </w:rPr>
        <w:t xml:space="preserve"> </w:t>
      </w:r>
    </w:p>
    <w:p w14:paraId="10259B15" w14:textId="7637A570" w:rsidR="00F23A41" w:rsidRDefault="00F23A41" w:rsidP="004D6CC5">
      <w:pPr>
        <w:jc w:val="both"/>
      </w:pPr>
      <w:r>
        <w:t xml:space="preserve">Through collaboration with IOUs, </w:t>
      </w:r>
      <w:r w:rsidR="00327A7F">
        <w:t>the CPUC ED and CPUC Reporting Team</w:t>
      </w:r>
      <w:r w:rsidR="00D118C6" w:rsidRPr="00D118C6">
        <w:t>, agreement was reached on how to take existing customer data (zip code) and determine hydrologic region</w:t>
      </w:r>
      <w:r>
        <w:t>,</w:t>
      </w:r>
      <w:r w:rsidR="00D118C6" w:rsidRPr="00D118C6">
        <w:t xml:space="preserve"> which is an input </w:t>
      </w:r>
      <w:r w:rsidR="00ED797B" w:rsidRPr="00D118C6">
        <w:t>into</w:t>
      </w:r>
      <w:r w:rsidR="00D118C6" w:rsidRPr="00D118C6">
        <w:t xml:space="preserve"> the WEN Calculator. Particularly, in cases where a zip code has multiple hydrologic regions, it became difficult to assign that specific application to a hydrologic region. </w:t>
      </w:r>
      <w:r w:rsidR="00D478B2" w:rsidRPr="00C612E9">
        <w:rPr>
          <w:b/>
        </w:rPr>
        <w:t>Figures 6</w:t>
      </w:r>
      <w:r w:rsidR="00D478B2">
        <w:t xml:space="preserve"> and </w:t>
      </w:r>
      <w:r w:rsidR="00D478B2" w:rsidRPr="00C612E9">
        <w:rPr>
          <w:b/>
        </w:rPr>
        <w:t>7</w:t>
      </w:r>
      <w:r w:rsidR="00D478B2">
        <w:t xml:space="preserve"> illustrate an example of assigning a hydrological zone to a zip code that directly maps to a CEC climate zone.</w:t>
      </w:r>
    </w:p>
    <w:p w14:paraId="637CFEF7" w14:textId="77777777" w:rsidR="00512854" w:rsidRDefault="00512854" w:rsidP="00512854">
      <w:pPr>
        <w:jc w:val="both"/>
      </w:pPr>
    </w:p>
    <w:p w14:paraId="4D4E4729" w14:textId="77777777" w:rsidR="00512854" w:rsidRDefault="00512854" w:rsidP="00512854">
      <w:pPr>
        <w:jc w:val="both"/>
      </w:pPr>
    </w:p>
    <w:p w14:paraId="4F0CCC48" w14:textId="3F6900DB" w:rsidR="00512854" w:rsidRDefault="00512854" w:rsidP="00512854">
      <w:pPr>
        <w:jc w:val="center"/>
      </w:pPr>
      <w:r>
        <w:rPr>
          <w:noProof/>
        </w:rPr>
        <w:drawing>
          <wp:inline distT="0" distB="0" distL="0" distR="0" wp14:anchorId="3A52B537" wp14:editId="3A716471">
            <wp:extent cx="2957896" cy="1574384"/>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960783" cy="1575920"/>
                    </a:xfrm>
                    <a:prstGeom prst="rect">
                      <a:avLst/>
                    </a:prstGeom>
                  </pic:spPr>
                </pic:pic>
              </a:graphicData>
            </a:graphic>
          </wp:inline>
        </w:drawing>
      </w:r>
    </w:p>
    <w:p w14:paraId="73CB5FF9" w14:textId="77777777" w:rsidR="00512854" w:rsidRDefault="00512854" w:rsidP="00512854">
      <w:pPr>
        <w:ind w:left="720"/>
        <w:jc w:val="both"/>
      </w:pPr>
    </w:p>
    <w:p w14:paraId="52FB1E8C" w14:textId="34EF5CE0" w:rsidR="00261597" w:rsidRDefault="00261597" w:rsidP="00261597">
      <w:pPr>
        <w:pStyle w:val="Caption"/>
        <w:jc w:val="center"/>
      </w:pPr>
      <w:r>
        <w:t xml:space="preserve">Figure </w:t>
      </w:r>
      <w:r w:rsidR="00054031">
        <w:fldChar w:fldCharType="begin"/>
      </w:r>
      <w:r w:rsidR="00054031">
        <w:instrText xml:space="preserve"> SEQ Figure \* ARABIC </w:instrText>
      </w:r>
      <w:r w:rsidR="00054031">
        <w:fldChar w:fldCharType="separate"/>
      </w:r>
      <w:r w:rsidR="00E3027B">
        <w:rPr>
          <w:noProof/>
        </w:rPr>
        <w:t>6</w:t>
      </w:r>
      <w:r w:rsidR="00054031">
        <w:rPr>
          <w:noProof/>
        </w:rPr>
        <w:fldChar w:fldCharType="end"/>
      </w:r>
      <w:r w:rsidR="00B47A09">
        <w:rPr>
          <w:noProof/>
        </w:rPr>
        <w:t>:</w:t>
      </w:r>
      <w:r>
        <w:t xml:space="preserve"> Moss Landing Zip Code Map</w:t>
      </w:r>
      <w:r w:rsidR="00F82F9E">
        <w:t xml:space="preserve"> Bordering San Francisco Bay and Central Coast </w:t>
      </w:r>
      <w:r w:rsidR="00A966EE">
        <w:t>Hydrological</w:t>
      </w:r>
      <w:r w:rsidR="00F82F9E">
        <w:t xml:space="preserve"> Zones</w:t>
      </w:r>
    </w:p>
    <w:p w14:paraId="5C2DC8CB" w14:textId="77777777" w:rsidR="00512854" w:rsidRDefault="00512854" w:rsidP="00512854">
      <w:pPr>
        <w:ind w:left="720"/>
        <w:jc w:val="both"/>
      </w:pPr>
    </w:p>
    <w:p w14:paraId="3D1B29BB" w14:textId="4FEB1ED7" w:rsidR="00D478B2" w:rsidRDefault="00A566AE" w:rsidP="00D478B2">
      <w:pPr>
        <w:jc w:val="both"/>
      </w:pPr>
      <w:r>
        <w:t xml:space="preserve">The WEN Working Group </w:t>
      </w:r>
      <w:r w:rsidR="00D478B2">
        <w:t xml:space="preserve">collaboratively </w:t>
      </w:r>
      <w:r w:rsidR="00D478B2" w:rsidRPr="00D118C6">
        <w:t>determined that the hydrologic</w:t>
      </w:r>
      <w:r w:rsidR="00D478B2">
        <w:t>al</w:t>
      </w:r>
      <w:r w:rsidR="00D478B2" w:rsidRPr="00D118C6">
        <w:t xml:space="preserve"> region assigned to that zip code would be the one with the largest area within the zip code. </w:t>
      </w:r>
      <w:r w:rsidR="00D478B2">
        <w:t xml:space="preserve">For example, Moss Landing is located on the coast within Monterey County, California. The primary zip code used by Moss Landing is 95039. </w:t>
      </w:r>
    </w:p>
    <w:p w14:paraId="561CBC28" w14:textId="77777777" w:rsidR="00D478B2" w:rsidRDefault="00D478B2" w:rsidP="00F82F9E">
      <w:pPr>
        <w:jc w:val="both"/>
      </w:pPr>
    </w:p>
    <w:p w14:paraId="07B9CE33" w14:textId="7B32834C" w:rsidR="00261597" w:rsidRDefault="00261597" w:rsidP="00F82F9E">
      <w:pPr>
        <w:jc w:val="both"/>
      </w:pPr>
      <w:r>
        <w:t xml:space="preserve">The California Energy Commission (CEC) Climate Zone places </w:t>
      </w:r>
      <w:r w:rsidR="00D478B2">
        <w:t xml:space="preserve">Moss Landing’s </w:t>
      </w:r>
      <w:r>
        <w:t xml:space="preserve">zip code </w:t>
      </w:r>
      <w:r w:rsidR="00D478B2">
        <w:t>(</w:t>
      </w:r>
      <w:r>
        <w:t>95039</w:t>
      </w:r>
      <w:r w:rsidR="00D478B2">
        <w:t>)</w:t>
      </w:r>
      <w:r>
        <w:t xml:space="preserve"> in Climate Zone 3 as shown </w:t>
      </w:r>
      <w:r w:rsidR="001F18BE">
        <w:t>on the very left of</w:t>
      </w:r>
      <w:r>
        <w:t xml:space="preserve"> </w:t>
      </w:r>
      <w:r w:rsidRPr="00C612E9">
        <w:rPr>
          <w:b/>
        </w:rPr>
        <w:t>Figure 7</w:t>
      </w:r>
      <w:r>
        <w:t>.</w:t>
      </w:r>
      <w:r w:rsidR="001F18BE">
        <w:t xml:space="preserve"> </w:t>
      </w:r>
      <w:r w:rsidR="00A566AE">
        <w:t xml:space="preserve">Secondly, </w:t>
      </w:r>
      <w:r w:rsidR="00A566AE" w:rsidRPr="00A566AE">
        <w:t xml:space="preserve">the 10 hydrological regions are depicted in the </w:t>
      </w:r>
      <w:r w:rsidR="00A566AE">
        <w:t>middle</w:t>
      </w:r>
      <w:r w:rsidR="00A566AE" w:rsidRPr="00A566AE">
        <w:t xml:space="preserve"> of Figure 7</w:t>
      </w:r>
      <w:r w:rsidR="00A566AE">
        <w:t xml:space="preserve"> where</w:t>
      </w:r>
      <w:r w:rsidR="00A566AE" w:rsidRPr="00A566AE">
        <w:t xml:space="preserve"> </w:t>
      </w:r>
      <w:r w:rsidR="00A566AE">
        <w:t>portions of Moss Landing’s zip code map to the San Francisco Bay hydrological zone while the majority of the zip code maps to the Central Coast hydrological zone. Lastly, t</w:t>
      </w:r>
      <w:r w:rsidR="001F18BE">
        <w:t xml:space="preserve">he 16 CEC Climate Zones are shown </w:t>
      </w:r>
      <w:r w:rsidR="00A566AE">
        <w:t>o</w:t>
      </w:r>
      <w:r w:rsidR="001F18BE">
        <w:t xml:space="preserve">n the </w:t>
      </w:r>
      <w:r w:rsidR="00A566AE">
        <w:t>right</w:t>
      </w:r>
      <w:r w:rsidR="001F18BE">
        <w:t xml:space="preserve"> of Figure 7</w:t>
      </w:r>
      <w:r w:rsidR="00A566AE">
        <w:t xml:space="preserve"> where Moss Landing would be mapped to Climate Zone 3</w:t>
      </w:r>
      <w:r w:rsidR="001F18BE">
        <w:t>.</w:t>
      </w:r>
      <w:r w:rsidR="00A566AE">
        <w:t xml:space="preserve"> </w:t>
      </w:r>
    </w:p>
    <w:p w14:paraId="48D18DEA" w14:textId="7BDD6924" w:rsidR="00261597" w:rsidRDefault="00261597" w:rsidP="00512854">
      <w:pPr>
        <w:ind w:left="720"/>
        <w:jc w:val="both"/>
      </w:pPr>
    </w:p>
    <w:p w14:paraId="2C6DD374" w14:textId="61209B68" w:rsidR="00261597" w:rsidRDefault="00A566AE" w:rsidP="00261597">
      <w:pPr>
        <w:ind w:left="720"/>
      </w:pPr>
      <w:r>
        <w:rPr>
          <w:noProof/>
        </w:rPr>
        <w:drawing>
          <wp:anchor distT="0" distB="0" distL="114300" distR="114300" simplePos="0" relativeHeight="251658240" behindDoc="1" locked="0" layoutInCell="1" allowOverlap="1" wp14:anchorId="0B36BEE9" wp14:editId="6E62187A">
            <wp:simplePos x="0" y="0"/>
            <wp:positionH relativeFrom="column">
              <wp:posOffset>4264025</wp:posOffset>
            </wp:positionH>
            <wp:positionV relativeFrom="paragraph">
              <wp:posOffset>59690</wp:posOffset>
            </wp:positionV>
            <wp:extent cx="1407160" cy="1605280"/>
            <wp:effectExtent l="0" t="0" r="2540" b="0"/>
            <wp:wrapNone/>
            <wp:docPr id="11" name="Picture 11" descr="http://www.calpoly.edu/~sede/state_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alpoly.edu/~sede/state_map.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07160" cy="16052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1" locked="0" layoutInCell="1" allowOverlap="1" wp14:anchorId="2A8CE2A9" wp14:editId="792046A8">
            <wp:simplePos x="0" y="0"/>
            <wp:positionH relativeFrom="column">
              <wp:posOffset>2284095</wp:posOffset>
            </wp:positionH>
            <wp:positionV relativeFrom="paragraph">
              <wp:posOffset>27305</wp:posOffset>
            </wp:positionV>
            <wp:extent cx="1671320" cy="1704975"/>
            <wp:effectExtent l="0" t="0" r="5080" b="9525"/>
            <wp:wrapNone/>
            <wp:docPr id="5" name="Picture 5" descr="http://www.ppic.org/content/maps/intro_c2_d1_hydrocountie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pic.org/content/maps/intro_c2_d1_hydrocounties5.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71320" cy="1704975"/>
                    </a:xfrm>
                    <a:prstGeom prst="rect">
                      <a:avLst/>
                    </a:prstGeom>
                    <a:noFill/>
                    <a:ln>
                      <a:noFill/>
                    </a:ln>
                  </pic:spPr>
                </pic:pic>
              </a:graphicData>
            </a:graphic>
            <wp14:sizeRelH relativeFrom="page">
              <wp14:pctWidth>0</wp14:pctWidth>
            </wp14:sizeRelH>
            <wp14:sizeRelV relativeFrom="page">
              <wp14:pctHeight>0</wp14:pctHeight>
            </wp14:sizeRelV>
          </wp:anchor>
        </w:drawing>
      </w:r>
      <w:r w:rsidR="001F18BE">
        <w:rPr>
          <w:noProof/>
        </w:rPr>
        <mc:AlternateContent>
          <mc:Choice Requires="wps">
            <w:drawing>
              <wp:anchor distT="0" distB="0" distL="114300" distR="114300" simplePos="0" relativeHeight="251660288" behindDoc="0" locked="0" layoutInCell="1" allowOverlap="1" wp14:anchorId="1B1D3F1E" wp14:editId="65452996">
                <wp:simplePos x="0" y="0"/>
                <wp:positionH relativeFrom="column">
                  <wp:posOffset>-10160</wp:posOffset>
                </wp:positionH>
                <wp:positionV relativeFrom="paragraph">
                  <wp:posOffset>725805</wp:posOffset>
                </wp:positionV>
                <wp:extent cx="1833880" cy="96520"/>
                <wp:effectExtent l="0" t="0" r="13970" b="17780"/>
                <wp:wrapNone/>
                <wp:docPr id="13" name="Rectangle 13"/>
                <wp:cNvGraphicFramePr/>
                <a:graphic xmlns:a="http://schemas.openxmlformats.org/drawingml/2006/main">
                  <a:graphicData uri="http://schemas.microsoft.com/office/word/2010/wordprocessingShape">
                    <wps:wsp>
                      <wps:cNvSpPr/>
                      <wps:spPr>
                        <a:xfrm>
                          <a:off x="0" y="0"/>
                          <a:ext cx="1833880" cy="96520"/>
                        </a:xfrm>
                        <a:prstGeom prst="rect">
                          <a:avLst/>
                        </a:prstGeom>
                        <a:solidFill>
                          <a:srgbClr val="FF0000">
                            <a:alpha val="0"/>
                          </a:srgb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E3F7D8" id="Rectangle 13" o:spid="_x0000_s1026" style="position:absolute;margin-left:-.8pt;margin-top:57.15pt;width:144.4pt;height:7.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" fillcolor="red" strokecolor="red" strokeweight="2pt">
                <v:fill opacity="0"/>
              </v:rect>
            </w:pict>
          </mc:Fallback>
        </mc:AlternateContent>
      </w:r>
      <w:r w:rsidR="001F18BE">
        <w:rPr>
          <w:noProof/>
        </w:rPr>
        <w:drawing>
          <wp:anchor distT="0" distB="0" distL="114300" distR="114300" simplePos="0" relativeHeight="251659264" behindDoc="1" locked="0" layoutInCell="1" allowOverlap="1" wp14:anchorId="614D1B9A" wp14:editId="3CE6AEF3">
            <wp:simplePos x="0" y="0"/>
            <wp:positionH relativeFrom="column">
              <wp:posOffset>-10160</wp:posOffset>
            </wp:positionH>
            <wp:positionV relativeFrom="paragraph">
              <wp:posOffset>29845</wp:posOffset>
            </wp:positionV>
            <wp:extent cx="1833880" cy="1579880"/>
            <wp:effectExtent l="0" t="0" r="0" b="127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1833880" cy="1579880"/>
                    </a:xfrm>
                    <a:prstGeom prst="rect">
                      <a:avLst/>
                    </a:prstGeom>
                  </pic:spPr>
                </pic:pic>
              </a:graphicData>
            </a:graphic>
            <wp14:sizeRelH relativeFrom="page">
              <wp14:pctWidth>0</wp14:pctWidth>
            </wp14:sizeRelH>
            <wp14:sizeRelV relativeFrom="page">
              <wp14:pctHeight>0</wp14:pctHeight>
            </wp14:sizeRelV>
          </wp:anchor>
        </w:drawing>
      </w:r>
    </w:p>
    <w:p w14:paraId="3472E5CD" w14:textId="4B587F84" w:rsidR="00261597" w:rsidRDefault="00261597" w:rsidP="00261597">
      <w:pPr>
        <w:ind w:left="720"/>
      </w:pPr>
    </w:p>
    <w:p w14:paraId="36E6B35A" w14:textId="66CBA2C6" w:rsidR="00261597" w:rsidRDefault="00261597" w:rsidP="00261597">
      <w:pPr>
        <w:ind w:left="720"/>
      </w:pPr>
    </w:p>
    <w:p w14:paraId="1112AE65" w14:textId="77777777" w:rsidR="00261597" w:rsidRDefault="00261597" w:rsidP="00512854">
      <w:pPr>
        <w:ind w:left="720"/>
        <w:jc w:val="both"/>
      </w:pPr>
    </w:p>
    <w:p w14:paraId="11A65FD3" w14:textId="1B9DC984" w:rsidR="00261597" w:rsidRDefault="001F18BE" w:rsidP="00512854">
      <w:pPr>
        <w:ind w:left="720"/>
        <w:jc w:val="both"/>
      </w:pPr>
      <w:r>
        <w:rPr>
          <w:noProof/>
        </w:rPr>
        <mc:AlternateContent>
          <mc:Choice Requires="wps">
            <w:drawing>
              <wp:anchor distT="0" distB="0" distL="114300" distR="114300" simplePos="0" relativeHeight="251661312" behindDoc="0" locked="0" layoutInCell="1" allowOverlap="1" wp14:anchorId="3CCFDAFA" wp14:editId="0B4C8F5D">
                <wp:simplePos x="0" y="0"/>
                <wp:positionH relativeFrom="column">
                  <wp:posOffset>1828800</wp:posOffset>
                </wp:positionH>
                <wp:positionV relativeFrom="paragraph">
                  <wp:posOffset>80388</wp:posOffset>
                </wp:positionV>
                <wp:extent cx="858795" cy="197708"/>
                <wp:effectExtent l="0" t="0" r="74930" b="88265"/>
                <wp:wrapNone/>
                <wp:docPr id="14" name="Straight Arrow Connector 14"/>
                <wp:cNvGraphicFramePr/>
                <a:graphic xmlns:a="http://schemas.openxmlformats.org/drawingml/2006/main">
                  <a:graphicData uri="http://schemas.microsoft.com/office/word/2010/wordprocessingShape">
                    <wps:wsp>
                      <wps:cNvCnPr/>
                      <wps:spPr>
                        <a:xfrm>
                          <a:off x="0" y="0"/>
                          <a:ext cx="858795" cy="197708"/>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07833CF" id="_x0000_t32" coordsize="21600,21600" o:spt="32" o:oned="t" path="m,l21600,21600e" filled="f">
                <v:path arrowok="t" fillok="f" o:connecttype="none"/>
                <o:lock v:ext="edit" shapetype="t"/>
              </v:shapetype>
              <v:shape id="Straight Arrow Connector 14" o:spid="_x0000_s1026" type="#_x0000_t32" style="position:absolute;margin-left:2in;margin-top:6.35pt;width:67.6pt;height:1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" strokecolor="red">
                <v:stroke endarrow="open"/>
              </v:shape>
            </w:pict>
          </mc:Fallback>
        </mc:AlternateContent>
      </w:r>
    </w:p>
    <w:p w14:paraId="36B6D341" w14:textId="2A0F4713" w:rsidR="00261597" w:rsidRDefault="001F18BE" w:rsidP="00512854">
      <w:pPr>
        <w:ind w:left="720"/>
        <w:jc w:val="both"/>
      </w:pPr>
      <w:r>
        <w:rPr>
          <w:noProof/>
        </w:rPr>
        <mc:AlternateContent>
          <mc:Choice Requires="wps">
            <w:drawing>
              <wp:anchor distT="0" distB="0" distL="114300" distR="114300" simplePos="0" relativeHeight="251664384" behindDoc="0" locked="0" layoutInCell="1" allowOverlap="1" wp14:anchorId="0B41E0A6" wp14:editId="188CC0EA">
                <wp:simplePos x="0" y="0"/>
                <wp:positionH relativeFrom="column">
                  <wp:posOffset>3898557</wp:posOffset>
                </wp:positionH>
                <wp:positionV relativeFrom="paragraph">
                  <wp:posOffset>107281</wp:posOffset>
                </wp:positionV>
                <wp:extent cx="685800" cy="0"/>
                <wp:effectExtent l="0" t="76200" r="19050" b="114300"/>
                <wp:wrapNone/>
                <wp:docPr id="7" name="Straight Arrow Connector 7"/>
                <wp:cNvGraphicFramePr/>
                <a:graphic xmlns:a="http://schemas.openxmlformats.org/drawingml/2006/main">
                  <a:graphicData uri="http://schemas.microsoft.com/office/word/2010/wordprocessingShape">
                    <wps:wsp>
                      <wps:cNvCnPr/>
                      <wps:spPr>
                        <a:xfrm>
                          <a:off x="0" y="0"/>
                          <a:ext cx="685800" cy="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11D699" id="Straight Arrow Connector 7" o:spid="_x0000_s1026" type="#_x0000_t32" style="position:absolute;margin-left:306.95pt;margin-top:8.45pt;width:54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" strokecolor="red">
                <v:stroke endarrow="open"/>
              </v:shape>
            </w:pict>
          </mc:Fallback>
        </mc:AlternateContent>
      </w:r>
    </w:p>
    <w:p w14:paraId="1ED347E5" w14:textId="77777777" w:rsidR="00261597" w:rsidRDefault="00261597" w:rsidP="00512854">
      <w:pPr>
        <w:ind w:left="720"/>
        <w:jc w:val="both"/>
      </w:pPr>
    </w:p>
    <w:p w14:paraId="2A79E985" w14:textId="4E7F8B04" w:rsidR="00261597" w:rsidRDefault="00261597" w:rsidP="00512854">
      <w:pPr>
        <w:ind w:left="720"/>
        <w:jc w:val="both"/>
      </w:pPr>
    </w:p>
    <w:p w14:paraId="2200582D" w14:textId="77777777" w:rsidR="00261597" w:rsidRDefault="00261597" w:rsidP="00512854">
      <w:pPr>
        <w:ind w:left="720"/>
        <w:jc w:val="both"/>
      </w:pPr>
    </w:p>
    <w:p w14:paraId="02438D6B" w14:textId="77777777" w:rsidR="00261597" w:rsidRDefault="00261597" w:rsidP="00512854">
      <w:pPr>
        <w:ind w:left="720"/>
        <w:jc w:val="both"/>
      </w:pPr>
    </w:p>
    <w:p w14:paraId="7494F7E4" w14:textId="77777777" w:rsidR="00261597" w:rsidRDefault="00261597" w:rsidP="00512854">
      <w:pPr>
        <w:ind w:left="720"/>
        <w:jc w:val="both"/>
      </w:pPr>
    </w:p>
    <w:p w14:paraId="7691C139" w14:textId="7B0CD007" w:rsidR="00261597" w:rsidRDefault="00261597" w:rsidP="00261597">
      <w:pPr>
        <w:pStyle w:val="Caption"/>
        <w:jc w:val="center"/>
      </w:pPr>
      <w:r>
        <w:t xml:space="preserve">Figure </w:t>
      </w:r>
      <w:r w:rsidR="00054031">
        <w:fldChar w:fldCharType="begin"/>
      </w:r>
      <w:r w:rsidR="00054031">
        <w:instrText xml:space="preserve"> SEQ Figure \* ARABIC </w:instrText>
      </w:r>
      <w:r w:rsidR="00054031">
        <w:fldChar w:fldCharType="separate"/>
      </w:r>
      <w:r w:rsidR="00E3027B">
        <w:rPr>
          <w:noProof/>
        </w:rPr>
        <w:t>7</w:t>
      </w:r>
      <w:r w:rsidR="00054031">
        <w:rPr>
          <w:noProof/>
        </w:rPr>
        <w:fldChar w:fldCharType="end"/>
      </w:r>
      <w:r w:rsidR="00B47A09">
        <w:rPr>
          <w:noProof/>
        </w:rPr>
        <w:t>:</w:t>
      </w:r>
      <w:r>
        <w:t xml:space="preserve"> CEC Zip Code to </w:t>
      </w:r>
      <w:r w:rsidR="00B47A09">
        <w:t>Hyd</w:t>
      </w:r>
      <w:r w:rsidR="004E7949">
        <w:t>r</w:t>
      </w:r>
      <w:r w:rsidR="00B47A09">
        <w:t xml:space="preserve">ological Zone to </w:t>
      </w:r>
      <w:r>
        <w:t>Climate Zone Mapping</w:t>
      </w:r>
    </w:p>
    <w:p w14:paraId="32B0DCF1" w14:textId="77777777" w:rsidR="00CC08B0" w:rsidRDefault="00CC08B0" w:rsidP="00261597">
      <w:pPr>
        <w:jc w:val="both"/>
      </w:pPr>
    </w:p>
    <w:p w14:paraId="4061DFED" w14:textId="5F18D544" w:rsidR="00261597" w:rsidRDefault="00E069C5" w:rsidP="00261597">
      <w:pPr>
        <w:jc w:val="both"/>
      </w:pPr>
      <w:r>
        <w:lastRenderedPageBreak/>
        <w:t>D</w:t>
      </w:r>
      <w:r w:rsidR="00F82F9E">
        <w:t xml:space="preserve">espite being </w:t>
      </w:r>
      <w:r w:rsidR="00151E3E">
        <w:t>near the coast and having both San Francisco Bay (SF) and Central Coast (CC) hydro</w:t>
      </w:r>
      <w:r w:rsidR="00C91A3D">
        <w:t>logical</w:t>
      </w:r>
      <w:r w:rsidR="00151E3E">
        <w:t xml:space="preserve"> zones as possible options for zip code 95039, CC has the largest hydrologic region assigned to zip code </w:t>
      </w:r>
      <w:r w:rsidR="00C91A3D">
        <w:t>95039.</w:t>
      </w:r>
      <w:r w:rsidR="00151E3E">
        <w:t xml:space="preserve"> </w:t>
      </w:r>
      <w:r w:rsidR="00C91A3D">
        <w:t>T</w:t>
      </w:r>
      <w:r w:rsidR="00151E3E">
        <w:t xml:space="preserve">herefore, </w:t>
      </w:r>
      <w:r>
        <w:t>based on the WEN Working Group</w:t>
      </w:r>
      <w:r w:rsidR="00491F86">
        <w:t>’s</w:t>
      </w:r>
      <w:r>
        <w:t xml:space="preserve"> agreed upon approach, </w:t>
      </w:r>
      <w:r w:rsidR="00151E3E">
        <w:t xml:space="preserve">CC </w:t>
      </w:r>
      <w:r w:rsidR="00C91A3D">
        <w:t xml:space="preserve">would be used </w:t>
      </w:r>
      <w:r w:rsidR="00151E3E">
        <w:t>as the hydro</w:t>
      </w:r>
      <w:r w:rsidR="00C91A3D">
        <w:t>logical</w:t>
      </w:r>
      <w:r w:rsidR="00151E3E">
        <w:t xml:space="preserve"> zone mapped to CEC Climate Zone 3</w:t>
      </w:r>
      <w:r w:rsidR="00C91A3D">
        <w:t xml:space="preserve"> because CC is the largest hydrological zone within the </w:t>
      </w:r>
      <w:r w:rsidR="00ED797B">
        <w:t>95039-zip</w:t>
      </w:r>
      <w:r w:rsidR="00C91A3D">
        <w:t xml:space="preserve"> code</w:t>
      </w:r>
      <w:r w:rsidR="00151E3E">
        <w:t xml:space="preserve">. </w:t>
      </w:r>
    </w:p>
    <w:p w14:paraId="570EDFC0" w14:textId="77777777" w:rsidR="00261597" w:rsidRDefault="00261597" w:rsidP="00261597">
      <w:pPr>
        <w:jc w:val="both"/>
      </w:pPr>
    </w:p>
    <w:p w14:paraId="39218341" w14:textId="41880BF5" w:rsidR="00C91A3D" w:rsidRDefault="000038A0" w:rsidP="00C91A3D">
      <w:pPr>
        <w:jc w:val="both"/>
      </w:pPr>
      <w:r>
        <w:rPr>
          <w:b/>
        </w:rPr>
        <w:fldChar w:fldCharType="begin"/>
      </w:r>
      <w:r>
        <w:rPr>
          <w:b/>
        </w:rPr>
        <w:instrText xml:space="preserve"> REF _Ref477778884 \h </w:instrText>
      </w:r>
      <w:r>
        <w:rPr>
          <w:b/>
        </w:rPr>
      </w:r>
      <w:r>
        <w:rPr>
          <w:b/>
        </w:rPr>
        <w:fldChar w:fldCharType="separate"/>
      </w:r>
      <w:r w:rsidRPr="00C91A3D">
        <w:rPr>
          <w:b/>
        </w:rPr>
        <w:t xml:space="preserve">Table </w:t>
      </w:r>
      <w:r>
        <w:rPr>
          <w:b/>
          <w:noProof/>
        </w:rPr>
        <w:t>8</w:t>
      </w:r>
      <w:r>
        <w:rPr>
          <w:b/>
        </w:rPr>
        <w:fldChar w:fldCharType="end"/>
      </w:r>
      <w:r w:rsidR="004E7949">
        <w:rPr>
          <w:b/>
        </w:rPr>
        <w:t xml:space="preserve"> </w:t>
      </w:r>
      <w:r w:rsidR="00C91A3D">
        <w:t>is an example</w:t>
      </w:r>
      <w:r w:rsidR="00C91A3D" w:rsidRPr="00D118C6">
        <w:t xml:space="preserve"> of </w:t>
      </w:r>
      <w:r w:rsidR="00C91A3D">
        <w:t xml:space="preserve">how </w:t>
      </w:r>
      <w:r w:rsidR="00C91A3D" w:rsidRPr="00D118C6">
        <w:t>the zip to hydrologic region look-up table that will be used to understand the geographic variations in the number of measure installations by hydrologic region, water savings by hydrologic region, embedded energy savings by hydrologic region, etc. The full list is available in</w:t>
      </w:r>
      <w:r w:rsidR="00C91A3D">
        <w:t xml:space="preserve"> the attachments section.</w:t>
      </w:r>
    </w:p>
    <w:p w14:paraId="27D353F1" w14:textId="77777777" w:rsidR="00165678" w:rsidRDefault="00165678" w:rsidP="00C91A3D">
      <w:pPr>
        <w:jc w:val="both"/>
      </w:pPr>
    </w:p>
    <w:p w14:paraId="7A806F4D" w14:textId="0D6E7E67" w:rsidR="006A0DE4" w:rsidRPr="00C91A3D" w:rsidRDefault="00C91A3D" w:rsidP="00C91A3D">
      <w:pPr>
        <w:jc w:val="center"/>
        <w:rPr>
          <w:b/>
        </w:rPr>
      </w:pPr>
      <w:bookmarkStart w:id="27" w:name="_Ref477778884"/>
      <w:r w:rsidRPr="00C91A3D">
        <w:rPr>
          <w:b/>
        </w:rPr>
        <w:t xml:space="preserve">Table </w:t>
      </w:r>
      <w:r w:rsidRPr="00C91A3D">
        <w:rPr>
          <w:b/>
        </w:rPr>
        <w:fldChar w:fldCharType="begin"/>
      </w:r>
      <w:r w:rsidRPr="00C91A3D">
        <w:rPr>
          <w:b/>
        </w:rPr>
        <w:instrText xml:space="preserve"> SEQ Table \* ARABIC </w:instrText>
      </w:r>
      <w:r w:rsidRPr="00C91A3D">
        <w:rPr>
          <w:b/>
        </w:rPr>
        <w:fldChar w:fldCharType="separate"/>
      </w:r>
      <w:r w:rsidR="00602E9A">
        <w:rPr>
          <w:b/>
          <w:noProof/>
        </w:rPr>
        <w:t>8</w:t>
      </w:r>
      <w:r w:rsidRPr="00C91A3D">
        <w:rPr>
          <w:b/>
          <w:noProof/>
        </w:rPr>
        <w:fldChar w:fldCharType="end"/>
      </w:r>
      <w:bookmarkEnd w:id="27"/>
      <w:r w:rsidR="004E7949">
        <w:rPr>
          <w:b/>
          <w:noProof/>
        </w:rPr>
        <w:t>:</w:t>
      </w:r>
      <w:r w:rsidRPr="00C91A3D">
        <w:rPr>
          <w:b/>
        </w:rPr>
        <w:t xml:space="preserve"> Proposed Water Measure Table</w:t>
      </w:r>
    </w:p>
    <w:tbl>
      <w:tblPr>
        <w:tblStyle w:val="TableGrid"/>
        <w:tblW w:w="8473" w:type="dxa"/>
        <w:jc w:val="center"/>
        <w:tblLook w:val="04A0" w:firstRow="1" w:lastRow="0" w:firstColumn="1" w:lastColumn="0" w:noHBand="0" w:noVBand="1"/>
      </w:tblPr>
      <w:tblGrid>
        <w:gridCol w:w="1093"/>
        <w:gridCol w:w="3060"/>
        <w:gridCol w:w="2880"/>
        <w:gridCol w:w="1440"/>
      </w:tblGrid>
      <w:tr w:rsidR="00C91A3D" w14:paraId="28B3467F" w14:textId="77777777" w:rsidTr="00165678">
        <w:trPr>
          <w:jc w:val="center"/>
        </w:trPr>
        <w:tc>
          <w:tcPr>
            <w:tcW w:w="1093" w:type="dxa"/>
          </w:tcPr>
          <w:p w14:paraId="105601A7" w14:textId="7DFEE4B8" w:rsidR="00C91A3D" w:rsidRPr="00F16188" w:rsidRDefault="00F16188" w:rsidP="00F16188">
            <w:pPr>
              <w:jc w:val="center"/>
              <w:rPr>
                <w:b/>
              </w:rPr>
            </w:pPr>
            <w:r w:rsidRPr="00F16188">
              <w:rPr>
                <w:b/>
              </w:rPr>
              <w:t>Zip-</w:t>
            </w:r>
            <w:r w:rsidR="00C91A3D" w:rsidRPr="00F16188">
              <w:rPr>
                <w:b/>
              </w:rPr>
              <w:t>Code</w:t>
            </w:r>
          </w:p>
        </w:tc>
        <w:tc>
          <w:tcPr>
            <w:tcW w:w="3060" w:type="dxa"/>
          </w:tcPr>
          <w:p w14:paraId="28663C6E" w14:textId="295B1954" w:rsidR="00C91A3D" w:rsidRPr="00F16188" w:rsidRDefault="00C91A3D" w:rsidP="00F16188">
            <w:pPr>
              <w:jc w:val="center"/>
              <w:rPr>
                <w:b/>
              </w:rPr>
            </w:pPr>
            <w:r w:rsidRPr="00F16188">
              <w:rPr>
                <w:b/>
              </w:rPr>
              <w:t>Possible</w:t>
            </w:r>
            <w:r w:rsidR="00165678">
              <w:rPr>
                <w:b/>
              </w:rPr>
              <w:t xml:space="preserve"> </w:t>
            </w:r>
            <w:r w:rsidRPr="00F16188">
              <w:rPr>
                <w:b/>
              </w:rPr>
              <w:t>Hydrologic</w:t>
            </w:r>
            <w:r w:rsidR="00165678">
              <w:rPr>
                <w:b/>
              </w:rPr>
              <w:t xml:space="preserve"> </w:t>
            </w:r>
            <w:r w:rsidRPr="00F16188">
              <w:rPr>
                <w:b/>
              </w:rPr>
              <w:t>Regions</w:t>
            </w:r>
          </w:p>
        </w:tc>
        <w:tc>
          <w:tcPr>
            <w:tcW w:w="2880" w:type="dxa"/>
          </w:tcPr>
          <w:p w14:paraId="2D07497C" w14:textId="4E8C0876" w:rsidR="00C91A3D" w:rsidRPr="00F16188" w:rsidRDefault="00C91A3D" w:rsidP="00F16188">
            <w:pPr>
              <w:jc w:val="center"/>
              <w:rPr>
                <w:b/>
              </w:rPr>
            </w:pPr>
            <w:r w:rsidRPr="00F16188">
              <w:rPr>
                <w:b/>
              </w:rPr>
              <w:t>Largest</w:t>
            </w:r>
            <w:r w:rsidR="00165678">
              <w:rPr>
                <w:b/>
              </w:rPr>
              <w:t xml:space="preserve"> </w:t>
            </w:r>
            <w:r w:rsidRPr="00F16188">
              <w:rPr>
                <w:b/>
              </w:rPr>
              <w:t>Hydrological</w:t>
            </w:r>
            <w:r w:rsidR="00165678">
              <w:rPr>
                <w:b/>
              </w:rPr>
              <w:t xml:space="preserve"> </w:t>
            </w:r>
            <w:r w:rsidRPr="00F16188">
              <w:rPr>
                <w:b/>
              </w:rPr>
              <w:t>Region</w:t>
            </w:r>
            <w:r w:rsidR="00165678">
              <w:rPr>
                <w:b/>
              </w:rPr>
              <w:t xml:space="preserve"> Assigned to Zip Code</w:t>
            </w:r>
          </w:p>
        </w:tc>
        <w:tc>
          <w:tcPr>
            <w:tcW w:w="1440" w:type="dxa"/>
          </w:tcPr>
          <w:p w14:paraId="6952385F" w14:textId="3CF57E01" w:rsidR="00C91A3D" w:rsidRPr="00F16188" w:rsidRDefault="00F16188" w:rsidP="00F16188">
            <w:pPr>
              <w:jc w:val="center"/>
              <w:rPr>
                <w:b/>
              </w:rPr>
            </w:pPr>
            <w:r w:rsidRPr="00F16188">
              <w:rPr>
                <w:b/>
              </w:rPr>
              <w:t>Climate-</w:t>
            </w:r>
            <w:r w:rsidR="00C91A3D" w:rsidRPr="00F16188">
              <w:rPr>
                <w:b/>
              </w:rPr>
              <w:t>Zone</w:t>
            </w:r>
          </w:p>
        </w:tc>
      </w:tr>
      <w:tr w:rsidR="00C91A3D" w14:paraId="1DA5F798" w14:textId="77777777" w:rsidTr="00165678">
        <w:trPr>
          <w:jc w:val="center"/>
        </w:trPr>
        <w:tc>
          <w:tcPr>
            <w:tcW w:w="1093" w:type="dxa"/>
          </w:tcPr>
          <w:p w14:paraId="6D83055D" w14:textId="0EADB32E" w:rsidR="00C91A3D" w:rsidRDefault="00C91A3D" w:rsidP="00165678">
            <w:pPr>
              <w:jc w:val="center"/>
            </w:pPr>
            <w:r>
              <w:t>95039</w:t>
            </w:r>
          </w:p>
        </w:tc>
        <w:tc>
          <w:tcPr>
            <w:tcW w:w="3060" w:type="dxa"/>
          </w:tcPr>
          <w:p w14:paraId="102AD995" w14:textId="555F81E3" w:rsidR="00C91A3D" w:rsidRPr="00C91A3D" w:rsidRDefault="00C91A3D" w:rsidP="00165678">
            <w:pPr>
              <w:jc w:val="center"/>
            </w:pPr>
            <w:r w:rsidRPr="00C91A3D">
              <w:t>SF, CC</w:t>
            </w:r>
          </w:p>
        </w:tc>
        <w:tc>
          <w:tcPr>
            <w:tcW w:w="2880" w:type="dxa"/>
          </w:tcPr>
          <w:p w14:paraId="4DC5741A" w14:textId="6A486131" w:rsidR="00C91A3D" w:rsidRDefault="00165678" w:rsidP="00165678">
            <w:pPr>
              <w:jc w:val="center"/>
            </w:pPr>
            <w:r>
              <w:t>CC</w:t>
            </w:r>
          </w:p>
        </w:tc>
        <w:tc>
          <w:tcPr>
            <w:tcW w:w="1440" w:type="dxa"/>
          </w:tcPr>
          <w:p w14:paraId="779B3920" w14:textId="0B9AD40B" w:rsidR="00C91A3D" w:rsidRDefault="00C91A3D" w:rsidP="00165678">
            <w:pPr>
              <w:jc w:val="center"/>
            </w:pPr>
            <w:r>
              <w:t>CZ 3</w:t>
            </w:r>
          </w:p>
        </w:tc>
      </w:tr>
    </w:tbl>
    <w:p w14:paraId="2C3ADD8D" w14:textId="25FA4BEF" w:rsidR="006A0DE4" w:rsidRDefault="006A0DE4" w:rsidP="004D6CC5">
      <w:pPr>
        <w:jc w:val="both"/>
      </w:pPr>
    </w:p>
    <w:p w14:paraId="3808B674" w14:textId="283A472B" w:rsidR="008A2813" w:rsidRPr="008E17D4" w:rsidRDefault="008A2813" w:rsidP="004D6CC5">
      <w:pPr>
        <w:jc w:val="both"/>
        <w:rPr>
          <w:rFonts w:cs="Arial"/>
          <w:b/>
          <w:bCs/>
          <w:sz w:val="26"/>
          <w:szCs w:val="26"/>
        </w:rPr>
      </w:pPr>
      <w:r w:rsidRPr="008E17D4">
        <w:rPr>
          <w:rFonts w:cs="Arial"/>
          <w:b/>
          <w:bCs/>
          <w:sz w:val="26"/>
          <w:szCs w:val="26"/>
        </w:rPr>
        <w:t>Reporting for WEN WP Measures</w:t>
      </w:r>
    </w:p>
    <w:p w14:paraId="414C5CE7" w14:textId="77777777" w:rsidR="008A2813" w:rsidRDefault="008A2813" w:rsidP="00D840DB">
      <w:r>
        <w:t xml:space="preserve">Although the </w:t>
      </w:r>
      <w:r w:rsidR="00D840DB">
        <w:t xml:space="preserve">WEN </w:t>
      </w:r>
      <w:r>
        <w:t>calculator originally was developed for use in energy efficiency portfolio and project development, the tool solely calculates embedded water energy savings and currently does not integrate into the E3 or CET calculator tools to quantify cost-effectiveness. C</w:t>
      </w:r>
      <w:r w:rsidRPr="009508EC">
        <w:t>ommissioner Sandoval's Proposed Decision on Updating the Water Energy Nexus (R.13-12-011)</w:t>
      </w:r>
      <w:r>
        <w:t xml:space="preserve"> finding of fact indicated the following:</w:t>
      </w:r>
    </w:p>
    <w:p w14:paraId="2994DED0" w14:textId="77777777" w:rsidR="008A2813" w:rsidRDefault="008A2813" w:rsidP="008A2813"/>
    <w:p w14:paraId="4F34A3AF" w14:textId="77777777" w:rsidR="008A2813" w:rsidRDefault="008A2813" w:rsidP="00226D53">
      <w:pPr>
        <w:pStyle w:val="ListParagraph"/>
        <w:numPr>
          <w:ilvl w:val="0"/>
          <w:numId w:val="11"/>
        </w:numPr>
      </w:pPr>
      <w:r>
        <w:t>A calculation, exogenous to the current version of the WEN Calculator must be performed to access the E3 Cost Effectiveness Calculator for mainstream EE program development.</w:t>
      </w:r>
    </w:p>
    <w:p w14:paraId="31784D69" w14:textId="77777777" w:rsidR="008A2813" w:rsidRDefault="008A2813" w:rsidP="00226D53">
      <w:pPr>
        <w:pStyle w:val="ListParagraph"/>
        <w:numPr>
          <w:ilvl w:val="0"/>
          <w:numId w:val="11"/>
        </w:numPr>
      </w:pPr>
      <w:r>
        <w:t>A calculation, exogenous to the current version of the WEN Calculator must be performed to determine GHG emissions saved from WEN energy efficiency programs</w:t>
      </w:r>
    </w:p>
    <w:p w14:paraId="6F3E9101" w14:textId="77777777" w:rsidR="008A2813" w:rsidRDefault="008A2813" w:rsidP="00226D53">
      <w:pPr>
        <w:pStyle w:val="ListParagraph"/>
        <w:numPr>
          <w:ilvl w:val="0"/>
          <w:numId w:val="11"/>
        </w:numPr>
      </w:pPr>
      <w:r>
        <w:t>The investor-owned energy utilities must use all 3 calculators to determine the GHG emissions reductions of WEN energy efficiency programs.</w:t>
      </w:r>
    </w:p>
    <w:p w14:paraId="6CE5EAF0" w14:textId="77777777" w:rsidR="008C5307" w:rsidRDefault="008C5307" w:rsidP="008A2813"/>
    <w:p w14:paraId="4E4DC7BA" w14:textId="77777777" w:rsidR="008A2813" w:rsidRDefault="008A2813" w:rsidP="008A2813">
      <w:r>
        <w:t xml:space="preserve">Additionally, as indicated in the Navigant Report, </w:t>
      </w:r>
    </w:p>
    <w:p w14:paraId="18F407DC" w14:textId="77777777" w:rsidR="008A2813" w:rsidRDefault="008A2813" w:rsidP="008A2813">
      <w:pPr>
        <w:ind w:left="720"/>
      </w:pPr>
    </w:p>
    <w:p w14:paraId="64DE3BDE" w14:textId="18B5D503" w:rsidR="008A2813" w:rsidRDefault="00C612E9" w:rsidP="008A2813">
      <w:pPr>
        <w:ind w:left="720"/>
      </w:pPr>
      <w:r>
        <w:t>“</w:t>
      </w:r>
      <w:r w:rsidR="008A2813">
        <w:t>to the extent possible, measure‐specific data (e.g., energy impacts, net‐to‐gross ratios, costs and useful lives) used in the calculation of the TRC and PAC tests should be taken from the most up‐to‐date version of the Database for Energy Efficiency Resources (DEER). As water‐energy considerations enter the CPUC cost‐effectiveness framework, DEER will need to be updated to store new water‐related information.</w:t>
      </w:r>
      <w:r>
        <w:t>”</w:t>
      </w:r>
      <w:r w:rsidR="008A2813">
        <w:t xml:space="preserve"> </w:t>
      </w:r>
    </w:p>
    <w:p w14:paraId="3CAB8F49" w14:textId="77777777" w:rsidR="008A2813" w:rsidRPr="008A2813" w:rsidRDefault="008A2813" w:rsidP="008A2813"/>
    <w:p w14:paraId="1CA4C2FB" w14:textId="14AA95A4" w:rsidR="008A2813" w:rsidRDefault="00D840DB" w:rsidP="008A2813">
      <w:r>
        <w:t xml:space="preserve">In November 2016, </w:t>
      </w:r>
      <w:r w:rsidR="008A2813">
        <w:t>Energy Division’s Energy Efficiency</w:t>
      </w:r>
      <w:r w:rsidR="00327A7F">
        <w:t xml:space="preserve"> Data Management and Reporting T</w:t>
      </w:r>
      <w:r w:rsidR="008A2813">
        <w:t xml:space="preserve">eam was asked to work with Water-Energy stakeholders, including IOU program managers, to propose a method for reporting savings claims for “embedded” energy savings derived from </w:t>
      </w:r>
      <w:r>
        <w:t>WEN</w:t>
      </w:r>
      <w:r w:rsidR="008A2813">
        <w:t xml:space="preserve"> measures. The overarching goals were to:</w:t>
      </w:r>
    </w:p>
    <w:p w14:paraId="77D8DA64" w14:textId="77777777" w:rsidR="008A2813" w:rsidRDefault="008A2813" w:rsidP="008A2813"/>
    <w:p w14:paraId="553F2BE8" w14:textId="77777777" w:rsidR="00D840DB" w:rsidRDefault="008A2813" w:rsidP="00226D53">
      <w:pPr>
        <w:pStyle w:val="ListParagraph"/>
        <w:numPr>
          <w:ilvl w:val="0"/>
          <w:numId w:val="12"/>
        </w:numPr>
      </w:pPr>
      <w:r>
        <w:t>Minimize changes to the current EE program tracking claims reporting structure;</w:t>
      </w:r>
    </w:p>
    <w:p w14:paraId="73844D9A" w14:textId="77777777" w:rsidR="00D840DB" w:rsidRDefault="008A2813" w:rsidP="00226D53">
      <w:pPr>
        <w:pStyle w:val="ListParagraph"/>
        <w:numPr>
          <w:ilvl w:val="0"/>
          <w:numId w:val="12"/>
        </w:numPr>
        <w:spacing w:after="240"/>
      </w:pPr>
      <w:r>
        <w:t>Minimize unnecessary fields which result in excessive 'blank' values for non-water measures;</w:t>
      </w:r>
      <w:r w:rsidR="00D840DB">
        <w:t xml:space="preserve"> and</w:t>
      </w:r>
    </w:p>
    <w:p w14:paraId="35A2037C" w14:textId="77777777" w:rsidR="008A2813" w:rsidRDefault="008A2813" w:rsidP="00226D53">
      <w:pPr>
        <w:pStyle w:val="ListParagraph"/>
        <w:numPr>
          <w:ilvl w:val="0"/>
          <w:numId w:val="12"/>
        </w:numPr>
        <w:spacing w:after="240"/>
      </w:pPr>
      <w:r>
        <w:lastRenderedPageBreak/>
        <w:t>Allow very clear alignment of the resource measure (i.e. low-flow showerhead) and the water-energy measure.</w:t>
      </w:r>
    </w:p>
    <w:p w14:paraId="11F77284" w14:textId="77777777" w:rsidR="000502E3" w:rsidRDefault="008A2813" w:rsidP="00E3027B">
      <w:pPr>
        <w:spacing w:after="240"/>
      </w:pPr>
      <w:r>
        <w:t xml:space="preserve">After a discussion with the </w:t>
      </w:r>
      <w:r w:rsidR="00327A7F">
        <w:t>WEN Working G</w:t>
      </w:r>
      <w:r>
        <w:t xml:space="preserve">roup, where the team learned details about an upcoming </w:t>
      </w:r>
      <w:r w:rsidR="000C04BC">
        <w:t>wp</w:t>
      </w:r>
      <w:r>
        <w:t xml:space="preserve"> submission, it was determined that an appropriate reporting approach would be to create a secondary measure for the embedded savings associated with the water measure.  While the water measure reports on-site energy savings, this secondary measure would </w:t>
      </w:r>
      <w:r w:rsidR="008E17D4">
        <w:t xml:space="preserve">solely report embedded savings. </w:t>
      </w:r>
    </w:p>
    <w:p w14:paraId="2DA01500" w14:textId="406F896A" w:rsidR="00327A7F" w:rsidRDefault="008A2813" w:rsidP="00E3027B">
      <w:pPr>
        <w:spacing w:after="240"/>
      </w:pPr>
      <w:r>
        <w:t xml:space="preserve">To capture the relationship between the on-site savings and embedded savings from a water measure, the </w:t>
      </w:r>
      <w:r w:rsidR="00327A7F">
        <w:t xml:space="preserve">WEN Working Group </w:t>
      </w:r>
      <w:r>
        <w:t>created a Water</w:t>
      </w:r>
      <w:r w:rsidR="009239D2">
        <w:t xml:space="preserve"> </w:t>
      </w:r>
      <w:r>
        <w:t xml:space="preserve">Measure </w:t>
      </w:r>
      <w:r w:rsidR="009239D2">
        <w:t>T</w:t>
      </w:r>
      <w:r>
        <w:t>able</w:t>
      </w:r>
      <w:r w:rsidR="004E7949">
        <w:t xml:space="preserve"> (</w:t>
      </w:r>
      <w:r w:rsidR="004E7949" w:rsidRPr="004E7949">
        <w:rPr>
          <w:b/>
        </w:rPr>
        <w:fldChar w:fldCharType="begin"/>
      </w:r>
      <w:r w:rsidR="004E7949" w:rsidRPr="004E7949">
        <w:rPr>
          <w:b/>
        </w:rPr>
        <w:instrText xml:space="preserve"> REF _Ref477778934 \h </w:instrText>
      </w:r>
      <w:r w:rsidR="004E7949">
        <w:rPr>
          <w:b/>
        </w:rPr>
        <w:instrText xml:space="preserve"> \* MERGEFORMAT </w:instrText>
      </w:r>
      <w:r w:rsidR="004E7949" w:rsidRPr="004E7949">
        <w:rPr>
          <w:b/>
        </w:rPr>
      </w:r>
      <w:r w:rsidR="004E7949" w:rsidRPr="004E7949">
        <w:rPr>
          <w:b/>
        </w:rPr>
        <w:fldChar w:fldCharType="separate"/>
      </w:r>
      <w:r w:rsidR="004E7949" w:rsidRPr="004E7949">
        <w:rPr>
          <w:b/>
        </w:rPr>
        <w:t xml:space="preserve">Table </w:t>
      </w:r>
      <w:r w:rsidR="004E7949" w:rsidRPr="004E7949">
        <w:rPr>
          <w:b/>
          <w:noProof/>
        </w:rPr>
        <w:t>8</w:t>
      </w:r>
      <w:r w:rsidR="004E7949" w:rsidRPr="004E7949">
        <w:rPr>
          <w:b/>
        </w:rPr>
        <w:fldChar w:fldCharType="end"/>
      </w:r>
      <w:r w:rsidR="004E7949">
        <w:t>)</w:t>
      </w:r>
      <w:r>
        <w:t xml:space="preserve">, which, like the CustomMeasure and DeemedMeasure tables, has a 1-to-1 relationship with the Claim table. </w:t>
      </w:r>
      <w:r w:rsidR="00C67943" w:rsidRPr="00E3027B">
        <w:rPr>
          <w:b/>
        </w:rPr>
        <w:t>Figure 8</w:t>
      </w:r>
      <w:r w:rsidR="00C67943">
        <w:t xml:space="preserve"> depicts how embedded energy savings (Line 21) will be reported</w:t>
      </w:r>
      <w:r w:rsidR="000E165A">
        <w:t xml:space="preserve"> as a separate line item in the Monthly Energy Efficiency Program Report.</w:t>
      </w:r>
    </w:p>
    <w:p w14:paraId="39EC110D" w14:textId="73B5CC85" w:rsidR="00E3027B" w:rsidRDefault="00C53ACA" w:rsidP="00E3027B">
      <w:pPr>
        <w:spacing w:after="240"/>
        <w:jc w:val="center"/>
      </w:pPr>
      <w:r>
        <w:rPr>
          <w:noProof/>
        </w:rPr>
        <mc:AlternateContent>
          <mc:Choice Requires="wps">
            <w:drawing>
              <wp:anchor distT="0" distB="0" distL="114300" distR="114300" simplePos="0" relativeHeight="251665408" behindDoc="0" locked="0" layoutInCell="1" allowOverlap="1" wp14:anchorId="392D74B0" wp14:editId="1B4C2A1A">
                <wp:simplePos x="0" y="0"/>
                <wp:positionH relativeFrom="column">
                  <wp:posOffset>-635</wp:posOffset>
                </wp:positionH>
                <wp:positionV relativeFrom="paragraph">
                  <wp:posOffset>2285365</wp:posOffset>
                </wp:positionV>
                <wp:extent cx="2035175" cy="102870"/>
                <wp:effectExtent l="0" t="0" r="22225" b="11430"/>
                <wp:wrapNone/>
                <wp:docPr id="17" name="Rectangle 17"/>
                <wp:cNvGraphicFramePr/>
                <a:graphic xmlns:a="http://schemas.openxmlformats.org/drawingml/2006/main">
                  <a:graphicData uri="http://schemas.microsoft.com/office/word/2010/wordprocessingShape">
                    <wps:wsp>
                      <wps:cNvSpPr/>
                      <wps:spPr>
                        <a:xfrm>
                          <a:off x="0" y="0"/>
                          <a:ext cx="2035175" cy="102870"/>
                        </a:xfrm>
                        <a:prstGeom prst="rect">
                          <a:avLst/>
                        </a:prstGeom>
                        <a:solidFill>
                          <a:schemeClr val="accent1">
                            <a:alpha val="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B9E452" id="Rectangle 17" o:spid="_x0000_s1026" style="position:absolute;margin-left:-.05pt;margin-top:179.95pt;width:160.25pt;height:8.1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" fillcolor="#4f81bd [3204]" strokecolor="red" strokeweight="2pt">
                <v:fill opacity="0"/>
              </v:rect>
            </w:pict>
          </mc:Fallback>
        </mc:AlternateContent>
      </w:r>
      <w:r>
        <w:rPr>
          <w:noProof/>
        </w:rPr>
        <mc:AlternateContent>
          <mc:Choice Requires="wps">
            <w:drawing>
              <wp:anchor distT="0" distB="0" distL="114300" distR="114300" simplePos="0" relativeHeight="251667456" behindDoc="0" locked="0" layoutInCell="1" allowOverlap="1" wp14:anchorId="4FCD4E90" wp14:editId="2073F35E">
                <wp:simplePos x="0" y="0"/>
                <wp:positionH relativeFrom="column">
                  <wp:posOffset>2023</wp:posOffset>
                </wp:positionH>
                <wp:positionV relativeFrom="paragraph">
                  <wp:posOffset>2121535</wp:posOffset>
                </wp:positionV>
                <wp:extent cx="2035444" cy="103322"/>
                <wp:effectExtent l="0" t="0" r="22225" b="11430"/>
                <wp:wrapNone/>
                <wp:docPr id="18" name="Rectangle 18"/>
                <wp:cNvGraphicFramePr/>
                <a:graphic xmlns:a="http://schemas.openxmlformats.org/drawingml/2006/main">
                  <a:graphicData uri="http://schemas.microsoft.com/office/word/2010/wordprocessingShape">
                    <wps:wsp>
                      <wps:cNvSpPr/>
                      <wps:spPr>
                        <a:xfrm>
                          <a:off x="0" y="0"/>
                          <a:ext cx="2035444" cy="103322"/>
                        </a:xfrm>
                        <a:prstGeom prst="rect">
                          <a:avLst/>
                        </a:prstGeom>
                        <a:solidFill>
                          <a:schemeClr val="accent1">
                            <a:alpha val="0"/>
                          </a:schemeClr>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E2E8E4" id="Rectangle 18" o:spid="_x0000_s1026" style="position:absolute;margin-left:.15pt;margin-top:167.05pt;width:160.25pt;height:8.1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" fillcolor="#4f81bd [3204]" strokecolor="red" strokeweight="2pt">
                <v:fill opacity="0"/>
              </v:rect>
            </w:pict>
          </mc:Fallback>
        </mc:AlternateContent>
      </w:r>
      <w:r w:rsidR="00E3027B">
        <w:rPr>
          <w:noProof/>
        </w:rPr>
        <w:drawing>
          <wp:inline distT="0" distB="0" distL="0" distR="0" wp14:anchorId="22F456F6" wp14:editId="38A22B9A">
            <wp:extent cx="5943600" cy="238569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943600" cy="2385695"/>
                    </a:xfrm>
                    <a:prstGeom prst="rect">
                      <a:avLst/>
                    </a:prstGeom>
                  </pic:spPr>
                </pic:pic>
              </a:graphicData>
            </a:graphic>
          </wp:inline>
        </w:drawing>
      </w:r>
    </w:p>
    <w:p w14:paraId="3056E3FC" w14:textId="7C927FF9" w:rsidR="00E3027B" w:rsidRDefault="00E3027B" w:rsidP="00E3027B">
      <w:pPr>
        <w:pStyle w:val="Caption"/>
        <w:jc w:val="center"/>
      </w:pPr>
      <w:r>
        <w:t xml:space="preserve">Figure </w:t>
      </w:r>
      <w:r w:rsidR="00054031">
        <w:fldChar w:fldCharType="begin"/>
      </w:r>
      <w:r w:rsidR="00054031">
        <w:instrText xml:space="preserve"> SEQ Figure \* ARABIC </w:instrText>
      </w:r>
      <w:r w:rsidR="00054031">
        <w:fldChar w:fldCharType="separate"/>
      </w:r>
      <w:r w:rsidR="004F672E">
        <w:rPr>
          <w:noProof/>
        </w:rPr>
        <w:t>8</w:t>
      </w:r>
      <w:r w:rsidR="00054031">
        <w:rPr>
          <w:noProof/>
        </w:rPr>
        <w:fldChar w:fldCharType="end"/>
      </w:r>
      <w:r>
        <w:t>: 2017 EE Monthly Report Template</w:t>
      </w:r>
    </w:p>
    <w:p w14:paraId="5F8C4D7A" w14:textId="77777777" w:rsidR="000502E3" w:rsidRDefault="000502E3" w:rsidP="000502E3">
      <w:pPr>
        <w:spacing w:after="240"/>
      </w:pPr>
      <w:bookmarkStart w:id="28" w:name="_Ref477778934"/>
    </w:p>
    <w:p w14:paraId="5127BA8F" w14:textId="7C2CD8F6" w:rsidR="000502E3" w:rsidRDefault="000502E3" w:rsidP="000502E3">
      <w:pPr>
        <w:spacing w:after="240"/>
      </w:pPr>
      <w:r>
        <w:t>Each Claim requires either a CustomMeasure or a DeemedMeasure record, and water-saving measures can be either Deemed or Custom measures. Claims that are water-saving measures also need a WaterMeasure 'sister' record, linked by the ClaimID. The WaterMeasure table contains the key inputs and outputs from Navigant's WEN Calculator. The process of adding this table to the EE program tracking specification would follow adopted change management guidelines, and the IOU Reporting Teams already has a list of proposed specification modifications for 2017 claims to which this would be added once agreed upon by the WEN Working Group.</w:t>
      </w:r>
    </w:p>
    <w:p w14:paraId="2CA1C36B" w14:textId="77777777" w:rsidR="00367626" w:rsidRDefault="00367626">
      <w:pPr>
        <w:spacing w:after="200" w:line="276" w:lineRule="auto"/>
        <w:rPr>
          <w:b/>
          <w:bCs/>
          <w:szCs w:val="3276"/>
        </w:rPr>
      </w:pPr>
      <w:r>
        <w:br w:type="page"/>
      </w:r>
    </w:p>
    <w:p w14:paraId="11AA518F" w14:textId="322E1328" w:rsidR="008A2813" w:rsidRDefault="00D840DB" w:rsidP="00D840DB">
      <w:pPr>
        <w:pStyle w:val="Caption"/>
        <w:jc w:val="center"/>
      </w:pPr>
      <w:r>
        <w:lastRenderedPageBreak/>
        <w:t xml:space="preserve">Table </w:t>
      </w:r>
      <w:r w:rsidR="00054031">
        <w:fldChar w:fldCharType="begin"/>
      </w:r>
      <w:r w:rsidR="00054031">
        <w:instrText xml:space="preserve"> SEQ Table \* ARABIC </w:instrText>
      </w:r>
      <w:r w:rsidR="00054031">
        <w:fldChar w:fldCharType="separate"/>
      </w:r>
      <w:r w:rsidR="00602E9A">
        <w:rPr>
          <w:noProof/>
        </w:rPr>
        <w:t>9</w:t>
      </w:r>
      <w:r w:rsidR="00054031">
        <w:rPr>
          <w:noProof/>
        </w:rPr>
        <w:fldChar w:fldCharType="end"/>
      </w:r>
      <w:bookmarkEnd w:id="28"/>
      <w:r>
        <w:t xml:space="preserve"> </w:t>
      </w:r>
      <w:r w:rsidR="008A2813">
        <w:t>Proposed Water Measure Table</w:t>
      </w:r>
    </w:p>
    <w:p w14:paraId="4E0796F7" w14:textId="77777777" w:rsidR="00D840DB" w:rsidRPr="00D840DB" w:rsidRDefault="00D840DB" w:rsidP="00D840DB"/>
    <w:p w14:paraId="14376E88" w14:textId="4DEB0C5D" w:rsidR="008A2813" w:rsidRDefault="00CF42B0" w:rsidP="00D840DB">
      <w:pPr>
        <w:spacing w:after="240"/>
        <w:jc w:val="center"/>
      </w:pPr>
      <w:r>
        <w:rPr>
          <w:noProof/>
        </w:rPr>
        <w:drawing>
          <wp:inline distT="0" distB="0" distL="0" distR="0" wp14:anchorId="4D463489" wp14:editId="43E4647F">
            <wp:extent cx="1526770" cy="1894989"/>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551280" cy="1925410"/>
                    </a:xfrm>
                    <a:prstGeom prst="rect">
                      <a:avLst/>
                    </a:prstGeom>
                  </pic:spPr>
                </pic:pic>
              </a:graphicData>
            </a:graphic>
          </wp:inline>
        </w:drawing>
      </w:r>
    </w:p>
    <w:p w14:paraId="3B6AE2D8" w14:textId="43800B53" w:rsidR="00E16609" w:rsidRPr="00500C4E" w:rsidRDefault="00E16609" w:rsidP="00E16609">
      <w:pPr>
        <w:pStyle w:val="Heading1"/>
        <w:keepNext w:val="0"/>
        <w:rPr>
          <w:rFonts w:cstheme="minorHAnsi"/>
        </w:rPr>
      </w:pPr>
      <w:bookmarkStart w:id="29"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29"/>
      <w:r w:rsidRPr="00500C4E">
        <w:rPr>
          <w:rFonts w:cstheme="minorHAnsi"/>
        </w:rPr>
        <w:t>s</w:t>
      </w:r>
    </w:p>
    <w:p w14:paraId="27C0106E" w14:textId="440A7D30" w:rsidR="00F23A41"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1E53" w:rsidRPr="00261E53">
        <w:rPr>
          <w:rFonts w:cstheme="minorHAnsi"/>
          <w:szCs w:val="22"/>
        </w:rPr>
        <w:t>Load shape is peculiar for Water-Energy programs</w:t>
      </w:r>
      <w:r w:rsidR="00261E53">
        <w:rPr>
          <w:rFonts w:cstheme="minorHAnsi"/>
          <w:szCs w:val="22"/>
        </w:rPr>
        <w:t xml:space="preserve"> as it is difficult</w:t>
      </w:r>
      <w:r w:rsidR="00261E53" w:rsidRPr="00261E53">
        <w:rPr>
          <w:rFonts w:cstheme="minorHAnsi"/>
          <w:szCs w:val="22"/>
        </w:rPr>
        <w:t xml:space="preserve"> hard to determine what time energy is being used for the delivery and treatment of water</w:t>
      </w:r>
      <w:r w:rsidR="00261E53">
        <w:rPr>
          <w:rFonts w:cstheme="minorHAnsi"/>
          <w:szCs w:val="22"/>
        </w:rPr>
        <w:t xml:space="preserve"> and wastewater. </w:t>
      </w:r>
      <w:r w:rsidR="00261E53" w:rsidRPr="00261E53">
        <w:rPr>
          <w:rFonts w:cstheme="minorHAnsi"/>
          <w:szCs w:val="22"/>
        </w:rPr>
        <w:t xml:space="preserve">At the instant water is used on-site, energy is used many hours ahead and after that to treat and pump and collect.  </w:t>
      </w:r>
    </w:p>
    <w:p w14:paraId="403384F9" w14:textId="77777777" w:rsidR="00F23A41" w:rsidRDefault="00F23A41" w:rsidP="00E16609">
      <w:pPr>
        <w:rPr>
          <w:rFonts w:cstheme="minorHAnsi"/>
          <w:szCs w:val="22"/>
        </w:rPr>
      </w:pPr>
    </w:p>
    <w:p w14:paraId="587A763F" w14:textId="77777777" w:rsidR="000502E3" w:rsidRDefault="00F23A41" w:rsidP="00E16609">
      <w:pPr>
        <w:rPr>
          <w:rFonts w:cstheme="minorHAnsi"/>
          <w:szCs w:val="22"/>
        </w:rPr>
      </w:pPr>
      <w:r>
        <w:rPr>
          <w:rFonts w:cstheme="minorHAnsi"/>
          <w:szCs w:val="22"/>
        </w:rPr>
        <w:t xml:space="preserve">At the February 14, 2017 WEN Working Group meeting, </w:t>
      </w:r>
      <w:r w:rsidRPr="00F23A41">
        <w:rPr>
          <w:rFonts w:cstheme="minorHAnsi"/>
          <w:szCs w:val="22"/>
        </w:rPr>
        <w:t xml:space="preserve">CPUC EAR team </w:t>
      </w:r>
      <w:r>
        <w:rPr>
          <w:rFonts w:cstheme="minorHAnsi"/>
          <w:szCs w:val="22"/>
        </w:rPr>
        <w:t xml:space="preserve">suggested using a Refrigeration energy load shape as the shape is constant and generally flat throughout the year and similar to how WEN cold water measures are typically used. </w:t>
      </w:r>
      <w:r w:rsidR="00E3027B">
        <w:rPr>
          <w:rFonts w:cstheme="minorHAnsi"/>
          <w:szCs w:val="22"/>
        </w:rPr>
        <w:t xml:space="preserve">However, at the March 14, 2017 WEN Working Group meeting, CPUC ED staff indicated that they would coordinate with the CPUC ED Reporting Team on creating a flat load shape for the IOU Reporting teams to use for MWD WEN measures. </w:t>
      </w:r>
    </w:p>
    <w:p w14:paraId="310E64DE" w14:textId="77777777" w:rsidR="000502E3" w:rsidRDefault="000502E3" w:rsidP="00E16609">
      <w:pPr>
        <w:rPr>
          <w:rFonts w:cstheme="minorHAnsi"/>
          <w:szCs w:val="22"/>
        </w:rPr>
      </w:pPr>
    </w:p>
    <w:p w14:paraId="0E8D58C1" w14:textId="4CDB231E" w:rsidR="000173BF" w:rsidRDefault="000502E3" w:rsidP="00E16609">
      <w:pPr>
        <w:rPr>
          <w:rFonts w:cstheme="minorHAnsi"/>
          <w:szCs w:val="22"/>
        </w:rPr>
      </w:pPr>
      <w:r>
        <w:rPr>
          <w:rFonts w:cstheme="minorHAnsi"/>
          <w:szCs w:val="22"/>
        </w:rPr>
        <w:t xml:space="preserve">For illustrative purposes, the relevant load shapes </w:t>
      </w:r>
      <w:r w:rsidR="007D7270">
        <w:rPr>
          <w:rFonts w:cstheme="minorHAnsi"/>
          <w:szCs w:val="22"/>
        </w:rPr>
        <w:t>for the first</w:t>
      </w:r>
      <w:r w:rsidRPr="000502E3">
        <w:rPr>
          <w:rFonts w:cstheme="minorHAnsi"/>
          <w:szCs w:val="22"/>
        </w:rPr>
        <w:t xml:space="preserve"> ten (10) </w:t>
      </w:r>
      <w:r w:rsidR="007D7270">
        <w:rPr>
          <w:rFonts w:cstheme="minorHAnsi"/>
          <w:szCs w:val="22"/>
        </w:rPr>
        <w:t>IOU</w:t>
      </w:r>
      <w:r w:rsidRPr="000502E3">
        <w:rPr>
          <w:rFonts w:cstheme="minorHAnsi"/>
          <w:szCs w:val="22"/>
        </w:rPr>
        <w:t xml:space="preserve"> WEN measures are shown in the </w:t>
      </w:r>
      <w:r w:rsidR="007D7270" w:rsidRPr="007D7270">
        <w:rPr>
          <w:rFonts w:cstheme="minorHAnsi"/>
          <w:b/>
          <w:bCs/>
          <w:szCs w:val="22"/>
        </w:rPr>
        <w:fldChar w:fldCharType="begin"/>
      </w:r>
      <w:r w:rsidR="007D7270" w:rsidRPr="007D7270">
        <w:rPr>
          <w:rFonts w:cstheme="minorHAnsi"/>
          <w:b/>
          <w:bCs/>
          <w:szCs w:val="22"/>
        </w:rPr>
        <w:instrText xml:space="preserve"> REF _Ref477778967 \h </w:instrText>
      </w:r>
      <w:r w:rsidR="007D7270">
        <w:rPr>
          <w:rFonts w:cstheme="minorHAnsi"/>
          <w:b/>
          <w:bCs/>
          <w:szCs w:val="22"/>
        </w:rPr>
        <w:instrText xml:space="preserve"> \* MERGEFORMAT </w:instrText>
      </w:r>
      <w:r w:rsidR="007D7270" w:rsidRPr="007D7270">
        <w:rPr>
          <w:rFonts w:cstheme="minorHAnsi"/>
          <w:b/>
          <w:bCs/>
          <w:szCs w:val="22"/>
        </w:rPr>
      </w:r>
      <w:r w:rsidR="007D7270" w:rsidRPr="007D7270">
        <w:rPr>
          <w:rFonts w:cstheme="minorHAnsi"/>
          <w:b/>
          <w:bCs/>
          <w:szCs w:val="22"/>
        </w:rPr>
        <w:fldChar w:fldCharType="separate"/>
      </w:r>
      <w:r w:rsidR="007D7270" w:rsidRPr="007D7270">
        <w:rPr>
          <w:b/>
          <w:bCs/>
        </w:rPr>
        <w:t xml:space="preserve">Table </w:t>
      </w:r>
      <w:r w:rsidR="007D7270" w:rsidRPr="007D7270">
        <w:rPr>
          <w:b/>
          <w:bCs/>
          <w:noProof/>
        </w:rPr>
        <w:t>10</w:t>
      </w:r>
      <w:r w:rsidR="007D7270" w:rsidRPr="007D7270">
        <w:rPr>
          <w:rFonts w:cstheme="minorHAnsi"/>
          <w:b/>
          <w:bCs/>
          <w:szCs w:val="22"/>
        </w:rPr>
        <w:fldChar w:fldCharType="end"/>
      </w:r>
      <w:r w:rsidRPr="000502E3">
        <w:rPr>
          <w:rFonts w:cstheme="minorHAnsi"/>
          <w:szCs w:val="22"/>
        </w:rPr>
        <w:t xml:space="preserve">. The remaining </w:t>
      </w:r>
      <w:r w:rsidR="007D7270">
        <w:rPr>
          <w:rFonts w:cstheme="minorHAnsi"/>
          <w:szCs w:val="22"/>
        </w:rPr>
        <w:t>IOU</w:t>
      </w:r>
      <w:r w:rsidRPr="000502E3">
        <w:rPr>
          <w:rFonts w:cstheme="minorHAnsi"/>
          <w:szCs w:val="22"/>
        </w:rPr>
        <w:t xml:space="preserve"> WEN measure</w:t>
      </w:r>
      <w:r w:rsidR="007D7270">
        <w:rPr>
          <w:rFonts w:cstheme="minorHAnsi"/>
          <w:szCs w:val="22"/>
        </w:rPr>
        <w:t xml:space="preserve"> </w:t>
      </w:r>
      <w:r w:rsidR="00602E9A">
        <w:rPr>
          <w:rFonts w:cstheme="minorHAnsi"/>
          <w:szCs w:val="22"/>
        </w:rPr>
        <w:t>load shapes</w:t>
      </w:r>
      <w:r w:rsidRPr="000502E3">
        <w:rPr>
          <w:rFonts w:cstheme="minorHAnsi"/>
          <w:szCs w:val="22"/>
        </w:rPr>
        <w:t xml:space="preserve"> can be found in the 2019-09-17 WEN Measures List 2019 – FINAL.xlsx included with the workpaper upload onto the workpaper archive (WPA) website.</w:t>
      </w:r>
      <w:r w:rsidR="00602E9A">
        <w:rPr>
          <w:rFonts w:cstheme="minorHAnsi"/>
          <w:szCs w:val="22"/>
        </w:rPr>
        <w:t xml:space="preserve"> </w:t>
      </w:r>
      <w:r w:rsidR="00475697">
        <w:rPr>
          <w:rFonts w:cstheme="minorHAnsi"/>
          <w:szCs w:val="22"/>
        </w:rPr>
        <w:t xml:space="preserve">Similarly, the relevant load shapes for the first ten (10) MWD WEN measures are shown in </w:t>
      </w:r>
      <w:r w:rsidR="00475697" w:rsidRPr="00505DBD">
        <w:rPr>
          <w:rFonts w:cstheme="minorHAnsi"/>
          <w:b/>
          <w:bCs/>
          <w:szCs w:val="22"/>
        </w:rPr>
        <w:fldChar w:fldCharType="begin"/>
      </w:r>
      <w:r w:rsidR="00475697" w:rsidRPr="00505DBD">
        <w:rPr>
          <w:rFonts w:cstheme="minorHAnsi"/>
          <w:b/>
          <w:bCs/>
          <w:szCs w:val="22"/>
        </w:rPr>
        <w:instrText xml:space="preserve"> REF _Ref19593673 \h </w:instrText>
      </w:r>
      <w:r w:rsidR="00505DBD">
        <w:rPr>
          <w:rFonts w:cstheme="minorHAnsi"/>
          <w:b/>
          <w:bCs/>
          <w:szCs w:val="22"/>
        </w:rPr>
        <w:instrText xml:space="preserve"> \* MERGEFORMAT </w:instrText>
      </w:r>
      <w:r w:rsidR="00475697" w:rsidRPr="00505DBD">
        <w:rPr>
          <w:rFonts w:cstheme="minorHAnsi"/>
          <w:b/>
          <w:bCs/>
          <w:szCs w:val="22"/>
        </w:rPr>
      </w:r>
      <w:r w:rsidR="00475697" w:rsidRPr="00505DBD">
        <w:rPr>
          <w:rFonts w:cstheme="minorHAnsi"/>
          <w:b/>
          <w:bCs/>
          <w:szCs w:val="22"/>
        </w:rPr>
        <w:fldChar w:fldCharType="separate"/>
      </w:r>
      <w:r w:rsidR="00475697" w:rsidRPr="00505DBD">
        <w:rPr>
          <w:b/>
          <w:bCs/>
        </w:rPr>
        <w:t xml:space="preserve">Table </w:t>
      </w:r>
      <w:r w:rsidR="00475697" w:rsidRPr="00505DBD">
        <w:rPr>
          <w:b/>
          <w:bCs/>
          <w:noProof/>
        </w:rPr>
        <w:t>11</w:t>
      </w:r>
      <w:r w:rsidR="00475697" w:rsidRPr="00505DBD">
        <w:rPr>
          <w:rFonts w:cstheme="minorHAnsi"/>
          <w:b/>
          <w:bCs/>
          <w:szCs w:val="22"/>
        </w:rPr>
        <w:fldChar w:fldCharType="end"/>
      </w:r>
      <w:r w:rsidR="00505DBD">
        <w:rPr>
          <w:rFonts w:cstheme="minorHAnsi"/>
          <w:szCs w:val="22"/>
        </w:rPr>
        <w:t>.</w:t>
      </w:r>
    </w:p>
    <w:p w14:paraId="0C2A6A07" w14:textId="77777777" w:rsidR="00F23A41" w:rsidRPr="00500C4E" w:rsidRDefault="00F23A41" w:rsidP="00E16609">
      <w:pPr>
        <w:rPr>
          <w:rFonts w:cstheme="minorHAnsi"/>
          <w:szCs w:val="22"/>
        </w:rPr>
      </w:pPr>
    </w:p>
    <w:p w14:paraId="5F92A73F" w14:textId="54D2AA33" w:rsidR="00E16609" w:rsidRPr="00500C4E" w:rsidRDefault="007B55D9" w:rsidP="007B55D9">
      <w:pPr>
        <w:pStyle w:val="Caption"/>
        <w:jc w:val="center"/>
        <w:rPr>
          <w:rFonts w:cstheme="minorHAnsi"/>
          <w:b w:val="0"/>
          <w:szCs w:val="22"/>
        </w:rPr>
      </w:pPr>
      <w:bookmarkStart w:id="30" w:name="_Ref477778967"/>
      <w:r>
        <w:t xml:space="preserve">Table </w:t>
      </w:r>
      <w:r w:rsidR="00054031">
        <w:fldChar w:fldCharType="begin"/>
      </w:r>
      <w:r w:rsidR="00054031">
        <w:instrText xml:space="preserve"> SEQ Table \* ARABIC </w:instrText>
      </w:r>
      <w:r w:rsidR="00054031">
        <w:fldChar w:fldCharType="separate"/>
      </w:r>
      <w:r w:rsidR="00602E9A">
        <w:rPr>
          <w:noProof/>
        </w:rPr>
        <w:t>10</w:t>
      </w:r>
      <w:r w:rsidR="00054031">
        <w:rPr>
          <w:noProof/>
        </w:rPr>
        <w:fldChar w:fldCharType="end"/>
      </w:r>
      <w:bookmarkEnd w:id="30"/>
      <w:r>
        <w:t xml:space="preserve"> </w:t>
      </w:r>
      <w:r w:rsidR="00045E01">
        <w:t xml:space="preserve">Applicable </w:t>
      </w:r>
      <w:r w:rsidR="002A3D26" w:rsidRPr="00500C4E">
        <w:rPr>
          <w:rFonts w:cstheme="minorHAnsi"/>
          <w:szCs w:val="22"/>
        </w:rPr>
        <w:t>Building Types</w:t>
      </w:r>
      <w:r w:rsidR="00E16609" w:rsidRPr="00500C4E">
        <w:rPr>
          <w:rFonts w:cstheme="minorHAnsi"/>
          <w:szCs w:val="22"/>
        </w:rPr>
        <w:t xml:space="preserve"> and Load Shapes</w:t>
      </w:r>
      <w:r w:rsidR="00045E01">
        <w:rPr>
          <w:rFonts w:cstheme="minorHAnsi"/>
          <w:szCs w:val="22"/>
        </w:rPr>
        <w:t xml:space="preserve"> for IOU WEN Measures</w:t>
      </w:r>
    </w:p>
    <w:tbl>
      <w:tblPr>
        <w:tblStyle w:val="TableGrid1"/>
        <w:tblW w:w="5000" w:type="pct"/>
        <w:tblLook w:val="01E0" w:firstRow="1" w:lastRow="1" w:firstColumn="1" w:lastColumn="1" w:noHBand="0" w:noVBand="0"/>
      </w:tblPr>
      <w:tblGrid>
        <w:gridCol w:w="1532"/>
        <w:gridCol w:w="1533"/>
        <w:gridCol w:w="1533"/>
        <w:gridCol w:w="3387"/>
        <w:gridCol w:w="1365"/>
      </w:tblGrid>
      <w:tr w:rsidR="003B6E5D" w:rsidRPr="00500C4E" w14:paraId="07C367E7" w14:textId="77777777" w:rsidTr="00045E01">
        <w:trPr>
          <w:tblHeader/>
        </w:trPr>
        <w:tc>
          <w:tcPr>
            <w:tcW w:w="819" w:type="pct"/>
            <w:shd w:val="clear" w:color="auto" w:fill="D9D9D9" w:themeFill="background1" w:themeFillShade="D9"/>
            <w:vAlign w:val="center"/>
          </w:tcPr>
          <w:p w14:paraId="713AA3ED" w14:textId="77777777" w:rsidR="003B6E5D" w:rsidRPr="00920905" w:rsidRDefault="003B6E5D" w:rsidP="003B6E5D">
            <w:pPr>
              <w:jc w:val="center"/>
              <w:rPr>
                <w:rFonts w:cstheme="minorHAnsi"/>
                <w:b/>
                <w:szCs w:val="20"/>
              </w:rPr>
            </w:pPr>
            <w:r>
              <w:rPr>
                <w:rFonts w:cstheme="minorHAnsi"/>
                <w:b/>
                <w:szCs w:val="20"/>
              </w:rPr>
              <w:t>Measure #</w:t>
            </w:r>
          </w:p>
        </w:tc>
        <w:tc>
          <w:tcPr>
            <w:tcW w:w="820" w:type="pct"/>
            <w:shd w:val="clear" w:color="auto" w:fill="D9D9D9" w:themeFill="background1" w:themeFillShade="D9"/>
            <w:vAlign w:val="center"/>
          </w:tcPr>
          <w:p w14:paraId="71AFA618" w14:textId="77777777" w:rsidR="003B6E5D" w:rsidRPr="00920905" w:rsidRDefault="003B6E5D" w:rsidP="003B6E5D">
            <w:pPr>
              <w:jc w:val="center"/>
              <w:rPr>
                <w:rFonts w:cstheme="minorHAnsi"/>
                <w:b/>
                <w:szCs w:val="20"/>
              </w:rPr>
            </w:pPr>
            <w:r>
              <w:rPr>
                <w:rFonts w:cstheme="minorHAnsi"/>
                <w:b/>
                <w:szCs w:val="20"/>
              </w:rPr>
              <w:t xml:space="preserve">Measure Description </w:t>
            </w:r>
          </w:p>
        </w:tc>
        <w:tc>
          <w:tcPr>
            <w:tcW w:w="820" w:type="pct"/>
            <w:shd w:val="clear" w:color="auto" w:fill="D9D9D9" w:themeFill="background1" w:themeFillShade="D9"/>
            <w:vAlign w:val="center"/>
          </w:tcPr>
          <w:p w14:paraId="7A83CF3E" w14:textId="77777777" w:rsidR="003B6E5D" w:rsidRPr="00920905" w:rsidRDefault="003B6E5D" w:rsidP="003B6E5D">
            <w:pPr>
              <w:jc w:val="center"/>
              <w:rPr>
                <w:rFonts w:cstheme="minorHAnsi"/>
                <w:b/>
                <w:szCs w:val="20"/>
                <w:highlight w:val="yellow"/>
              </w:rPr>
            </w:pPr>
            <w:r w:rsidRPr="00920905">
              <w:rPr>
                <w:rFonts w:cstheme="minorHAnsi"/>
                <w:b/>
                <w:szCs w:val="20"/>
              </w:rPr>
              <w:t>Building Type</w:t>
            </w:r>
          </w:p>
        </w:tc>
        <w:tc>
          <w:tcPr>
            <w:tcW w:w="1811" w:type="pct"/>
            <w:shd w:val="clear" w:color="auto" w:fill="D9D9D9" w:themeFill="background1" w:themeFillShade="D9"/>
            <w:vAlign w:val="center"/>
          </w:tcPr>
          <w:p w14:paraId="2DB26659" w14:textId="77777777" w:rsidR="003B6E5D" w:rsidRPr="00920905" w:rsidRDefault="003B6E5D" w:rsidP="003B6E5D">
            <w:pPr>
              <w:jc w:val="center"/>
              <w:rPr>
                <w:rFonts w:cstheme="minorHAnsi"/>
                <w:b/>
                <w:szCs w:val="20"/>
              </w:rPr>
            </w:pPr>
            <w:r w:rsidRPr="00920905">
              <w:rPr>
                <w:rFonts w:cstheme="minorHAnsi"/>
                <w:b/>
                <w:szCs w:val="20"/>
              </w:rPr>
              <w:t>Load Shape</w:t>
            </w:r>
          </w:p>
        </w:tc>
        <w:tc>
          <w:tcPr>
            <w:tcW w:w="730" w:type="pct"/>
            <w:shd w:val="clear" w:color="auto" w:fill="D9D9D9" w:themeFill="background1" w:themeFillShade="D9"/>
            <w:vAlign w:val="center"/>
          </w:tcPr>
          <w:p w14:paraId="300D42AB" w14:textId="77777777" w:rsidR="003B6E5D" w:rsidRPr="00920905" w:rsidRDefault="003B6E5D" w:rsidP="003B6E5D">
            <w:pPr>
              <w:jc w:val="center"/>
              <w:rPr>
                <w:rFonts w:cstheme="minorHAnsi"/>
                <w:b/>
                <w:szCs w:val="20"/>
                <w:highlight w:val="yellow"/>
              </w:rPr>
            </w:pPr>
            <w:r w:rsidRPr="00920905">
              <w:rPr>
                <w:rFonts w:cstheme="minorHAnsi"/>
                <w:b/>
                <w:szCs w:val="20"/>
              </w:rPr>
              <w:t>E3 Alt</w:t>
            </w:r>
            <w:r>
              <w:rPr>
                <w:rFonts w:cstheme="minorHAnsi"/>
                <w:b/>
                <w:szCs w:val="20"/>
              </w:rPr>
              <w:t>ernate</w:t>
            </w:r>
            <w:r w:rsidRPr="00920905">
              <w:rPr>
                <w:rFonts w:cstheme="minorHAnsi"/>
                <w:b/>
                <w:szCs w:val="20"/>
              </w:rPr>
              <w:t xml:space="preserve"> Building Type</w:t>
            </w:r>
          </w:p>
        </w:tc>
      </w:tr>
      <w:tr w:rsidR="008750CF" w:rsidRPr="00500C4E" w14:paraId="1AE2627B" w14:textId="77777777" w:rsidTr="00045E01">
        <w:tc>
          <w:tcPr>
            <w:tcW w:w="819" w:type="pct"/>
            <w:vAlign w:val="center"/>
          </w:tcPr>
          <w:p w14:paraId="6E75AADC" w14:textId="3B043A8B" w:rsidR="008750CF" w:rsidRPr="00F429FC" w:rsidRDefault="008750CF" w:rsidP="008750CF">
            <w:pPr>
              <w:jc w:val="center"/>
            </w:pPr>
            <w:r w:rsidRPr="000E32AA">
              <w:t>1</w:t>
            </w:r>
          </w:p>
        </w:tc>
        <w:tc>
          <w:tcPr>
            <w:tcW w:w="820" w:type="pct"/>
            <w:vAlign w:val="center"/>
          </w:tcPr>
          <w:p w14:paraId="33289EA0" w14:textId="77777777" w:rsidR="008750CF" w:rsidRDefault="008750CF" w:rsidP="00FB610C">
            <w:r w:rsidRPr="00503D9D">
              <w:t>Energy Star most efficient clothes washer, &gt;2.5 cubic ft</w:t>
            </w:r>
            <w:r>
              <w:t xml:space="preserve"> - </w:t>
            </w:r>
            <w:r w:rsidRPr="00FC76CB">
              <w:t>SFM. MFM In-Unit</w:t>
            </w:r>
          </w:p>
        </w:tc>
        <w:tc>
          <w:tcPr>
            <w:tcW w:w="820" w:type="pct"/>
            <w:vAlign w:val="center"/>
          </w:tcPr>
          <w:p w14:paraId="385A3EC3" w14:textId="77777777" w:rsidR="008750CF" w:rsidRPr="00A558F6" w:rsidRDefault="008750CF" w:rsidP="00643E0F">
            <w:pPr>
              <w:jc w:val="center"/>
              <w:rPr>
                <w:rFonts w:cstheme="minorHAnsi"/>
                <w:szCs w:val="20"/>
              </w:rPr>
            </w:pPr>
            <w:r w:rsidRPr="00A558F6">
              <w:rPr>
                <w:rFonts w:cstheme="minorHAnsi"/>
                <w:szCs w:val="20"/>
              </w:rPr>
              <w:t>SFM</w:t>
            </w:r>
          </w:p>
        </w:tc>
        <w:tc>
          <w:tcPr>
            <w:tcW w:w="1811" w:type="pct"/>
            <w:vAlign w:val="center"/>
          </w:tcPr>
          <w:p w14:paraId="7926821F" w14:textId="47C7F055" w:rsidR="008750CF" w:rsidRPr="00A558F6" w:rsidRDefault="008750CF" w:rsidP="00643E0F">
            <w:pPr>
              <w:jc w:val="center"/>
              <w:rPr>
                <w:rFonts w:cstheme="minorHAnsi"/>
                <w:szCs w:val="20"/>
              </w:rPr>
            </w:pPr>
            <w:r w:rsidRPr="00A558F6">
              <w:rPr>
                <w:rFonts w:cstheme="minorHAnsi"/>
                <w:szCs w:val="20"/>
              </w:rPr>
              <w:t>IOU:</w:t>
            </w:r>
            <w:r w:rsidR="00ED797B" w:rsidRPr="00A558F6">
              <w:rPr>
                <w:rFonts w:cstheme="minorHAnsi"/>
                <w:szCs w:val="20"/>
              </w:rPr>
              <w:t>RES: DEER: Res</w:t>
            </w:r>
            <w:r w:rsidRPr="00A558F6">
              <w:rPr>
                <w:rFonts w:cstheme="minorHAnsi"/>
                <w:szCs w:val="20"/>
              </w:rPr>
              <w:t>_ClothesDishWasher</w:t>
            </w:r>
          </w:p>
        </w:tc>
        <w:tc>
          <w:tcPr>
            <w:tcW w:w="730" w:type="pct"/>
            <w:vAlign w:val="center"/>
          </w:tcPr>
          <w:p w14:paraId="555AE3CF" w14:textId="77777777" w:rsidR="008750CF" w:rsidRPr="00A558F6" w:rsidRDefault="008750CF" w:rsidP="003C2EE2">
            <w:pPr>
              <w:jc w:val="center"/>
              <w:rPr>
                <w:rFonts w:cstheme="minorHAnsi"/>
                <w:szCs w:val="20"/>
              </w:rPr>
            </w:pPr>
            <w:r w:rsidRPr="00A558F6">
              <w:rPr>
                <w:rFonts w:cstheme="minorHAnsi"/>
                <w:szCs w:val="20"/>
              </w:rPr>
              <w:t>RES</w:t>
            </w:r>
          </w:p>
        </w:tc>
      </w:tr>
      <w:tr w:rsidR="008750CF" w:rsidRPr="00500C4E" w14:paraId="1E0EE2F5" w14:textId="77777777" w:rsidTr="00045E01">
        <w:tc>
          <w:tcPr>
            <w:tcW w:w="819" w:type="pct"/>
            <w:vAlign w:val="center"/>
          </w:tcPr>
          <w:p w14:paraId="79E8B9D5" w14:textId="2DF7BB53" w:rsidR="008750CF" w:rsidRDefault="008750CF" w:rsidP="008750CF">
            <w:pPr>
              <w:jc w:val="center"/>
            </w:pPr>
            <w:r w:rsidRPr="000E32AA">
              <w:t>2</w:t>
            </w:r>
          </w:p>
        </w:tc>
        <w:tc>
          <w:tcPr>
            <w:tcW w:w="820" w:type="pct"/>
            <w:vAlign w:val="center"/>
          </w:tcPr>
          <w:p w14:paraId="702E2693" w14:textId="77777777" w:rsidR="008750CF" w:rsidRDefault="008750CF" w:rsidP="00FB610C">
            <w:r w:rsidRPr="00503D9D">
              <w:t>Energy Star most efficient clothes washer, &gt;2.5 cubic ft</w:t>
            </w:r>
            <w:r>
              <w:t xml:space="preserve"> - </w:t>
            </w:r>
            <w:r w:rsidRPr="00FC76CB">
              <w:t>MFM Common Area</w:t>
            </w:r>
          </w:p>
        </w:tc>
        <w:tc>
          <w:tcPr>
            <w:tcW w:w="820" w:type="pct"/>
            <w:vAlign w:val="center"/>
          </w:tcPr>
          <w:p w14:paraId="358ABB88" w14:textId="77777777" w:rsidR="008750CF" w:rsidRPr="00A558F6" w:rsidRDefault="008750CF" w:rsidP="00FB610C">
            <w:pPr>
              <w:jc w:val="center"/>
              <w:rPr>
                <w:rFonts w:cstheme="minorHAnsi"/>
                <w:szCs w:val="20"/>
              </w:rPr>
            </w:pPr>
            <w:r w:rsidRPr="00A558F6">
              <w:rPr>
                <w:rFonts w:cstheme="minorHAnsi"/>
                <w:szCs w:val="20"/>
              </w:rPr>
              <w:t>MFM</w:t>
            </w:r>
          </w:p>
        </w:tc>
        <w:tc>
          <w:tcPr>
            <w:tcW w:w="1811" w:type="pct"/>
            <w:vAlign w:val="center"/>
          </w:tcPr>
          <w:p w14:paraId="26491A10" w14:textId="21252AFC" w:rsidR="008750CF" w:rsidRPr="00A558F6" w:rsidRDefault="008750CF" w:rsidP="00643E0F">
            <w:pPr>
              <w:jc w:val="center"/>
              <w:rPr>
                <w:rFonts w:cstheme="minorHAnsi"/>
                <w:szCs w:val="20"/>
              </w:rPr>
            </w:pPr>
            <w:r w:rsidRPr="00A558F6">
              <w:rPr>
                <w:rFonts w:cstheme="minorHAnsi"/>
                <w:szCs w:val="20"/>
              </w:rPr>
              <w:t>IOU:</w:t>
            </w:r>
            <w:r w:rsidR="00ED797B" w:rsidRPr="00A558F6">
              <w:rPr>
                <w:rFonts w:cstheme="minorHAnsi"/>
                <w:szCs w:val="20"/>
              </w:rPr>
              <w:t>RES: DEER: Res</w:t>
            </w:r>
            <w:r w:rsidRPr="00A558F6">
              <w:rPr>
                <w:rFonts w:cstheme="minorHAnsi"/>
                <w:szCs w:val="20"/>
              </w:rPr>
              <w:t>_ClothesDishWasher</w:t>
            </w:r>
          </w:p>
        </w:tc>
        <w:tc>
          <w:tcPr>
            <w:tcW w:w="730" w:type="pct"/>
            <w:vAlign w:val="center"/>
          </w:tcPr>
          <w:p w14:paraId="5D79A07E" w14:textId="77777777" w:rsidR="008750CF" w:rsidRPr="00A558F6" w:rsidRDefault="008750CF" w:rsidP="003C2EE2">
            <w:pPr>
              <w:jc w:val="center"/>
              <w:rPr>
                <w:rFonts w:cstheme="minorHAnsi"/>
                <w:szCs w:val="20"/>
              </w:rPr>
            </w:pPr>
            <w:r w:rsidRPr="00A558F6">
              <w:rPr>
                <w:rFonts w:cstheme="minorHAnsi"/>
                <w:szCs w:val="20"/>
              </w:rPr>
              <w:t>RES</w:t>
            </w:r>
          </w:p>
        </w:tc>
      </w:tr>
      <w:tr w:rsidR="008750CF" w:rsidRPr="00500C4E" w14:paraId="003899B8" w14:textId="77777777" w:rsidTr="00045E01">
        <w:tc>
          <w:tcPr>
            <w:tcW w:w="819" w:type="pct"/>
            <w:vAlign w:val="center"/>
          </w:tcPr>
          <w:p w14:paraId="3C259B09" w14:textId="352B210F" w:rsidR="008750CF" w:rsidRDefault="008750CF" w:rsidP="008750CF">
            <w:pPr>
              <w:jc w:val="center"/>
            </w:pPr>
            <w:r w:rsidRPr="000E32AA">
              <w:lastRenderedPageBreak/>
              <w:t>3</w:t>
            </w:r>
          </w:p>
        </w:tc>
        <w:tc>
          <w:tcPr>
            <w:tcW w:w="820" w:type="pct"/>
            <w:vAlign w:val="center"/>
          </w:tcPr>
          <w:p w14:paraId="09B96D6F" w14:textId="49A834EF" w:rsidR="008750CF" w:rsidRPr="00F429FC" w:rsidRDefault="008750CF" w:rsidP="00FB610C">
            <w:r w:rsidRPr="00F429FC">
              <w:t>Energy Star most efficient clothes washer, &gt;2.5 cubic ft</w:t>
            </w:r>
            <w:r>
              <w:t xml:space="preserve"> - </w:t>
            </w:r>
            <w:r w:rsidR="00ED797B" w:rsidRPr="00FC76CB">
              <w:t>Non-Res</w:t>
            </w:r>
          </w:p>
        </w:tc>
        <w:tc>
          <w:tcPr>
            <w:tcW w:w="820" w:type="pct"/>
            <w:vAlign w:val="center"/>
          </w:tcPr>
          <w:p w14:paraId="29A7E18A" w14:textId="77777777" w:rsidR="008750CF" w:rsidRPr="00A558F6" w:rsidRDefault="008750CF" w:rsidP="00FB610C">
            <w:pPr>
              <w:jc w:val="center"/>
              <w:rPr>
                <w:rFonts w:cstheme="minorHAnsi"/>
                <w:szCs w:val="20"/>
              </w:rPr>
            </w:pPr>
            <w:r w:rsidRPr="00A558F6">
              <w:rPr>
                <w:rFonts w:cstheme="minorHAnsi"/>
                <w:szCs w:val="20"/>
              </w:rPr>
              <w:t>Com</w:t>
            </w:r>
          </w:p>
        </w:tc>
        <w:tc>
          <w:tcPr>
            <w:tcW w:w="1811" w:type="pct"/>
            <w:vAlign w:val="center"/>
          </w:tcPr>
          <w:p w14:paraId="28843709" w14:textId="03F43146" w:rsidR="008750CF" w:rsidRPr="00A558F6" w:rsidRDefault="008750CF" w:rsidP="00643E0F">
            <w:pPr>
              <w:jc w:val="center"/>
              <w:rPr>
                <w:rFonts w:cstheme="minorHAnsi"/>
                <w:szCs w:val="20"/>
              </w:rPr>
            </w:pPr>
            <w:r w:rsidRPr="00A558F6">
              <w:rPr>
                <w:rFonts w:cstheme="minorHAnsi"/>
                <w:szCs w:val="20"/>
              </w:rPr>
              <w:t>IOU:</w:t>
            </w:r>
            <w:r w:rsidR="00ED797B" w:rsidRPr="00A558F6">
              <w:rPr>
                <w:rFonts w:cstheme="minorHAnsi"/>
                <w:szCs w:val="20"/>
              </w:rPr>
              <w:t>RES: DEER: Res</w:t>
            </w:r>
            <w:r w:rsidRPr="00A558F6">
              <w:rPr>
                <w:rFonts w:cstheme="minorHAnsi"/>
                <w:szCs w:val="20"/>
              </w:rPr>
              <w:t>_ClothesDishWasher</w:t>
            </w:r>
          </w:p>
        </w:tc>
        <w:tc>
          <w:tcPr>
            <w:tcW w:w="730" w:type="pct"/>
            <w:vAlign w:val="center"/>
          </w:tcPr>
          <w:p w14:paraId="73402E2E" w14:textId="77777777" w:rsidR="008750CF" w:rsidRPr="00A558F6" w:rsidRDefault="008750CF" w:rsidP="003C2EE2">
            <w:pPr>
              <w:jc w:val="center"/>
              <w:rPr>
                <w:rFonts w:cstheme="minorHAnsi"/>
                <w:szCs w:val="20"/>
              </w:rPr>
            </w:pPr>
            <w:r w:rsidRPr="00A558F6">
              <w:rPr>
                <w:rFonts w:cstheme="minorHAnsi"/>
                <w:szCs w:val="20"/>
              </w:rPr>
              <w:t>NON_RES</w:t>
            </w:r>
          </w:p>
        </w:tc>
      </w:tr>
      <w:tr w:rsidR="008750CF" w:rsidRPr="00500C4E" w14:paraId="124E5475" w14:textId="77777777" w:rsidTr="00045E01">
        <w:tc>
          <w:tcPr>
            <w:tcW w:w="819" w:type="pct"/>
            <w:vAlign w:val="center"/>
          </w:tcPr>
          <w:p w14:paraId="166DD6D4" w14:textId="61EB8D68" w:rsidR="008750CF" w:rsidRDefault="008750CF" w:rsidP="008750CF">
            <w:pPr>
              <w:jc w:val="center"/>
              <w:rPr>
                <w:rFonts w:ascii="Calibri" w:hAnsi="Calibri" w:cs="Calibri"/>
                <w:color w:val="000000"/>
                <w:szCs w:val="22"/>
              </w:rPr>
            </w:pPr>
            <w:r w:rsidRPr="000E32AA">
              <w:t>4</w:t>
            </w:r>
          </w:p>
        </w:tc>
        <w:tc>
          <w:tcPr>
            <w:tcW w:w="820" w:type="pct"/>
            <w:vAlign w:val="center"/>
          </w:tcPr>
          <w:p w14:paraId="0ED7323A" w14:textId="77777777" w:rsidR="008750CF" w:rsidRPr="00F429FC" w:rsidRDefault="008750CF" w:rsidP="00FB610C">
            <w:r>
              <w:t>Commercial steam cooker Electric</w:t>
            </w:r>
          </w:p>
        </w:tc>
        <w:tc>
          <w:tcPr>
            <w:tcW w:w="820" w:type="pct"/>
            <w:vAlign w:val="center"/>
          </w:tcPr>
          <w:p w14:paraId="70AE872F" w14:textId="77777777" w:rsidR="008750CF" w:rsidRPr="00A558F6" w:rsidRDefault="008750CF" w:rsidP="00643E0F">
            <w:pPr>
              <w:jc w:val="center"/>
              <w:rPr>
                <w:rFonts w:cstheme="minorHAnsi"/>
                <w:szCs w:val="20"/>
              </w:rPr>
            </w:pPr>
            <w:r w:rsidRPr="00A558F6">
              <w:rPr>
                <w:rFonts w:cstheme="minorHAnsi"/>
                <w:szCs w:val="20"/>
              </w:rPr>
              <w:t>Com</w:t>
            </w:r>
          </w:p>
        </w:tc>
        <w:tc>
          <w:tcPr>
            <w:tcW w:w="1811" w:type="pct"/>
            <w:vAlign w:val="center"/>
          </w:tcPr>
          <w:p w14:paraId="7284F73C" w14:textId="77777777" w:rsidR="008750CF" w:rsidRPr="00A558F6" w:rsidRDefault="008750CF" w:rsidP="00643E0F">
            <w:pPr>
              <w:jc w:val="center"/>
              <w:rPr>
                <w:rFonts w:cstheme="minorHAnsi"/>
                <w:szCs w:val="20"/>
              </w:rPr>
            </w:pPr>
            <w:r w:rsidRPr="00A558F6">
              <w:rPr>
                <w:rFonts w:cstheme="minorHAnsi"/>
                <w:szCs w:val="20"/>
              </w:rPr>
              <w:t>IOU:RSD-Restaurant–SitDown-PROC_OTH</w:t>
            </w:r>
          </w:p>
        </w:tc>
        <w:tc>
          <w:tcPr>
            <w:tcW w:w="730" w:type="pct"/>
            <w:vAlign w:val="center"/>
          </w:tcPr>
          <w:p w14:paraId="720DB10E" w14:textId="77777777" w:rsidR="008750CF" w:rsidRPr="00A558F6" w:rsidRDefault="008750CF" w:rsidP="003C2EE2">
            <w:pPr>
              <w:jc w:val="center"/>
              <w:rPr>
                <w:rFonts w:cstheme="minorHAnsi"/>
                <w:szCs w:val="20"/>
              </w:rPr>
            </w:pPr>
            <w:r w:rsidRPr="00A558F6">
              <w:rPr>
                <w:rFonts w:cstheme="minorHAnsi"/>
                <w:szCs w:val="20"/>
              </w:rPr>
              <w:t>NON_RES</w:t>
            </w:r>
          </w:p>
        </w:tc>
      </w:tr>
      <w:tr w:rsidR="008750CF" w:rsidRPr="00500C4E" w14:paraId="2024C39F" w14:textId="77777777" w:rsidTr="00045E01">
        <w:tc>
          <w:tcPr>
            <w:tcW w:w="819" w:type="pct"/>
            <w:vAlign w:val="center"/>
          </w:tcPr>
          <w:p w14:paraId="620AD568" w14:textId="2CE8E04D" w:rsidR="008750CF" w:rsidRPr="00F429FC" w:rsidRDefault="008750CF" w:rsidP="008750CF">
            <w:pPr>
              <w:jc w:val="center"/>
              <w:rPr>
                <w:rFonts w:ascii="Calibri" w:hAnsi="Calibri" w:cs="Calibri"/>
                <w:color w:val="000000"/>
                <w:szCs w:val="22"/>
              </w:rPr>
            </w:pPr>
            <w:r w:rsidRPr="000E32AA">
              <w:t>5</w:t>
            </w:r>
          </w:p>
        </w:tc>
        <w:tc>
          <w:tcPr>
            <w:tcW w:w="820" w:type="pct"/>
            <w:vAlign w:val="center"/>
          </w:tcPr>
          <w:p w14:paraId="54A9ECDE" w14:textId="77777777" w:rsidR="008750CF" w:rsidRPr="00F429FC" w:rsidRDefault="008750CF" w:rsidP="00FB610C">
            <w:r>
              <w:t>Commercial steam cooker Natural gas</w:t>
            </w:r>
          </w:p>
        </w:tc>
        <w:tc>
          <w:tcPr>
            <w:tcW w:w="820" w:type="pct"/>
            <w:vAlign w:val="center"/>
          </w:tcPr>
          <w:p w14:paraId="15F0E4AE" w14:textId="17500E08" w:rsidR="008750CF" w:rsidRPr="00A558F6" w:rsidRDefault="008750CF" w:rsidP="00643E0F">
            <w:pPr>
              <w:jc w:val="center"/>
              <w:rPr>
                <w:rFonts w:cstheme="minorHAnsi"/>
                <w:szCs w:val="20"/>
              </w:rPr>
            </w:pPr>
            <w:r w:rsidRPr="00A558F6">
              <w:rPr>
                <w:rFonts w:cstheme="minorHAnsi"/>
                <w:szCs w:val="20"/>
              </w:rPr>
              <w:t>Com</w:t>
            </w:r>
          </w:p>
        </w:tc>
        <w:tc>
          <w:tcPr>
            <w:tcW w:w="1811" w:type="pct"/>
            <w:vAlign w:val="center"/>
          </w:tcPr>
          <w:p w14:paraId="5581AD7E" w14:textId="58D94BA6" w:rsidR="008750CF" w:rsidRPr="00A558F6" w:rsidRDefault="008750CF" w:rsidP="00643E0F">
            <w:pPr>
              <w:jc w:val="center"/>
              <w:rPr>
                <w:rFonts w:cstheme="minorHAnsi"/>
                <w:szCs w:val="20"/>
              </w:rPr>
            </w:pPr>
            <w:r w:rsidRPr="00A558F6">
              <w:rPr>
                <w:rFonts w:cstheme="minorHAnsi"/>
                <w:szCs w:val="20"/>
              </w:rPr>
              <w:t>IOU:RSD-Restaurant–SitDown-PROC_OTH</w:t>
            </w:r>
          </w:p>
        </w:tc>
        <w:tc>
          <w:tcPr>
            <w:tcW w:w="730" w:type="pct"/>
            <w:vAlign w:val="center"/>
          </w:tcPr>
          <w:p w14:paraId="6AE9A325" w14:textId="34A5DA64" w:rsidR="008750CF" w:rsidRPr="00A558F6" w:rsidRDefault="008750CF" w:rsidP="003C2EE2">
            <w:pPr>
              <w:jc w:val="center"/>
              <w:rPr>
                <w:rFonts w:cstheme="minorHAnsi"/>
                <w:szCs w:val="20"/>
              </w:rPr>
            </w:pPr>
            <w:r w:rsidRPr="00A558F6">
              <w:rPr>
                <w:rFonts w:cstheme="minorHAnsi"/>
                <w:szCs w:val="20"/>
              </w:rPr>
              <w:t>NON_RES</w:t>
            </w:r>
          </w:p>
        </w:tc>
      </w:tr>
      <w:tr w:rsidR="008750CF" w:rsidRPr="00500C4E" w14:paraId="0956DC5F" w14:textId="77777777" w:rsidTr="00045E01">
        <w:tc>
          <w:tcPr>
            <w:tcW w:w="819" w:type="pct"/>
            <w:vAlign w:val="center"/>
          </w:tcPr>
          <w:p w14:paraId="3D7163EF" w14:textId="5F0F1578" w:rsidR="008750CF" w:rsidRPr="00F429FC" w:rsidRDefault="008750CF" w:rsidP="008750CF">
            <w:pPr>
              <w:jc w:val="center"/>
              <w:rPr>
                <w:rFonts w:ascii="Calibri" w:hAnsi="Calibri" w:cs="Calibri"/>
                <w:color w:val="000000"/>
                <w:szCs w:val="22"/>
              </w:rPr>
            </w:pPr>
            <w:r w:rsidRPr="000E32AA">
              <w:t>6</w:t>
            </w:r>
          </w:p>
        </w:tc>
        <w:tc>
          <w:tcPr>
            <w:tcW w:w="820" w:type="pct"/>
            <w:vAlign w:val="center"/>
          </w:tcPr>
          <w:p w14:paraId="42139201" w14:textId="77777777" w:rsidR="008750CF" w:rsidRPr="00045E01" w:rsidRDefault="008750CF" w:rsidP="00FB610C">
            <w:r w:rsidRPr="00045E01">
              <w:t>Commercial combination oven/steamer Electric (less than 15 pans)</w:t>
            </w:r>
          </w:p>
        </w:tc>
        <w:tc>
          <w:tcPr>
            <w:tcW w:w="820" w:type="pct"/>
            <w:vAlign w:val="center"/>
          </w:tcPr>
          <w:p w14:paraId="03D50376" w14:textId="77777777" w:rsidR="008750CF" w:rsidRPr="00045E01" w:rsidRDefault="008750CF" w:rsidP="00643E0F">
            <w:pPr>
              <w:jc w:val="center"/>
            </w:pPr>
            <w:r w:rsidRPr="00045E01">
              <w:t>Com</w:t>
            </w:r>
          </w:p>
        </w:tc>
        <w:tc>
          <w:tcPr>
            <w:tcW w:w="1811" w:type="pct"/>
            <w:vAlign w:val="center"/>
          </w:tcPr>
          <w:p w14:paraId="1DF28A34" w14:textId="77777777" w:rsidR="008750CF" w:rsidRPr="00045E01" w:rsidRDefault="008750CF" w:rsidP="00643E0F">
            <w:pPr>
              <w:jc w:val="center"/>
            </w:pPr>
            <w:r w:rsidRPr="00045E01">
              <w:t>IOU:RSD-Restaurant–SitDown-PROC_OTH</w:t>
            </w:r>
          </w:p>
        </w:tc>
        <w:tc>
          <w:tcPr>
            <w:tcW w:w="730" w:type="pct"/>
            <w:vAlign w:val="center"/>
          </w:tcPr>
          <w:p w14:paraId="7CACB98A" w14:textId="77777777" w:rsidR="008750CF" w:rsidRPr="00045E01" w:rsidRDefault="008750CF" w:rsidP="003C2EE2">
            <w:pPr>
              <w:jc w:val="center"/>
            </w:pPr>
            <w:r w:rsidRPr="00045E01">
              <w:t>NON_RES</w:t>
            </w:r>
          </w:p>
        </w:tc>
      </w:tr>
      <w:tr w:rsidR="008750CF" w:rsidRPr="00500C4E" w14:paraId="2BF5D32B" w14:textId="77777777" w:rsidTr="00045E01">
        <w:tc>
          <w:tcPr>
            <w:tcW w:w="819" w:type="pct"/>
            <w:vAlign w:val="center"/>
          </w:tcPr>
          <w:p w14:paraId="6450D817" w14:textId="7CB6EA6B" w:rsidR="008750CF" w:rsidRPr="00F429FC" w:rsidRDefault="008750CF" w:rsidP="008750CF">
            <w:pPr>
              <w:jc w:val="center"/>
              <w:rPr>
                <w:rFonts w:ascii="Calibri" w:hAnsi="Calibri" w:cs="Calibri"/>
                <w:color w:val="000000"/>
                <w:szCs w:val="22"/>
              </w:rPr>
            </w:pPr>
            <w:r w:rsidRPr="000E32AA">
              <w:t>7</w:t>
            </w:r>
          </w:p>
        </w:tc>
        <w:tc>
          <w:tcPr>
            <w:tcW w:w="820" w:type="pct"/>
            <w:vAlign w:val="center"/>
          </w:tcPr>
          <w:p w14:paraId="0C7ED14F" w14:textId="77777777" w:rsidR="008750CF" w:rsidRDefault="008750CF" w:rsidP="00FB610C">
            <w:pPr>
              <w:rPr>
                <w:rFonts w:ascii="Calibri" w:hAnsi="Calibri" w:cs="Calibri"/>
                <w:color w:val="000000"/>
                <w:szCs w:val="22"/>
              </w:rPr>
            </w:pPr>
            <w:r w:rsidRPr="00F429FC">
              <w:rPr>
                <w:rFonts w:ascii="Calibri" w:hAnsi="Calibri" w:cs="Calibri"/>
                <w:color w:val="000000"/>
                <w:szCs w:val="22"/>
              </w:rPr>
              <w:t>Comm</w:t>
            </w:r>
            <w:r>
              <w:rPr>
                <w:rFonts w:ascii="Calibri" w:hAnsi="Calibri" w:cs="Calibri"/>
                <w:color w:val="000000"/>
                <w:szCs w:val="22"/>
              </w:rPr>
              <w:t xml:space="preserve">ercial combination oven/steamer </w:t>
            </w:r>
            <w:r w:rsidRPr="00F429FC">
              <w:rPr>
                <w:rFonts w:ascii="Calibri" w:hAnsi="Calibri" w:cs="Calibri"/>
                <w:color w:val="000000"/>
                <w:szCs w:val="22"/>
              </w:rPr>
              <w:t>Electric (15-28 pans)</w:t>
            </w:r>
          </w:p>
        </w:tc>
        <w:tc>
          <w:tcPr>
            <w:tcW w:w="820" w:type="pct"/>
            <w:vAlign w:val="center"/>
          </w:tcPr>
          <w:p w14:paraId="78308D33" w14:textId="77777777" w:rsidR="008750CF" w:rsidRPr="00A558F6" w:rsidRDefault="008750CF" w:rsidP="00FB610C">
            <w:pPr>
              <w:jc w:val="center"/>
              <w:rPr>
                <w:rFonts w:cstheme="minorHAnsi"/>
                <w:szCs w:val="20"/>
              </w:rPr>
            </w:pPr>
            <w:r w:rsidRPr="00A558F6">
              <w:rPr>
                <w:rFonts w:cstheme="minorHAnsi"/>
                <w:szCs w:val="20"/>
              </w:rPr>
              <w:t>Com</w:t>
            </w:r>
          </w:p>
        </w:tc>
        <w:tc>
          <w:tcPr>
            <w:tcW w:w="1811" w:type="pct"/>
            <w:vAlign w:val="center"/>
          </w:tcPr>
          <w:p w14:paraId="79A5E4FF" w14:textId="77777777" w:rsidR="008750CF" w:rsidRPr="00A558F6" w:rsidRDefault="008750CF" w:rsidP="00FB610C">
            <w:pPr>
              <w:jc w:val="center"/>
              <w:rPr>
                <w:rFonts w:cstheme="minorHAnsi"/>
                <w:szCs w:val="20"/>
              </w:rPr>
            </w:pPr>
            <w:r w:rsidRPr="00A558F6">
              <w:rPr>
                <w:rFonts w:cstheme="minorHAnsi"/>
                <w:szCs w:val="20"/>
              </w:rPr>
              <w:t>IOU:RSD-Restaurant–SitDown-PROC_OTH</w:t>
            </w:r>
          </w:p>
        </w:tc>
        <w:tc>
          <w:tcPr>
            <w:tcW w:w="730" w:type="pct"/>
            <w:vAlign w:val="center"/>
          </w:tcPr>
          <w:p w14:paraId="6C4EF40F" w14:textId="77777777" w:rsidR="008750CF" w:rsidRPr="00A558F6" w:rsidRDefault="008750CF" w:rsidP="00FB610C">
            <w:pPr>
              <w:jc w:val="center"/>
              <w:rPr>
                <w:rFonts w:cstheme="minorHAnsi"/>
                <w:szCs w:val="20"/>
              </w:rPr>
            </w:pPr>
            <w:r w:rsidRPr="00A558F6">
              <w:rPr>
                <w:rFonts w:cstheme="minorHAnsi"/>
                <w:szCs w:val="20"/>
              </w:rPr>
              <w:t>NON_RES</w:t>
            </w:r>
          </w:p>
        </w:tc>
      </w:tr>
      <w:tr w:rsidR="008750CF" w:rsidRPr="00500C4E" w14:paraId="1C22147C" w14:textId="77777777" w:rsidTr="00045E01">
        <w:tc>
          <w:tcPr>
            <w:tcW w:w="819" w:type="pct"/>
            <w:vAlign w:val="center"/>
          </w:tcPr>
          <w:p w14:paraId="10B2EBDF" w14:textId="50FE21E4" w:rsidR="008750CF" w:rsidRPr="00F429FC" w:rsidRDefault="008750CF" w:rsidP="008750CF">
            <w:pPr>
              <w:jc w:val="center"/>
              <w:rPr>
                <w:rFonts w:ascii="Calibri" w:hAnsi="Calibri" w:cs="Calibri"/>
                <w:color w:val="000000"/>
                <w:szCs w:val="22"/>
              </w:rPr>
            </w:pPr>
            <w:r w:rsidRPr="000E32AA">
              <w:t>8</w:t>
            </w:r>
          </w:p>
        </w:tc>
        <w:tc>
          <w:tcPr>
            <w:tcW w:w="820" w:type="pct"/>
            <w:vAlign w:val="center"/>
          </w:tcPr>
          <w:p w14:paraId="3B0F75EC" w14:textId="77777777" w:rsidR="008750CF" w:rsidRPr="00F429FC" w:rsidRDefault="008750CF" w:rsidP="00FB610C">
            <w:pPr>
              <w:rPr>
                <w:rFonts w:ascii="Calibri" w:hAnsi="Calibri" w:cs="Calibri"/>
                <w:color w:val="000000"/>
                <w:szCs w:val="22"/>
              </w:rPr>
            </w:pPr>
            <w:r w:rsidRPr="00F429FC">
              <w:rPr>
                <w:rFonts w:ascii="Calibri" w:hAnsi="Calibri" w:cs="Calibri"/>
                <w:color w:val="000000"/>
                <w:szCs w:val="22"/>
              </w:rPr>
              <w:t>Comm</w:t>
            </w:r>
            <w:r>
              <w:rPr>
                <w:rFonts w:ascii="Calibri" w:hAnsi="Calibri" w:cs="Calibri"/>
                <w:color w:val="000000"/>
                <w:szCs w:val="22"/>
              </w:rPr>
              <w:t xml:space="preserve">ercial combination oven/steamer </w:t>
            </w:r>
            <w:r w:rsidRPr="00F429FC">
              <w:rPr>
                <w:rFonts w:ascii="Calibri" w:hAnsi="Calibri" w:cs="Calibri"/>
                <w:color w:val="000000"/>
                <w:szCs w:val="22"/>
              </w:rPr>
              <w:t>Electric (more than 28 pans)</w:t>
            </w:r>
          </w:p>
        </w:tc>
        <w:tc>
          <w:tcPr>
            <w:tcW w:w="820" w:type="pct"/>
            <w:vAlign w:val="center"/>
          </w:tcPr>
          <w:p w14:paraId="5B2BA324" w14:textId="77777777" w:rsidR="008750CF" w:rsidRPr="00A558F6" w:rsidRDefault="008750CF" w:rsidP="00FB610C">
            <w:pPr>
              <w:jc w:val="center"/>
              <w:rPr>
                <w:rFonts w:cstheme="minorHAnsi"/>
                <w:szCs w:val="20"/>
              </w:rPr>
            </w:pPr>
            <w:r w:rsidRPr="00A558F6">
              <w:rPr>
                <w:rFonts w:cstheme="minorHAnsi"/>
                <w:szCs w:val="20"/>
              </w:rPr>
              <w:t>Com</w:t>
            </w:r>
          </w:p>
        </w:tc>
        <w:tc>
          <w:tcPr>
            <w:tcW w:w="1811" w:type="pct"/>
            <w:vAlign w:val="center"/>
          </w:tcPr>
          <w:p w14:paraId="341E9610" w14:textId="77777777" w:rsidR="008750CF" w:rsidRPr="00A558F6" w:rsidRDefault="008750CF" w:rsidP="00FB610C">
            <w:pPr>
              <w:jc w:val="center"/>
              <w:rPr>
                <w:rFonts w:cstheme="minorHAnsi"/>
                <w:szCs w:val="20"/>
              </w:rPr>
            </w:pPr>
            <w:r w:rsidRPr="00A558F6">
              <w:rPr>
                <w:rFonts w:cstheme="minorHAnsi"/>
                <w:szCs w:val="20"/>
              </w:rPr>
              <w:t>IOU:RSD-Restaurant–SitDown-PROC_OTH</w:t>
            </w:r>
          </w:p>
        </w:tc>
        <w:tc>
          <w:tcPr>
            <w:tcW w:w="730" w:type="pct"/>
            <w:vAlign w:val="center"/>
          </w:tcPr>
          <w:p w14:paraId="146FB291" w14:textId="77777777" w:rsidR="008750CF" w:rsidRPr="00A558F6" w:rsidRDefault="008750CF" w:rsidP="00FB610C">
            <w:pPr>
              <w:jc w:val="center"/>
              <w:rPr>
                <w:rFonts w:cstheme="minorHAnsi"/>
                <w:szCs w:val="20"/>
              </w:rPr>
            </w:pPr>
            <w:r w:rsidRPr="00A558F6">
              <w:rPr>
                <w:rFonts w:cstheme="minorHAnsi"/>
                <w:szCs w:val="20"/>
              </w:rPr>
              <w:t>NON_RES</w:t>
            </w:r>
          </w:p>
        </w:tc>
      </w:tr>
      <w:tr w:rsidR="008750CF" w:rsidRPr="00500C4E" w14:paraId="30114C7D" w14:textId="77777777" w:rsidTr="00045E01">
        <w:tc>
          <w:tcPr>
            <w:tcW w:w="819" w:type="pct"/>
            <w:vAlign w:val="center"/>
          </w:tcPr>
          <w:p w14:paraId="6278882D" w14:textId="49228107" w:rsidR="008750CF" w:rsidRPr="0095671B" w:rsidRDefault="008750CF" w:rsidP="008750CF">
            <w:pPr>
              <w:jc w:val="center"/>
              <w:rPr>
                <w:rFonts w:ascii="Calibri" w:hAnsi="Calibri" w:cs="Calibri"/>
                <w:color w:val="000000"/>
                <w:szCs w:val="22"/>
              </w:rPr>
            </w:pPr>
            <w:r w:rsidRPr="000E32AA">
              <w:t>9</w:t>
            </w:r>
          </w:p>
        </w:tc>
        <w:tc>
          <w:tcPr>
            <w:tcW w:w="820" w:type="pct"/>
            <w:vAlign w:val="center"/>
          </w:tcPr>
          <w:p w14:paraId="450D09DA" w14:textId="77777777" w:rsidR="008750CF" w:rsidRPr="00F429FC" w:rsidRDefault="008750CF" w:rsidP="00FB610C">
            <w:pPr>
              <w:rPr>
                <w:rFonts w:ascii="Calibri" w:hAnsi="Calibri" w:cs="Calibri"/>
                <w:color w:val="000000"/>
                <w:szCs w:val="22"/>
              </w:rPr>
            </w:pPr>
            <w:r w:rsidRPr="00F429FC">
              <w:rPr>
                <w:rFonts w:ascii="Calibri" w:hAnsi="Calibri" w:cs="Calibri"/>
                <w:color w:val="000000"/>
                <w:szCs w:val="22"/>
              </w:rPr>
              <w:t>Commercial combination oven</w:t>
            </w:r>
            <w:r>
              <w:rPr>
                <w:rFonts w:ascii="Calibri" w:hAnsi="Calibri" w:cs="Calibri"/>
                <w:color w:val="000000"/>
                <w:szCs w:val="22"/>
              </w:rPr>
              <w:t xml:space="preserve">/steamer </w:t>
            </w:r>
            <w:r w:rsidRPr="00F429FC">
              <w:rPr>
                <w:rFonts w:ascii="Calibri" w:hAnsi="Calibri" w:cs="Calibri"/>
                <w:color w:val="000000"/>
                <w:szCs w:val="22"/>
              </w:rPr>
              <w:t>Natural gas (less than 15 pans)</w:t>
            </w:r>
          </w:p>
        </w:tc>
        <w:tc>
          <w:tcPr>
            <w:tcW w:w="820" w:type="pct"/>
            <w:vAlign w:val="center"/>
          </w:tcPr>
          <w:p w14:paraId="203FD26E" w14:textId="42742588" w:rsidR="008750CF" w:rsidRPr="00A558F6" w:rsidRDefault="008750CF" w:rsidP="00FB610C">
            <w:pPr>
              <w:jc w:val="center"/>
              <w:rPr>
                <w:rFonts w:cstheme="minorHAnsi"/>
                <w:szCs w:val="20"/>
              </w:rPr>
            </w:pPr>
            <w:r w:rsidRPr="00A558F6">
              <w:rPr>
                <w:rFonts w:cstheme="minorHAnsi"/>
                <w:szCs w:val="20"/>
              </w:rPr>
              <w:t>Com</w:t>
            </w:r>
          </w:p>
        </w:tc>
        <w:tc>
          <w:tcPr>
            <w:tcW w:w="1811" w:type="pct"/>
            <w:vAlign w:val="center"/>
          </w:tcPr>
          <w:p w14:paraId="4B787E75" w14:textId="6A9553C4" w:rsidR="008750CF" w:rsidRPr="00A558F6" w:rsidRDefault="008750CF" w:rsidP="00FB610C">
            <w:pPr>
              <w:jc w:val="center"/>
              <w:rPr>
                <w:rFonts w:cstheme="minorHAnsi"/>
                <w:szCs w:val="20"/>
              </w:rPr>
            </w:pPr>
            <w:r w:rsidRPr="00A558F6">
              <w:rPr>
                <w:rFonts w:cstheme="minorHAnsi"/>
                <w:szCs w:val="20"/>
              </w:rPr>
              <w:t>IOU:RSD-Restaurant–SitDown-PROC_OTH</w:t>
            </w:r>
          </w:p>
        </w:tc>
        <w:tc>
          <w:tcPr>
            <w:tcW w:w="730" w:type="pct"/>
            <w:vAlign w:val="center"/>
          </w:tcPr>
          <w:p w14:paraId="689826B1" w14:textId="1BE12F52" w:rsidR="008750CF" w:rsidRPr="00A558F6" w:rsidRDefault="008750CF" w:rsidP="00FB610C">
            <w:pPr>
              <w:jc w:val="center"/>
              <w:rPr>
                <w:rFonts w:cstheme="minorHAnsi"/>
                <w:szCs w:val="20"/>
              </w:rPr>
            </w:pPr>
            <w:r w:rsidRPr="00A558F6">
              <w:rPr>
                <w:rFonts w:cstheme="minorHAnsi"/>
                <w:szCs w:val="20"/>
              </w:rPr>
              <w:t>NON_RES</w:t>
            </w:r>
          </w:p>
        </w:tc>
      </w:tr>
      <w:tr w:rsidR="008750CF" w:rsidRPr="00500C4E" w14:paraId="3385C864" w14:textId="77777777" w:rsidTr="00045E01">
        <w:tc>
          <w:tcPr>
            <w:tcW w:w="819" w:type="pct"/>
            <w:vAlign w:val="center"/>
          </w:tcPr>
          <w:p w14:paraId="22B01860" w14:textId="2466AF5A" w:rsidR="008750CF" w:rsidRDefault="008750CF" w:rsidP="008750CF">
            <w:pPr>
              <w:jc w:val="center"/>
              <w:rPr>
                <w:rFonts w:ascii="Calibri" w:hAnsi="Calibri" w:cs="Calibri"/>
                <w:color w:val="000000"/>
                <w:szCs w:val="22"/>
              </w:rPr>
            </w:pPr>
            <w:r w:rsidRPr="000E32AA">
              <w:t>10</w:t>
            </w:r>
          </w:p>
        </w:tc>
        <w:tc>
          <w:tcPr>
            <w:tcW w:w="820" w:type="pct"/>
            <w:vAlign w:val="center"/>
          </w:tcPr>
          <w:p w14:paraId="58A3E0DB" w14:textId="77777777" w:rsidR="008750CF" w:rsidRPr="00F429FC" w:rsidRDefault="008750CF" w:rsidP="00FB610C">
            <w:pPr>
              <w:rPr>
                <w:rFonts w:ascii="Calibri" w:hAnsi="Calibri" w:cs="Calibri"/>
                <w:color w:val="000000"/>
                <w:szCs w:val="22"/>
              </w:rPr>
            </w:pPr>
            <w:r w:rsidRPr="00F429FC">
              <w:rPr>
                <w:rFonts w:ascii="Calibri" w:hAnsi="Calibri" w:cs="Calibri"/>
                <w:color w:val="000000"/>
                <w:szCs w:val="22"/>
              </w:rPr>
              <w:t>Comm</w:t>
            </w:r>
            <w:r>
              <w:rPr>
                <w:rFonts w:ascii="Calibri" w:hAnsi="Calibri" w:cs="Calibri"/>
                <w:color w:val="000000"/>
                <w:szCs w:val="22"/>
              </w:rPr>
              <w:t xml:space="preserve">ercial combination oven/steamer </w:t>
            </w:r>
            <w:r w:rsidRPr="00F429FC">
              <w:rPr>
                <w:rFonts w:ascii="Calibri" w:hAnsi="Calibri" w:cs="Calibri"/>
                <w:color w:val="000000"/>
                <w:szCs w:val="22"/>
              </w:rPr>
              <w:t>Natural gas (15-28 pans)</w:t>
            </w:r>
          </w:p>
        </w:tc>
        <w:tc>
          <w:tcPr>
            <w:tcW w:w="820" w:type="pct"/>
            <w:vAlign w:val="center"/>
          </w:tcPr>
          <w:p w14:paraId="21F6246D" w14:textId="5FF732D1" w:rsidR="008750CF" w:rsidRPr="00A558F6" w:rsidRDefault="008750CF" w:rsidP="00FB610C">
            <w:pPr>
              <w:jc w:val="center"/>
              <w:rPr>
                <w:rFonts w:cstheme="minorHAnsi"/>
                <w:szCs w:val="20"/>
              </w:rPr>
            </w:pPr>
            <w:r w:rsidRPr="00A558F6">
              <w:rPr>
                <w:rFonts w:cstheme="minorHAnsi"/>
                <w:szCs w:val="20"/>
              </w:rPr>
              <w:t>Com</w:t>
            </w:r>
          </w:p>
        </w:tc>
        <w:tc>
          <w:tcPr>
            <w:tcW w:w="1811" w:type="pct"/>
            <w:vAlign w:val="center"/>
          </w:tcPr>
          <w:p w14:paraId="7AE02E87" w14:textId="34101E68" w:rsidR="008750CF" w:rsidRPr="00A558F6" w:rsidRDefault="008750CF" w:rsidP="00FB610C">
            <w:pPr>
              <w:jc w:val="center"/>
              <w:rPr>
                <w:rFonts w:cstheme="minorHAnsi"/>
                <w:szCs w:val="20"/>
              </w:rPr>
            </w:pPr>
            <w:r w:rsidRPr="00A558F6">
              <w:rPr>
                <w:rFonts w:cstheme="minorHAnsi"/>
                <w:szCs w:val="20"/>
              </w:rPr>
              <w:t>IOU:RSD-Restaurant–SitDown-PROC_OTH</w:t>
            </w:r>
          </w:p>
        </w:tc>
        <w:tc>
          <w:tcPr>
            <w:tcW w:w="730" w:type="pct"/>
            <w:vAlign w:val="center"/>
          </w:tcPr>
          <w:p w14:paraId="0565F572" w14:textId="5159B921" w:rsidR="008750CF" w:rsidRPr="00A558F6" w:rsidRDefault="008750CF" w:rsidP="00FB610C">
            <w:pPr>
              <w:jc w:val="center"/>
              <w:rPr>
                <w:rFonts w:cstheme="minorHAnsi"/>
                <w:szCs w:val="20"/>
              </w:rPr>
            </w:pPr>
            <w:r w:rsidRPr="00A558F6">
              <w:rPr>
                <w:rFonts w:cstheme="minorHAnsi"/>
                <w:szCs w:val="20"/>
              </w:rPr>
              <w:t>NON_RES</w:t>
            </w:r>
          </w:p>
        </w:tc>
      </w:tr>
    </w:tbl>
    <w:p w14:paraId="75AB0FDF" w14:textId="756A843B" w:rsidR="001D78BE" w:rsidRDefault="002A327B" w:rsidP="002A327B">
      <w:pPr>
        <w:tabs>
          <w:tab w:val="left" w:pos="5200"/>
        </w:tabs>
      </w:pPr>
      <w:r>
        <w:tab/>
      </w:r>
    </w:p>
    <w:p w14:paraId="7292B96A" w14:textId="01DFFDA4" w:rsidR="002A327B" w:rsidRDefault="002A327B" w:rsidP="002A327B">
      <w:pPr>
        <w:tabs>
          <w:tab w:val="left" w:pos="5200"/>
        </w:tabs>
      </w:pPr>
    </w:p>
    <w:p w14:paraId="779F5C79" w14:textId="690177B0" w:rsidR="002A327B" w:rsidRPr="00500C4E" w:rsidRDefault="00602E9A" w:rsidP="00602E9A">
      <w:pPr>
        <w:pStyle w:val="Caption"/>
        <w:keepNext/>
        <w:jc w:val="center"/>
        <w:rPr>
          <w:rFonts w:cstheme="minorHAnsi"/>
          <w:b w:val="0"/>
          <w:szCs w:val="22"/>
        </w:rPr>
      </w:pPr>
      <w:bookmarkStart w:id="31" w:name="_Ref19593673"/>
      <w:r>
        <w:t xml:space="preserve">Table </w:t>
      </w:r>
      <w:r w:rsidR="00054031">
        <w:fldChar w:fldCharType="begin"/>
      </w:r>
      <w:r w:rsidR="00054031">
        <w:instrText xml:space="preserve"> SEQ Table \* ARABIC </w:instrText>
      </w:r>
      <w:r w:rsidR="00054031">
        <w:fldChar w:fldCharType="separate"/>
      </w:r>
      <w:r>
        <w:rPr>
          <w:noProof/>
        </w:rPr>
        <w:t>11</w:t>
      </w:r>
      <w:r w:rsidR="00054031">
        <w:rPr>
          <w:noProof/>
        </w:rPr>
        <w:fldChar w:fldCharType="end"/>
      </w:r>
      <w:bookmarkEnd w:id="31"/>
      <w:r>
        <w:t xml:space="preserve"> </w:t>
      </w:r>
      <w:r w:rsidR="002A327B">
        <w:t xml:space="preserve">Applicable </w:t>
      </w:r>
      <w:r w:rsidR="002A327B" w:rsidRPr="00500C4E">
        <w:rPr>
          <w:rFonts w:cstheme="minorHAnsi"/>
          <w:szCs w:val="22"/>
        </w:rPr>
        <w:t>Building Types and Load Shapes</w:t>
      </w:r>
      <w:r w:rsidR="002A327B">
        <w:rPr>
          <w:rFonts w:cstheme="minorHAnsi"/>
          <w:szCs w:val="22"/>
        </w:rPr>
        <w:t xml:space="preserve"> for MWD WEN Measures</w:t>
      </w:r>
    </w:p>
    <w:p w14:paraId="09121FDF" w14:textId="77777777" w:rsidR="002A327B" w:rsidRDefault="002A327B" w:rsidP="002A327B">
      <w:pPr>
        <w:tabs>
          <w:tab w:val="left" w:pos="5200"/>
        </w:tabs>
      </w:pPr>
    </w:p>
    <w:tbl>
      <w:tblPr>
        <w:tblStyle w:val="TableGrid1"/>
        <w:tblW w:w="5000" w:type="pct"/>
        <w:tblLook w:val="01E0" w:firstRow="1" w:lastRow="1" w:firstColumn="1" w:lastColumn="1" w:noHBand="0" w:noVBand="0"/>
      </w:tblPr>
      <w:tblGrid>
        <w:gridCol w:w="1532"/>
        <w:gridCol w:w="1533"/>
        <w:gridCol w:w="1533"/>
        <w:gridCol w:w="3387"/>
        <w:gridCol w:w="1365"/>
      </w:tblGrid>
      <w:tr w:rsidR="000A0FB7" w:rsidRPr="00500C4E" w14:paraId="148FA7CD" w14:textId="77777777" w:rsidTr="0026344C">
        <w:trPr>
          <w:tblHeader/>
        </w:trPr>
        <w:tc>
          <w:tcPr>
            <w:tcW w:w="819" w:type="pct"/>
            <w:shd w:val="clear" w:color="auto" w:fill="BFBFBF" w:themeFill="background1" w:themeFillShade="BF"/>
            <w:vAlign w:val="center"/>
          </w:tcPr>
          <w:p w14:paraId="545CEC9F" w14:textId="77777777" w:rsidR="000A0FB7" w:rsidRPr="00920905" w:rsidRDefault="000A0FB7" w:rsidP="00FB610C">
            <w:pPr>
              <w:jc w:val="center"/>
              <w:rPr>
                <w:rFonts w:cstheme="minorHAnsi"/>
                <w:b/>
                <w:szCs w:val="20"/>
              </w:rPr>
            </w:pPr>
            <w:r>
              <w:rPr>
                <w:rFonts w:cstheme="minorHAnsi"/>
                <w:b/>
                <w:szCs w:val="20"/>
              </w:rPr>
              <w:t>Measure #</w:t>
            </w:r>
          </w:p>
        </w:tc>
        <w:tc>
          <w:tcPr>
            <w:tcW w:w="820" w:type="pct"/>
            <w:shd w:val="clear" w:color="auto" w:fill="BFBFBF" w:themeFill="background1" w:themeFillShade="BF"/>
            <w:vAlign w:val="center"/>
          </w:tcPr>
          <w:p w14:paraId="0BEE6363" w14:textId="77777777" w:rsidR="000A0FB7" w:rsidRPr="00920905" w:rsidRDefault="000A0FB7" w:rsidP="00FB610C">
            <w:pPr>
              <w:jc w:val="center"/>
              <w:rPr>
                <w:rFonts w:cstheme="minorHAnsi"/>
                <w:b/>
                <w:szCs w:val="20"/>
              </w:rPr>
            </w:pPr>
            <w:r>
              <w:rPr>
                <w:rFonts w:cstheme="minorHAnsi"/>
                <w:b/>
                <w:szCs w:val="20"/>
              </w:rPr>
              <w:t xml:space="preserve">Measure Description </w:t>
            </w:r>
          </w:p>
        </w:tc>
        <w:tc>
          <w:tcPr>
            <w:tcW w:w="820" w:type="pct"/>
            <w:shd w:val="clear" w:color="auto" w:fill="BFBFBF" w:themeFill="background1" w:themeFillShade="BF"/>
            <w:vAlign w:val="center"/>
          </w:tcPr>
          <w:p w14:paraId="5367755A" w14:textId="77777777" w:rsidR="000A0FB7" w:rsidRPr="00920905" w:rsidRDefault="000A0FB7" w:rsidP="00FB610C">
            <w:pPr>
              <w:jc w:val="center"/>
              <w:rPr>
                <w:rFonts w:cstheme="minorHAnsi"/>
                <w:b/>
                <w:szCs w:val="20"/>
                <w:highlight w:val="yellow"/>
              </w:rPr>
            </w:pPr>
            <w:r w:rsidRPr="00920905">
              <w:rPr>
                <w:rFonts w:cstheme="minorHAnsi"/>
                <w:b/>
                <w:szCs w:val="20"/>
              </w:rPr>
              <w:t>Building Type</w:t>
            </w:r>
          </w:p>
        </w:tc>
        <w:tc>
          <w:tcPr>
            <w:tcW w:w="1811" w:type="pct"/>
            <w:shd w:val="clear" w:color="auto" w:fill="BFBFBF" w:themeFill="background1" w:themeFillShade="BF"/>
            <w:vAlign w:val="center"/>
          </w:tcPr>
          <w:p w14:paraId="430DD3DD" w14:textId="77777777" w:rsidR="000A0FB7" w:rsidRPr="00920905" w:rsidRDefault="000A0FB7" w:rsidP="00552F80">
            <w:pPr>
              <w:jc w:val="center"/>
              <w:rPr>
                <w:rFonts w:cstheme="minorHAnsi"/>
                <w:b/>
                <w:szCs w:val="20"/>
              </w:rPr>
            </w:pPr>
            <w:r w:rsidRPr="00920905">
              <w:rPr>
                <w:rFonts w:cstheme="minorHAnsi"/>
                <w:b/>
                <w:szCs w:val="20"/>
              </w:rPr>
              <w:t>Load Shape</w:t>
            </w:r>
          </w:p>
        </w:tc>
        <w:tc>
          <w:tcPr>
            <w:tcW w:w="730" w:type="pct"/>
            <w:shd w:val="clear" w:color="auto" w:fill="BFBFBF" w:themeFill="background1" w:themeFillShade="BF"/>
            <w:vAlign w:val="center"/>
          </w:tcPr>
          <w:p w14:paraId="04859AC8" w14:textId="77777777" w:rsidR="000A0FB7" w:rsidRPr="00920905" w:rsidRDefault="000A0FB7" w:rsidP="003C2EE2">
            <w:pPr>
              <w:jc w:val="center"/>
              <w:rPr>
                <w:rFonts w:cstheme="minorHAnsi"/>
                <w:b/>
                <w:szCs w:val="20"/>
                <w:highlight w:val="yellow"/>
              </w:rPr>
            </w:pPr>
            <w:r w:rsidRPr="00920905">
              <w:rPr>
                <w:rFonts w:cstheme="minorHAnsi"/>
                <w:b/>
                <w:szCs w:val="20"/>
              </w:rPr>
              <w:t>E3 Alt</w:t>
            </w:r>
            <w:r>
              <w:rPr>
                <w:rFonts w:cstheme="minorHAnsi"/>
                <w:b/>
                <w:szCs w:val="20"/>
              </w:rPr>
              <w:t>ernate</w:t>
            </w:r>
            <w:r w:rsidRPr="00920905">
              <w:rPr>
                <w:rFonts w:cstheme="minorHAnsi"/>
                <w:b/>
                <w:szCs w:val="20"/>
              </w:rPr>
              <w:t xml:space="preserve"> Building Type</w:t>
            </w:r>
          </w:p>
        </w:tc>
      </w:tr>
      <w:tr w:rsidR="00BA6903" w:rsidRPr="00500C4E" w14:paraId="2373ED7E" w14:textId="77777777" w:rsidTr="001D78BE">
        <w:tc>
          <w:tcPr>
            <w:tcW w:w="819" w:type="pct"/>
            <w:vAlign w:val="center"/>
          </w:tcPr>
          <w:p w14:paraId="66251F57" w14:textId="4F55FED8" w:rsidR="00BA6903" w:rsidRPr="004E0560" w:rsidRDefault="00BA6903" w:rsidP="00BA6903">
            <w:pPr>
              <w:jc w:val="center"/>
              <w:rPr>
                <w:rFonts w:ascii="Calibri" w:hAnsi="Calibri" w:cs="Calibri"/>
                <w:color w:val="000000"/>
                <w:szCs w:val="22"/>
              </w:rPr>
            </w:pPr>
            <w:r w:rsidRPr="003D4CF6">
              <w:t>53</w:t>
            </w:r>
          </w:p>
        </w:tc>
        <w:tc>
          <w:tcPr>
            <w:tcW w:w="820" w:type="pct"/>
            <w:vAlign w:val="bottom"/>
          </w:tcPr>
          <w:p w14:paraId="39302B77" w14:textId="77777777" w:rsidR="00BA6903" w:rsidRPr="00BE7C78" w:rsidRDefault="00BA6903" w:rsidP="00FB610C">
            <w:pPr>
              <w:rPr>
                <w:rFonts w:cs="Calibri"/>
                <w:color w:val="000000"/>
                <w:szCs w:val="20"/>
              </w:rPr>
            </w:pPr>
            <w:r w:rsidRPr="00BE7C78">
              <w:rPr>
                <w:rFonts w:cs="Calibri"/>
                <w:color w:val="000000"/>
                <w:szCs w:val="20"/>
              </w:rPr>
              <w:t>Com-High Efficiency Toilet (Melded)</w:t>
            </w:r>
          </w:p>
        </w:tc>
        <w:tc>
          <w:tcPr>
            <w:tcW w:w="820" w:type="pct"/>
            <w:vAlign w:val="center"/>
          </w:tcPr>
          <w:p w14:paraId="08004C6D" w14:textId="77777777" w:rsidR="00BA6903" w:rsidRPr="00723E6F" w:rsidRDefault="00BA6903" w:rsidP="00723E6F">
            <w:pPr>
              <w:jc w:val="center"/>
              <w:rPr>
                <w:rFonts w:cstheme="minorHAnsi"/>
                <w:szCs w:val="20"/>
              </w:rPr>
            </w:pPr>
            <w:r>
              <w:rPr>
                <w:rFonts w:cstheme="minorHAnsi"/>
                <w:szCs w:val="20"/>
              </w:rPr>
              <w:t>Com</w:t>
            </w:r>
          </w:p>
        </w:tc>
        <w:tc>
          <w:tcPr>
            <w:tcW w:w="1811" w:type="pct"/>
            <w:vAlign w:val="center"/>
          </w:tcPr>
          <w:p w14:paraId="0E809D0F" w14:textId="1D6CBCD1" w:rsidR="00BA6903" w:rsidRPr="00723E6F" w:rsidRDefault="00E3027B" w:rsidP="00E3027B">
            <w:pPr>
              <w:jc w:val="center"/>
              <w:rPr>
                <w:rFonts w:cstheme="minorHAnsi"/>
                <w:szCs w:val="20"/>
              </w:rPr>
            </w:pPr>
            <w:r>
              <w:rPr>
                <w:rFonts w:cstheme="minorHAnsi"/>
                <w:szCs w:val="20"/>
              </w:rPr>
              <w:t>TBD: Flat Load Shape</w:t>
            </w:r>
          </w:p>
        </w:tc>
        <w:tc>
          <w:tcPr>
            <w:tcW w:w="730" w:type="pct"/>
            <w:vAlign w:val="center"/>
          </w:tcPr>
          <w:p w14:paraId="77160969" w14:textId="77777777" w:rsidR="00BA6903" w:rsidRPr="00723E6F" w:rsidRDefault="00BA6903" w:rsidP="00723E6F">
            <w:pPr>
              <w:jc w:val="center"/>
              <w:rPr>
                <w:rFonts w:cstheme="minorHAnsi"/>
                <w:szCs w:val="20"/>
              </w:rPr>
            </w:pPr>
            <w:r w:rsidRPr="00A558F6">
              <w:rPr>
                <w:rFonts w:cstheme="minorHAnsi"/>
                <w:szCs w:val="20"/>
              </w:rPr>
              <w:t>NON_RES</w:t>
            </w:r>
          </w:p>
        </w:tc>
      </w:tr>
      <w:tr w:rsidR="00E3027B" w:rsidRPr="00500C4E" w14:paraId="2ACE16D2" w14:textId="77777777" w:rsidTr="001D78BE">
        <w:trPr>
          <w:trHeight w:val="287"/>
        </w:trPr>
        <w:tc>
          <w:tcPr>
            <w:tcW w:w="819" w:type="pct"/>
            <w:vAlign w:val="center"/>
          </w:tcPr>
          <w:p w14:paraId="316AC76D" w14:textId="78F4B8F9" w:rsidR="00E3027B" w:rsidRPr="004E0560" w:rsidRDefault="00E3027B" w:rsidP="00BA6903">
            <w:pPr>
              <w:jc w:val="center"/>
              <w:rPr>
                <w:rFonts w:ascii="Calibri" w:hAnsi="Calibri" w:cs="Calibri"/>
                <w:color w:val="000000"/>
                <w:szCs w:val="22"/>
              </w:rPr>
            </w:pPr>
            <w:r w:rsidRPr="003D4CF6">
              <w:t>54</w:t>
            </w:r>
          </w:p>
        </w:tc>
        <w:tc>
          <w:tcPr>
            <w:tcW w:w="820" w:type="pct"/>
            <w:vAlign w:val="bottom"/>
          </w:tcPr>
          <w:p w14:paraId="68717377" w14:textId="77777777" w:rsidR="00E3027B" w:rsidRPr="00BE7C78" w:rsidRDefault="00E3027B" w:rsidP="00FB610C">
            <w:pPr>
              <w:rPr>
                <w:rFonts w:cs="Calibri"/>
                <w:color w:val="000000"/>
                <w:szCs w:val="20"/>
              </w:rPr>
            </w:pPr>
            <w:r w:rsidRPr="00BE7C78">
              <w:rPr>
                <w:rFonts w:cs="Calibri"/>
                <w:color w:val="000000"/>
                <w:szCs w:val="20"/>
              </w:rPr>
              <w:t>Com-4 Liter Toilet (Melded)</w:t>
            </w:r>
          </w:p>
        </w:tc>
        <w:tc>
          <w:tcPr>
            <w:tcW w:w="820" w:type="pct"/>
            <w:vAlign w:val="center"/>
          </w:tcPr>
          <w:p w14:paraId="63679863" w14:textId="77777777" w:rsidR="00E3027B" w:rsidRPr="00723E6F" w:rsidRDefault="00E3027B" w:rsidP="00723E6F">
            <w:pPr>
              <w:jc w:val="center"/>
              <w:rPr>
                <w:rFonts w:cstheme="minorHAnsi"/>
                <w:szCs w:val="20"/>
              </w:rPr>
            </w:pPr>
            <w:r>
              <w:rPr>
                <w:rFonts w:cstheme="minorHAnsi"/>
                <w:szCs w:val="20"/>
              </w:rPr>
              <w:t>Com</w:t>
            </w:r>
          </w:p>
        </w:tc>
        <w:tc>
          <w:tcPr>
            <w:tcW w:w="1811" w:type="pct"/>
            <w:vAlign w:val="center"/>
          </w:tcPr>
          <w:p w14:paraId="184DE6FB" w14:textId="0DD31B8C" w:rsidR="00E3027B" w:rsidRPr="00723E6F" w:rsidRDefault="00E3027B" w:rsidP="00E3027B">
            <w:pPr>
              <w:jc w:val="center"/>
              <w:rPr>
                <w:rFonts w:cstheme="minorHAnsi"/>
                <w:szCs w:val="20"/>
              </w:rPr>
            </w:pPr>
            <w:r w:rsidRPr="00DF1E71">
              <w:rPr>
                <w:rFonts w:cstheme="minorHAnsi"/>
                <w:szCs w:val="20"/>
              </w:rPr>
              <w:t>TBD: Flat Load Shape</w:t>
            </w:r>
          </w:p>
        </w:tc>
        <w:tc>
          <w:tcPr>
            <w:tcW w:w="730" w:type="pct"/>
            <w:vAlign w:val="center"/>
          </w:tcPr>
          <w:p w14:paraId="7FA2FCED" w14:textId="77777777" w:rsidR="00E3027B" w:rsidRPr="00723E6F" w:rsidRDefault="00E3027B" w:rsidP="00723E6F">
            <w:pPr>
              <w:jc w:val="center"/>
              <w:rPr>
                <w:rFonts w:cstheme="minorHAnsi"/>
                <w:szCs w:val="20"/>
              </w:rPr>
            </w:pPr>
            <w:r w:rsidRPr="00A558F6">
              <w:rPr>
                <w:rFonts w:cstheme="minorHAnsi"/>
                <w:szCs w:val="20"/>
              </w:rPr>
              <w:t>NON_RES</w:t>
            </w:r>
          </w:p>
        </w:tc>
      </w:tr>
      <w:tr w:rsidR="00E3027B" w:rsidRPr="00500C4E" w14:paraId="000C0305" w14:textId="77777777" w:rsidTr="001D78BE">
        <w:tc>
          <w:tcPr>
            <w:tcW w:w="819" w:type="pct"/>
            <w:vAlign w:val="center"/>
          </w:tcPr>
          <w:p w14:paraId="3F4E408B" w14:textId="5F1EBA97" w:rsidR="00E3027B" w:rsidRPr="004E0560" w:rsidRDefault="00E3027B" w:rsidP="00BA6903">
            <w:pPr>
              <w:jc w:val="center"/>
              <w:rPr>
                <w:rFonts w:ascii="Calibri" w:hAnsi="Calibri" w:cs="Calibri"/>
                <w:color w:val="000000"/>
                <w:szCs w:val="22"/>
              </w:rPr>
            </w:pPr>
            <w:r w:rsidRPr="003D4CF6">
              <w:lastRenderedPageBreak/>
              <w:t>55</w:t>
            </w:r>
          </w:p>
        </w:tc>
        <w:tc>
          <w:tcPr>
            <w:tcW w:w="820" w:type="pct"/>
            <w:vAlign w:val="bottom"/>
          </w:tcPr>
          <w:p w14:paraId="380EEE90" w14:textId="77777777" w:rsidR="00E3027B" w:rsidRPr="00BE7C78" w:rsidRDefault="00E3027B" w:rsidP="00FB610C">
            <w:pPr>
              <w:rPr>
                <w:rFonts w:cs="Calibri"/>
                <w:color w:val="000000"/>
                <w:szCs w:val="20"/>
              </w:rPr>
            </w:pPr>
            <w:r w:rsidRPr="00BE7C78">
              <w:rPr>
                <w:rFonts w:cs="Calibri"/>
                <w:color w:val="000000"/>
                <w:szCs w:val="20"/>
              </w:rPr>
              <w:t>Com-Zero/Ultra Low Water Urinal</w:t>
            </w:r>
          </w:p>
        </w:tc>
        <w:tc>
          <w:tcPr>
            <w:tcW w:w="820" w:type="pct"/>
            <w:vAlign w:val="center"/>
          </w:tcPr>
          <w:p w14:paraId="2FE2CA87" w14:textId="77777777" w:rsidR="00E3027B" w:rsidRPr="00723E6F" w:rsidRDefault="00E3027B" w:rsidP="00723E6F">
            <w:pPr>
              <w:jc w:val="center"/>
              <w:rPr>
                <w:rFonts w:cstheme="minorHAnsi"/>
                <w:szCs w:val="20"/>
              </w:rPr>
            </w:pPr>
            <w:r>
              <w:rPr>
                <w:rFonts w:cstheme="minorHAnsi"/>
                <w:szCs w:val="20"/>
              </w:rPr>
              <w:t>Com</w:t>
            </w:r>
          </w:p>
        </w:tc>
        <w:tc>
          <w:tcPr>
            <w:tcW w:w="1811" w:type="pct"/>
            <w:vAlign w:val="center"/>
          </w:tcPr>
          <w:p w14:paraId="2A806A12" w14:textId="51ADD458" w:rsidR="00E3027B" w:rsidRPr="00723E6F" w:rsidRDefault="00E3027B" w:rsidP="00E3027B">
            <w:pPr>
              <w:jc w:val="center"/>
              <w:rPr>
                <w:rFonts w:cstheme="minorHAnsi"/>
                <w:szCs w:val="20"/>
              </w:rPr>
            </w:pPr>
            <w:r w:rsidRPr="00DF1E71">
              <w:rPr>
                <w:rFonts w:cstheme="minorHAnsi"/>
                <w:szCs w:val="20"/>
              </w:rPr>
              <w:t>TBD: Flat Load Shape</w:t>
            </w:r>
          </w:p>
        </w:tc>
        <w:tc>
          <w:tcPr>
            <w:tcW w:w="730" w:type="pct"/>
            <w:vAlign w:val="center"/>
          </w:tcPr>
          <w:p w14:paraId="1B7203E4" w14:textId="77777777" w:rsidR="00E3027B" w:rsidRPr="00723E6F" w:rsidRDefault="00E3027B" w:rsidP="00723E6F">
            <w:pPr>
              <w:jc w:val="center"/>
              <w:rPr>
                <w:rFonts w:cstheme="minorHAnsi"/>
                <w:szCs w:val="20"/>
              </w:rPr>
            </w:pPr>
            <w:r w:rsidRPr="00A558F6">
              <w:rPr>
                <w:rFonts w:cstheme="minorHAnsi"/>
                <w:szCs w:val="20"/>
              </w:rPr>
              <w:t>NON_RES</w:t>
            </w:r>
          </w:p>
        </w:tc>
      </w:tr>
      <w:tr w:rsidR="00E3027B" w:rsidRPr="00500C4E" w14:paraId="16D851FA" w14:textId="77777777" w:rsidTr="001D78BE">
        <w:tc>
          <w:tcPr>
            <w:tcW w:w="819" w:type="pct"/>
            <w:vAlign w:val="center"/>
          </w:tcPr>
          <w:p w14:paraId="543C9990" w14:textId="618FE3B4" w:rsidR="00E3027B" w:rsidRPr="004E0560" w:rsidRDefault="00E3027B" w:rsidP="00BA6903">
            <w:pPr>
              <w:jc w:val="center"/>
              <w:rPr>
                <w:rFonts w:ascii="Calibri" w:hAnsi="Calibri" w:cs="Calibri"/>
                <w:color w:val="000000"/>
                <w:szCs w:val="22"/>
              </w:rPr>
            </w:pPr>
            <w:r w:rsidRPr="003D4CF6">
              <w:t>56</w:t>
            </w:r>
          </w:p>
        </w:tc>
        <w:tc>
          <w:tcPr>
            <w:tcW w:w="820" w:type="pct"/>
            <w:vAlign w:val="bottom"/>
          </w:tcPr>
          <w:p w14:paraId="33DC0BC5" w14:textId="77777777" w:rsidR="00E3027B" w:rsidRPr="00BE7C78" w:rsidRDefault="00E3027B" w:rsidP="00FB610C">
            <w:pPr>
              <w:rPr>
                <w:rFonts w:cs="Calibri"/>
                <w:color w:val="000000"/>
                <w:szCs w:val="20"/>
              </w:rPr>
            </w:pPr>
            <w:r w:rsidRPr="00BE7C78">
              <w:rPr>
                <w:rFonts w:cs="Calibri"/>
                <w:color w:val="000000"/>
                <w:szCs w:val="20"/>
              </w:rPr>
              <w:t>Com-Dry Vacuum Pump (/1/2 hp)</w:t>
            </w:r>
          </w:p>
        </w:tc>
        <w:tc>
          <w:tcPr>
            <w:tcW w:w="820" w:type="pct"/>
            <w:vAlign w:val="center"/>
          </w:tcPr>
          <w:p w14:paraId="1BBC51F8" w14:textId="77777777" w:rsidR="00E3027B" w:rsidRPr="00723E6F" w:rsidRDefault="00E3027B" w:rsidP="00723E6F">
            <w:pPr>
              <w:jc w:val="center"/>
              <w:rPr>
                <w:rFonts w:cstheme="minorHAnsi"/>
                <w:szCs w:val="20"/>
              </w:rPr>
            </w:pPr>
            <w:r>
              <w:rPr>
                <w:rFonts w:cstheme="minorHAnsi"/>
                <w:szCs w:val="20"/>
              </w:rPr>
              <w:t>Com</w:t>
            </w:r>
          </w:p>
        </w:tc>
        <w:tc>
          <w:tcPr>
            <w:tcW w:w="1811" w:type="pct"/>
            <w:vAlign w:val="center"/>
          </w:tcPr>
          <w:p w14:paraId="22A162EC" w14:textId="74300D48" w:rsidR="00E3027B" w:rsidRPr="00723E6F" w:rsidRDefault="00E3027B" w:rsidP="00E3027B">
            <w:pPr>
              <w:jc w:val="center"/>
              <w:rPr>
                <w:rFonts w:cstheme="minorHAnsi"/>
                <w:szCs w:val="20"/>
              </w:rPr>
            </w:pPr>
            <w:r w:rsidRPr="00DF1E71">
              <w:rPr>
                <w:rFonts w:cstheme="minorHAnsi"/>
                <w:szCs w:val="20"/>
              </w:rPr>
              <w:t>TBD: Flat Load Shape</w:t>
            </w:r>
          </w:p>
        </w:tc>
        <w:tc>
          <w:tcPr>
            <w:tcW w:w="730" w:type="pct"/>
            <w:vAlign w:val="center"/>
          </w:tcPr>
          <w:p w14:paraId="245CCAAF" w14:textId="77777777" w:rsidR="00E3027B" w:rsidRPr="00723E6F" w:rsidRDefault="00E3027B" w:rsidP="00723E6F">
            <w:pPr>
              <w:jc w:val="center"/>
              <w:rPr>
                <w:rFonts w:cstheme="minorHAnsi"/>
                <w:szCs w:val="20"/>
              </w:rPr>
            </w:pPr>
            <w:r w:rsidRPr="00A558F6">
              <w:rPr>
                <w:rFonts w:cstheme="minorHAnsi"/>
                <w:szCs w:val="20"/>
              </w:rPr>
              <w:t>NON_RES</w:t>
            </w:r>
          </w:p>
        </w:tc>
      </w:tr>
      <w:tr w:rsidR="00E3027B" w:rsidRPr="00500C4E" w14:paraId="56D0D2CC" w14:textId="77777777" w:rsidTr="001D78BE">
        <w:tc>
          <w:tcPr>
            <w:tcW w:w="819" w:type="pct"/>
            <w:vAlign w:val="center"/>
          </w:tcPr>
          <w:p w14:paraId="03CD925B" w14:textId="14865E90" w:rsidR="00E3027B" w:rsidRPr="004E0560" w:rsidRDefault="00E3027B" w:rsidP="00BA6903">
            <w:pPr>
              <w:jc w:val="center"/>
              <w:rPr>
                <w:rFonts w:ascii="Calibri" w:hAnsi="Calibri" w:cs="Calibri"/>
                <w:color w:val="000000"/>
                <w:szCs w:val="22"/>
              </w:rPr>
            </w:pPr>
            <w:r w:rsidRPr="003D4CF6">
              <w:t>57</w:t>
            </w:r>
          </w:p>
        </w:tc>
        <w:tc>
          <w:tcPr>
            <w:tcW w:w="820" w:type="pct"/>
            <w:vAlign w:val="bottom"/>
          </w:tcPr>
          <w:p w14:paraId="007458D2" w14:textId="77777777" w:rsidR="00E3027B" w:rsidRPr="00BE7C78" w:rsidRDefault="00E3027B" w:rsidP="00FB610C">
            <w:pPr>
              <w:rPr>
                <w:rFonts w:cs="Calibri"/>
                <w:color w:val="000000"/>
                <w:szCs w:val="20"/>
              </w:rPr>
            </w:pPr>
            <w:r w:rsidRPr="00BE7C78">
              <w:rPr>
                <w:rFonts w:cs="Calibri"/>
                <w:color w:val="000000"/>
                <w:szCs w:val="20"/>
              </w:rPr>
              <w:t>Com-Cooling Tower Conductivity Controller</w:t>
            </w:r>
          </w:p>
        </w:tc>
        <w:tc>
          <w:tcPr>
            <w:tcW w:w="820" w:type="pct"/>
            <w:vAlign w:val="center"/>
          </w:tcPr>
          <w:p w14:paraId="0A8026C4" w14:textId="77777777" w:rsidR="00E3027B" w:rsidRPr="00723E6F" w:rsidRDefault="00E3027B" w:rsidP="00723E6F">
            <w:pPr>
              <w:jc w:val="center"/>
              <w:rPr>
                <w:rFonts w:cstheme="minorHAnsi"/>
                <w:szCs w:val="20"/>
              </w:rPr>
            </w:pPr>
            <w:r>
              <w:rPr>
                <w:rFonts w:cstheme="minorHAnsi"/>
                <w:szCs w:val="20"/>
              </w:rPr>
              <w:t>Com</w:t>
            </w:r>
          </w:p>
        </w:tc>
        <w:tc>
          <w:tcPr>
            <w:tcW w:w="1811" w:type="pct"/>
            <w:vAlign w:val="center"/>
          </w:tcPr>
          <w:p w14:paraId="715BE2B3" w14:textId="60227CC6" w:rsidR="00E3027B" w:rsidRPr="00723E6F" w:rsidRDefault="00E3027B" w:rsidP="00E3027B">
            <w:pPr>
              <w:jc w:val="center"/>
              <w:rPr>
                <w:rFonts w:cstheme="minorHAnsi"/>
                <w:szCs w:val="20"/>
              </w:rPr>
            </w:pPr>
            <w:r w:rsidRPr="00DF1E71">
              <w:rPr>
                <w:rFonts w:cstheme="minorHAnsi"/>
                <w:szCs w:val="20"/>
              </w:rPr>
              <w:t>TBD: Flat Load Shape</w:t>
            </w:r>
          </w:p>
        </w:tc>
        <w:tc>
          <w:tcPr>
            <w:tcW w:w="730" w:type="pct"/>
            <w:vAlign w:val="center"/>
          </w:tcPr>
          <w:p w14:paraId="6D14ECE4" w14:textId="77777777" w:rsidR="00E3027B" w:rsidRPr="00723E6F" w:rsidRDefault="00E3027B" w:rsidP="00723E6F">
            <w:pPr>
              <w:jc w:val="center"/>
              <w:rPr>
                <w:rFonts w:cstheme="minorHAnsi"/>
                <w:szCs w:val="20"/>
              </w:rPr>
            </w:pPr>
            <w:r w:rsidRPr="00A558F6">
              <w:rPr>
                <w:rFonts w:cstheme="minorHAnsi"/>
                <w:szCs w:val="20"/>
              </w:rPr>
              <w:t>NON_RES</w:t>
            </w:r>
          </w:p>
        </w:tc>
      </w:tr>
      <w:tr w:rsidR="00E3027B" w:rsidRPr="00500C4E" w14:paraId="2FE4FAFE" w14:textId="77777777" w:rsidTr="001D78BE">
        <w:tc>
          <w:tcPr>
            <w:tcW w:w="819" w:type="pct"/>
            <w:vAlign w:val="center"/>
          </w:tcPr>
          <w:p w14:paraId="2433D293" w14:textId="03532A6D" w:rsidR="00E3027B" w:rsidRPr="004E0560" w:rsidRDefault="00E3027B" w:rsidP="00BA6903">
            <w:pPr>
              <w:jc w:val="center"/>
              <w:rPr>
                <w:rFonts w:ascii="Calibri" w:hAnsi="Calibri" w:cs="Calibri"/>
                <w:color w:val="000000"/>
                <w:szCs w:val="22"/>
              </w:rPr>
            </w:pPr>
            <w:r w:rsidRPr="003D4CF6">
              <w:t>58</w:t>
            </w:r>
          </w:p>
        </w:tc>
        <w:tc>
          <w:tcPr>
            <w:tcW w:w="820" w:type="pct"/>
            <w:vAlign w:val="bottom"/>
          </w:tcPr>
          <w:p w14:paraId="73220B8B" w14:textId="77777777" w:rsidR="00E3027B" w:rsidRPr="00BE7C78" w:rsidRDefault="00E3027B" w:rsidP="00FB610C">
            <w:pPr>
              <w:rPr>
                <w:rFonts w:cs="Calibri"/>
                <w:color w:val="000000"/>
                <w:szCs w:val="20"/>
              </w:rPr>
            </w:pPr>
            <w:r w:rsidRPr="00BE7C78">
              <w:rPr>
                <w:rFonts w:cs="Calibri"/>
                <w:color w:val="000000"/>
                <w:szCs w:val="20"/>
              </w:rPr>
              <w:t>Com-pH Cooling Tower Controller</w:t>
            </w:r>
          </w:p>
        </w:tc>
        <w:tc>
          <w:tcPr>
            <w:tcW w:w="820" w:type="pct"/>
            <w:vAlign w:val="center"/>
          </w:tcPr>
          <w:p w14:paraId="7C21D1E6" w14:textId="77777777" w:rsidR="00E3027B" w:rsidRPr="00723E6F" w:rsidRDefault="00E3027B" w:rsidP="00723E6F">
            <w:pPr>
              <w:jc w:val="center"/>
              <w:rPr>
                <w:rFonts w:cstheme="minorHAnsi"/>
                <w:szCs w:val="20"/>
              </w:rPr>
            </w:pPr>
            <w:r>
              <w:rPr>
                <w:rFonts w:cstheme="minorHAnsi"/>
                <w:szCs w:val="20"/>
              </w:rPr>
              <w:t>Com</w:t>
            </w:r>
          </w:p>
        </w:tc>
        <w:tc>
          <w:tcPr>
            <w:tcW w:w="1811" w:type="pct"/>
            <w:vAlign w:val="center"/>
          </w:tcPr>
          <w:p w14:paraId="387E4EE1" w14:textId="0159D529" w:rsidR="00E3027B" w:rsidRPr="00723E6F" w:rsidRDefault="00E3027B" w:rsidP="00E3027B">
            <w:pPr>
              <w:jc w:val="center"/>
              <w:rPr>
                <w:rFonts w:cstheme="minorHAnsi"/>
                <w:szCs w:val="20"/>
              </w:rPr>
            </w:pPr>
            <w:r w:rsidRPr="00C04EF2">
              <w:rPr>
                <w:rFonts w:cstheme="minorHAnsi"/>
                <w:szCs w:val="20"/>
              </w:rPr>
              <w:t>TBD: Flat Load Shape</w:t>
            </w:r>
          </w:p>
        </w:tc>
        <w:tc>
          <w:tcPr>
            <w:tcW w:w="730" w:type="pct"/>
            <w:vAlign w:val="center"/>
          </w:tcPr>
          <w:p w14:paraId="60A4DDFC" w14:textId="77777777" w:rsidR="00E3027B" w:rsidRPr="00723E6F" w:rsidRDefault="00E3027B" w:rsidP="00723E6F">
            <w:pPr>
              <w:jc w:val="center"/>
              <w:rPr>
                <w:rFonts w:cstheme="minorHAnsi"/>
                <w:szCs w:val="20"/>
              </w:rPr>
            </w:pPr>
            <w:r w:rsidRPr="00A558F6">
              <w:rPr>
                <w:rFonts w:cstheme="minorHAnsi"/>
                <w:szCs w:val="20"/>
              </w:rPr>
              <w:t>NON_RES</w:t>
            </w:r>
          </w:p>
        </w:tc>
      </w:tr>
      <w:tr w:rsidR="00E3027B" w:rsidRPr="00500C4E" w14:paraId="21176264" w14:textId="77777777" w:rsidTr="001D78BE">
        <w:tc>
          <w:tcPr>
            <w:tcW w:w="819" w:type="pct"/>
            <w:vAlign w:val="center"/>
          </w:tcPr>
          <w:p w14:paraId="7E7DB212" w14:textId="1AB0728D" w:rsidR="00E3027B" w:rsidRPr="004E0560" w:rsidRDefault="00E3027B" w:rsidP="00BA6903">
            <w:pPr>
              <w:jc w:val="center"/>
              <w:rPr>
                <w:rFonts w:ascii="Calibri" w:hAnsi="Calibri" w:cs="Calibri"/>
                <w:color w:val="000000"/>
                <w:szCs w:val="22"/>
              </w:rPr>
            </w:pPr>
            <w:r w:rsidRPr="003D4CF6">
              <w:t>59</w:t>
            </w:r>
          </w:p>
        </w:tc>
        <w:tc>
          <w:tcPr>
            <w:tcW w:w="820" w:type="pct"/>
            <w:vAlign w:val="bottom"/>
          </w:tcPr>
          <w:p w14:paraId="3725478A" w14:textId="77777777" w:rsidR="00E3027B" w:rsidRPr="00BE7C78" w:rsidRDefault="00E3027B" w:rsidP="00FB610C">
            <w:pPr>
              <w:rPr>
                <w:rFonts w:cs="Calibri"/>
                <w:color w:val="000000"/>
                <w:szCs w:val="20"/>
              </w:rPr>
            </w:pPr>
            <w:r w:rsidRPr="00BE7C78">
              <w:rPr>
                <w:rFonts w:cs="Calibri"/>
                <w:color w:val="000000"/>
                <w:szCs w:val="20"/>
              </w:rPr>
              <w:t>Com-Weather Based Irrigation Controller-Stat</w:t>
            </w:r>
          </w:p>
        </w:tc>
        <w:tc>
          <w:tcPr>
            <w:tcW w:w="820" w:type="pct"/>
            <w:vAlign w:val="center"/>
          </w:tcPr>
          <w:p w14:paraId="2C363B4C" w14:textId="77777777" w:rsidR="00E3027B" w:rsidRPr="00723E6F" w:rsidRDefault="00E3027B" w:rsidP="00723E6F">
            <w:pPr>
              <w:jc w:val="center"/>
              <w:rPr>
                <w:rFonts w:cstheme="minorHAnsi"/>
                <w:szCs w:val="20"/>
              </w:rPr>
            </w:pPr>
            <w:r>
              <w:rPr>
                <w:rFonts w:cstheme="minorHAnsi"/>
                <w:szCs w:val="20"/>
              </w:rPr>
              <w:t>Com</w:t>
            </w:r>
          </w:p>
        </w:tc>
        <w:tc>
          <w:tcPr>
            <w:tcW w:w="1811" w:type="pct"/>
            <w:vAlign w:val="center"/>
          </w:tcPr>
          <w:p w14:paraId="378D94FF" w14:textId="0C1A08AD" w:rsidR="00E3027B" w:rsidRPr="00723E6F" w:rsidRDefault="00E3027B" w:rsidP="00E3027B">
            <w:pPr>
              <w:jc w:val="center"/>
              <w:rPr>
                <w:rFonts w:cstheme="minorHAnsi"/>
                <w:szCs w:val="20"/>
              </w:rPr>
            </w:pPr>
            <w:r w:rsidRPr="00C04EF2">
              <w:rPr>
                <w:rFonts w:cstheme="minorHAnsi"/>
                <w:szCs w:val="20"/>
              </w:rPr>
              <w:t>TBD: Flat Load Shape</w:t>
            </w:r>
          </w:p>
        </w:tc>
        <w:tc>
          <w:tcPr>
            <w:tcW w:w="730" w:type="pct"/>
            <w:vAlign w:val="center"/>
          </w:tcPr>
          <w:p w14:paraId="4D99D1ED" w14:textId="77777777" w:rsidR="00E3027B" w:rsidRPr="00723E6F" w:rsidRDefault="00E3027B" w:rsidP="00723E6F">
            <w:pPr>
              <w:jc w:val="center"/>
              <w:rPr>
                <w:rFonts w:cstheme="minorHAnsi"/>
                <w:szCs w:val="20"/>
              </w:rPr>
            </w:pPr>
            <w:r w:rsidRPr="00A558F6">
              <w:rPr>
                <w:rFonts w:cstheme="minorHAnsi"/>
                <w:szCs w:val="20"/>
              </w:rPr>
              <w:t>NON_RES</w:t>
            </w:r>
          </w:p>
        </w:tc>
      </w:tr>
      <w:tr w:rsidR="00E3027B" w:rsidRPr="00500C4E" w14:paraId="6D51B3EB" w14:textId="77777777" w:rsidTr="001D78BE">
        <w:tc>
          <w:tcPr>
            <w:tcW w:w="819" w:type="pct"/>
            <w:vAlign w:val="center"/>
          </w:tcPr>
          <w:p w14:paraId="19266262" w14:textId="45660AA0" w:rsidR="00E3027B" w:rsidRPr="004E0560" w:rsidRDefault="00E3027B" w:rsidP="00BA6903">
            <w:pPr>
              <w:jc w:val="center"/>
              <w:rPr>
                <w:rFonts w:ascii="Calibri" w:hAnsi="Calibri" w:cs="Calibri"/>
                <w:color w:val="000000"/>
                <w:szCs w:val="22"/>
              </w:rPr>
            </w:pPr>
            <w:r w:rsidRPr="003D4CF6">
              <w:t>60</w:t>
            </w:r>
          </w:p>
        </w:tc>
        <w:tc>
          <w:tcPr>
            <w:tcW w:w="820" w:type="pct"/>
            <w:vAlign w:val="bottom"/>
          </w:tcPr>
          <w:p w14:paraId="70990B16" w14:textId="77777777" w:rsidR="00E3027B" w:rsidRPr="00BE7C78" w:rsidRDefault="00E3027B" w:rsidP="00FB610C">
            <w:pPr>
              <w:rPr>
                <w:rFonts w:cs="Calibri"/>
                <w:color w:val="000000"/>
                <w:szCs w:val="20"/>
              </w:rPr>
            </w:pPr>
            <w:r w:rsidRPr="00BE7C78">
              <w:rPr>
                <w:rFonts w:cs="Calibri"/>
                <w:color w:val="000000"/>
                <w:szCs w:val="20"/>
              </w:rPr>
              <w:t>Com-Central Computer Irrigation Controller-Stat</w:t>
            </w:r>
          </w:p>
        </w:tc>
        <w:tc>
          <w:tcPr>
            <w:tcW w:w="820" w:type="pct"/>
            <w:vAlign w:val="center"/>
          </w:tcPr>
          <w:p w14:paraId="3A4B41C1" w14:textId="77777777" w:rsidR="00E3027B" w:rsidRPr="00723E6F" w:rsidRDefault="00E3027B" w:rsidP="00723E6F">
            <w:pPr>
              <w:jc w:val="center"/>
              <w:rPr>
                <w:rFonts w:cstheme="minorHAnsi"/>
                <w:szCs w:val="20"/>
              </w:rPr>
            </w:pPr>
            <w:r>
              <w:rPr>
                <w:rFonts w:cstheme="minorHAnsi"/>
                <w:szCs w:val="20"/>
              </w:rPr>
              <w:t>Com</w:t>
            </w:r>
          </w:p>
        </w:tc>
        <w:tc>
          <w:tcPr>
            <w:tcW w:w="1811" w:type="pct"/>
            <w:vAlign w:val="center"/>
          </w:tcPr>
          <w:p w14:paraId="74265F34" w14:textId="65C657FA" w:rsidR="00E3027B" w:rsidRPr="00723E6F" w:rsidRDefault="00E3027B" w:rsidP="00E3027B">
            <w:pPr>
              <w:jc w:val="center"/>
              <w:rPr>
                <w:rFonts w:cstheme="minorHAnsi"/>
                <w:szCs w:val="20"/>
              </w:rPr>
            </w:pPr>
            <w:r w:rsidRPr="00C04EF2">
              <w:rPr>
                <w:rFonts w:cstheme="minorHAnsi"/>
                <w:szCs w:val="20"/>
              </w:rPr>
              <w:t>TBD: Flat Load Shape</w:t>
            </w:r>
          </w:p>
        </w:tc>
        <w:tc>
          <w:tcPr>
            <w:tcW w:w="730" w:type="pct"/>
            <w:vAlign w:val="center"/>
          </w:tcPr>
          <w:p w14:paraId="7F1F42C6" w14:textId="77777777" w:rsidR="00E3027B" w:rsidRPr="00723E6F" w:rsidRDefault="00E3027B" w:rsidP="00723E6F">
            <w:pPr>
              <w:jc w:val="center"/>
              <w:rPr>
                <w:rFonts w:cstheme="minorHAnsi"/>
                <w:szCs w:val="20"/>
              </w:rPr>
            </w:pPr>
            <w:r w:rsidRPr="00A558F6">
              <w:rPr>
                <w:rFonts w:cstheme="minorHAnsi"/>
                <w:szCs w:val="20"/>
              </w:rPr>
              <w:t>NON_RES</w:t>
            </w:r>
          </w:p>
        </w:tc>
      </w:tr>
      <w:tr w:rsidR="00E3027B" w:rsidRPr="00500C4E" w14:paraId="60AF688A" w14:textId="77777777" w:rsidTr="001D78BE">
        <w:tc>
          <w:tcPr>
            <w:tcW w:w="819" w:type="pct"/>
            <w:vAlign w:val="center"/>
          </w:tcPr>
          <w:p w14:paraId="7270204D" w14:textId="3969BF20" w:rsidR="00E3027B" w:rsidRPr="004E0560" w:rsidRDefault="00E3027B" w:rsidP="00BA6903">
            <w:pPr>
              <w:jc w:val="center"/>
              <w:rPr>
                <w:rFonts w:ascii="Calibri" w:hAnsi="Calibri" w:cs="Calibri"/>
                <w:color w:val="000000"/>
                <w:szCs w:val="22"/>
              </w:rPr>
            </w:pPr>
            <w:r w:rsidRPr="003D4CF6">
              <w:t>61</w:t>
            </w:r>
          </w:p>
        </w:tc>
        <w:tc>
          <w:tcPr>
            <w:tcW w:w="820" w:type="pct"/>
            <w:vAlign w:val="bottom"/>
          </w:tcPr>
          <w:p w14:paraId="52941365" w14:textId="77777777" w:rsidR="00E3027B" w:rsidRPr="00BE7C78" w:rsidRDefault="00E3027B" w:rsidP="00FB610C">
            <w:pPr>
              <w:rPr>
                <w:rFonts w:cs="Calibri"/>
                <w:color w:val="000000"/>
                <w:szCs w:val="20"/>
              </w:rPr>
            </w:pPr>
            <w:r w:rsidRPr="00BE7C78">
              <w:rPr>
                <w:rFonts w:cs="Calibri"/>
                <w:color w:val="000000"/>
                <w:szCs w:val="20"/>
              </w:rPr>
              <w:t>Com-Rotary Multi-Stream Nozzle</w:t>
            </w:r>
          </w:p>
        </w:tc>
        <w:tc>
          <w:tcPr>
            <w:tcW w:w="820" w:type="pct"/>
            <w:vAlign w:val="center"/>
          </w:tcPr>
          <w:p w14:paraId="15B8F96A" w14:textId="77777777" w:rsidR="00E3027B" w:rsidRPr="00723E6F" w:rsidRDefault="00E3027B" w:rsidP="00723E6F">
            <w:pPr>
              <w:jc w:val="center"/>
              <w:rPr>
                <w:rFonts w:cstheme="minorHAnsi"/>
                <w:szCs w:val="20"/>
              </w:rPr>
            </w:pPr>
            <w:r>
              <w:rPr>
                <w:rFonts w:cstheme="minorHAnsi"/>
                <w:szCs w:val="20"/>
              </w:rPr>
              <w:t>Com</w:t>
            </w:r>
          </w:p>
        </w:tc>
        <w:tc>
          <w:tcPr>
            <w:tcW w:w="1811" w:type="pct"/>
            <w:vAlign w:val="center"/>
          </w:tcPr>
          <w:p w14:paraId="74450450" w14:textId="3533F934" w:rsidR="00E3027B" w:rsidRPr="00723E6F" w:rsidRDefault="00E3027B" w:rsidP="00E3027B">
            <w:pPr>
              <w:jc w:val="center"/>
              <w:rPr>
                <w:rFonts w:cstheme="minorHAnsi"/>
                <w:szCs w:val="20"/>
              </w:rPr>
            </w:pPr>
            <w:r w:rsidRPr="00C04EF2">
              <w:rPr>
                <w:rFonts w:cstheme="minorHAnsi"/>
                <w:szCs w:val="20"/>
              </w:rPr>
              <w:t>TBD: Flat Load Shape</w:t>
            </w:r>
          </w:p>
        </w:tc>
        <w:tc>
          <w:tcPr>
            <w:tcW w:w="730" w:type="pct"/>
            <w:vAlign w:val="center"/>
          </w:tcPr>
          <w:p w14:paraId="16C362BB" w14:textId="77777777" w:rsidR="00E3027B" w:rsidRPr="00723E6F" w:rsidRDefault="00E3027B" w:rsidP="00723E6F">
            <w:pPr>
              <w:jc w:val="center"/>
              <w:rPr>
                <w:rFonts w:cstheme="minorHAnsi"/>
                <w:szCs w:val="20"/>
              </w:rPr>
            </w:pPr>
            <w:r w:rsidRPr="00A558F6">
              <w:rPr>
                <w:rFonts w:cstheme="minorHAnsi"/>
                <w:szCs w:val="20"/>
              </w:rPr>
              <w:t>NON_RES</w:t>
            </w:r>
          </w:p>
        </w:tc>
      </w:tr>
      <w:tr w:rsidR="00E3027B" w:rsidRPr="00500C4E" w14:paraId="03AD0B3A" w14:textId="77777777" w:rsidTr="001D78BE">
        <w:tc>
          <w:tcPr>
            <w:tcW w:w="819" w:type="pct"/>
            <w:vAlign w:val="center"/>
          </w:tcPr>
          <w:p w14:paraId="444A5059" w14:textId="3415A5AA" w:rsidR="00E3027B" w:rsidRPr="004E0560" w:rsidRDefault="00E3027B" w:rsidP="00BA6903">
            <w:pPr>
              <w:jc w:val="center"/>
              <w:rPr>
                <w:rFonts w:ascii="Calibri" w:hAnsi="Calibri" w:cs="Calibri"/>
                <w:color w:val="000000"/>
                <w:szCs w:val="22"/>
              </w:rPr>
            </w:pPr>
            <w:r w:rsidRPr="003D4CF6">
              <w:t>62</w:t>
            </w:r>
          </w:p>
        </w:tc>
        <w:tc>
          <w:tcPr>
            <w:tcW w:w="820" w:type="pct"/>
            <w:vAlign w:val="bottom"/>
          </w:tcPr>
          <w:p w14:paraId="71F9347B" w14:textId="77777777" w:rsidR="00E3027B" w:rsidRPr="00BE7C78" w:rsidRDefault="00E3027B" w:rsidP="00FB610C">
            <w:pPr>
              <w:rPr>
                <w:rFonts w:cs="Calibri"/>
                <w:color w:val="000000"/>
                <w:szCs w:val="20"/>
              </w:rPr>
            </w:pPr>
            <w:r w:rsidRPr="00BE7C78">
              <w:rPr>
                <w:rFonts w:cs="Calibri"/>
                <w:color w:val="000000"/>
                <w:szCs w:val="20"/>
              </w:rPr>
              <w:t>Com-Large Rotary Nozzle</w:t>
            </w:r>
          </w:p>
        </w:tc>
        <w:tc>
          <w:tcPr>
            <w:tcW w:w="820" w:type="pct"/>
            <w:vAlign w:val="center"/>
          </w:tcPr>
          <w:p w14:paraId="005F3DD6" w14:textId="77777777" w:rsidR="00E3027B" w:rsidRPr="00723E6F" w:rsidRDefault="00E3027B" w:rsidP="00723E6F">
            <w:pPr>
              <w:jc w:val="center"/>
              <w:rPr>
                <w:rFonts w:cstheme="minorHAnsi"/>
                <w:szCs w:val="20"/>
              </w:rPr>
            </w:pPr>
          </w:p>
        </w:tc>
        <w:tc>
          <w:tcPr>
            <w:tcW w:w="1811" w:type="pct"/>
            <w:vAlign w:val="center"/>
          </w:tcPr>
          <w:p w14:paraId="60D3E4A0" w14:textId="6D702EEE" w:rsidR="00E3027B" w:rsidRPr="00723E6F" w:rsidRDefault="00E3027B" w:rsidP="00E3027B">
            <w:pPr>
              <w:jc w:val="center"/>
              <w:rPr>
                <w:rFonts w:cstheme="minorHAnsi"/>
                <w:szCs w:val="20"/>
              </w:rPr>
            </w:pPr>
            <w:r w:rsidRPr="00C04EF2">
              <w:rPr>
                <w:rFonts w:cstheme="minorHAnsi"/>
                <w:szCs w:val="20"/>
              </w:rPr>
              <w:t>TBD: Flat Load Shape</w:t>
            </w:r>
          </w:p>
        </w:tc>
        <w:tc>
          <w:tcPr>
            <w:tcW w:w="730" w:type="pct"/>
            <w:vAlign w:val="center"/>
          </w:tcPr>
          <w:p w14:paraId="3BF6BC92" w14:textId="77777777" w:rsidR="00E3027B" w:rsidRPr="00723E6F" w:rsidRDefault="00E3027B" w:rsidP="00723E6F">
            <w:pPr>
              <w:jc w:val="center"/>
              <w:rPr>
                <w:rFonts w:cstheme="minorHAnsi"/>
                <w:szCs w:val="20"/>
              </w:rPr>
            </w:pPr>
            <w:r w:rsidRPr="00A558F6">
              <w:rPr>
                <w:rFonts w:cstheme="minorHAnsi"/>
                <w:szCs w:val="20"/>
              </w:rPr>
              <w:t>NON_RES</w:t>
            </w:r>
          </w:p>
        </w:tc>
      </w:tr>
    </w:tbl>
    <w:p w14:paraId="45E3C87D" w14:textId="349AFC7C" w:rsidR="005552C3" w:rsidRDefault="00F95E2F" w:rsidP="00920905">
      <w:pPr>
        <w:pStyle w:val="Heading1"/>
      </w:pPr>
      <w:r>
        <w:t>Section 4. Costs</w:t>
      </w:r>
    </w:p>
    <w:p w14:paraId="4E8F451E" w14:textId="77777777" w:rsidR="00300611" w:rsidRDefault="00300611" w:rsidP="00300611">
      <w:r>
        <w:t>For typical wps, a</w:t>
      </w:r>
      <w:r w:rsidRPr="00637EB6">
        <w:t xml:space="preserve">ll costs must be addressed including baseline cost, measure cost, and incremental cost for </w:t>
      </w:r>
      <w:r>
        <w:t xml:space="preserve">both ER and ROB measures. </w:t>
      </w:r>
      <w:r w:rsidRPr="00637EB6">
        <w:t>Discussion with</w:t>
      </w:r>
      <w:r>
        <w:t xml:space="preserve"> MWD and other water agencies are</w:t>
      </w:r>
      <w:r w:rsidRPr="00637EB6">
        <w:t xml:space="preserve"> expected to provid</w:t>
      </w:r>
      <w:r>
        <w:t xml:space="preserve">e the cost elements necessary. </w:t>
      </w:r>
    </w:p>
    <w:p w14:paraId="695B7B58" w14:textId="77777777" w:rsidR="00300611" w:rsidRDefault="00300611" w:rsidP="00300611"/>
    <w:p w14:paraId="0CD5A978" w14:textId="0EBA26E9" w:rsidR="00D71CC5" w:rsidRDefault="00300611" w:rsidP="00D71CC5">
      <w:r w:rsidRPr="00637EB6">
        <w:t>It is not proposed herein that any IOU undertake an ext</w:t>
      </w:r>
      <w:r>
        <w:t xml:space="preserve">ensive study to justify costs. </w:t>
      </w:r>
      <w:r w:rsidRPr="00637EB6">
        <w:t>Rather, w</w:t>
      </w:r>
      <w:r>
        <w:t>here MWD or another water agency</w:t>
      </w:r>
      <w:r w:rsidRPr="00637EB6">
        <w:t xml:space="preserve"> does not have required cost data, the </w:t>
      </w:r>
      <w:r w:rsidR="00D71CC5">
        <w:t>wp</w:t>
      </w:r>
      <w:r w:rsidRPr="00637EB6">
        <w:t xml:space="preserve"> will rely on simple internet searches, contractor discussions, professional judgement, or other simplified means of determini</w:t>
      </w:r>
      <w:r w:rsidR="00D71CC5">
        <w:t xml:space="preserve">ng appropriate cost parameters. </w:t>
      </w:r>
      <w:r>
        <w:t>Because t</w:t>
      </w:r>
      <w:r w:rsidR="00637EB6">
        <w:t xml:space="preserve">he </w:t>
      </w:r>
      <w:r w:rsidR="00637EB6" w:rsidRPr="00637EB6">
        <w:t xml:space="preserve">WEN measures identified in </w:t>
      </w:r>
      <w:r w:rsidR="00637EB6" w:rsidRPr="00D71CC5">
        <w:rPr>
          <w:b/>
        </w:rPr>
        <w:t>Table 1</w:t>
      </w:r>
      <w:r w:rsidR="00637EB6" w:rsidRPr="00637EB6">
        <w:t xml:space="preserve"> </w:t>
      </w:r>
      <w:r w:rsidR="00505DBD">
        <w:t xml:space="preserve">and </w:t>
      </w:r>
      <w:r w:rsidR="00505DBD" w:rsidRPr="00505DBD">
        <w:rPr>
          <w:b/>
          <w:bCs/>
        </w:rPr>
        <w:fldChar w:fldCharType="begin"/>
      </w:r>
      <w:r w:rsidR="00505DBD" w:rsidRPr="00505DBD">
        <w:rPr>
          <w:b/>
          <w:bCs/>
        </w:rPr>
        <w:instrText xml:space="preserve"> REF _Ref19591794 \h </w:instrText>
      </w:r>
      <w:r w:rsidR="00505DBD">
        <w:rPr>
          <w:b/>
          <w:bCs/>
        </w:rPr>
        <w:instrText xml:space="preserve"> \* MERGEFORMAT </w:instrText>
      </w:r>
      <w:r w:rsidR="00505DBD" w:rsidRPr="00505DBD">
        <w:rPr>
          <w:b/>
          <w:bCs/>
        </w:rPr>
      </w:r>
      <w:r w:rsidR="00505DBD" w:rsidRPr="00505DBD">
        <w:rPr>
          <w:b/>
          <w:bCs/>
        </w:rPr>
        <w:fldChar w:fldCharType="separate"/>
      </w:r>
      <w:r w:rsidR="00505DBD" w:rsidRPr="00505DBD">
        <w:rPr>
          <w:b/>
          <w:bCs/>
        </w:rPr>
        <w:t xml:space="preserve">Table </w:t>
      </w:r>
      <w:r w:rsidR="00505DBD" w:rsidRPr="00505DBD">
        <w:rPr>
          <w:b/>
          <w:bCs/>
          <w:noProof/>
        </w:rPr>
        <w:t>2</w:t>
      </w:r>
      <w:r w:rsidR="00505DBD" w:rsidRPr="00505DBD">
        <w:rPr>
          <w:b/>
          <w:bCs/>
        </w:rPr>
        <w:fldChar w:fldCharType="end"/>
      </w:r>
      <w:r w:rsidR="00505DBD">
        <w:t xml:space="preserve"> </w:t>
      </w:r>
      <w:r w:rsidR="00637EB6" w:rsidRPr="00637EB6">
        <w:t>are con</w:t>
      </w:r>
      <w:r w:rsidR="00D71CC5">
        <w:t xml:space="preserve">sidered </w:t>
      </w:r>
      <w:r w:rsidR="00D71CC5" w:rsidRPr="00D71CC5">
        <w:rPr>
          <w:b/>
          <w:i/>
        </w:rPr>
        <w:t>Rider M</w:t>
      </w:r>
      <w:r w:rsidR="00637EB6" w:rsidRPr="00D71CC5">
        <w:rPr>
          <w:b/>
          <w:i/>
        </w:rPr>
        <w:t>easures</w:t>
      </w:r>
      <w:r>
        <w:t xml:space="preserve">, </w:t>
      </w:r>
      <w:r w:rsidR="00637EB6">
        <w:t>costs have already been captured in existing approved wps</w:t>
      </w:r>
      <w:r w:rsidR="00637EB6" w:rsidRPr="00637EB6">
        <w:t xml:space="preserve"> or </w:t>
      </w:r>
      <w:r w:rsidR="00637EB6">
        <w:t xml:space="preserve">through </w:t>
      </w:r>
      <w:r w:rsidR="00637EB6" w:rsidRPr="00637EB6">
        <w:t xml:space="preserve">MWD’s </w:t>
      </w:r>
      <w:r w:rsidR="00637EB6">
        <w:t>program requirements</w:t>
      </w:r>
      <w:r w:rsidR="00637EB6" w:rsidRPr="00637EB6">
        <w:t>.</w:t>
      </w:r>
      <w:r w:rsidR="00637EB6">
        <w:t xml:space="preserve"> </w:t>
      </w:r>
      <w:r>
        <w:t xml:space="preserve">Thus, the cost for WEN measures is assumed to be $0. </w:t>
      </w:r>
    </w:p>
    <w:p w14:paraId="6D14786E" w14:textId="77777777" w:rsidR="00D71CC5" w:rsidRDefault="00D71CC5" w:rsidP="00D71CC5"/>
    <w:p w14:paraId="206F8E3E" w14:textId="540F0C1A" w:rsidR="00C54EFF" w:rsidRPr="001D78BE" w:rsidRDefault="00300611" w:rsidP="001D78BE">
      <w:pPr>
        <w:rPr>
          <w:rFonts w:cstheme="minorHAnsi"/>
          <w:sz w:val="20"/>
          <w:szCs w:val="20"/>
        </w:rPr>
      </w:pPr>
      <w:r>
        <w:t>However, for cost-effectiveness calculation purposes, WEN measures are assumed to be $0.01 to allow cost-benefit values to be generated for program evaluation purposes.</w:t>
      </w:r>
      <w:r w:rsidR="00D71CC5" w:rsidRPr="00D71CC5">
        <w:t xml:space="preserve"> </w:t>
      </w:r>
      <w:r w:rsidR="00D71CC5">
        <w:t>More specifically, direct savings IOU WEN measure will use $0.01 for the cost of the measure when running the water energy calculator since the costs of the measures are included in the calculations for the direct savings measure.</w:t>
      </w:r>
      <w:r w:rsidR="00150D93">
        <w:t xml:space="preserve"> </w:t>
      </w:r>
      <w:r w:rsidR="00D71CC5">
        <w:t xml:space="preserve">For MWD WEN cold water measures, the IOUs will work with the water agencies to determine the dollar amount to assist with marketing and/or incentives based on the embedded energy savings output from the water energy calculator.  For the wp cost-effectiveness calculation purposes MWD WEN cold water measures will also use $0.01 for the calculation purposes.   </w:t>
      </w:r>
    </w:p>
    <w:p w14:paraId="72B0B50A" w14:textId="77777777" w:rsidR="00C54EFF" w:rsidRPr="00500C4E" w:rsidRDefault="00C54EFF" w:rsidP="00C54EFF">
      <w:pPr>
        <w:pStyle w:val="Heading1"/>
        <w:rPr>
          <w:rFonts w:cstheme="minorHAnsi"/>
        </w:rPr>
      </w:pPr>
      <w:r w:rsidRPr="00500C4E">
        <w:rPr>
          <w:rFonts w:cstheme="minorHAnsi"/>
        </w:rPr>
        <w:lastRenderedPageBreak/>
        <w:t>References</w:t>
      </w:r>
    </w:p>
    <w:p w14:paraId="001E3CA5" w14:textId="77777777" w:rsidR="007B55D9" w:rsidRDefault="007B55D9" w:rsidP="00226D53">
      <w:pPr>
        <w:pStyle w:val="ListParagraph"/>
        <w:numPr>
          <w:ilvl w:val="0"/>
          <w:numId w:val="15"/>
        </w:numPr>
      </w:pPr>
      <w:r w:rsidRPr="007B55D9">
        <w:t>Navigant’s Water/Energy Cost-Effectiveness Analysis</w:t>
      </w:r>
    </w:p>
    <w:p w14:paraId="23092ABC" w14:textId="77777777" w:rsidR="007B55D9" w:rsidRDefault="007B55D9" w:rsidP="00226D53">
      <w:pPr>
        <w:pStyle w:val="ListParagraph"/>
        <w:numPr>
          <w:ilvl w:val="0"/>
          <w:numId w:val="15"/>
        </w:numPr>
      </w:pPr>
      <w:r w:rsidRPr="007B55D9">
        <w:t>Commissioner Sandoval's Proposed Decision on Updating the Water Energy Nexus (R.13-12-011)</w:t>
      </w:r>
    </w:p>
    <w:p w14:paraId="31B928E5" w14:textId="77777777" w:rsidR="00480E7B" w:rsidRPr="007B55D9" w:rsidRDefault="007B55D9" w:rsidP="00226D53">
      <w:pPr>
        <w:pStyle w:val="ListParagraph"/>
        <w:numPr>
          <w:ilvl w:val="0"/>
          <w:numId w:val="15"/>
        </w:numPr>
      </w:pPr>
      <w:r>
        <w:t xml:space="preserve">November 2016 </w:t>
      </w:r>
      <w:r w:rsidRPr="007B55D9">
        <w:t>Reporting Proposal for WEN WP Measures</w:t>
      </w:r>
      <w:r>
        <w:t xml:space="preserve"> Meeting</w:t>
      </w:r>
    </w:p>
    <w:sectPr w:rsidR="00480E7B" w:rsidRPr="007B55D9" w:rsidSect="00E87C8F">
      <w:headerReference w:type="even" r:id="rId25"/>
      <w:headerReference w:type="default" r:id="rId26"/>
      <w:footerReference w:type="default" r:id="rId27"/>
      <w:headerReference w:type="first" r:id="rId28"/>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F9EE5" w14:textId="77777777" w:rsidR="00D11B9A" w:rsidRDefault="00D11B9A" w:rsidP="00447D6E">
      <w:r>
        <w:separator/>
      </w:r>
    </w:p>
    <w:p w14:paraId="4C1F7083" w14:textId="77777777" w:rsidR="00D11B9A" w:rsidRDefault="00D11B9A"/>
  </w:endnote>
  <w:endnote w:type="continuationSeparator" w:id="0">
    <w:p w14:paraId="5248CF9B" w14:textId="77777777" w:rsidR="00D11B9A" w:rsidRDefault="00D11B9A" w:rsidP="00447D6E">
      <w:r>
        <w:continuationSeparator/>
      </w:r>
    </w:p>
    <w:p w14:paraId="4E5158D5" w14:textId="77777777" w:rsidR="00D11B9A" w:rsidRDefault="00D11B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9F969" w14:textId="032F3A14" w:rsidR="00E4564A" w:rsidRDefault="00054031"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9-09-17T00:00:00Z">
          <w:dateFormat w:val="MMMM d, yyyy"/>
          <w:lid w:val="en-US"/>
          <w:storeMappedDataAs w:val="dateTime"/>
          <w:calendar w:val="gregorian"/>
        </w:date>
      </w:sdtPr>
      <w:sdtEndPr/>
      <w:sdtContent>
        <w:r w:rsidR="00E4564A">
          <w:rPr>
            <w:rFonts w:cstheme="minorHAnsi"/>
            <w:b/>
            <w:sz w:val="36"/>
            <w:szCs w:val="36"/>
          </w:rPr>
          <w:t>September 17, 2019</w:t>
        </w:r>
      </w:sdtContent>
    </w:sdt>
  </w:p>
  <w:p w14:paraId="7CA21805" w14:textId="77777777" w:rsidR="00E4564A" w:rsidRPr="009500DC" w:rsidRDefault="00E4564A"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9B1FF" w14:textId="01B531DC" w:rsidR="00E4564A" w:rsidRPr="009500DC" w:rsidRDefault="00054031"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E4564A">
          <w:rPr>
            <w:rFonts w:cstheme="minorHAnsi"/>
            <w:b/>
            <w:sz w:val="20"/>
            <w:szCs w:val="20"/>
          </w:rPr>
          <w:t>WPSDGEWEN0001</w:t>
        </w:r>
      </w:sdtContent>
    </w:sdt>
    <w:r w:rsidR="00E4564A">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E4564A">
          <w:rPr>
            <w:rFonts w:cstheme="minorHAnsi"/>
            <w:b/>
            <w:sz w:val="20"/>
            <w:szCs w:val="20"/>
          </w:rPr>
          <w:t>Revision 1</w:t>
        </w:r>
      </w:sdtContent>
    </w:sdt>
    <w:r w:rsidR="00E4564A" w:rsidRPr="009500DC">
      <w:rPr>
        <w:rFonts w:cstheme="minorHAnsi"/>
        <w:b/>
        <w:sz w:val="20"/>
        <w:szCs w:val="20"/>
      </w:rPr>
      <w:tab/>
    </w:r>
    <w:r w:rsidR="00E4564A" w:rsidRPr="009500DC">
      <w:rPr>
        <w:rFonts w:cstheme="minorHAnsi"/>
        <w:b/>
        <w:sz w:val="20"/>
        <w:szCs w:val="20"/>
      </w:rPr>
      <w:fldChar w:fldCharType="begin"/>
    </w:r>
    <w:r w:rsidR="00E4564A" w:rsidRPr="009500DC">
      <w:rPr>
        <w:rFonts w:cstheme="minorHAnsi"/>
        <w:b/>
        <w:sz w:val="20"/>
        <w:szCs w:val="20"/>
      </w:rPr>
      <w:instrText xml:space="preserve"> PAGE   \* MERGEFORMAT </w:instrText>
    </w:r>
    <w:r w:rsidR="00E4564A" w:rsidRPr="009500DC">
      <w:rPr>
        <w:rFonts w:cstheme="minorHAnsi"/>
        <w:b/>
        <w:sz w:val="20"/>
        <w:szCs w:val="20"/>
      </w:rPr>
      <w:fldChar w:fldCharType="separate"/>
    </w:r>
    <w:r w:rsidR="00E4564A">
      <w:rPr>
        <w:rFonts w:cstheme="minorHAnsi"/>
        <w:b/>
        <w:noProof/>
        <w:sz w:val="20"/>
        <w:szCs w:val="20"/>
      </w:rPr>
      <w:t>3</w:t>
    </w:r>
    <w:r w:rsidR="00E4564A" w:rsidRPr="009500DC">
      <w:rPr>
        <w:rFonts w:cstheme="minorHAnsi"/>
        <w:b/>
        <w:noProof/>
        <w:sz w:val="20"/>
        <w:szCs w:val="20"/>
      </w:rPr>
      <w:fldChar w:fldCharType="end"/>
    </w:r>
    <w:r w:rsidR="00E4564A"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9-09-17T00:00:00Z">
          <w:dateFormat w:val="MMMM d, yyyy"/>
          <w:lid w:val="en-US"/>
          <w:storeMappedDataAs w:val="dateTime"/>
          <w:calendar w:val="gregorian"/>
        </w:date>
      </w:sdtPr>
      <w:sdtEndPr/>
      <w:sdtContent>
        <w:r w:rsidR="00E4564A">
          <w:rPr>
            <w:rFonts w:cstheme="minorHAnsi"/>
            <w:b/>
            <w:sz w:val="20"/>
            <w:szCs w:val="20"/>
          </w:rPr>
          <w:t>September 17, 2019</w:t>
        </w:r>
      </w:sdtContent>
    </w:sdt>
  </w:p>
  <w:p w14:paraId="215E893C" w14:textId="77777777" w:rsidR="00E4564A" w:rsidRPr="009500DC" w:rsidRDefault="00054031"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E4564A">
          <w:rPr>
            <w:rFonts w:cstheme="minorHAnsi"/>
            <w:b/>
            <w:sz w:val="20"/>
            <w:szCs w:val="20"/>
          </w:rPr>
          <w:t>San Diego Gas &amp; Electric</w:t>
        </w:r>
      </w:sdtContent>
    </w:sdt>
  </w:p>
  <w:p w14:paraId="42C3978A" w14:textId="77777777" w:rsidR="00E4564A" w:rsidRDefault="00E4564A"/>
  <w:p w14:paraId="649973AE" w14:textId="77777777" w:rsidR="00E4564A" w:rsidRDefault="00E4564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9D1F38" w14:textId="77777777" w:rsidR="00D11B9A" w:rsidRDefault="00D11B9A" w:rsidP="00447D6E">
      <w:r>
        <w:separator/>
      </w:r>
    </w:p>
    <w:p w14:paraId="48C35008" w14:textId="77777777" w:rsidR="00D11B9A" w:rsidRDefault="00D11B9A"/>
  </w:footnote>
  <w:footnote w:type="continuationSeparator" w:id="0">
    <w:p w14:paraId="06565581" w14:textId="77777777" w:rsidR="00D11B9A" w:rsidRDefault="00D11B9A" w:rsidP="00447D6E">
      <w:r>
        <w:continuationSeparator/>
      </w:r>
    </w:p>
    <w:p w14:paraId="391AF481" w14:textId="77777777" w:rsidR="00D11B9A" w:rsidRDefault="00D11B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B85AD" w14:textId="0AA15AAC" w:rsidR="00E4564A" w:rsidRDefault="00E456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7610B" w14:textId="6B203F97" w:rsidR="00E4564A" w:rsidRDefault="00E456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254FF" w14:textId="68727938" w:rsidR="00E4564A" w:rsidRDefault="00E456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9C24DF"/>
    <w:multiLevelType w:val="hybridMultilevel"/>
    <w:tmpl w:val="74C2B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D07A3"/>
    <w:multiLevelType w:val="hybridMultilevel"/>
    <w:tmpl w:val="2FE00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AE2E47"/>
    <w:multiLevelType w:val="hybridMultilevel"/>
    <w:tmpl w:val="2F900D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C83059"/>
    <w:multiLevelType w:val="hybridMultilevel"/>
    <w:tmpl w:val="D1D0AA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4E70877"/>
    <w:multiLevelType w:val="hybridMultilevel"/>
    <w:tmpl w:val="3970F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0933F8"/>
    <w:multiLevelType w:val="hybridMultilevel"/>
    <w:tmpl w:val="02B89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FF4EA1"/>
    <w:multiLevelType w:val="hybridMultilevel"/>
    <w:tmpl w:val="846EE08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9DD5032"/>
    <w:multiLevelType w:val="hybridMultilevel"/>
    <w:tmpl w:val="C8A26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FC01E0"/>
    <w:multiLevelType w:val="hybridMultilevel"/>
    <w:tmpl w:val="58CCF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BD0748"/>
    <w:multiLevelType w:val="hybridMultilevel"/>
    <w:tmpl w:val="E7623394"/>
    <w:lvl w:ilvl="0" w:tplc="04090001">
      <w:start w:val="1"/>
      <w:numFmt w:val="bullet"/>
      <w:lvlText w:val=""/>
      <w:lvlJc w:val="left"/>
      <w:pPr>
        <w:ind w:left="766" w:hanging="360"/>
      </w:pPr>
      <w:rPr>
        <w:rFonts w:ascii="Symbol" w:hAnsi="Symbol"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11" w15:restartNumberingAfterBreak="0">
    <w:nsid w:val="311E02ED"/>
    <w:multiLevelType w:val="hybridMultilevel"/>
    <w:tmpl w:val="64989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6D579D"/>
    <w:multiLevelType w:val="hybridMultilevel"/>
    <w:tmpl w:val="08F06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31E8C"/>
    <w:multiLevelType w:val="hybridMultilevel"/>
    <w:tmpl w:val="54640A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413A0E"/>
    <w:multiLevelType w:val="hybridMultilevel"/>
    <w:tmpl w:val="EEA4953A"/>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FD581F"/>
    <w:multiLevelType w:val="hybridMultilevel"/>
    <w:tmpl w:val="E39A2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617F57"/>
    <w:multiLevelType w:val="hybridMultilevel"/>
    <w:tmpl w:val="64989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3A024D"/>
    <w:multiLevelType w:val="hybridMultilevel"/>
    <w:tmpl w:val="02920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A9147B"/>
    <w:multiLevelType w:val="hybridMultilevel"/>
    <w:tmpl w:val="A7C0E0B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2"/>
  </w:num>
  <w:num w:numId="3">
    <w:abstractNumId w:val="2"/>
  </w:num>
  <w:num w:numId="4">
    <w:abstractNumId w:val="1"/>
  </w:num>
  <w:num w:numId="5">
    <w:abstractNumId w:val="4"/>
  </w:num>
  <w:num w:numId="6">
    <w:abstractNumId w:val="5"/>
  </w:num>
  <w:num w:numId="7">
    <w:abstractNumId w:val="3"/>
  </w:num>
  <w:num w:numId="8">
    <w:abstractNumId w:val="8"/>
  </w:num>
  <w:num w:numId="9">
    <w:abstractNumId w:val="6"/>
  </w:num>
  <w:num w:numId="10">
    <w:abstractNumId w:val="17"/>
  </w:num>
  <w:num w:numId="11">
    <w:abstractNumId w:val="10"/>
  </w:num>
  <w:num w:numId="12">
    <w:abstractNumId w:val="16"/>
  </w:num>
  <w:num w:numId="13">
    <w:abstractNumId w:val="14"/>
  </w:num>
  <w:num w:numId="14">
    <w:abstractNumId w:val="7"/>
  </w:num>
  <w:num w:numId="15">
    <w:abstractNumId w:val="11"/>
  </w:num>
  <w:num w:numId="16">
    <w:abstractNumId w:val="9"/>
  </w:num>
  <w:num w:numId="17">
    <w:abstractNumId w:val="13"/>
  </w:num>
  <w:num w:numId="18">
    <w:abstractNumId w:val="18"/>
  </w:num>
  <w:num w:numId="19">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609"/>
    <w:rsid w:val="000016DB"/>
    <w:rsid w:val="000038A0"/>
    <w:rsid w:val="00005902"/>
    <w:rsid w:val="0001002B"/>
    <w:rsid w:val="00010806"/>
    <w:rsid w:val="00013101"/>
    <w:rsid w:val="00013F71"/>
    <w:rsid w:val="000173BF"/>
    <w:rsid w:val="00024252"/>
    <w:rsid w:val="000245B5"/>
    <w:rsid w:val="00025CC9"/>
    <w:rsid w:val="00027183"/>
    <w:rsid w:val="00031ECC"/>
    <w:rsid w:val="00033EA1"/>
    <w:rsid w:val="00034EBA"/>
    <w:rsid w:val="0003746D"/>
    <w:rsid w:val="0004020F"/>
    <w:rsid w:val="00043282"/>
    <w:rsid w:val="000436CB"/>
    <w:rsid w:val="00045E01"/>
    <w:rsid w:val="000502E3"/>
    <w:rsid w:val="00052E17"/>
    <w:rsid w:val="00054031"/>
    <w:rsid w:val="00056947"/>
    <w:rsid w:val="00061A8E"/>
    <w:rsid w:val="00063683"/>
    <w:rsid w:val="00064CB3"/>
    <w:rsid w:val="00070BEE"/>
    <w:rsid w:val="00072040"/>
    <w:rsid w:val="00076DF4"/>
    <w:rsid w:val="00076F51"/>
    <w:rsid w:val="00086AA4"/>
    <w:rsid w:val="00086F7F"/>
    <w:rsid w:val="0009074D"/>
    <w:rsid w:val="0009592B"/>
    <w:rsid w:val="000968C6"/>
    <w:rsid w:val="000A0FB7"/>
    <w:rsid w:val="000A54D0"/>
    <w:rsid w:val="000A5521"/>
    <w:rsid w:val="000A593C"/>
    <w:rsid w:val="000A63C9"/>
    <w:rsid w:val="000B3765"/>
    <w:rsid w:val="000B655B"/>
    <w:rsid w:val="000C0000"/>
    <w:rsid w:val="000C04BC"/>
    <w:rsid w:val="000C18CC"/>
    <w:rsid w:val="000C651B"/>
    <w:rsid w:val="000C687D"/>
    <w:rsid w:val="000C7ED1"/>
    <w:rsid w:val="000D3BD1"/>
    <w:rsid w:val="000D6F0F"/>
    <w:rsid w:val="000D789A"/>
    <w:rsid w:val="000E165A"/>
    <w:rsid w:val="000E42EF"/>
    <w:rsid w:val="000E4B5F"/>
    <w:rsid w:val="000E4CD1"/>
    <w:rsid w:val="000E706D"/>
    <w:rsid w:val="000F130A"/>
    <w:rsid w:val="000F4FD8"/>
    <w:rsid w:val="000F5393"/>
    <w:rsid w:val="000F631B"/>
    <w:rsid w:val="00106072"/>
    <w:rsid w:val="00107242"/>
    <w:rsid w:val="00111CC5"/>
    <w:rsid w:val="001206F7"/>
    <w:rsid w:val="0012248E"/>
    <w:rsid w:val="00123376"/>
    <w:rsid w:val="001236C1"/>
    <w:rsid w:val="00126627"/>
    <w:rsid w:val="00133EE8"/>
    <w:rsid w:val="0013477F"/>
    <w:rsid w:val="00134FCD"/>
    <w:rsid w:val="00140B30"/>
    <w:rsid w:val="001438B0"/>
    <w:rsid w:val="001447DA"/>
    <w:rsid w:val="00144CA3"/>
    <w:rsid w:val="001467F7"/>
    <w:rsid w:val="00147155"/>
    <w:rsid w:val="00150D93"/>
    <w:rsid w:val="001519B3"/>
    <w:rsid w:val="00151E3E"/>
    <w:rsid w:val="00152ED3"/>
    <w:rsid w:val="00153CB3"/>
    <w:rsid w:val="00154C3B"/>
    <w:rsid w:val="00160158"/>
    <w:rsid w:val="00165357"/>
    <w:rsid w:val="00165678"/>
    <w:rsid w:val="001722B7"/>
    <w:rsid w:val="001727D9"/>
    <w:rsid w:val="00174BB4"/>
    <w:rsid w:val="00175D14"/>
    <w:rsid w:val="001811EE"/>
    <w:rsid w:val="00185302"/>
    <w:rsid w:val="00185AD4"/>
    <w:rsid w:val="001979AF"/>
    <w:rsid w:val="001A0073"/>
    <w:rsid w:val="001A0EB4"/>
    <w:rsid w:val="001A1A86"/>
    <w:rsid w:val="001A5F62"/>
    <w:rsid w:val="001B015E"/>
    <w:rsid w:val="001B108B"/>
    <w:rsid w:val="001B143D"/>
    <w:rsid w:val="001B1C12"/>
    <w:rsid w:val="001B2301"/>
    <w:rsid w:val="001B5B81"/>
    <w:rsid w:val="001B618B"/>
    <w:rsid w:val="001C1338"/>
    <w:rsid w:val="001C4140"/>
    <w:rsid w:val="001C5A94"/>
    <w:rsid w:val="001D2317"/>
    <w:rsid w:val="001D3223"/>
    <w:rsid w:val="001D33EF"/>
    <w:rsid w:val="001D5AB3"/>
    <w:rsid w:val="001D78BE"/>
    <w:rsid w:val="001E0519"/>
    <w:rsid w:val="001E0829"/>
    <w:rsid w:val="001E1320"/>
    <w:rsid w:val="001E556A"/>
    <w:rsid w:val="001E6503"/>
    <w:rsid w:val="001F05CE"/>
    <w:rsid w:val="001F18BE"/>
    <w:rsid w:val="001F1905"/>
    <w:rsid w:val="001F4A65"/>
    <w:rsid w:val="001F53AB"/>
    <w:rsid w:val="002046FC"/>
    <w:rsid w:val="00205C45"/>
    <w:rsid w:val="0021035B"/>
    <w:rsid w:val="00211153"/>
    <w:rsid w:val="00211C6A"/>
    <w:rsid w:val="00214360"/>
    <w:rsid w:val="00226D53"/>
    <w:rsid w:val="0022735B"/>
    <w:rsid w:val="0023254A"/>
    <w:rsid w:val="002344FB"/>
    <w:rsid w:val="00236216"/>
    <w:rsid w:val="002405CD"/>
    <w:rsid w:val="00240B74"/>
    <w:rsid w:val="00243B62"/>
    <w:rsid w:val="00243F3B"/>
    <w:rsid w:val="00244393"/>
    <w:rsid w:val="0024675B"/>
    <w:rsid w:val="00246888"/>
    <w:rsid w:val="002469DD"/>
    <w:rsid w:val="00247180"/>
    <w:rsid w:val="00254671"/>
    <w:rsid w:val="002561D0"/>
    <w:rsid w:val="002572D2"/>
    <w:rsid w:val="00257D36"/>
    <w:rsid w:val="00261597"/>
    <w:rsid w:val="00261E53"/>
    <w:rsid w:val="0026344C"/>
    <w:rsid w:val="002635F0"/>
    <w:rsid w:val="00263C1C"/>
    <w:rsid w:val="0026485A"/>
    <w:rsid w:val="0026567A"/>
    <w:rsid w:val="00271415"/>
    <w:rsid w:val="00274FBE"/>
    <w:rsid w:val="002762E1"/>
    <w:rsid w:val="002811BC"/>
    <w:rsid w:val="00283DE8"/>
    <w:rsid w:val="00283E98"/>
    <w:rsid w:val="00285552"/>
    <w:rsid w:val="00285966"/>
    <w:rsid w:val="00285A0D"/>
    <w:rsid w:val="00287A76"/>
    <w:rsid w:val="002907CB"/>
    <w:rsid w:val="00290ED8"/>
    <w:rsid w:val="00293983"/>
    <w:rsid w:val="00296B49"/>
    <w:rsid w:val="00297D90"/>
    <w:rsid w:val="002A03FC"/>
    <w:rsid w:val="002A134F"/>
    <w:rsid w:val="002A1843"/>
    <w:rsid w:val="002A327B"/>
    <w:rsid w:val="002A3D26"/>
    <w:rsid w:val="002A523E"/>
    <w:rsid w:val="002A5DD4"/>
    <w:rsid w:val="002B1ADF"/>
    <w:rsid w:val="002B502E"/>
    <w:rsid w:val="002B657B"/>
    <w:rsid w:val="002C2853"/>
    <w:rsid w:val="002C444C"/>
    <w:rsid w:val="002C458F"/>
    <w:rsid w:val="002C6C20"/>
    <w:rsid w:val="002C6C7A"/>
    <w:rsid w:val="002C7B72"/>
    <w:rsid w:val="002C7F78"/>
    <w:rsid w:val="002D0BF0"/>
    <w:rsid w:val="002D5277"/>
    <w:rsid w:val="002D71FA"/>
    <w:rsid w:val="002D73AF"/>
    <w:rsid w:val="002D7FD0"/>
    <w:rsid w:val="002E4FD9"/>
    <w:rsid w:val="002E5B58"/>
    <w:rsid w:val="002F1437"/>
    <w:rsid w:val="002F3943"/>
    <w:rsid w:val="002F4E34"/>
    <w:rsid w:val="002F53D7"/>
    <w:rsid w:val="002F6A42"/>
    <w:rsid w:val="002F79E7"/>
    <w:rsid w:val="003003EC"/>
    <w:rsid w:val="00300611"/>
    <w:rsid w:val="003030F5"/>
    <w:rsid w:val="003035E3"/>
    <w:rsid w:val="0030363A"/>
    <w:rsid w:val="0030544D"/>
    <w:rsid w:val="00307BD6"/>
    <w:rsid w:val="0031254A"/>
    <w:rsid w:val="00314057"/>
    <w:rsid w:val="00315AE4"/>
    <w:rsid w:val="00316E9B"/>
    <w:rsid w:val="00317970"/>
    <w:rsid w:val="00317EB0"/>
    <w:rsid w:val="00327A7F"/>
    <w:rsid w:val="00332700"/>
    <w:rsid w:val="003358BD"/>
    <w:rsid w:val="00335D0D"/>
    <w:rsid w:val="00344E88"/>
    <w:rsid w:val="00345D80"/>
    <w:rsid w:val="003471D4"/>
    <w:rsid w:val="00347E24"/>
    <w:rsid w:val="00350BF1"/>
    <w:rsid w:val="00353C49"/>
    <w:rsid w:val="003540B1"/>
    <w:rsid w:val="003557E9"/>
    <w:rsid w:val="003560BA"/>
    <w:rsid w:val="00364CC6"/>
    <w:rsid w:val="003650F6"/>
    <w:rsid w:val="0036726C"/>
    <w:rsid w:val="00367626"/>
    <w:rsid w:val="003832D2"/>
    <w:rsid w:val="003845E5"/>
    <w:rsid w:val="00393137"/>
    <w:rsid w:val="00397406"/>
    <w:rsid w:val="003A3170"/>
    <w:rsid w:val="003A360E"/>
    <w:rsid w:val="003B6E5D"/>
    <w:rsid w:val="003C18D8"/>
    <w:rsid w:val="003C2EE2"/>
    <w:rsid w:val="003D17FF"/>
    <w:rsid w:val="003D2871"/>
    <w:rsid w:val="003D5B83"/>
    <w:rsid w:val="003E6E47"/>
    <w:rsid w:val="003F0623"/>
    <w:rsid w:val="003F33DE"/>
    <w:rsid w:val="003F3A41"/>
    <w:rsid w:val="003F67E9"/>
    <w:rsid w:val="003F7AC8"/>
    <w:rsid w:val="00401031"/>
    <w:rsid w:val="004023B7"/>
    <w:rsid w:val="00402632"/>
    <w:rsid w:val="004045A0"/>
    <w:rsid w:val="00410C9C"/>
    <w:rsid w:val="00413CDB"/>
    <w:rsid w:val="004200FE"/>
    <w:rsid w:val="00421183"/>
    <w:rsid w:val="00421BA6"/>
    <w:rsid w:val="00421C17"/>
    <w:rsid w:val="004237CE"/>
    <w:rsid w:val="004249FA"/>
    <w:rsid w:val="00426CDE"/>
    <w:rsid w:val="00433EA1"/>
    <w:rsid w:val="00441957"/>
    <w:rsid w:val="00443D32"/>
    <w:rsid w:val="004469DD"/>
    <w:rsid w:val="004476B2"/>
    <w:rsid w:val="00447CE5"/>
    <w:rsid w:val="00447D6E"/>
    <w:rsid w:val="0045048F"/>
    <w:rsid w:val="0045181B"/>
    <w:rsid w:val="00451AB3"/>
    <w:rsid w:val="00452133"/>
    <w:rsid w:val="00452C7A"/>
    <w:rsid w:val="00456B53"/>
    <w:rsid w:val="00456C12"/>
    <w:rsid w:val="0046286E"/>
    <w:rsid w:val="00463CEF"/>
    <w:rsid w:val="004673A2"/>
    <w:rsid w:val="00471234"/>
    <w:rsid w:val="00472250"/>
    <w:rsid w:val="0047437C"/>
    <w:rsid w:val="00475697"/>
    <w:rsid w:val="00477522"/>
    <w:rsid w:val="00480E7B"/>
    <w:rsid w:val="004843E5"/>
    <w:rsid w:val="00484BF6"/>
    <w:rsid w:val="0049052C"/>
    <w:rsid w:val="00491AAE"/>
    <w:rsid w:val="00491F86"/>
    <w:rsid w:val="00493457"/>
    <w:rsid w:val="00494628"/>
    <w:rsid w:val="0049566B"/>
    <w:rsid w:val="00496B36"/>
    <w:rsid w:val="00497338"/>
    <w:rsid w:val="004A1650"/>
    <w:rsid w:val="004A3BD3"/>
    <w:rsid w:val="004A4206"/>
    <w:rsid w:val="004A5910"/>
    <w:rsid w:val="004B1184"/>
    <w:rsid w:val="004B4A3A"/>
    <w:rsid w:val="004B5CE5"/>
    <w:rsid w:val="004B750E"/>
    <w:rsid w:val="004C2244"/>
    <w:rsid w:val="004C23F1"/>
    <w:rsid w:val="004D069A"/>
    <w:rsid w:val="004D6CC5"/>
    <w:rsid w:val="004E01F5"/>
    <w:rsid w:val="004E0560"/>
    <w:rsid w:val="004E297E"/>
    <w:rsid w:val="004E2C98"/>
    <w:rsid w:val="004E4555"/>
    <w:rsid w:val="004E7521"/>
    <w:rsid w:val="004E76CA"/>
    <w:rsid w:val="004E7949"/>
    <w:rsid w:val="004F1698"/>
    <w:rsid w:val="004F6005"/>
    <w:rsid w:val="004F672E"/>
    <w:rsid w:val="00500C4E"/>
    <w:rsid w:val="005023C8"/>
    <w:rsid w:val="00504056"/>
    <w:rsid w:val="00505CEC"/>
    <w:rsid w:val="00505DBD"/>
    <w:rsid w:val="0051020F"/>
    <w:rsid w:val="00512854"/>
    <w:rsid w:val="00513CAB"/>
    <w:rsid w:val="00516CF5"/>
    <w:rsid w:val="00523597"/>
    <w:rsid w:val="00523736"/>
    <w:rsid w:val="00527ACD"/>
    <w:rsid w:val="00527D5A"/>
    <w:rsid w:val="005318BD"/>
    <w:rsid w:val="005324EA"/>
    <w:rsid w:val="00532530"/>
    <w:rsid w:val="00532724"/>
    <w:rsid w:val="00535CA4"/>
    <w:rsid w:val="0053631C"/>
    <w:rsid w:val="0054062D"/>
    <w:rsid w:val="00542DE6"/>
    <w:rsid w:val="005476F6"/>
    <w:rsid w:val="00551D72"/>
    <w:rsid w:val="00552F80"/>
    <w:rsid w:val="005540B6"/>
    <w:rsid w:val="00554597"/>
    <w:rsid w:val="005552C3"/>
    <w:rsid w:val="00560934"/>
    <w:rsid w:val="00563E58"/>
    <w:rsid w:val="00564960"/>
    <w:rsid w:val="005658A2"/>
    <w:rsid w:val="00566106"/>
    <w:rsid w:val="00570654"/>
    <w:rsid w:val="00570850"/>
    <w:rsid w:val="00570F38"/>
    <w:rsid w:val="00572063"/>
    <w:rsid w:val="005720F2"/>
    <w:rsid w:val="005729C8"/>
    <w:rsid w:val="00572D2F"/>
    <w:rsid w:val="005734A4"/>
    <w:rsid w:val="00594EF5"/>
    <w:rsid w:val="00595FCC"/>
    <w:rsid w:val="005A0E53"/>
    <w:rsid w:val="005A1078"/>
    <w:rsid w:val="005A4658"/>
    <w:rsid w:val="005A496B"/>
    <w:rsid w:val="005B03F7"/>
    <w:rsid w:val="005B28C1"/>
    <w:rsid w:val="005B3A4F"/>
    <w:rsid w:val="005B6344"/>
    <w:rsid w:val="005C0C4D"/>
    <w:rsid w:val="005C1C74"/>
    <w:rsid w:val="005C2E48"/>
    <w:rsid w:val="005C3B0A"/>
    <w:rsid w:val="005C3F23"/>
    <w:rsid w:val="005C492E"/>
    <w:rsid w:val="005D4DD7"/>
    <w:rsid w:val="005E12A9"/>
    <w:rsid w:val="005E3374"/>
    <w:rsid w:val="005F139E"/>
    <w:rsid w:val="005F2091"/>
    <w:rsid w:val="005F69D5"/>
    <w:rsid w:val="00602799"/>
    <w:rsid w:val="00602E9A"/>
    <w:rsid w:val="00602F18"/>
    <w:rsid w:val="0060430F"/>
    <w:rsid w:val="0060557F"/>
    <w:rsid w:val="00606F57"/>
    <w:rsid w:val="00607C30"/>
    <w:rsid w:val="006110F3"/>
    <w:rsid w:val="00612041"/>
    <w:rsid w:val="00613D61"/>
    <w:rsid w:val="00614AFF"/>
    <w:rsid w:val="00621ABA"/>
    <w:rsid w:val="0062322A"/>
    <w:rsid w:val="00630F18"/>
    <w:rsid w:val="00631157"/>
    <w:rsid w:val="006325F2"/>
    <w:rsid w:val="00637EB6"/>
    <w:rsid w:val="006404E6"/>
    <w:rsid w:val="00640687"/>
    <w:rsid w:val="00643234"/>
    <w:rsid w:val="00643E0F"/>
    <w:rsid w:val="0064680F"/>
    <w:rsid w:val="0064729D"/>
    <w:rsid w:val="00647A7D"/>
    <w:rsid w:val="00647ABE"/>
    <w:rsid w:val="006516BA"/>
    <w:rsid w:val="00663263"/>
    <w:rsid w:val="006642FA"/>
    <w:rsid w:val="00664B05"/>
    <w:rsid w:val="00665C04"/>
    <w:rsid w:val="00666654"/>
    <w:rsid w:val="0066682D"/>
    <w:rsid w:val="006746FE"/>
    <w:rsid w:val="0067496B"/>
    <w:rsid w:val="00676E9F"/>
    <w:rsid w:val="00680934"/>
    <w:rsid w:val="00683284"/>
    <w:rsid w:val="00685D5C"/>
    <w:rsid w:val="006910DD"/>
    <w:rsid w:val="0069264D"/>
    <w:rsid w:val="0069578B"/>
    <w:rsid w:val="00697868"/>
    <w:rsid w:val="006A055F"/>
    <w:rsid w:val="006A0DE4"/>
    <w:rsid w:val="006A126F"/>
    <w:rsid w:val="006A14E9"/>
    <w:rsid w:val="006A2A65"/>
    <w:rsid w:val="006A5293"/>
    <w:rsid w:val="006A5642"/>
    <w:rsid w:val="006A67E4"/>
    <w:rsid w:val="006A6AAD"/>
    <w:rsid w:val="006A6D15"/>
    <w:rsid w:val="006A7DEC"/>
    <w:rsid w:val="006B0DF3"/>
    <w:rsid w:val="006B0F11"/>
    <w:rsid w:val="006B27FA"/>
    <w:rsid w:val="006B4A48"/>
    <w:rsid w:val="006C2C55"/>
    <w:rsid w:val="006C430A"/>
    <w:rsid w:val="006D2809"/>
    <w:rsid w:val="006D596C"/>
    <w:rsid w:val="006D6CB7"/>
    <w:rsid w:val="006D6FDE"/>
    <w:rsid w:val="006D7674"/>
    <w:rsid w:val="006E27A3"/>
    <w:rsid w:val="006E3070"/>
    <w:rsid w:val="006E3342"/>
    <w:rsid w:val="006E45F7"/>
    <w:rsid w:val="006E4B12"/>
    <w:rsid w:val="006E579D"/>
    <w:rsid w:val="006E65D0"/>
    <w:rsid w:val="006E7D9B"/>
    <w:rsid w:val="006F1B21"/>
    <w:rsid w:val="006F21E8"/>
    <w:rsid w:val="006F5ECE"/>
    <w:rsid w:val="006F78D5"/>
    <w:rsid w:val="007003E7"/>
    <w:rsid w:val="0070091B"/>
    <w:rsid w:val="00702844"/>
    <w:rsid w:val="007040C6"/>
    <w:rsid w:val="007048AC"/>
    <w:rsid w:val="00710641"/>
    <w:rsid w:val="00723E6F"/>
    <w:rsid w:val="00725945"/>
    <w:rsid w:val="00726338"/>
    <w:rsid w:val="00726AD5"/>
    <w:rsid w:val="00733C7D"/>
    <w:rsid w:val="00740761"/>
    <w:rsid w:val="0074467E"/>
    <w:rsid w:val="00745F77"/>
    <w:rsid w:val="007464DE"/>
    <w:rsid w:val="007524FB"/>
    <w:rsid w:val="007529EA"/>
    <w:rsid w:val="00755A45"/>
    <w:rsid w:val="00757589"/>
    <w:rsid w:val="00760CDC"/>
    <w:rsid w:val="00764D0D"/>
    <w:rsid w:val="00765209"/>
    <w:rsid w:val="00776257"/>
    <w:rsid w:val="00777C53"/>
    <w:rsid w:val="00780EFE"/>
    <w:rsid w:val="00786E92"/>
    <w:rsid w:val="00790A93"/>
    <w:rsid w:val="007933F1"/>
    <w:rsid w:val="007A3225"/>
    <w:rsid w:val="007A329F"/>
    <w:rsid w:val="007A5F52"/>
    <w:rsid w:val="007B090A"/>
    <w:rsid w:val="007B2128"/>
    <w:rsid w:val="007B2730"/>
    <w:rsid w:val="007B55D9"/>
    <w:rsid w:val="007C4FF0"/>
    <w:rsid w:val="007D6B25"/>
    <w:rsid w:val="007D7270"/>
    <w:rsid w:val="007E43F8"/>
    <w:rsid w:val="007E5076"/>
    <w:rsid w:val="007E656B"/>
    <w:rsid w:val="007F2997"/>
    <w:rsid w:val="007F50E8"/>
    <w:rsid w:val="007F54E2"/>
    <w:rsid w:val="007F7FBA"/>
    <w:rsid w:val="00800319"/>
    <w:rsid w:val="0080044E"/>
    <w:rsid w:val="00800706"/>
    <w:rsid w:val="00800DD1"/>
    <w:rsid w:val="0080189A"/>
    <w:rsid w:val="00801F7F"/>
    <w:rsid w:val="00803C2B"/>
    <w:rsid w:val="00810F01"/>
    <w:rsid w:val="00811945"/>
    <w:rsid w:val="00813420"/>
    <w:rsid w:val="00822BD2"/>
    <w:rsid w:val="00824F1C"/>
    <w:rsid w:val="00826688"/>
    <w:rsid w:val="0083369B"/>
    <w:rsid w:val="00834823"/>
    <w:rsid w:val="00835D38"/>
    <w:rsid w:val="00847A4E"/>
    <w:rsid w:val="00853F04"/>
    <w:rsid w:val="00871B89"/>
    <w:rsid w:val="00871D79"/>
    <w:rsid w:val="0087393E"/>
    <w:rsid w:val="008750CF"/>
    <w:rsid w:val="00876EA3"/>
    <w:rsid w:val="00881A42"/>
    <w:rsid w:val="00882386"/>
    <w:rsid w:val="0088361D"/>
    <w:rsid w:val="0088576C"/>
    <w:rsid w:val="00885E0A"/>
    <w:rsid w:val="0088603B"/>
    <w:rsid w:val="008877AF"/>
    <w:rsid w:val="00893FC3"/>
    <w:rsid w:val="0089577B"/>
    <w:rsid w:val="00895A6A"/>
    <w:rsid w:val="008A2813"/>
    <w:rsid w:val="008A5BE0"/>
    <w:rsid w:val="008B09A8"/>
    <w:rsid w:val="008B1024"/>
    <w:rsid w:val="008B1357"/>
    <w:rsid w:val="008B2DF3"/>
    <w:rsid w:val="008B5365"/>
    <w:rsid w:val="008C24DD"/>
    <w:rsid w:val="008C2E0E"/>
    <w:rsid w:val="008C4DE0"/>
    <w:rsid w:val="008C4F4D"/>
    <w:rsid w:val="008C5307"/>
    <w:rsid w:val="008C5AC7"/>
    <w:rsid w:val="008D3930"/>
    <w:rsid w:val="008D67F9"/>
    <w:rsid w:val="008E17CC"/>
    <w:rsid w:val="008E17D4"/>
    <w:rsid w:val="008E25B1"/>
    <w:rsid w:val="008E464D"/>
    <w:rsid w:val="008E56FB"/>
    <w:rsid w:val="008F11C1"/>
    <w:rsid w:val="008F2167"/>
    <w:rsid w:val="008F33B4"/>
    <w:rsid w:val="008F6298"/>
    <w:rsid w:val="008F7A3C"/>
    <w:rsid w:val="00900127"/>
    <w:rsid w:val="0090077A"/>
    <w:rsid w:val="00900F47"/>
    <w:rsid w:val="00901C57"/>
    <w:rsid w:val="00904ADA"/>
    <w:rsid w:val="009055A3"/>
    <w:rsid w:val="00907199"/>
    <w:rsid w:val="00907697"/>
    <w:rsid w:val="00910A69"/>
    <w:rsid w:val="009138A0"/>
    <w:rsid w:val="0091424C"/>
    <w:rsid w:val="00917DE4"/>
    <w:rsid w:val="00920905"/>
    <w:rsid w:val="00922B85"/>
    <w:rsid w:val="009239D2"/>
    <w:rsid w:val="00930CDC"/>
    <w:rsid w:val="00931E45"/>
    <w:rsid w:val="00932535"/>
    <w:rsid w:val="00933188"/>
    <w:rsid w:val="00935AF9"/>
    <w:rsid w:val="009403A5"/>
    <w:rsid w:val="009500DC"/>
    <w:rsid w:val="009508EC"/>
    <w:rsid w:val="00951923"/>
    <w:rsid w:val="0095671B"/>
    <w:rsid w:val="00960BCE"/>
    <w:rsid w:val="00972C81"/>
    <w:rsid w:val="00975CA8"/>
    <w:rsid w:val="00982460"/>
    <w:rsid w:val="009824E9"/>
    <w:rsid w:val="009826E5"/>
    <w:rsid w:val="00983041"/>
    <w:rsid w:val="009844A1"/>
    <w:rsid w:val="0098632E"/>
    <w:rsid w:val="00986E20"/>
    <w:rsid w:val="00992C6F"/>
    <w:rsid w:val="00995479"/>
    <w:rsid w:val="00995CB0"/>
    <w:rsid w:val="00997E77"/>
    <w:rsid w:val="009A2734"/>
    <w:rsid w:val="009B2A02"/>
    <w:rsid w:val="009B2B61"/>
    <w:rsid w:val="009B5B7B"/>
    <w:rsid w:val="009C1777"/>
    <w:rsid w:val="009C2C86"/>
    <w:rsid w:val="009C6FE0"/>
    <w:rsid w:val="009D0753"/>
    <w:rsid w:val="009D10A4"/>
    <w:rsid w:val="009D3AA5"/>
    <w:rsid w:val="009D417C"/>
    <w:rsid w:val="009D5131"/>
    <w:rsid w:val="009D564C"/>
    <w:rsid w:val="009D58E2"/>
    <w:rsid w:val="009D6F71"/>
    <w:rsid w:val="009D73F3"/>
    <w:rsid w:val="009E1802"/>
    <w:rsid w:val="009E1CDE"/>
    <w:rsid w:val="009E2737"/>
    <w:rsid w:val="009E2B06"/>
    <w:rsid w:val="009E3829"/>
    <w:rsid w:val="009E51E2"/>
    <w:rsid w:val="009F7A61"/>
    <w:rsid w:val="00A07431"/>
    <w:rsid w:val="00A11800"/>
    <w:rsid w:val="00A11C16"/>
    <w:rsid w:val="00A1423E"/>
    <w:rsid w:val="00A17664"/>
    <w:rsid w:val="00A20FAF"/>
    <w:rsid w:val="00A24520"/>
    <w:rsid w:val="00A3164A"/>
    <w:rsid w:val="00A3437E"/>
    <w:rsid w:val="00A37F42"/>
    <w:rsid w:val="00A40886"/>
    <w:rsid w:val="00A4411F"/>
    <w:rsid w:val="00A500D6"/>
    <w:rsid w:val="00A523FF"/>
    <w:rsid w:val="00A54756"/>
    <w:rsid w:val="00A54C66"/>
    <w:rsid w:val="00A558F6"/>
    <w:rsid w:val="00A566AE"/>
    <w:rsid w:val="00A57D36"/>
    <w:rsid w:val="00A61BB6"/>
    <w:rsid w:val="00A65734"/>
    <w:rsid w:val="00A65F85"/>
    <w:rsid w:val="00A6687F"/>
    <w:rsid w:val="00A67907"/>
    <w:rsid w:val="00A73CC1"/>
    <w:rsid w:val="00A80059"/>
    <w:rsid w:val="00A80270"/>
    <w:rsid w:val="00A82DB1"/>
    <w:rsid w:val="00A84127"/>
    <w:rsid w:val="00A86DA2"/>
    <w:rsid w:val="00A90DFC"/>
    <w:rsid w:val="00A91BF3"/>
    <w:rsid w:val="00A94C11"/>
    <w:rsid w:val="00A966EE"/>
    <w:rsid w:val="00AA0A9C"/>
    <w:rsid w:val="00AA16C0"/>
    <w:rsid w:val="00AA185C"/>
    <w:rsid w:val="00AA4CDC"/>
    <w:rsid w:val="00AB0FC7"/>
    <w:rsid w:val="00AB21D4"/>
    <w:rsid w:val="00AB21F5"/>
    <w:rsid w:val="00AB3386"/>
    <w:rsid w:val="00AB36DB"/>
    <w:rsid w:val="00AB6117"/>
    <w:rsid w:val="00AC0B1D"/>
    <w:rsid w:val="00AC2F5B"/>
    <w:rsid w:val="00AC3DAD"/>
    <w:rsid w:val="00AC5309"/>
    <w:rsid w:val="00AC5B97"/>
    <w:rsid w:val="00AD348C"/>
    <w:rsid w:val="00AD4DD0"/>
    <w:rsid w:val="00AD6A26"/>
    <w:rsid w:val="00AE0A8D"/>
    <w:rsid w:val="00AF6342"/>
    <w:rsid w:val="00AF74EE"/>
    <w:rsid w:val="00B03F05"/>
    <w:rsid w:val="00B053FB"/>
    <w:rsid w:val="00B05647"/>
    <w:rsid w:val="00B07EE5"/>
    <w:rsid w:val="00B20B60"/>
    <w:rsid w:val="00B21CC5"/>
    <w:rsid w:val="00B245DE"/>
    <w:rsid w:val="00B261E8"/>
    <w:rsid w:val="00B26778"/>
    <w:rsid w:val="00B26B83"/>
    <w:rsid w:val="00B26BFD"/>
    <w:rsid w:val="00B3081B"/>
    <w:rsid w:val="00B32479"/>
    <w:rsid w:val="00B33FE2"/>
    <w:rsid w:val="00B403ED"/>
    <w:rsid w:val="00B4065F"/>
    <w:rsid w:val="00B433C3"/>
    <w:rsid w:val="00B45091"/>
    <w:rsid w:val="00B45447"/>
    <w:rsid w:val="00B476E7"/>
    <w:rsid w:val="00B47A09"/>
    <w:rsid w:val="00B5089C"/>
    <w:rsid w:val="00B56DC7"/>
    <w:rsid w:val="00B614F1"/>
    <w:rsid w:val="00B72444"/>
    <w:rsid w:val="00B74B66"/>
    <w:rsid w:val="00B7620F"/>
    <w:rsid w:val="00B81069"/>
    <w:rsid w:val="00B82042"/>
    <w:rsid w:val="00B866B4"/>
    <w:rsid w:val="00B94226"/>
    <w:rsid w:val="00BA0A8C"/>
    <w:rsid w:val="00BA0CEB"/>
    <w:rsid w:val="00BA2383"/>
    <w:rsid w:val="00BA2E7E"/>
    <w:rsid w:val="00BA590A"/>
    <w:rsid w:val="00BA5FE4"/>
    <w:rsid w:val="00BA6903"/>
    <w:rsid w:val="00BA76DF"/>
    <w:rsid w:val="00BB0B39"/>
    <w:rsid w:val="00BB30D1"/>
    <w:rsid w:val="00BB39D8"/>
    <w:rsid w:val="00BB5F75"/>
    <w:rsid w:val="00BC6524"/>
    <w:rsid w:val="00BC72CE"/>
    <w:rsid w:val="00BD3931"/>
    <w:rsid w:val="00BD5B88"/>
    <w:rsid w:val="00BD5F58"/>
    <w:rsid w:val="00BD73F1"/>
    <w:rsid w:val="00BE0AEB"/>
    <w:rsid w:val="00BE72F3"/>
    <w:rsid w:val="00BE7C78"/>
    <w:rsid w:val="00BF2F76"/>
    <w:rsid w:val="00C018E0"/>
    <w:rsid w:val="00C05AAF"/>
    <w:rsid w:val="00C118C7"/>
    <w:rsid w:val="00C20877"/>
    <w:rsid w:val="00C20E7B"/>
    <w:rsid w:val="00C21456"/>
    <w:rsid w:val="00C24D03"/>
    <w:rsid w:val="00C25E61"/>
    <w:rsid w:val="00C25EA7"/>
    <w:rsid w:val="00C303EE"/>
    <w:rsid w:val="00C35A1B"/>
    <w:rsid w:val="00C413F3"/>
    <w:rsid w:val="00C438DD"/>
    <w:rsid w:val="00C467BD"/>
    <w:rsid w:val="00C53ACA"/>
    <w:rsid w:val="00C54EFF"/>
    <w:rsid w:val="00C55D03"/>
    <w:rsid w:val="00C612E9"/>
    <w:rsid w:val="00C63548"/>
    <w:rsid w:val="00C63F96"/>
    <w:rsid w:val="00C64106"/>
    <w:rsid w:val="00C65450"/>
    <w:rsid w:val="00C677AF"/>
    <w:rsid w:val="00C67943"/>
    <w:rsid w:val="00C67E59"/>
    <w:rsid w:val="00C72B8B"/>
    <w:rsid w:val="00C72CB5"/>
    <w:rsid w:val="00C76D4F"/>
    <w:rsid w:val="00C805BC"/>
    <w:rsid w:val="00C90012"/>
    <w:rsid w:val="00C91A3D"/>
    <w:rsid w:val="00C92CCE"/>
    <w:rsid w:val="00C9391B"/>
    <w:rsid w:val="00C959CA"/>
    <w:rsid w:val="00C95D16"/>
    <w:rsid w:val="00CA2AB4"/>
    <w:rsid w:val="00CA3E41"/>
    <w:rsid w:val="00CA7E6F"/>
    <w:rsid w:val="00CB0100"/>
    <w:rsid w:val="00CB04D2"/>
    <w:rsid w:val="00CB2E01"/>
    <w:rsid w:val="00CC08B0"/>
    <w:rsid w:val="00CD7EFE"/>
    <w:rsid w:val="00CE0429"/>
    <w:rsid w:val="00CE0C66"/>
    <w:rsid w:val="00CE28CF"/>
    <w:rsid w:val="00CE35A4"/>
    <w:rsid w:val="00CE4386"/>
    <w:rsid w:val="00CE4CDC"/>
    <w:rsid w:val="00CE5BEB"/>
    <w:rsid w:val="00CE69E9"/>
    <w:rsid w:val="00CE71F2"/>
    <w:rsid w:val="00CF3F65"/>
    <w:rsid w:val="00CF42B0"/>
    <w:rsid w:val="00CF464D"/>
    <w:rsid w:val="00D118C6"/>
    <w:rsid w:val="00D11B9A"/>
    <w:rsid w:val="00D11CE9"/>
    <w:rsid w:val="00D15C33"/>
    <w:rsid w:val="00D17EF4"/>
    <w:rsid w:val="00D23770"/>
    <w:rsid w:val="00D25074"/>
    <w:rsid w:val="00D267F2"/>
    <w:rsid w:val="00D34517"/>
    <w:rsid w:val="00D36798"/>
    <w:rsid w:val="00D4145C"/>
    <w:rsid w:val="00D478B2"/>
    <w:rsid w:val="00D47E80"/>
    <w:rsid w:val="00D546E3"/>
    <w:rsid w:val="00D70563"/>
    <w:rsid w:val="00D70D89"/>
    <w:rsid w:val="00D71CC5"/>
    <w:rsid w:val="00D72051"/>
    <w:rsid w:val="00D72706"/>
    <w:rsid w:val="00D7380B"/>
    <w:rsid w:val="00D75D77"/>
    <w:rsid w:val="00D7639E"/>
    <w:rsid w:val="00D835EF"/>
    <w:rsid w:val="00D840DB"/>
    <w:rsid w:val="00D85F09"/>
    <w:rsid w:val="00D86A9D"/>
    <w:rsid w:val="00D87F8A"/>
    <w:rsid w:val="00D952DD"/>
    <w:rsid w:val="00D9545A"/>
    <w:rsid w:val="00D97DFA"/>
    <w:rsid w:val="00DA089A"/>
    <w:rsid w:val="00DA11A0"/>
    <w:rsid w:val="00DA207B"/>
    <w:rsid w:val="00DA2822"/>
    <w:rsid w:val="00DA4B85"/>
    <w:rsid w:val="00DA5710"/>
    <w:rsid w:val="00DA690B"/>
    <w:rsid w:val="00DA7225"/>
    <w:rsid w:val="00DB2BFF"/>
    <w:rsid w:val="00DB400E"/>
    <w:rsid w:val="00DB44E9"/>
    <w:rsid w:val="00DC1966"/>
    <w:rsid w:val="00DC1AC9"/>
    <w:rsid w:val="00DC3259"/>
    <w:rsid w:val="00DD0523"/>
    <w:rsid w:val="00DD29AE"/>
    <w:rsid w:val="00DD61C0"/>
    <w:rsid w:val="00DE2B57"/>
    <w:rsid w:val="00DE5758"/>
    <w:rsid w:val="00DE5FCF"/>
    <w:rsid w:val="00DF0D19"/>
    <w:rsid w:val="00DF2EE9"/>
    <w:rsid w:val="00DF6FD8"/>
    <w:rsid w:val="00E004FC"/>
    <w:rsid w:val="00E05A80"/>
    <w:rsid w:val="00E069C5"/>
    <w:rsid w:val="00E06A37"/>
    <w:rsid w:val="00E071A5"/>
    <w:rsid w:val="00E07652"/>
    <w:rsid w:val="00E07752"/>
    <w:rsid w:val="00E158F0"/>
    <w:rsid w:val="00E16111"/>
    <w:rsid w:val="00E16609"/>
    <w:rsid w:val="00E16F08"/>
    <w:rsid w:val="00E233F3"/>
    <w:rsid w:val="00E23E06"/>
    <w:rsid w:val="00E24FA2"/>
    <w:rsid w:val="00E26B34"/>
    <w:rsid w:val="00E3027B"/>
    <w:rsid w:val="00E314BA"/>
    <w:rsid w:val="00E325BE"/>
    <w:rsid w:val="00E326BA"/>
    <w:rsid w:val="00E33F75"/>
    <w:rsid w:val="00E34202"/>
    <w:rsid w:val="00E3608D"/>
    <w:rsid w:val="00E37F72"/>
    <w:rsid w:val="00E40BE5"/>
    <w:rsid w:val="00E40CF9"/>
    <w:rsid w:val="00E42A30"/>
    <w:rsid w:val="00E4564A"/>
    <w:rsid w:val="00E4743F"/>
    <w:rsid w:val="00E5165A"/>
    <w:rsid w:val="00E5625D"/>
    <w:rsid w:val="00E600D3"/>
    <w:rsid w:val="00E648BB"/>
    <w:rsid w:val="00E64E13"/>
    <w:rsid w:val="00E679FC"/>
    <w:rsid w:val="00E67ACA"/>
    <w:rsid w:val="00E67C54"/>
    <w:rsid w:val="00E739AE"/>
    <w:rsid w:val="00E76B31"/>
    <w:rsid w:val="00E803F5"/>
    <w:rsid w:val="00E819D1"/>
    <w:rsid w:val="00E81F3E"/>
    <w:rsid w:val="00E844BB"/>
    <w:rsid w:val="00E84C48"/>
    <w:rsid w:val="00E859BD"/>
    <w:rsid w:val="00E86B70"/>
    <w:rsid w:val="00E87C8F"/>
    <w:rsid w:val="00E919B2"/>
    <w:rsid w:val="00E92052"/>
    <w:rsid w:val="00E924C3"/>
    <w:rsid w:val="00E93CE5"/>
    <w:rsid w:val="00E954EE"/>
    <w:rsid w:val="00E96759"/>
    <w:rsid w:val="00EA26C0"/>
    <w:rsid w:val="00EA4437"/>
    <w:rsid w:val="00EA4D87"/>
    <w:rsid w:val="00EA5869"/>
    <w:rsid w:val="00EA5CBE"/>
    <w:rsid w:val="00EA789C"/>
    <w:rsid w:val="00EB343C"/>
    <w:rsid w:val="00EB34FC"/>
    <w:rsid w:val="00EB4AE6"/>
    <w:rsid w:val="00EB6170"/>
    <w:rsid w:val="00EB76E1"/>
    <w:rsid w:val="00EC05E7"/>
    <w:rsid w:val="00EC2499"/>
    <w:rsid w:val="00ED4756"/>
    <w:rsid w:val="00ED6985"/>
    <w:rsid w:val="00ED797B"/>
    <w:rsid w:val="00EE37B4"/>
    <w:rsid w:val="00EE4120"/>
    <w:rsid w:val="00EF2E8A"/>
    <w:rsid w:val="00EF4E6B"/>
    <w:rsid w:val="00EF5416"/>
    <w:rsid w:val="00F02906"/>
    <w:rsid w:val="00F06CCF"/>
    <w:rsid w:val="00F1053D"/>
    <w:rsid w:val="00F110D5"/>
    <w:rsid w:val="00F11E63"/>
    <w:rsid w:val="00F12733"/>
    <w:rsid w:val="00F12FC5"/>
    <w:rsid w:val="00F16188"/>
    <w:rsid w:val="00F170E2"/>
    <w:rsid w:val="00F171E1"/>
    <w:rsid w:val="00F20DCF"/>
    <w:rsid w:val="00F22849"/>
    <w:rsid w:val="00F23A41"/>
    <w:rsid w:val="00F255C5"/>
    <w:rsid w:val="00F25B36"/>
    <w:rsid w:val="00F3052A"/>
    <w:rsid w:val="00F341E3"/>
    <w:rsid w:val="00F353B8"/>
    <w:rsid w:val="00F35D09"/>
    <w:rsid w:val="00F429FC"/>
    <w:rsid w:val="00F4304D"/>
    <w:rsid w:val="00F46612"/>
    <w:rsid w:val="00F4752B"/>
    <w:rsid w:val="00F476E8"/>
    <w:rsid w:val="00F47BB3"/>
    <w:rsid w:val="00F527CB"/>
    <w:rsid w:val="00F541AE"/>
    <w:rsid w:val="00F56792"/>
    <w:rsid w:val="00F571A6"/>
    <w:rsid w:val="00F6018B"/>
    <w:rsid w:val="00F60265"/>
    <w:rsid w:val="00F60E32"/>
    <w:rsid w:val="00F62A58"/>
    <w:rsid w:val="00F62C95"/>
    <w:rsid w:val="00F644FF"/>
    <w:rsid w:val="00F64931"/>
    <w:rsid w:val="00F65ABA"/>
    <w:rsid w:val="00F65E15"/>
    <w:rsid w:val="00F70B16"/>
    <w:rsid w:val="00F7242E"/>
    <w:rsid w:val="00F72B48"/>
    <w:rsid w:val="00F74B33"/>
    <w:rsid w:val="00F810DD"/>
    <w:rsid w:val="00F82F9E"/>
    <w:rsid w:val="00F9463F"/>
    <w:rsid w:val="00F95E2F"/>
    <w:rsid w:val="00F96DEB"/>
    <w:rsid w:val="00F97B82"/>
    <w:rsid w:val="00FA1872"/>
    <w:rsid w:val="00FA4F34"/>
    <w:rsid w:val="00FB2590"/>
    <w:rsid w:val="00FB610C"/>
    <w:rsid w:val="00FC76CB"/>
    <w:rsid w:val="00FD295F"/>
    <w:rsid w:val="00FD4173"/>
    <w:rsid w:val="00FD5A8C"/>
    <w:rsid w:val="00FE1354"/>
    <w:rsid w:val="00FE286E"/>
    <w:rsid w:val="00FE3233"/>
    <w:rsid w:val="00FE4C68"/>
    <w:rsid w:val="00FE5FAF"/>
    <w:rsid w:val="00FE6D74"/>
    <w:rsid w:val="00FF2978"/>
    <w:rsid w:val="00FF73B4"/>
    <w:rsid w:val="00FF7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55E5FA"/>
  <w15:docId w15:val="{D7B6661C-8BF5-4D14-AE59-6FCFF16DF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35"/>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Revision">
    <w:name w:val="Revision"/>
    <w:hidden/>
    <w:uiPriority w:val="99"/>
    <w:semiHidden/>
    <w:rsid w:val="002D0BF0"/>
    <w:pPr>
      <w:spacing w:after="0" w:line="240" w:lineRule="auto"/>
    </w:pPr>
    <w:rPr>
      <w:rFonts w:eastAsia="Times New Roman" w:cs="Times New Roman"/>
      <w:szCs w:val="24"/>
    </w:rPr>
  </w:style>
  <w:style w:type="paragraph" w:customStyle="1" w:styleId="Default">
    <w:name w:val="Default"/>
    <w:rsid w:val="00FD295F"/>
    <w:pPr>
      <w:autoSpaceDE w:val="0"/>
      <w:autoSpaceDN w:val="0"/>
      <w:adjustRightInd w:val="0"/>
      <w:spacing w:after="0" w:line="240" w:lineRule="auto"/>
    </w:pPr>
    <w:rPr>
      <w:rFonts w:ascii="Palatino Linotype" w:hAnsi="Palatino Linotype" w:cs="Palatino Linotyp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9055">
      <w:bodyDiv w:val="1"/>
      <w:marLeft w:val="0"/>
      <w:marRight w:val="0"/>
      <w:marTop w:val="0"/>
      <w:marBottom w:val="0"/>
      <w:divBdr>
        <w:top w:val="none" w:sz="0" w:space="0" w:color="auto"/>
        <w:left w:val="none" w:sz="0" w:space="0" w:color="auto"/>
        <w:bottom w:val="none" w:sz="0" w:space="0" w:color="auto"/>
        <w:right w:val="none" w:sz="0" w:space="0" w:color="auto"/>
      </w:divBdr>
    </w:div>
    <w:div w:id="227153988">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306399465">
      <w:bodyDiv w:val="1"/>
      <w:marLeft w:val="0"/>
      <w:marRight w:val="0"/>
      <w:marTop w:val="0"/>
      <w:marBottom w:val="0"/>
      <w:divBdr>
        <w:top w:val="none" w:sz="0" w:space="0" w:color="auto"/>
        <w:left w:val="none" w:sz="0" w:space="0" w:color="auto"/>
        <w:bottom w:val="none" w:sz="0" w:space="0" w:color="auto"/>
        <w:right w:val="none" w:sz="0" w:space="0" w:color="auto"/>
      </w:divBdr>
    </w:div>
    <w:div w:id="1408921484">
      <w:bodyDiv w:val="1"/>
      <w:marLeft w:val="0"/>
      <w:marRight w:val="0"/>
      <w:marTop w:val="0"/>
      <w:marBottom w:val="0"/>
      <w:divBdr>
        <w:top w:val="none" w:sz="0" w:space="0" w:color="auto"/>
        <w:left w:val="none" w:sz="0" w:space="0" w:color="auto"/>
        <w:bottom w:val="none" w:sz="0" w:space="0" w:color="auto"/>
        <w:right w:val="none" w:sz="0" w:space="0" w:color="auto"/>
      </w:divBdr>
    </w:div>
    <w:div w:id="1409039546">
      <w:bodyDiv w:val="1"/>
      <w:marLeft w:val="0"/>
      <w:marRight w:val="0"/>
      <w:marTop w:val="0"/>
      <w:marBottom w:val="0"/>
      <w:divBdr>
        <w:top w:val="none" w:sz="0" w:space="0" w:color="auto"/>
        <w:left w:val="none" w:sz="0" w:space="0" w:color="auto"/>
        <w:bottom w:val="none" w:sz="0" w:space="0" w:color="auto"/>
        <w:right w:val="none" w:sz="0" w:space="0" w:color="auto"/>
      </w:divBdr>
    </w:div>
    <w:div w:id="1434284333">
      <w:bodyDiv w:val="1"/>
      <w:marLeft w:val="0"/>
      <w:marRight w:val="0"/>
      <w:marTop w:val="0"/>
      <w:marBottom w:val="0"/>
      <w:divBdr>
        <w:top w:val="none" w:sz="0" w:space="0" w:color="auto"/>
        <w:left w:val="none" w:sz="0" w:space="0" w:color="auto"/>
        <w:bottom w:val="none" w:sz="0" w:space="0" w:color="auto"/>
        <w:right w:val="none" w:sz="0" w:space="0" w:color="auto"/>
      </w:divBdr>
    </w:div>
    <w:div w:id="1524249194">
      <w:bodyDiv w:val="1"/>
      <w:marLeft w:val="0"/>
      <w:marRight w:val="0"/>
      <w:marTop w:val="0"/>
      <w:marBottom w:val="0"/>
      <w:divBdr>
        <w:top w:val="none" w:sz="0" w:space="0" w:color="auto"/>
        <w:left w:val="none" w:sz="0" w:space="0" w:color="auto"/>
        <w:bottom w:val="none" w:sz="0" w:space="0" w:color="auto"/>
        <w:right w:val="none" w:sz="0" w:space="0" w:color="auto"/>
      </w:divBdr>
    </w:div>
    <w:div w:id="1573656903">
      <w:bodyDiv w:val="1"/>
      <w:marLeft w:val="0"/>
      <w:marRight w:val="0"/>
      <w:marTop w:val="0"/>
      <w:marBottom w:val="0"/>
      <w:divBdr>
        <w:top w:val="none" w:sz="0" w:space="0" w:color="auto"/>
        <w:left w:val="none" w:sz="0" w:space="0" w:color="auto"/>
        <w:bottom w:val="none" w:sz="0" w:space="0" w:color="auto"/>
        <w:right w:val="none" w:sz="0" w:space="0" w:color="auto"/>
      </w:divBdr>
    </w:div>
    <w:div w:id="1680541962">
      <w:bodyDiv w:val="1"/>
      <w:marLeft w:val="0"/>
      <w:marRight w:val="0"/>
      <w:marTop w:val="0"/>
      <w:marBottom w:val="0"/>
      <w:divBdr>
        <w:top w:val="none" w:sz="0" w:space="0" w:color="auto"/>
        <w:left w:val="none" w:sz="0" w:space="0" w:color="auto"/>
        <w:bottom w:val="none" w:sz="0" w:space="0" w:color="auto"/>
        <w:right w:val="none" w:sz="0" w:space="0" w:color="auto"/>
      </w:divBdr>
    </w:div>
    <w:div w:id="168205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2.png"/><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 Id="rId22" Type="http://schemas.openxmlformats.org/officeDocument/2006/relationships/image" Target="media/image10.png"/><Relationship Id="rId27" Type="http://schemas.openxmlformats.org/officeDocument/2006/relationships/footer" Target="footer2.xm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0277AF"/>
    <w:rsid w:val="00084195"/>
    <w:rsid w:val="00124E7F"/>
    <w:rsid w:val="00146151"/>
    <w:rsid w:val="0015177C"/>
    <w:rsid w:val="00204A7F"/>
    <w:rsid w:val="0025426F"/>
    <w:rsid w:val="00263DAF"/>
    <w:rsid w:val="002B514B"/>
    <w:rsid w:val="002C0C03"/>
    <w:rsid w:val="002C4900"/>
    <w:rsid w:val="00311B0D"/>
    <w:rsid w:val="00326A7B"/>
    <w:rsid w:val="003A131F"/>
    <w:rsid w:val="00423B8A"/>
    <w:rsid w:val="004A42E9"/>
    <w:rsid w:val="004D6E87"/>
    <w:rsid w:val="00501DA8"/>
    <w:rsid w:val="00560392"/>
    <w:rsid w:val="00566F84"/>
    <w:rsid w:val="006B0CE6"/>
    <w:rsid w:val="006B7FA8"/>
    <w:rsid w:val="0073115C"/>
    <w:rsid w:val="007B372E"/>
    <w:rsid w:val="007E1044"/>
    <w:rsid w:val="008211B5"/>
    <w:rsid w:val="00874653"/>
    <w:rsid w:val="008C6DBF"/>
    <w:rsid w:val="00932811"/>
    <w:rsid w:val="00965567"/>
    <w:rsid w:val="00984CB5"/>
    <w:rsid w:val="00A5022A"/>
    <w:rsid w:val="00AE4C28"/>
    <w:rsid w:val="00B718E2"/>
    <w:rsid w:val="00B73964"/>
    <w:rsid w:val="00B74704"/>
    <w:rsid w:val="00C23F7C"/>
    <w:rsid w:val="00C947B8"/>
    <w:rsid w:val="00CA6CD6"/>
    <w:rsid w:val="00D0496D"/>
    <w:rsid w:val="00D051F5"/>
    <w:rsid w:val="00DC2E50"/>
    <w:rsid w:val="00EB4A60"/>
    <w:rsid w:val="00EB56A4"/>
    <w:rsid w:val="00EC5450"/>
    <w:rsid w:val="00EC59D9"/>
    <w:rsid w:val="00EE6D2D"/>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4E7F"/>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2019-09-17T00:00:00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B2BEC92772BDF4F8393F670929AE843" ma:contentTypeVersion="10" ma:contentTypeDescription="Create a new document." ma:contentTypeScope="" ma:versionID="d0ce190de83c6ea65b4b8afcca659a44">
  <xsd:schema xmlns:xsd="http://www.w3.org/2001/XMLSchema" xmlns:xs="http://www.w3.org/2001/XMLSchema" xmlns:p="http://schemas.microsoft.com/office/2006/metadata/properties" xmlns:ns2="796c62e9-2d4f-45c0-88cf-5f596334f1be" targetNamespace="http://schemas.microsoft.com/office/2006/metadata/properties" ma:root="true" ma:fieldsID="cc3d53d335f47550948e5ec2af106c48" ns2:_="">
    <xsd:import namespace="796c62e9-2d4f-45c0-88cf-5f596334f1b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6c62e9-2d4f-45c0-88cf-5f596334f1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B6F3291-D6AA-4C0B-B69F-F8BCA0F8BCC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7272765-7AE8-4068-AB82-B055FAAF61BF}">
  <ds:schemaRefs>
    <ds:schemaRef ds:uri="http://schemas.microsoft.com/sharepoint/v3/contenttype/forms"/>
  </ds:schemaRefs>
</ds:datastoreItem>
</file>

<file path=customXml/itemProps4.xml><?xml version="1.0" encoding="utf-8"?>
<ds:datastoreItem xmlns:ds="http://schemas.openxmlformats.org/officeDocument/2006/customXml" ds:itemID="{B374FEA2-A251-4D0A-B7B7-4662B0F944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6c62e9-2d4f-45c0-88cf-5f596334f1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F24D95A-D159-4772-B022-42C0C82CB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23</Pages>
  <Words>6118</Words>
  <Characters>34875</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WPSDGEWEN0001</vt:lpstr>
    </vt:vector>
  </TitlesOfParts>
  <Company>San Diego Gas &amp; Electric</Company>
  <LinksUpToDate>false</LinksUpToDate>
  <CharactersWithSpaces>40912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WPSDGEWEN0001</dc:title>
  <dc:creator>Jim Wyatt (PG&amp;E);Jason Wang (SCE)</dc:creator>
  <cp:lastModifiedBy>Martin Vu</cp:lastModifiedBy>
  <cp:revision>60</cp:revision>
  <dcterms:created xsi:type="dcterms:W3CDTF">2019-09-17T12:10:00Z</dcterms:created>
  <dcterms:modified xsi:type="dcterms:W3CDTF">2019-09-17T22:30:00Z</dcterms:modified>
  <cp:contentStatus>Revision 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0x010100CB2BEC92772BDF4F8393F670929AE843</vt:lpwstr>
  </property>
</Properties>
</file>