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17C6" w:rsidRPr="00500C4E" w:rsidRDefault="009A0721" w:rsidP="00F117C6">
      <w:pPr>
        <w:pStyle w:val="WPnumber"/>
      </w:pPr>
      <w:bookmarkStart w:id="0" w:name="_Toc153189647"/>
      <w:r>
        <w:t xml:space="preserve">Short Form </w:t>
      </w:r>
      <w:r w:rsidR="00F117C6" w:rsidRPr="00500C4E">
        <w:t xml:space="preserve">Work Paper </w:t>
      </w:r>
      <w:sdt>
        <w:sdtPr>
          <w:alias w:val="Title"/>
          <w:tag w:val=""/>
          <w:id w:val="650333005"/>
          <w:placeholder>
            <w:docPart w:val="2D1C3A54D61944DBB3D63B92C982C696"/>
          </w:placeholder>
          <w:dataBinding w:prefixMappings="xmlns:ns0='http://purl.org/dc/elements/1.1/' xmlns:ns1='http://schemas.openxmlformats.org/package/2006/metadata/core-properties' " w:xpath="/ns1:coreProperties[1]/ns0:title[1]" w:storeItemID="{6C3C8BC8-F283-45AE-878A-BAB7291924A1}"/>
          <w:text/>
        </w:sdtPr>
        <w:sdtEndPr/>
        <w:sdtContent>
          <w:r w:rsidR="00E42E3A" w:rsidRPr="00C7019C">
            <w:t>WPSDGEREWP0002</w:t>
          </w:r>
        </w:sdtContent>
      </w:sdt>
    </w:p>
    <w:bookmarkEnd w:id="0"/>
    <w:p w:rsidR="00F117C6" w:rsidRPr="00500C4E" w:rsidRDefault="00347EE5" w:rsidP="00F117C6">
      <w:pPr>
        <w:pStyle w:val="Revnumber"/>
        <w:rPr>
          <w:rStyle w:val="CaptionChar"/>
          <w:b/>
          <w:bCs w:val="0"/>
        </w:rPr>
      </w:pPr>
      <w:sdt>
        <w:sdtPr>
          <w:rPr>
            <w:rStyle w:val="CaptionChar"/>
            <w:b/>
            <w:bCs w:val="0"/>
          </w:rPr>
          <w:alias w:val="Revision"/>
          <w:tag w:val=""/>
          <w:id w:val="-1338455471"/>
          <w:placeholder>
            <w:docPart w:val="5420FAF41CED451EAB8369D8BC2C0B60"/>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611C2C">
            <w:rPr>
              <w:rStyle w:val="CaptionChar"/>
              <w:b/>
              <w:bCs w:val="0"/>
            </w:rPr>
            <w:t>Revision 8</w:t>
          </w:r>
        </w:sdtContent>
      </w:sdt>
    </w:p>
    <w:p w:rsidR="00F117C6" w:rsidRPr="00500C4E" w:rsidRDefault="00F117C6" w:rsidP="00F117C6">
      <w:pPr>
        <w:jc w:val="right"/>
        <w:rPr>
          <w:rFonts w:cstheme="minorHAnsi"/>
          <w:b/>
          <w:sz w:val="48"/>
          <w:szCs w:val="48"/>
        </w:rPr>
      </w:pPr>
    </w:p>
    <w:bookmarkStart w:id="1" w:name="SCE"/>
    <w:p w:rsidR="00F117C6" w:rsidRPr="00500C4E" w:rsidRDefault="00347EE5" w:rsidP="00F117C6">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954041495DA644508C725EBE45A9A075"/>
          </w:placeholder>
          <w:dataBinding w:prefixMappings="xmlns:ns0='http://schemas.openxmlformats.org/officeDocument/2006/extended-properties' " w:xpath="/ns0:Properties[1]/ns0:Company[1]" w:storeItemID="{6668398D-A668-4E3E-A5EB-62B293D839F1}"/>
          <w:text/>
        </w:sdtPr>
        <w:sdtEndPr/>
        <w:sdtContent>
          <w:r w:rsidR="00861B74">
            <w:rPr>
              <w:rFonts w:cstheme="minorHAnsi"/>
              <w:b/>
              <w:sz w:val="36"/>
              <w:szCs w:val="36"/>
            </w:rPr>
            <w:t>S</w:t>
          </w:r>
          <w:r w:rsidR="006049AE">
            <w:rPr>
              <w:rFonts w:cstheme="minorHAnsi"/>
              <w:b/>
              <w:sz w:val="36"/>
              <w:szCs w:val="36"/>
            </w:rPr>
            <w:t>an Diego Gas &amp; Electric</w:t>
          </w:r>
        </w:sdtContent>
      </w:sdt>
      <w:bookmarkEnd w:id="1"/>
    </w:p>
    <w:p w:rsidR="00F117C6" w:rsidRPr="006049AE" w:rsidRDefault="006049AE" w:rsidP="00F117C6">
      <w:pPr>
        <w:rPr>
          <w:rFonts w:cstheme="minorHAnsi"/>
          <w:b/>
        </w:rPr>
      </w:pPr>
      <w:r w:rsidRPr="006049AE">
        <w:rPr>
          <w:rFonts w:cstheme="minorHAnsi"/>
          <w:b/>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861B74" w:rsidRDefault="00E42E3A" w:rsidP="000F72EF">
      <w:pPr>
        <w:rPr>
          <w:rFonts w:cstheme="minorHAnsi"/>
          <w:b/>
          <w:sz w:val="72"/>
          <w:szCs w:val="72"/>
        </w:rPr>
      </w:pPr>
      <w:r>
        <w:rPr>
          <w:rFonts w:cstheme="minorHAnsi"/>
          <w:b/>
          <w:sz w:val="72"/>
          <w:szCs w:val="72"/>
        </w:rPr>
        <w:t>Residential</w:t>
      </w:r>
      <w:r w:rsidR="00611C2C">
        <w:rPr>
          <w:rFonts w:cstheme="minorHAnsi"/>
          <w:b/>
          <w:sz w:val="72"/>
          <w:szCs w:val="72"/>
        </w:rPr>
        <w:t xml:space="preserve"> Variable Speed</w:t>
      </w:r>
      <w:r w:rsidRPr="009D6BB2">
        <w:rPr>
          <w:rFonts w:cstheme="minorHAnsi"/>
          <w:b/>
          <w:sz w:val="72"/>
          <w:szCs w:val="72"/>
        </w:rPr>
        <w:t xml:space="preserve"> Pool Pump</w:t>
      </w:r>
      <w:r w:rsidR="00611C2C">
        <w:rPr>
          <w:rFonts w:cstheme="minorHAnsi"/>
          <w:b/>
          <w:sz w:val="72"/>
          <w:szCs w:val="72"/>
        </w:rPr>
        <w:t>s</w:t>
      </w:r>
    </w:p>
    <w:p w:rsidR="00861B74" w:rsidRDefault="00861B74" w:rsidP="000F72EF">
      <w:pPr>
        <w:rPr>
          <w:rFonts w:cstheme="minorHAnsi"/>
          <w:b/>
          <w:sz w:val="72"/>
          <w:szCs w:val="72"/>
        </w:rPr>
      </w:pPr>
    </w:p>
    <w:p w:rsidR="00861B74" w:rsidRDefault="00861B74" w:rsidP="000F72EF">
      <w:pPr>
        <w:rPr>
          <w:rFonts w:cstheme="minorHAnsi"/>
          <w:b/>
          <w:sz w:val="72"/>
          <w:szCs w:val="72"/>
        </w:rPr>
      </w:pPr>
    </w:p>
    <w:p w:rsidR="00861B74" w:rsidRDefault="00861B74" w:rsidP="000F72EF">
      <w:pPr>
        <w:rPr>
          <w:rFonts w:cstheme="minorHAnsi"/>
          <w:b/>
          <w:sz w:val="72"/>
          <w:szCs w:val="72"/>
        </w:rPr>
      </w:pPr>
    </w:p>
    <w:p w:rsidR="00861B74" w:rsidRDefault="00861B74" w:rsidP="000F72EF">
      <w:pPr>
        <w:rPr>
          <w:rFonts w:cstheme="minorHAnsi"/>
          <w:b/>
          <w:sz w:val="72"/>
          <w:szCs w:val="72"/>
        </w:rPr>
      </w:pPr>
    </w:p>
    <w:p w:rsidR="00861B74" w:rsidRDefault="00861B74" w:rsidP="000F72EF">
      <w:pPr>
        <w:rPr>
          <w:rFonts w:cstheme="minorHAnsi"/>
          <w:b/>
          <w:sz w:val="72"/>
          <w:szCs w:val="72"/>
        </w:rPr>
      </w:pPr>
    </w:p>
    <w:p w:rsidR="00861B74" w:rsidRDefault="00861B74" w:rsidP="000F72EF">
      <w:pPr>
        <w:rPr>
          <w:rFonts w:cstheme="minorHAnsi"/>
          <w:b/>
          <w:sz w:val="72"/>
          <w:szCs w:val="72"/>
        </w:rPr>
      </w:pPr>
    </w:p>
    <w:p w:rsidR="00861B74" w:rsidRPr="00861B74" w:rsidRDefault="006446E9" w:rsidP="00861B74">
      <w:pPr>
        <w:jc w:val="right"/>
        <w:rPr>
          <w:rFonts w:cstheme="minorHAnsi"/>
          <w:b/>
          <w:sz w:val="28"/>
          <w:szCs w:val="28"/>
        </w:rPr>
        <w:sectPr w:rsidR="00861B74" w:rsidRPr="00861B74" w:rsidSect="00017E7E">
          <w:footerReference w:type="default" r:id="rId8"/>
          <w:pgSz w:w="12240" w:h="15840"/>
          <w:pgMar w:top="1440" w:right="1440" w:bottom="1440" w:left="1440" w:header="720" w:footer="720" w:gutter="0"/>
          <w:cols w:space="720"/>
          <w:titlePg/>
          <w:docGrid w:linePitch="360"/>
        </w:sectPr>
      </w:pPr>
      <w:r>
        <w:rPr>
          <w:rFonts w:cstheme="minorHAnsi"/>
          <w:b/>
          <w:sz w:val="28"/>
          <w:szCs w:val="28"/>
        </w:rPr>
        <w:t>September 17</w:t>
      </w:r>
      <w:r w:rsidR="008E017D">
        <w:rPr>
          <w:rFonts w:cstheme="minorHAnsi"/>
          <w:b/>
          <w:sz w:val="28"/>
          <w:szCs w:val="28"/>
        </w:rPr>
        <w:t>,</w:t>
      </w:r>
      <w:r w:rsidR="00500D21">
        <w:rPr>
          <w:rFonts w:cstheme="minorHAnsi"/>
          <w:b/>
          <w:sz w:val="28"/>
          <w:szCs w:val="28"/>
        </w:rPr>
        <w:t xml:space="preserve"> </w:t>
      </w:r>
      <w:r>
        <w:rPr>
          <w:rFonts w:cstheme="minorHAnsi"/>
          <w:b/>
          <w:sz w:val="28"/>
          <w:szCs w:val="28"/>
        </w:rPr>
        <w:t>2018</w:t>
      </w:r>
    </w:p>
    <w:p w:rsidR="008828CF" w:rsidRPr="008828CF" w:rsidRDefault="008828CF" w:rsidP="008828CF">
      <w:pPr>
        <w:pStyle w:val="Heading1"/>
      </w:pPr>
      <w:r w:rsidRPr="008828CF">
        <w:lastRenderedPageBreak/>
        <w:t>Residential Variable Speed Swimming Pool Pump Short Form WP</w:t>
      </w:r>
    </w:p>
    <w:p w:rsidR="008828CF" w:rsidRDefault="008828CF" w:rsidP="008828CF">
      <w:pPr>
        <w:pStyle w:val="Heading2"/>
      </w:pPr>
      <w:r>
        <w:t>Introduction</w:t>
      </w:r>
    </w:p>
    <w:p w:rsidR="00DB2A1D" w:rsidRPr="00DB2A1D" w:rsidRDefault="00DB2A1D" w:rsidP="00DB2A1D">
      <w:r w:rsidRPr="00DB2A1D">
        <w:t>This short form workpaper documents the values adopted from SCE’s workpaper entitled “Residential Variable Speed Pool Pump” (</w:t>
      </w:r>
      <w:r w:rsidR="006446E9">
        <w:t>SCE17WP001 Rev 1</w:t>
      </w:r>
      <w:r w:rsidRPr="00DB2A1D">
        <w:t xml:space="preserve">). SDG&amp;E adopts all of the values in </w:t>
      </w:r>
      <w:r w:rsidR="006446E9">
        <w:t>SCE17WP001 Rev 1</w:t>
      </w:r>
      <w:r w:rsidRPr="00DB2A1D">
        <w:t xml:space="preserve"> with the exception of</w:t>
      </w:r>
      <w:r w:rsidR="00C95E42">
        <w:t>:</w:t>
      </w:r>
      <w:r w:rsidRPr="00DB2A1D">
        <w:t xml:space="preserve"> </w:t>
      </w:r>
    </w:p>
    <w:p w:rsidR="00107D86" w:rsidRDefault="00107D86" w:rsidP="008828CF"/>
    <w:p w:rsidR="008828CF" w:rsidRPr="0074139F" w:rsidRDefault="006446E9" w:rsidP="00C95E42">
      <w:pPr>
        <w:pStyle w:val="ListParagraph"/>
        <w:numPr>
          <w:ilvl w:val="0"/>
          <w:numId w:val="20"/>
        </w:numPr>
      </w:pPr>
      <w:r>
        <w:t>For those measures that are MeasureAppType “ER/AR” from SCE’s workpaper, SDG&amp;E will also include additional implementations for “ROB”, should the POE not be satisfied deeming it not eligible for ER/AR 1</w:t>
      </w:r>
      <w:r w:rsidRPr="006446E9">
        <w:rPr>
          <w:vertAlign w:val="superscript"/>
        </w:rPr>
        <w:t>st</w:t>
      </w:r>
      <w:r>
        <w:t xml:space="preserve"> baseline savings.  The 2</w:t>
      </w:r>
      <w:r w:rsidRPr="006446E9">
        <w:rPr>
          <w:vertAlign w:val="superscript"/>
        </w:rPr>
        <w:t>nd</w:t>
      </w:r>
      <w:r>
        <w:t xml:space="preserve"> baseline savings would apply for ROB installs.</w:t>
      </w:r>
    </w:p>
    <w:p w:rsidR="0025216C" w:rsidRDefault="00500D21" w:rsidP="008828CF">
      <w:pPr>
        <w:pStyle w:val="Heading2"/>
      </w:pPr>
      <w:r w:rsidRPr="005734A4">
        <w:t>Document Revision History</w:t>
      </w:r>
      <w:r w:rsidR="0025216C" w:rsidRPr="0025216C">
        <w:t xml:space="preserve"> </w:t>
      </w:r>
    </w:p>
    <w:tbl>
      <w:tblPr>
        <w:tblStyle w:val="TableGrid11"/>
        <w:tblW w:w="5000" w:type="pct"/>
        <w:tblLook w:val="01E0" w:firstRow="1" w:lastRow="1" w:firstColumn="1" w:lastColumn="1" w:noHBand="0" w:noVBand="0"/>
      </w:tblPr>
      <w:tblGrid>
        <w:gridCol w:w="524"/>
        <w:gridCol w:w="1223"/>
        <w:gridCol w:w="1754"/>
        <w:gridCol w:w="5849"/>
      </w:tblGrid>
      <w:tr w:rsidR="0025216C" w:rsidRPr="00500C4E" w:rsidTr="005E4FE7">
        <w:trPr>
          <w:trHeight w:val="20"/>
        </w:trPr>
        <w:tc>
          <w:tcPr>
            <w:tcW w:w="274" w:type="pct"/>
            <w:shd w:val="clear" w:color="auto" w:fill="D9D9D9" w:themeFill="background1" w:themeFillShade="D9"/>
          </w:tcPr>
          <w:p w:rsidR="0025216C" w:rsidRPr="000E2B6B" w:rsidRDefault="0025216C" w:rsidP="005E4FE7">
            <w:pPr>
              <w:rPr>
                <w:rStyle w:val="Strong"/>
                <w:bCs w:val="0"/>
              </w:rPr>
            </w:pPr>
            <w:r w:rsidRPr="000E2B6B">
              <w:rPr>
                <w:rStyle w:val="Strong"/>
              </w:rPr>
              <w:t>Rev</w:t>
            </w:r>
          </w:p>
        </w:tc>
        <w:tc>
          <w:tcPr>
            <w:tcW w:w="684" w:type="pct"/>
            <w:shd w:val="clear" w:color="auto" w:fill="D9D9D9" w:themeFill="background1" w:themeFillShade="D9"/>
          </w:tcPr>
          <w:p w:rsidR="0025216C" w:rsidRPr="000E2B6B" w:rsidRDefault="0025216C" w:rsidP="005E4FE7">
            <w:pPr>
              <w:rPr>
                <w:rStyle w:val="Strong"/>
                <w:bCs w:val="0"/>
              </w:rPr>
            </w:pPr>
            <w:r w:rsidRPr="000E2B6B">
              <w:rPr>
                <w:rStyle w:val="Strong"/>
              </w:rPr>
              <w:t>Date</w:t>
            </w:r>
          </w:p>
        </w:tc>
        <w:tc>
          <w:tcPr>
            <w:tcW w:w="884" w:type="pct"/>
            <w:shd w:val="clear" w:color="auto" w:fill="D9D9D9" w:themeFill="background1" w:themeFillShade="D9"/>
          </w:tcPr>
          <w:p w:rsidR="0025216C" w:rsidRPr="000E2B6B" w:rsidRDefault="0025216C" w:rsidP="005E4FE7">
            <w:pPr>
              <w:rPr>
                <w:rStyle w:val="Strong"/>
                <w:bCs w:val="0"/>
              </w:rPr>
            </w:pPr>
            <w:r w:rsidRPr="000E2B6B">
              <w:rPr>
                <w:rStyle w:val="Strong"/>
              </w:rPr>
              <w:t>Author</w:t>
            </w:r>
          </w:p>
        </w:tc>
        <w:tc>
          <w:tcPr>
            <w:tcW w:w="3158" w:type="pct"/>
            <w:shd w:val="clear" w:color="auto" w:fill="D9D9D9" w:themeFill="background1" w:themeFillShade="D9"/>
          </w:tcPr>
          <w:p w:rsidR="0025216C" w:rsidRPr="000E2B6B" w:rsidRDefault="0025216C" w:rsidP="005E4FE7">
            <w:pPr>
              <w:rPr>
                <w:rStyle w:val="Strong"/>
                <w:bCs w:val="0"/>
              </w:rPr>
            </w:pPr>
            <w:r w:rsidRPr="000E2B6B">
              <w:rPr>
                <w:rStyle w:val="Strong"/>
              </w:rPr>
              <w:t>Summary of Changes</w:t>
            </w:r>
          </w:p>
        </w:tc>
      </w:tr>
      <w:tr w:rsidR="0025216C" w:rsidRPr="00500C4E" w:rsidTr="005E4FE7">
        <w:trPr>
          <w:trHeight w:val="20"/>
        </w:trPr>
        <w:tc>
          <w:tcPr>
            <w:tcW w:w="274" w:type="pct"/>
            <w:vAlign w:val="center"/>
          </w:tcPr>
          <w:p w:rsidR="0025216C" w:rsidRPr="000E2B6B" w:rsidRDefault="0025216C" w:rsidP="005E4FE7">
            <w:pPr>
              <w:jc w:val="center"/>
              <w:rPr>
                <w:rFonts w:cstheme="minorHAnsi"/>
                <w:szCs w:val="20"/>
              </w:rPr>
            </w:pPr>
            <w:r w:rsidRPr="000E2B6B">
              <w:rPr>
                <w:rFonts w:cstheme="minorHAnsi"/>
                <w:bCs/>
                <w:szCs w:val="20"/>
              </w:rPr>
              <w:t>1</w:t>
            </w:r>
          </w:p>
        </w:tc>
        <w:tc>
          <w:tcPr>
            <w:tcW w:w="684" w:type="pct"/>
            <w:vAlign w:val="center"/>
          </w:tcPr>
          <w:p w:rsidR="0025216C" w:rsidRPr="000E2B6B" w:rsidRDefault="0025216C" w:rsidP="005E4FE7">
            <w:pPr>
              <w:jc w:val="center"/>
              <w:rPr>
                <w:rFonts w:cstheme="minorHAnsi"/>
                <w:szCs w:val="20"/>
              </w:rPr>
            </w:pPr>
            <w:r w:rsidRPr="000E2B6B">
              <w:rPr>
                <w:rFonts w:cstheme="minorHAnsi"/>
                <w:bCs/>
                <w:szCs w:val="20"/>
              </w:rPr>
              <w:t>09/02/2010</w:t>
            </w:r>
          </w:p>
        </w:tc>
        <w:tc>
          <w:tcPr>
            <w:tcW w:w="884" w:type="pct"/>
            <w:vAlign w:val="center"/>
          </w:tcPr>
          <w:p w:rsidR="0025216C" w:rsidRPr="000E2B6B" w:rsidRDefault="0025216C" w:rsidP="005E4FE7">
            <w:pPr>
              <w:rPr>
                <w:rFonts w:cstheme="minorHAnsi"/>
                <w:szCs w:val="20"/>
              </w:rPr>
            </w:pPr>
            <w:r w:rsidRPr="000E2B6B">
              <w:rPr>
                <w:rFonts w:cstheme="minorHAnsi"/>
                <w:bCs/>
                <w:szCs w:val="20"/>
              </w:rPr>
              <w:t>Unknown</w:t>
            </w:r>
          </w:p>
        </w:tc>
        <w:tc>
          <w:tcPr>
            <w:tcW w:w="3158" w:type="pct"/>
          </w:tcPr>
          <w:p w:rsidR="0025216C" w:rsidRPr="000E2B6B" w:rsidRDefault="0025216C" w:rsidP="005E4FE7">
            <w:pPr>
              <w:rPr>
                <w:rFonts w:cstheme="minorHAnsi"/>
              </w:rPr>
            </w:pPr>
            <w:r w:rsidRPr="000E2B6B">
              <w:rPr>
                <w:rFonts w:cstheme="minorHAnsi"/>
                <w:bCs/>
                <w:szCs w:val="20"/>
              </w:rPr>
              <w:t>Adopted from PGE, PGECOPUM102 R2.doc</w:t>
            </w:r>
          </w:p>
        </w:tc>
      </w:tr>
      <w:tr w:rsidR="0025216C" w:rsidRPr="00500C4E" w:rsidTr="005E4FE7">
        <w:trPr>
          <w:trHeight w:val="20"/>
        </w:trPr>
        <w:tc>
          <w:tcPr>
            <w:tcW w:w="274" w:type="pct"/>
            <w:vAlign w:val="center"/>
          </w:tcPr>
          <w:p w:rsidR="0025216C" w:rsidRPr="000E2B6B" w:rsidRDefault="0025216C" w:rsidP="005E4FE7">
            <w:pPr>
              <w:jc w:val="center"/>
              <w:rPr>
                <w:rStyle w:val="Strong"/>
                <w:b w:val="0"/>
              </w:rPr>
            </w:pPr>
            <w:r>
              <w:rPr>
                <w:rFonts w:cstheme="minorHAnsi"/>
                <w:szCs w:val="20"/>
              </w:rPr>
              <w:t>2</w:t>
            </w:r>
          </w:p>
        </w:tc>
        <w:tc>
          <w:tcPr>
            <w:tcW w:w="684" w:type="pct"/>
            <w:vAlign w:val="center"/>
          </w:tcPr>
          <w:p w:rsidR="0025216C" w:rsidRPr="000E2B6B" w:rsidRDefault="0025216C" w:rsidP="005E4FE7">
            <w:pPr>
              <w:jc w:val="center"/>
              <w:rPr>
                <w:rStyle w:val="Strong"/>
                <w:b w:val="0"/>
              </w:rPr>
            </w:pPr>
            <w:r>
              <w:rPr>
                <w:rFonts w:cstheme="minorHAnsi"/>
                <w:szCs w:val="20"/>
              </w:rPr>
              <w:t>06/05/2012</w:t>
            </w:r>
          </w:p>
        </w:tc>
        <w:tc>
          <w:tcPr>
            <w:tcW w:w="884" w:type="pct"/>
            <w:vAlign w:val="center"/>
          </w:tcPr>
          <w:p w:rsidR="0025216C" w:rsidRPr="000E2B6B" w:rsidRDefault="0025216C" w:rsidP="005E4FE7">
            <w:pPr>
              <w:rPr>
                <w:rStyle w:val="Strong"/>
                <w:b w:val="0"/>
              </w:rPr>
            </w:pPr>
            <w:r>
              <w:rPr>
                <w:rFonts w:cstheme="minorHAnsi"/>
                <w:szCs w:val="20"/>
              </w:rPr>
              <w:t>Charles Harmstead / SDGE</w:t>
            </w:r>
          </w:p>
        </w:tc>
        <w:tc>
          <w:tcPr>
            <w:tcW w:w="3158" w:type="pct"/>
          </w:tcPr>
          <w:p w:rsidR="0025216C" w:rsidRPr="000E2B6B" w:rsidRDefault="0025216C" w:rsidP="005E4FE7">
            <w:pPr>
              <w:rPr>
                <w:rStyle w:val="Strong"/>
                <w:b w:val="0"/>
                <w:bCs w:val="0"/>
              </w:rPr>
            </w:pPr>
            <w:r w:rsidRPr="00D15129">
              <w:rPr>
                <w:rFonts w:cstheme="minorHAnsi"/>
                <w:bCs/>
                <w:szCs w:val="20"/>
              </w:rPr>
              <w:t>Revised NTGR for 2011 DEER Res</w:t>
            </w:r>
          </w:p>
        </w:tc>
      </w:tr>
      <w:tr w:rsidR="0025216C" w:rsidRPr="00500C4E" w:rsidTr="005E4FE7">
        <w:trPr>
          <w:trHeight w:val="20"/>
        </w:trPr>
        <w:tc>
          <w:tcPr>
            <w:tcW w:w="274" w:type="pct"/>
            <w:vAlign w:val="center"/>
          </w:tcPr>
          <w:p w:rsidR="0025216C" w:rsidRDefault="0025216C" w:rsidP="005E4FE7">
            <w:pPr>
              <w:jc w:val="center"/>
              <w:rPr>
                <w:rFonts w:cstheme="minorHAnsi"/>
                <w:szCs w:val="20"/>
              </w:rPr>
            </w:pPr>
            <w:r>
              <w:rPr>
                <w:rFonts w:cstheme="minorHAnsi"/>
                <w:szCs w:val="20"/>
              </w:rPr>
              <w:t>3</w:t>
            </w:r>
          </w:p>
        </w:tc>
        <w:tc>
          <w:tcPr>
            <w:tcW w:w="684" w:type="pct"/>
            <w:vAlign w:val="center"/>
          </w:tcPr>
          <w:p w:rsidR="0025216C" w:rsidRDefault="0025216C" w:rsidP="005E4FE7">
            <w:pPr>
              <w:jc w:val="center"/>
              <w:rPr>
                <w:rFonts w:cstheme="minorHAnsi"/>
                <w:szCs w:val="20"/>
              </w:rPr>
            </w:pPr>
            <w:r>
              <w:rPr>
                <w:rFonts w:cstheme="minorHAnsi"/>
                <w:szCs w:val="20"/>
              </w:rPr>
              <w:t>10/24/2014</w:t>
            </w:r>
          </w:p>
        </w:tc>
        <w:tc>
          <w:tcPr>
            <w:tcW w:w="884" w:type="pct"/>
            <w:vAlign w:val="center"/>
          </w:tcPr>
          <w:p w:rsidR="0025216C" w:rsidRDefault="0025216C" w:rsidP="005E4FE7">
            <w:pPr>
              <w:rPr>
                <w:rFonts w:cstheme="minorHAnsi"/>
                <w:szCs w:val="20"/>
              </w:rPr>
            </w:pPr>
            <w:r>
              <w:rPr>
                <w:rFonts w:cstheme="minorHAnsi"/>
                <w:szCs w:val="20"/>
              </w:rPr>
              <w:t>Nathan Aronson, P.E. / RHA</w:t>
            </w:r>
          </w:p>
        </w:tc>
        <w:tc>
          <w:tcPr>
            <w:tcW w:w="3158" w:type="pct"/>
          </w:tcPr>
          <w:p w:rsidR="0025216C" w:rsidRPr="00D15129" w:rsidRDefault="0025216C" w:rsidP="005E4FE7">
            <w:pPr>
              <w:rPr>
                <w:rFonts w:cstheme="minorHAnsi"/>
                <w:bCs/>
                <w:szCs w:val="20"/>
              </w:rPr>
            </w:pPr>
            <w:r w:rsidRPr="00E218B9">
              <w:rPr>
                <w:rFonts w:cstheme="minorHAnsi"/>
                <w:bCs/>
                <w:szCs w:val="20"/>
              </w:rPr>
              <w:t>Original work paper developed by RHA. This workpaper supersedes WPSDGEREWP0002 R2 and incorporates the methodology and data used  in SCE workpaper SCEWP001</w:t>
            </w:r>
            <w:r>
              <w:rPr>
                <w:rFonts w:cstheme="minorHAnsi"/>
                <w:bCs/>
                <w:szCs w:val="20"/>
              </w:rPr>
              <w:t>.0</w:t>
            </w:r>
          </w:p>
        </w:tc>
      </w:tr>
      <w:tr w:rsidR="0025216C" w:rsidRPr="00500C4E" w:rsidTr="005E4FE7">
        <w:trPr>
          <w:trHeight w:val="20"/>
        </w:trPr>
        <w:tc>
          <w:tcPr>
            <w:tcW w:w="274" w:type="pct"/>
            <w:vAlign w:val="center"/>
          </w:tcPr>
          <w:p w:rsidR="0025216C" w:rsidRDefault="0025216C" w:rsidP="005E4FE7">
            <w:pPr>
              <w:jc w:val="center"/>
              <w:rPr>
                <w:rFonts w:cstheme="minorHAnsi"/>
                <w:szCs w:val="20"/>
              </w:rPr>
            </w:pPr>
            <w:r>
              <w:rPr>
                <w:rFonts w:cstheme="minorHAnsi"/>
                <w:szCs w:val="20"/>
              </w:rPr>
              <w:t>3.1</w:t>
            </w:r>
          </w:p>
        </w:tc>
        <w:tc>
          <w:tcPr>
            <w:tcW w:w="684" w:type="pct"/>
            <w:vAlign w:val="center"/>
          </w:tcPr>
          <w:p w:rsidR="0025216C" w:rsidRDefault="0025216C" w:rsidP="005E4FE7">
            <w:pPr>
              <w:jc w:val="center"/>
              <w:rPr>
                <w:rFonts w:cstheme="minorHAnsi"/>
                <w:szCs w:val="20"/>
              </w:rPr>
            </w:pPr>
            <w:r>
              <w:rPr>
                <w:rFonts w:cstheme="minorHAnsi"/>
                <w:szCs w:val="20"/>
              </w:rPr>
              <w:t>03/13/2015</w:t>
            </w:r>
          </w:p>
        </w:tc>
        <w:tc>
          <w:tcPr>
            <w:tcW w:w="884" w:type="pct"/>
            <w:vAlign w:val="center"/>
          </w:tcPr>
          <w:p w:rsidR="0025216C" w:rsidRDefault="0025216C" w:rsidP="005E4FE7">
            <w:pPr>
              <w:rPr>
                <w:rFonts w:cstheme="minorHAnsi"/>
                <w:szCs w:val="20"/>
              </w:rPr>
            </w:pPr>
            <w:r>
              <w:rPr>
                <w:rFonts w:cstheme="minorHAnsi"/>
                <w:szCs w:val="20"/>
              </w:rPr>
              <w:t>Judelson Enriquez, P.E. / RMS</w:t>
            </w:r>
          </w:p>
        </w:tc>
        <w:tc>
          <w:tcPr>
            <w:tcW w:w="3158" w:type="pct"/>
          </w:tcPr>
          <w:p w:rsidR="0025216C" w:rsidRPr="00D15129" w:rsidRDefault="0025216C" w:rsidP="005E4FE7">
            <w:pPr>
              <w:rPr>
                <w:rFonts w:cstheme="minorHAnsi"/>
                <w:bCs/>
                <w:szCs w:val="20"/>
              </w:rPr>
            </w:pPr>
            <w:r w:rsidRPr="00E218B9">
              <w:rPr>
                <w:rFonts w:cstheme="minorHAnsi"/>
                <w:bCs/>
                <w:szCs w:val="20"/>
              </w:rPr>
              <w:t>Added additional NTG ID and value (All-Default &lt;= 2yrs), per SDGE.</w:t>
            </w:r>
          </w:p>
        </w:tc>
      </w:tr>
      <w:tr w:rsidR="0025216C" w:rsidRPr="00500C4E" w:rsidTr="005E4FE7">
        <w:trPr>
          <w:trHeight w:val="20"/>
        </w:trPr>
        <w:tc>
          <w:tcPr>
            <w:tcW w:w="274" w:type="pct"/>
            <w:vAlign w:val="center"/>
          </w:tcPr>
          <w:p w:rsidR="0025216C" w:rsidRDefault="0025216C" w:rsidP="005E4FE7">
            <w:pPr>
              <w:jc w:val="center"/>
              <w:rPr>
                <w:rFonts w:cstheme="minorHAnsi"/>
                <w:szCs w:val="20"/>
              </w:rPr>
            </w:pPr>
            <w:r>
              <w:rPr>
                <w:rFonts w:cstheme="minorHAnsi"/>
                <w:szCs w:val="20"/>
              </w:rPr>
              <w:t>4</w:t>
            </w:r>
          </w:p>
        </w:tc>
        <w:tc>
          <w:tcPr>
            <w:tcW w:w="684" w:type="pct"/>
            <w:vAlign w:val="center"/>
          </w:tcPr>
          <w:p w:rsidR="0025216C" w:rsidRDefault="0025216C" w:rsidP="005E4FE7">
            <w:pPr>
              <w:jc w:val="center"/>
              <w:rPr>
                <w:rFonts w:cstheme="minorHAnsi"/>
                <w:szCs w:val="20"/>
              </w:rPr>
            </w:pPr>
            <w:r>
              <w:rPr>
                <w:rFonts w:cstheme="minorHAnsi"/>
                <w:szCs w:val="20"/>
              </w:rPr>
              <w:t>06/16/2015</w:t>
            </w:r>
          </w:p>
        </w:tc>
        <w:tc>
          <w:tcPr>
            <w:tcW w:w="884" w:type="pct"/>
            <w:vAlign w:val="center"/>
          </w:tcPr>
          <w:p w:rsidR="0025216C" w:rsidRDefault="0025216C" w:rsidP="005E4FE7">
            <w:pPr>
              <w:rPr>
                <w:rFonts w:cstheme="minorHAnsi"/>
                <w:szCs w:val="20"/>
              </w:rPr>
            </w:pPr>
            <w:r>
              <w:rPr>
                <w:rFonts w:cstheme="minorHAnsi"/>
                <w:szCs w:val="20"/>
              </w:rPr>
              <w:t>Rocaciano Vega / RMS</w:t>
            </w:r>
          </w:p>
        </w:tc>
        <w:tc>
          <w:tcPr>
            <w:tcW w:w="3158" w:type="pct"/>
          </w:tcPr>
          <w:p w:rsidR="0025216C" w:rsidRDefault="0025216C" w:rsidP="005E4FE7">
            <w:pPr>
              <w:rPr>
                <w:rFonts w:cstheme="minorHAnsi"/>
                <w:bCs/>
                <w:szCs w:val="20"/>
              </w:rPr>
            </w:pPr>
            <w:r>
              <w:rPr>
                <w:rFonts w:cstheme="minorHAnsi"/>
                <w:bCs/>
                <w:szCs w:val="20"/>
              </w:rPr>
              <w:t>- Updated to new work paper template</w:t>
            </w:r>
          </w:p>
          <w:p w:rsidR="0025216C" w:rsidRDefault="0025216C" w:rsidP="005E4FE7">
            <w:pPr>
              <w:rPr>
                <w:rFonts w:cstheme="minorHAnsi"/>
                <w:bCs/>
                <w:szCs w:val="20"/>
              </w:rPr>
            </w:pPr>
            <w:r>
              <w:rPr>
                <w:rFonts w:cstheme="minorHAnsi"/>
                <w:bCs/>
                <w:szCs w:val="20"/>
              </w:rPr>
              <w:t>- Incorporated multi-family measure from SCE workpaper SCE13WP0001.2 (Measure E)</w:t>
            </w:r>
          </w:p>
          <w:p w:rsidR="0025216C" w:rsidRDefault="0025216C" w:rsidP="005E4FE7">
            <w:pPr>
              <w:rPr>
                <w:rFonts w:cstheme="minorHAnsi"/>
                <w:bCs/>
                <w:szCs w:val="20"/>
              </w:rPr>
            </w:pPr>
            <w:r>
              <w:rPr>
                <w:rFonts w:cstheme="minorHAnsi"/>
                <w:bCs/>
                <w:szCs w:val="20"/>
              </w:rPr>
              <w:t>- Updated At-A-Glance Summary to include Measure 3 (multi-family)</w:t>
            </w:r>
          </w:p>
          <w:p w:rsidR="0025216C" w:rsidRDefault="0025216C" w:rsidP="005E4FE7">
            <w:pPr>
              <w:rPr>
                <w:rFonts w:cstheme="minorHAnsi"/>
                <w:bCs/>
                <w:szCs w:val="20"/>
              </w:rPr>
            </w:pPr>
            <w:r>
              <w:rPr>
                <w:rFonts w:cstheme="minorHAnsi"/>
                <w:bCs/>
                <w:szCs w:val="20"/>
              </w:rPr>
              <w:t>- Added Measure 3 to Sections 1.1a</w:t>
            </w:r>
          </w:p>
          <w:p w:rsidR="0025216C" w:rsidRDefault="0025216C" w:rsidP="005E4FE7">
            <w:pPr>
              <w:rPr>
                <w:rFonts w:cstheme="minorHAnsi"/>
                <w:bCs/>
                <w:szCs w:val="20"/>
              </w:rPr>
            </w:pPr>
            <w:r>
              <w:rPr>
                <w:rFonts w:cstheme="minorHAnsi"/>
                <w:bCs/>
                <w:szCs w:val="20"/>
              </w:rPr>
              <w:t>- Modified Terms and Conditions in Section 1.1c to remove language limiting to  single-family residential homes</w:t>
            </w:r>
          </w:p>
          <w:p w:rsidR="0025216C" w:rsidRDefault="0025216C" w:rsidP="005E4FE7">
            <w:pPr>
              <w:rPr>
                <w:rFonts w:cstheme="minorHAnsi"/>
                <w:bCs/>
                <w:szCs w:val="20"/>
              </w:rPr>
            </w:pPr>
            <w:r>
              <w:rPr>
                <w:rFonts w:cstheme="minorHAnsi"/>
                <w:bCs/>
                <w:szCs w:val="20"/>
              </w:rPr>
              <w:t>- Added Measure 3 to Sections 2.1 and 2.2</w:t>
            </w:r>
          </w:p>
          <w:p w:rsidR="0025216C" w:rsidRDefault="0025216C" w:rsidP="005E4FE7">
            <w:pPr>
              <w:rPr>
                <w:rFonts w:cstheme="minorHAnsi"/>
                <w:bCs/>
                <w:szCs w:val="20"/>
              </w:rPr>
            </w:pPr>
            <w:r>
              <w:rPr>
                <w:rFonts w:cstheme="minorHAnsi"/>
                <w:bCs/>
                <w:szCs w:val="20"/>
              </w:rPr>
              <w:t>- Added building type “Residential Multi-Family” to Section 3 load shape</w:t>
            </w:r>
          </w:p>
          <w:p w:rsidR="0025216C" w:rsidRPr="00D15129" w:rsidRDefault="0025216C" w:rsidP="005E4FE7">
            <w:pPr>
              <w:rPr>
                <w:rFonts w:cstheme="minorHAnsi"/>
                <w:bCs/>
                <w:szCs w:val="20"/>
              </w:rPr>
            </w:pPr>
            <w:r>
              <w:rPr>
                <w:rFonts w:cstheme="minorHAnsi"/>
                <w:bCs/>
                <w:szCs w:val="20"/>
              </w:rPr>
              <w:t>- Added costs for Measure 3 (multi-family) to Section 4</w:t>
            </w:r>
          </w:p>
        </w:tc>
      </w:tr>
      <w:tr w:rsidR="0025216C" w:rsidRPr="00500C4E" w:rsidTr="005E4FE7">
        <w:trPr>
          <w:trHeight w:val="20"/>
        </w:trPr>
        <w:tc>
          <w:tcPr>
            <w:tcW w:w="274" w:type="pct"/>
            <w:vAlign w:val="center"/>
          </w:tcPr>
          <w:p w:rsidR="0025216C" w:rsidRDefault="0025216C" w:rsidP="005E4FE7">
            <w:pPr>
              <w:jc w:val="center"/>
              <w:rPr>
                <w:rFonts w:cstheme="minorHAnsi"/>
                <w:szCs w:val="20"/>
              </w:rPr>
            </w:pPr>
            <w:r>
              <w:rPr>
                <w:rFonts w:cstheme="minorHAnsi"/>
                <w:szCs w:val="20"/>
              </w:rPr>
              <w:t>5</w:t>
            </w:r>
          </w:p>
        </w:tc>
        <w:tc>
          <w:tcPr>
            <w:tcW w:w="684" w:type="pct"/>
            <w:vAlign w:val="center"/>
          </w:tcPr>
          <w:p w:rsidR="0025216C" w:rsidRDefault="0025216C" w:rsidP="006E05ED">
            <w:pPr>
              <w:jc w:val="center"/>
              <w:rPr>
                <w:rFonts w:cstheme="minorHAnsi"/>
                <w:szCs w:val="20"/>
              </w:rPr>
            </w:pPr>
            <w:r>
              <w:rPr>
                <w:rFonts w:cstheme="minorHAnsi"/>
                <w:szCs w:val="20"/>
              </w:rPr>
              <w:t>09/</w:t>
            </w:r>
            <w:r w:rsidR="006E05ED">
              <w:rPr>
                <w:rFonts w:cstheme="minorHAnsi"/>
                <w:szCs w:val="20"/>
              </w:rPr>
              <w:t>22</w:t>
            </w:r>
            <w:r>
              <w:rPr>
                <w:rFonts w:cstheme="minorHAnsi"/>
                <w:szCs w:val="20"/>
              </w:rPr>
              <w:t>/2016</w:t>
            </w:r>
          </w:p>
        </w:tc>
        <w:tc>
          <w:tcPr>
            <w:tcW w:w="884" w:type="pct"/>
            <w:vAlign w:val="center"/>
          </w:tcPr>
          <w:p w:rsidR="0025216C" w:rsidRDefault="0025216C" w:rsidP="005E4FE7">
            <w:pPr>
              <w:rPr>
                <w:rFonts w:cstheme="minorHAnsi"/>
                <w:szCs w:val="20"/>
              </w:rPr>
            </w:pPr>
            <w:r>
              <w:rPr>
                <w:rFonts w:cstheme="minorHAnsi"/>
                <w:szCs w:val="20"/>
              </w:rPr>
              <w:t>David Rojas / RMS</w:t>
            </w:r>
          </w:p>
        </w:tc>
        <w:tc>
          <w:tcPr>
            <w:tcW w:w="3158" w:type="pct"/>
          </w:tcPr>
          <w:p w:rsidR="001272B0" w:rsidRPr="00017E7E" w:rsidRDefault="001272B0" w:rsidP="008828CF">
            <w:pPr>
              <w:rPr>
                <w:rFonts w:cstheme="minorHAnsi"/>
                <w:bCs/>
                <w:szCs w:val="20"/>
              </w:rPr>
            </w:pPr>
            <w:r>
              <w:rPr>
                <w:rFonts w:cstheme="minorHAnsi"/>
                <w:bCs/>
                <w:szCs w:val="20"/>
              </w:rPr>
              <w:t xml:space="preserve">Generated Short Form workpaper adopting SCE approved workpaper </w:t>
            </w:r>
            <w:r>
              <w:rPr>
                <w:rFonts w:cs="Arial"/>
                <w:szCs w:val="20"/>
              </w:rPr>
              <w:t xml:space="preserve">SCE13WP001 Rev 3 and applicable values therein. </w:t>
            </w:r>
            <w:r>
              <w:rPr>
                <w:rFonts w:cstheme="minorHAnsi"/>
                <w:bCs/>
                <w:szCs w:val="20"/>
              </w:rPr>
              <w:t xml:space="preserve"> </w:t>
            </w:r>
          </w:p>
          <w:p w:rsidR="0025216C" w:rsidRPr="00D15129" w:rsidRDefault="0025216C" w:rsidP="008828CF">
            <w:pPr>
              <w:rPr>
                <w:rFonts w:cstheme="minorHAnsi"/>
                <w:bCs/>
                <w:szCs w:val="20"/>
              </w:rPr>
            </w:pPr>
            <w:r w:rsidRPr="000E2B6B">
              <w:rPr>
                <w:rFonts w:cstheme="minorHAnsi"/>
                <w:b/>
                <w:bCs/>
                <w:szCs w:val="20"/>
              </w:rPr>
              <w:t>Measure 1:</w:t>
            </w:r>
            <w:r w:rsidRPr="000E2B6B">
              <w:rPr>
                <w:rFonts w:cstheme="minorHAnsi"/>
                <w:bCs/>
                <w:szCs w:val="20"/>
              </w:rPr>
              <w:t xml:space="preserve"> Commissioned Residential VFD Swimming Pool Pump has been removed from this workpaper as SDG&amp;E no longer provide</w:t>
            </w:r>
            <w:r w:rsidR="00736DEF">
              <w:rPr>
                <w:rFonts w:cstheme="minorHAnsi"/>
                <w:bCs/>
                <w:szCs w:val="20"/>
              </w:rPr>
              <w:t>s</w:t>
            </w:r>
            <w:r w:rsidRPr="000E2B6B">
              <w:rPr>
                <w:rFonts w:cstheme="minorHAnsi"/>
                <w:bCs/>
                <w:szCs w:val="20"/>
              </w:rPr>
              <w:t xml:space="preserve"> rebates for commissioned installation</w:t>
            </w:r>
            <w:r w:rsidR="008828CF">
              <w:rPr>
                <w:rFonts w:cstheme="minorHAnsi"/>
                <w:bCs/>
                <w:szCs w:val="20"/>
              </w:rPr>
              <w:t xml:space="preserve">. Measures </w:t>
            </w:r>
            <w:r w:rsidRPr="000E2B6B">
              <w:rPr>
                <w:rFonts w:cstheme="minorHAnsi"/>
                <w:bCs/>
                <w:szCs w:val="20"/>
              </w:rPr>
              <w:t xml:space="preserve">codes begin with Measure 2 to preserve </w:t>
            </w:r>
            <w:r w:rsidR="008828CF">
              <w:rPr>
                <w:rFonts w:cstheme="minorHAnsi"/>
                <w:bCs/>
                <w:szCs w:val="20"/>
              </w:rPr>
              <w:t>the ordering.</w:t>
            </w:r>
          </w:p>
        </w:tc>
      </w:tr>
      <w:tr w:rsidR="00741B15" w:rsidRPr="00500C4E" w:rsidTr="005E4FE7">
        <w:trPr>
          <w:trHeight w:val="20"/>
        </w:trPr>
        <w:tc>
          <w:tcPr>
            <w:tcW w:w="274" w:type="pct"/>
            <w:vAlign w:val="center"/>
          </w:tcPr>
          <w:p w:rsidR="00741B15" w:rsidRDefault="00741B15" w:rsidP="005E4FE7">
            <w:pPr>
              <w:jc w:val="center"/>
              <w:rPr>
                <w:rFonts w:cstheme="minorHAnsi"/>
                <w:szCs w:val="20"/>
              </w:rPr>
            </w:pPr>
            <w:r>
              <w:rPr>
                <w:rFonts w:cstheme="minorHAnsi"/>
                <w:szCs w:val="20"/>
              </w:rPr>
              <w:t>5.1</w:t>
            </w:r>
          </w:p>
        </w:tc>
        <w:tc>
          <w:tcPr>
            <w:tcW w:w="684" w:type="pct"/>
            <w:vAlign w:val="center"/>
          </w:tcPr>
          <w:p w:rsidR="00741B15" w:rsidRDefault="00741B15" w:rsidP="006E05ED">
            <w:pPr>
              <w:jc w:val="center"/>
              <w:rPr>
                <w:rFonts w:cstheme="minorHAnsi"/>
                <w:szCs w:val="20"/>
              </w:rPr>
            </w:pPr>
            <w:r>
              <w:rPr>
                <w:rFonts w:cstheme="minorHAnsi"/>
                <w:szCs w:val="20"/>
              </w:rPr>
              <w:t>12/13/2016</w:t>
            </w:r>
          </w:p>
        </w:tc>
        <w:tc>
          <w:tcPr>
            <w:tcW w:w="884" w:type="pct"/>
            <w:vAlign w:val="center"/>
          </w:tcPr>
          <w:p w:rsidR="00741B15" w:rsidRDefault="00741B15" w:rsidP="005E4FE7">
            <w:pPr>
              <w:rPr>
                <w:rFonts w:cstheme="minorHAnsi"/>
                <w:szCs w:val="20"/>
              </w:rPr>
            </w:pPr>
            <w:r>
              <w:rPr>
                <w:rFonts w:cstheme="minorHAnsi"/>
                <w:szCs w:val="20"/>
              </w:rPr>
              <w:t>Kelvin Valenzuela/ SDG&amp;E</w:t>
            </w:r>
          </w:p>
        </w:tc>
        <w:tc>
          <w:tcPr>
            <w:tcW w:w="3158" w:type="pct"/>
          </w:tcPr>
          <w:p w:rsidR="00741B15" w:rsidRDefault="00741B15" w:rsidP="008828CF">
            <w:pPr>
              <w:rPr>
                <w:rFonts w:cstheme="minorHAnsi"/>
                <w:bCs/>
                <w:szCs w:val="20"/>
              </w:rPr>
            </w:pPr>
            <w:r>
              <w:rPr>
                <w:rFonts w:cstheme="minorHAnsi"/>
                <w:bCs/>
                <w:szCs w:val="20"/>
              </w:rPr>
              <w:t>Revising short form to include Measure 1.  Programs decided to include measure offerings.</w:t>
            </w:r>
          </w:p>
        </w:tc>
      </w:tr>
      <w:tr w:rsidR="00FF2385" w:rsidRPr="00500C4E" w:rsidTr="005E4FE7">
        <w:trPr>
          <w:trHeight w:val="20"/>
        </w:trPr>
        <w:tc>
          <w:tcPr>
            <w:tcW w:w="274" w:type="pct"/>
            <w:vAlign w:val="center"/>
          </w:tcPr>
          <w:p w:rsidR="00FF2385" w:rsidRDefault="00FF2385" w:rsidP="005E4FE7">
            <w:pPr>
              <w:jc w:val="center"/>
              <w:rPr>
                <w:rFonts w:cstheme="minorHAnsi"/>
                <w:szCs w:val="20"/>
              </w:rPr>
            </w:pPr>
            <w:r>
              <w:rPr>
                <w:rFonts w:cstheme="minorHAnsi"/>
                <w:szCs w:val="20"/>
              </w:rPr>
              <w:t>6</w:t>
            </w:r>
          </w:p>
        </w:tc>
        <w:tc>
          <w:tcPr>
            <w:tcW w:w="684" w:type="pct"/>
            <w:vAlign w:val="center"/>
          </w:tcPr>
          <w:p w:rsidR="00FF2385" w:rsidRDefault="00FF2385" w:rsidP="006E05ED">
            <w:pPr>
              <w:jc w:val="center"/>
              <w:rPr>
                <w:rFonts w:cstheme="minorHAnsi"/>
                <w:szCs w:val="20"/>
              </w:rPr>
            </w:pPr>
            <w:r>
              <w:rPr>
                <w:rFonts w:cstheme="minorHAnsi"/>
                <w:szCs w:val="20"/>
              </w:rPr>
              <w:t>1/1/2017</w:t>
            </w:r>
          </w:p>
        </w:tc>
        <w:tc>
          <w:tcPr>
            <w:tcW w:w="884" w:type="pct"/>
            <w:vAlign w:val="center"/>
          </w:tcPr>
          <w:p w:rsidR="00FF2385" w:rsidRDefault="0040214F" w:rsidP="005E4FE7">
            <w:pPr>
              <w:rPr>
                <w:rFonts w:cstheme="minorHAnsi"/>
                <w:szCs w:val="20"/>
              </w:rPr>
            </w:pPr>
            <w:r>
              <w:rPr>
                <w:rFonts w:cstheme="minorHAnsi"/>
                <w:szCs w:val="20"/>
              </w:rPr>
              <w:t xml:space="preserve">Kelvin </w:t>
            </w:r>
            <w:r w:rsidR="00FF2385">
              <w:rPr>
                <w:rFonts w:cstheme="minorHAnsi"/>
                <w:szCs w:val="20"/>
              </w:rPr>
              <w:t>Valenzuela/</w:t>
            </w:r>
            <w:r>
              <w:rPr>
                <w:rFonts w:cstheme="minorHAnsi"/>
                <w:szCs w:val="20"/>
              </w:rPr>
              <w:t xml:space="preserve"> </w:t>
            </w:r>
            <w:r w:rsidR="00FF2385">
              <w:rPr>
                <w:rFonts w:cstheme="minorHAnsi"/>
                <w:szCs w:val="20"/>
              </w:rPr>
              <w:t>SDG&amp;E</w:t>
            </w:r>
          </w:p>
        </w:tc>
        <w:tc>
          <w:tcPr>
            <w:tcW w:w="3158" w:type="pct"/>
          </w:tcPr>
          <w:p w:rsidR="00FF2385" w:rsidRDefault="00FF2385" w:rsidP="008828CF">
            <w:pPr>
              <w:rPr>
                <w:rFonts w:cstheme="minorHAnsi"/>
                <w:bCs/>
                <w:szCs w:val="20"/>
              </w:rPr>
            </w:pPr>
            <w:r>
              <w:rPr>
                <w:rFonts w:cstheme="minorHAnsi"/>
                <w:bCs/>
                <w:szCs w:val="20"/>
              </w:rPr>
              <w:t>Updating to revise Measure 2 – Non-commissioning values to adhere to impact study results.</w:t>
            </w:r>
          </w:p>
        </w:tc>
      </w:tr>
      <w:tr w:rsidR="00DB2A1D" w:rsidRPr="00500C4E" w:rsidTr="005E4FE7">
        <w:trPr>
          <w:trHeight w:val="20"/>
        </w:trPr>
        <w:tc>
          <w:tcPr>
            <w:tcW w:w="274" w:type="pct"/>
            <w:vAlign w:val="center"/>
          </w:tcPr>
          <w:p w:rsidR="00DB2A1D" w:rsidRDefault="00DB2A1D" w:rsidP="005E4FE7">
            <w:pPr>
              <w:jc w:val="center"/>
              <w:rPr>
                <w:rFonts w:cstheme="minorHAnsi"/>
                <w:szCs w:val="20"/>
              </w:rPr>
            </w:pPr>
            <w:r>
              <w:rPr>
                <w:rFonts w:cstheme="minorHAnsi"/>
                <w:szCs w:val="20"/>
              </w:rPr>
              <w:t>7</w:t>
            </w:r>
          </w:p>
        </w:tc>
        <w:tc>
          <w:tcPr>
            <w:tcW w:w="684" w:type="pct"/>
            <w:vAlign w:val="center"/>
          </w:tcPr>
          <w:p w:rsidR="00DB2A1D" w:rsidRDefault="00DB2A1D" w:rsidP="006E05ED">
            <w:pPr>
              <w:jc w:val="center"/>
              <w:rPr>
                <w:rFonts w:cstheme="minorHAnsi"/>
                <w:szCs w:val="20"/>
              </w:rPr>
            </w:pPr>
            <w:r>
              <w:rPr>
                <w:rFonts w:cstheme="minorHAnsi"/>
                <w:szCs w:val="20"/>
              </w:rPr>
              <w:t>12/26/2017</w:t>
            </w:r>
          </w:p>
        </w:tc>
        <w:tc>
          <w:tcPr>
            <w:tcW w:w="884" w:type="pct"/>
            <w:vAlign w:val="center"/>
          </w:tcPr>
          <w:p w:rsidR="00DB2A1D" w:rsidRDefault="00DB2A1D" w:rsidP="005E4FE7">
            <w:pPr>
              <w:rPr>
                <w:rFonts w:cstheme="minorHAnsi"/>
                <w:szCs w:val="20"/>
              </w:rPr>
            </w:pPr>
            <w:r>
              <w:rPr>
                <w:rFonts w:cstheme="minorHAnsi"/>
                <w:szCs w:val="20"/>
              </w:rPr>
              <w:t>Kelvin Valenzuela/SDG&amp;E</w:t>
            </w:r>
          </w:p>
        </w:tc>
        <w:tc>
          <w:tcPr>
            <w:tcW w:w="3158" w:type="pct"/>
          </w:tcPr>
          <w:p w:rsidR="00DB2A1D" w:rsidRDefault="00DB2A1D" w:rsidP="008828CF">
            <w:pPr>
              <w:rPr>
                <w:rFonts w:cstheme="minorHAnsi"/>
                <w:bCs/>
                <w:szCs w:val="20"/>
              </w:rPr>
            </w:pPr>
            <w:r>
              <w:rPr>
                <w:rFonts w:cstheme="minorHAnsi"/>
                <w:bCs/>
                <w:szCs w:val="20"/>
              </w:rPr>
              <w:t>Created short form to reflect SCE’s workpaper SCE17WP001.0.</w:t>
            </w:r>
            <w:r w:rsidR="008F1A85">
              <w:rPr>
                <w:rFonts w:cstheme="minorHAnsi"/>
                <w:bCs/>
                <w:szCs w:val="20"/>
              </w:rPr>
              <w:t xml:space="preserve">  Adopted all values with exception to Measure C.</w:t>
            </w:r>
          </w:p>
        </w:tc>
      </w:tr>
      <w:tr w:rsidR="006446E9" w:rsidRPr="00500C4E" w:rsidTr="005E4FE7">
        <w:trPr>
          <w:trHeight w:val="20"/>
        </w:trPr>
        <w:tc>
          <w:tcPr>
            <w:tcW w:w="274" w:type="pct"/>
            <w:vAlign w:val="center"/>
          </w:tcPr>
          <w:p w:rsidR="006446E9" w:rsidRDefault="006446E9" w:rsidP="005E4FE7">
            <w:pPr>
              <w:jc w:val="center"/>
              <w:rPr>
                <w:rFonts w:cstheme="minorHAnsi"/>
                <w:szCs w:val="20"/>
              </w:rPr>
            </w:pPr>
            <w:r>
              <w:rPr>
                <w:rFonts w:cstheme="minorHAnsi"/>
                <w:szCs w:val="20"/>
              </w:rPr>
              <w:t>8</w:t>
            </w:r>
          </w:p>
        </w:tc>
        <w:tc>
          <w:tcPr>
            <w:tcW w:w="684" w:type="pct"/>
            <w:vAlign w:val="center"/>
          </w:tcPr>
          <w:p w:rsidR="006446E9" w:rsidRDefault="006446E9" w:rsidP="006E05ED">
            <w:pPr>
              <w:jc w:val="center"/>
              <w:rPr>
                <w:rFonts w:cstheme="minorHAnsi"/>
                <w:szCs w:val="20"/>
              </w:rPr>
            </w:pPr>
            <w:r>
              <w:rPr>
                <w:rFonts w:cstheme="minorHAnsi"/>
                <w:szCs w:val="20"/>
              </w:rPr>
              <w:t>9/17/2018</w:t>
            </w:r>
          </w:p>
        </w:tc>
        <w:tc>
          <w:tcPr>
            <w:tcW w:w="884" w:type="pct"/>
            <w:vAlign w:val="center"/>
          </w:tcPr>
          <w:p w:rsidR="006446E9" w:rsidRDefault="006446E9" w:rsidP="005E4FE7">
            <w:pPr>
              <w:rPr>
                <w:rFonts w:cstheme="minorHAnsi"/>
                <w:szCs w:val="20"/>
              </w:rPr>
            </w:pPr>
            <w:r>
              <w:rPr>
                <w:rFonts w:cstheme="minorHAnsi"/>
                <w:szCs w:val="20"/>
              </w:rPr>
              <w:t>Kelvin Valenzuela/ SDG&amp;E</w:t>
            </w:r>
          </w:p>
        </w:tc>
        <w:tc>
          <w:tcPr>
            <w:tcW w:w="3158" w:type="pct"/>
          </w:tcPr>
          <w:p w:rsidR="006446E9" w:rsidRDefault="006446E9" w:rsidP="008828CF">
            <w:pPr>
              <w:rPr>
                <w:rFonts w:cstheme="minorHAnsi"/>
                <w:bCs/>
                <w:szCs w:val="20"/>
              </w:rPr>
            </w:pPr>
            <w:r w:rsidRPr="006446E9">
              <w:rPr>
                <w:rFonts w:cstheme="minorHAnsi"/>
                <w:bCs/>
                <w:szCs w:val="20"/>
              </w:rPr>
              <w:t>Created short form to refl</w:t>
            </w:r>
            <w:r>
              <w:rPr>
                <w:rFonts w:cstheme="minorHAnsi"/>
                <w:bCs/>
                <w:szCs w:val="20"/>
              </w:rPr>
              <w:t>ect SCE’s workpaper SCE17WP001.1</w:t>
            </w:r>
            <w:r w:rsidRPr="006446E9">
              <w:rPr>
                <w:rFonts w:cstheme="minorHAnsi"/>
                <w:bCs/>
                <w:szCs w:val="20"/>
              </w:rPr>
              <w:t>.</w:t>
            </w:r>
            <w:r>
              <w:rPr>
                <w:rFonts w:cstheme="minorHAnsi"/>
                <w:bCs/>
                <w:szCs w:val="20"/>
              </w:rPr>
              <w:br/>
              <w:t xml:space="preserve">Adopted all values and measures with the addition of created </w:t>
            </w:r>
            <w:r>
              <w:rPr>
                <w:rFonts w:cstheme="minorHAnsi"/>
                <w:bCs/>
                <w:szCs w:val="20"/>
              </w:rPr>
              <w:lastRenderedPageBreak/>
              <w:t>additional implementation IDs to account for ROB type installs, when the POE for ER/AR measure application types are not met.</w:t>
            </w:r>
            <w:r w:rsidRPr="006446E9">
              <w:rPr>
                <w:rFonts w:cstheme="minorHAnsi"/>
                <w:bCs/>
                <w:szCs w:val="20"/>
              </w:rPr>
              <w:t xml:space="preserve">  </w:t>
            </w:r>
          </w:p>
        </w:tc>
      </w:tr>
    </w:tbl>
    <w:p w:rsidR="008828CF" w:rsidRDefault="008828CF">
      <w:pPr>
        <w:spacing w:after="200" w:line="276" w:lineRule="auto"/>
        <w:rPr>
          <w:rFonts w:ascii="Arial Narrow" w:hAnsi="Arial Narrow" w:cs="Arial"/>
          <w:b/>
          <w:bCs/>
          <w:iCs/>
          <w:smallCaps/>
          <w:sz w:val="28"/>
          <w:szCs w:val="28"/>
        </w:rPr>
      </w:pPr>
    </w:p>
    <w:p w:rsidR="000F0580" w:rsidRDefault="000F0580" w:rsidP="000F0580">
      <w:pPr>
        <w:pStyle w:val="Heading2"/>
      </w:pPr>
      <w:r>
        <w:t>Measure Summary</w:t>
      </w:r>
      <w:r w:rsidRPr="0025216C">
        <w:t xml:space="preserve"> </w:t>
      </w:r>
    </w:p>
    <w:p w:rsidR="008828CF" w:rsidRDefault="008828CF" w:rsidP="008828CF">
      <w:pPr>
        <w:pStyle w:val="Heading2"/>
      </w:pPr>
    </w:p>
    <w:p w:rsidR="008733BD" w:rsidRDefault="008733BD" w:rsidP="00736DEF">
      <w:pPr>
        <w:pStyle w:val="Caption"/>
        <w:keepNext/>
        <w:jc w:val="center"/>
      </w:pPr>
      <w:r>
        <w:t xml:space="preserve">Table </w:t>
      </w:r>
      <w:r w:rsidR="00347EE5">
        <w:fldChar w:fldCharType="begin"/>
      </w:r>
      <w:r w:rsidR="00347EE5">
        <w:instrText xml:space="preserve"> SEQ Table \* ARABIC </w:instrText>
      </w:r>
      <w:r w:rsidR="00347EE5">
        <w:fldChar w:fldCharType="separate"/>
      </w:r>
      <w:r w:rsidR="00F5794B">
        <w:rPr>
          <w:noProof/>
        </w:rPr>
        <w:t>1</w:t>
      </w:r>
      <w:r w:rsidR="00347EE5">
        <w:rPr>
          <w:noProof/>
        </w:rPr>
        <w:fldChar w:fldCharType="end"/>
      </w:r>
      <w:r>
        <w:t>: Measure Summary Table</w:t>
      </w:r>
    </w:p>
    <w:tbl>
      <w:tblPr>
        <w:tblStyle w:val="TableGrid"/>
        <w:tblW w:w="0" w:type="auto"/>
        <w:tblLook w:val="04A0" w:firstRow="1" w:lastRow="0" w:firstColumn="1" w:lastColumn="0" w:noHBand="0" w:noVBand="1"/>
      </w:tblPr>
      <w:tblGrid>
        <w:gridCol w:w="1502"/>
        <w:gridCol w:w="7848"/>
      </w:tblGrid>
      <w:tr w:rsidR="00736DEF" w:rsidTr="00971BA3">
        <w:trPr>
          <w:cantSplit/>
          <w:tblHeader/>
        </w:trPr>
        <w:tc>
          <w:tcPr>
            <w:tcW w:w="1502" w:type="dxa"/>
          </w:tcPr>
          <w:p w:rsidR="00736DEF" w:rsidRPr="00D86243" w:rsidRDefault="00736DEF" w:rsidP="00D86243">
            <w:pPr>
              <w:jc w:val="center"/>
              <w:rPr>
                <w:b/>
              </w:rPr>
            </w:pPr>
            <w:r w:rsidRPr="00D86243">
              <w:rPr>
                <w:b/>
              </w:rPr>
              <w:t>Section</w:t>
            </w:r>
          </w:p>
        </w:tc>
        <w:tc>
          <w:tcPr>
            <w:tcW w:w="7848" w:type="dxa"/>
          </w:tcPr>
          <w:p w:rsidR="00736DEF" w:rsidRPr="00D86243" w:rsidRDefault="00736DEF" w:rsidP="00D86243">
            <w:pPr>
              <w:jc w:val="center"/>
              <w:rPr>
                <w:b/>
              </w:rPr>
            </w:pPr>
            <w:r w:rsidRPr="00D86243">
              <w:rPr>
                <w:b/>
              </w:rPr>
              <w:t>Value</w:t>
            </w:r>
          </w:p>
        </w:tc>
      </w:tr>
      <w:tr w:rsidR="00282C54" w:rsidTr="00971BA3">
        <w:trPr>
          <w:cantSplit/>
        </w:trPr>
        <w:tc>
          <w:tcPr>
            <w:tcW w:w="1502" w:type="dxa"/>
            <w:vAlign w:val="center"/>
          </w:tcPr>
          <w:p w:rsidR="00282C54" w:rsidRPr="001D77F7" w:rsidRDefault="00282C54" w:rsidP="001D77F7">
            <w:pPr>
              <w:rPr>
                <w:b/>
              </w:rPr>
            </w:pPr>
            <w:r>
              <w:rPr>
                <w:b/>
              </w:rPr>
              <w:t>Summary &amp; Purpose</w:t>
            </w:r>
          </w:p>
        </w:tc>
        <w:tc>
          <w:tcPr>
            <w:tcW w:w="7848" w:type="dxa"/>
          </w:tcPr>
          <w:p w:rsidR="00D40AF1" w:rsidRPr="00D40AF1" w:rsidRDefault="00D40AF1" w:rsidP="00D40AF1">
            <w:pPr>
              <w:rPr>
                <w:rFonts w:cs="Arial"/>
                <w:sz w:val="20"/>
                <w:szCs w:val="20"/>
              </w:rPr>
            </w:pPr>
            <w:r w:rsidRPr="00D40AF1">
              <w:rPr>
                <w:rFonts w:cs="Arial"/>
                <w:sz w:val="20"/>
                <w:szCs w:val="20"/>
              </w:rPr>
              <w:t>This short form workpaper documents the values adopted from SCE’s workpaper entitled “Residential Variable Sp</w:t>
            </w:r>
            <w:r w:rsidR="004D6484">
              <w:rPr>
                <w:rFonts w:cs="Arial"/>
                <w:sz w:val="20"/>
                <w:szCs w:val="20"/>
              </w:rPr>
              <w:t>eed Pool Pump” (SCE17WP001 Rev 1</w:t>
            </w:r>
            <w:r w:rsidRPr="00D40AF1">
              <w:rPr>
                <w:rFonts w:cs="Arial"/>
                <w:sz w:val="20"/>
                <w:szCs w:val="20"/>
              </w:rPr>
              <w:t xml:space="preserve">). </w:t>
            </w:r>
          </w:p>
          <w:p w:rsidR="00282C54" w:rsidRPr="00D86243" w:rsidRDefault="00282C54" w:rsidP="0040214F">
            <w:pPr>
              <w:rPr>
                <w:rFonts w:cs="Arial"/>
                <w:sz w:val="20"/>
                <w:szCs w:val="20"/>
              </w:rPr>
            </w:pPr>
          </w:p>
        </w:tc>
      </w:tr>
      <w:tr w:rsidR="00736DEF" w:rsidTr="00971BA3">
        <w:trPr>
          <w:cantSplit/>
        </w:trPr>
        <w:tc>
          <w:tcPr>
            <w:tcW w:w="1502" w:type="dxa"/>
            <w:vAlign w:val="center"/>
          </w:tcPr>
          <w:p w:rsidR="00736DEF" w:rsidRPr="001D77F7" w:rsidRDefault="00736DEF" w:rsidP="001D77F7">
            <w:pPr>
              <w:rPr>
                <w:b/>
              </w:rPr>
            </w:pPr>
            <w:r w:rsidRPr="001D77F7">
              <w:rPr>
                <w:b/>
              </w:rPr>
              <w:lastRenderedPageBreak/>
              <w:t>1.1 Measure &amp; Baseline Data</w:t>
            </w:r>
          </w:p>
        </w:tc>
        <w:tc>
          <w:tcPr>
            <w:tcW w:w="7848" w:type="dxa"/>
          </w:tcPr>
          <w:tbl>
            <w:tblPr>
              <w:tblStyle w:val="TableGrid"/>
              <w:tblW w:w="7072" w:type="dxa"/>
              <w:tblLook w:val="04A0" w:firstRow="1" w:lastRow="0" w:firstColumn="1" w:lastColumn="0" w:noHBand="0" w:noVBand="1"/>
            </w:tblPr>
            <w:tblGrid>
              <w:gridCol w:w="1023"/>
              <w:gridCol w:w="774"/>
              <w:gridCol w:w="862"/>
              <w:gridCol w:w="1150"/>
              <w:gridCol w:w="1421"/>
              <w:gridCol w:w="775"/>
              <w:gridCol w:w="1093"/>
            </w:tblGrid>
            <w:tr w:rsidR="00820EAF" w:rsidRPr="00DB21D0" w:rsidTr="00C95E42">
              <w:trPr>
                <w:trHeight w:val="686"/>
              </w:trPr>
              <w:tc>
                <w:tcPr>
                  <w:tcW w:w="723" w:type="pct"/>
                  <w:hideMark/>
                </w:tcPr>
                <w:p w:rsidR="00C95E42" w:rsidRPr="00C1610D" w:rsidRDefault="00C95E42" w:rsidP="00C95E42">
                  <w:pPr>
                    <w:rPr>
                      <w:rFonts w:cstheme="minorHAnsi"/>
                      <w:b/>
                      <w:szCs w:val="20"/>
                    </w:rPr>
                  </w:pPr>
                  <w:r w:rsidRPr="00C1610D">
                    <w:rPr>
                      <w:rFonts w:cstheme="minorHAnsi"/>
                      <w:b/>
                      <w:szCs w:val="20"/>
                    </w:rPr>
                    <w:t>Measure Code</w:t>
                  </w:r>
                </w:p>
              </w:tc>
              <w:tc>
                <w:tcPr>
                  <w:tcW w:w="547" w:type="pct"/>
                  <w:hideMark/>
                </w:tcPr>
                <w:p w:rsidR="00C95E42" w:rsidRPr="00DB21D0" w:rsidRDefault="00C95E42" w:rsidP="00C95E42">
                  <w:pPr>
                    <w:rPr>
                      <w:rFonts w:cstheme="minorHAnsi"/>
                      <w:b/>
                      <w:szCs w:val="20"/>
                    </w:rPr>
                  </w:pPr>
                  <w:r w:rsidRPr="00DB21D0">
                    <w:rPr>
                      <w:rFonts w:cstheme="minorHAnsi"/>
                      <w:b/>
                      <w:szCs w:val="20"/>
                    </w:rPr>
                    <w:t>SCE Sol Code</w:t>
                  </w:r>
                </w:p>
              </w:tc>
              <w:tc>
                <w:tcPr>
                  <w:tcW w:w="479" w:type="pct"/>
                </w:tcPr>
                <w:p w:rsidR="00C95E42" w:rsidRPr="00DB21D0" w:rsidRDefault="00C95E42" w:rsidP="00C95E42">
                  <w:pPr>
                    <w:rPr>
                      <w:rFonts w:cstheme="minorHAnsi"/>
                      <w:b/>
                      <w:szCs w:val="20"/>
                    </w:rPr>
                  </w:pPr>
                  <w:r>
                    <w:rPr>
                      <w:rFonts w:cstheme="minorHAnsi"/>
                      <w:b/>
                      <w:szCs w:val="20"/>
                    </w:rPr>
                    <w:t>SDG&amp;E</w:t>
                  </w:r>
                  <w:r w:rsidR="00820EAF">
                    <w:rPr>
                      <w:rFonts w:cstheme="minorHAnsi"/>
                      <w:b/>
                      <w:szCs w:val="20"/>
                    </w:rPr>
                    <w:t xml:space="preserve"> Imp IDs</w:t>
                  </w:r>
                </w:p>
              </w:tc>
              <w:tc>
                <w:tcPr>
                  <w:tcW w:w="813" w:type="pct"/>
                </w:tcPr>
                <w:p w:rsidR="00C95E42" w:rsidRPr="00DB21D0" w:rsidRDefault="00C95E42" w:rsidP="00C95E42">
                  <w:pPr>
                    <w:rPr>
                      <w:rFonts w:cstheme="minorHAnsi"/>
                      <w:b/>
                      <w:szCs w:val="20"/>
                    </w:rPr>
                  </w:pPr>
                  <w:r w:rsidRPr="00DB21D0">
                    <w:rPr>
                      <w:rFonts w:cstheme="minorHAnsi"/>
                      <w:b/>
                      <w:szCs w:val="20"/>
                    </w:rPr>
                    <w:t>Building Type</w:t>
                  </w:r>
                </w:p>
              </w:tc>
              <w:tc>
                <w:tcPr>
                  <w:tcW w:w="1055" w:type="pct"/>
                  <w:hideMark/>
                </w:tcPr>
                <w:p w:rsidR="00C95E42" w:rsidRPr="00DB21D0" w:rsidRDefault="00C95E42" w:rsidP="00C95E42">
                  <w:pPr>
                    <w:rPr>
                      <w:rFonts w:cstheme="minorHAnsi"/>
                      <w:b/>
                      <w:szCs w:val="20"/>
                    </w:rPr>
                  </w:pPr>
                  <w:r w:rsidRPr="00DB21D0">
                    <w:rPr>
                      <w:rFonts w:cstheme="minorHAnsi"/>
                      <w:b/>
                      <w:szCs w:val="20"/>
                    </w:rPr>
                    <w:t>Measure Name</w:t>
                  </w:r>
                </w:p>
              </w:tc>
              <w:tc>
                <w:tcPr>
                  <w:tcW w:w="609" w:type="pct"/>
                  <w:hideMark/>
                </w:tcPr>
                <w:p w:rsidR="00C95E42" w:rsidRPr="00DB21D0" w:rsidRDefault="00C95E42" w:rsidP="00C95E42">
                  <w:pPr>
                    <w:rPr>
                      <w:rFonts w:cstheme="minorHAnsi"/>
                      <w:b/>
                      <w:szCs w:val="20"/>
                    </w:rPr>
                  </w:pPr>
                  <w:r w:rsidRPr="00DB21D0">
                    <w:rPr>
                      <w:rFonts w:cstheme="minorHAnsi"/>
                      <w:b/>
                      <w:szCs w:val="20"/>
                    </w:rPr>
                    <w:t>Install Type</w:t>
                  </w:r>
                </w:p>
              </w:tc>
              <w:tc>
                <w:tcPr>
                  <w:tcW w:w="773" w:type="pct"/>
                  <w:hideMark/>
                </w:tcPr>
                <w:p w:rsidR="00C95E42" w:rsidRPr="00DB21D0" w:rsidRDefault="00C95E42" w:rsidP="00C95E42">
                  <w:pPr>
                    <w:rPr>
                      <w:rFonts w:cstheme="minorHAnsi"/>
                      <w:b/>
                      <w:szCs w:val="20"/>
                    </w:rPr>
                  </w:pPr>
                  <w:r w:rsidRPr="00DB21D0">
                    <w:rPr>
                      <w:rFonts w:cstheme="minorHAnsi"/>
                      <w:b/>
                      <w:szCs w:val="20"/>
                    </w:rPr>
                    <w:t>Delivery Type(s)</w:t>
                  </w:r>
                </w:p>
              </w:tc>
            </w:tr>
            <w:tr w:rsidR="00820EAF" w:rsidRPr="00DB21D0" w:rsidTr="00C95E42">
              <w:trPr>
                <w:trHeight w:val="457"/>
              </w:trPr>
              <w:tc>
                <w:tcPr>
                  <w:tcW w:w="723" w:type="pct"/>
                  <w:hideMark/>
                </w:tcPr>
                <w:p w:rsidR="00C95E42" w:rsidRPr="00DB21D0" w:rsidRDefault="00C95E42" w:rsidP="00C95E42">
                  <w:pPr>
                    <w:rPr>
                      <w:rFonts w:cstheme="minorHAnsi"/>
                      <w:szCs w:val="20"/>
                    </w:rPr>
                  </w:pPr>
                  <w:r w:rsidRPr="00DB21D0">
                    <w:rPr>
                      <w:rFonts w:cstheme="minorHAnsi"/>
                      <w:szCs w:val="20"/>
                    </w:rPr>
                    <w:t>Measure A</w:t>
                  </w:r>
                </w:p>
              </w:tc>
              <w:tc>
                <w:tcPr>
                  <w:tcW w:w="547" w:type="pct"/>
                  <w:hideMark/>
                </w:tcPr>
                <w:p w:rsidR="00C95E42" w:rsidRPr="00C1610D" w:rsidRDefault="00C95E42" w:rsidP="00C95E42">
                  <w:pPr>
                    <w:jc w:val="center"/>
                    <w:rPr>
                      <w:rFonts w:cstheme="minorHAnsi"/>
                      <w:szCs w:val="20"/>
                    </w:rPr>
                  </w:pPr>
                  <w:r w:rsidRPr="00DB21D0">
                    <w:rPr>
                      <w:rFonts w:ascii="Calibri" w:hAnsi="Calibri"/>
                      <w:szCs w:val="18"/>
                    </w:rPr>
                    <w:t>PM-78394</w:t>
                  </w:r>
                </w:p>
                <w:p w:rsidR="00C95E42" w:rsidRPr="00DB21D0" w:rsidRDefault="00C95E42" w:rsidP="00C95E42">
                  <w:pPr>
                    <w:jc w:val="center"/>
                    <w:rPr>
                      <w:rFonts w:cstheme="minorHAnsi"/>
                      <w:szCs w:val="20"/>
                    </w:rPr>
                  </w:pPr>
                </w:p>
              </w:tc>
              <w:tc>
                <w:tcPr>
                  <w:tcW w:w="479" w:type="pct"/>
                </w:tcPr>
                <w:p w:rsidR="00C95E42" w:rsidRPr="00DB21D0" w:rsidRDefault="00820EAF" w:rsidP="00C95E42">
                  <w:pPr>
                    <w:rPr>
                      <w:rFonts w:cstheme="minorHAnsi"/>
                      <w:sz w:val="20"/>
                      <w:szCs w:val="20"/>
                    </w:rPr>
                  </w:pPr>
                  <w:r>
                    <w:rPr>
                      <w:rFonts w:cstheme="minorHAnsi"/>
                      <w:sz w:val="20"/>
                      <w:szCs w:val="20"/>
                    </w:rPr>
                    <w:t>463003</w:t>
                  </w:r>
                </w:p>
              </w:tc>
              <w:tc>
                <w:tcPr>
                  <w:tcW w:w="813" w:type="pct"/>
                </w:tcPr>
                <w:p w:rsidR="00C95E42" w:rsidRPr="00DB21D0" w:rsidRDefault="00C95E42" w:rsidP="00C95E42">
                  <w:pPr>
                    <w:rPr>
                      <w:rFonts w:cstheme="minorHAnsi"/>
                      <w:sz w:val="20"/>
                      <w:szCs w:val="20"/>
                    </w:rPr>
                  </w:pPr>
                  <w:r w:rsidRPr="00DB21D0">
                    <w:rPr>
                      <w:rFonts w:cstheme="minorHAnsi"/>
                      <w:sz w:val="20"/>
                      <w:szCs w:val="20"/>
                    </w:rPr>
                    <w:t>Single Family</w:t>
                  </w:r>
                </w:p>
              </w:tc>
              <w:tc>
                <w:tcPr>
                  <w:tcW w:w="1055" w:type="pct"/>
                  <w:hideMark/>
                </w:tcPr>
                <w:p w:rsidR="00C95E42" w:rsidRPr="00DB21D0" w:rsidRDefault="00C95E42" w:rsidP="00C95E42">
                  <w:pPr>
                    <w:rPr>
                      <w:rFonts w:cstheme="minorHAnsi"/>
                      <w:sz w:val="20"/>
                      <w:szCs w:val="20"/>
                    </w:rPr>
                  </w:pPr>
                  <w:r w:rsidRPr="00DB21D0">
                    <w:rPr>
                      <w:rFonts w:cstheme="minorHAnsi"/>
                      <w:sz w:val="20"/>
                      <w:szCs w:val="20"/>
                    </w:rPr>
                    <w:t xml:space="preserve">Commissioned Variable Speed Drive on Pool Pump Controls </w:t>
                  </w:r>
                </w:p>
              </w:tc>
              <w:tc>
                <w:tcPr>
                  <w:tcW w:w="609" w:type="pct"/>
                  <w:hideMark/>
                </w:tcPr>
                <w:p w:rsidR="00C95E42" w:rsidRPr="00DB21D0" w:rsidRDefault="00C95E42" w:rsidP="00C95E42">
                  <w:pPr>
                    <w:rPr>
                      <w:rFonts w:cstheme="minorHAnsi"/>
                      <w:szCs w:val="20"/>
                    </w:rPr>
                  </w:pPr>
                  <w:r w:rsidRPr="00DB21D0">
                    <w:rPr>
                      <w:rFonts w:cstheme="minorHAnsi"/>
                      <w:szCs w:val="20"/>
                    </w:rPr>
                    <w:t>ROB</w:t>
                  </w:r>
                </w:p>
              </w:tc>
              <w:tc>
                <w:tcPr>
                  <w:tcW w:w="773" w:type="pct"/>
                  <w:hideMark/>
                </w:tcPr>
                <w:p w:rsidR="00C95E42" w:rsidRPr="00DB21D0" w:rsidRDefault="00C95E42" w:rsidP="00C95E42">
                  <w:pPr>
                    <w:rPr>
                      <w:rFonts w:cstheme="minorHAnsi"/>
                      <w:szCs w:val="20"/>
                    </w:rPr>
                  </w:pPr>
                  <w:r w:rsidRPr="00DB21D0">
                    <w:rPr>
                      <w:rFonts w:cstheme="minorHAnsi"/>
                      <w:szCs w:val="20"/>
                    </w:rPr>
                    <w:t>Direct Install,</w:t>
                  </w:r>
                </w:p>
                <w:p w:rsidR="00C95E42" w:rsidRPr="00DB21D0" w:rsidRDefault="00C95E42" w:rsidP="00C95E42">
                  <w:pPr>
                    <w:rPr>
                      <w:rFonts w:cstheme="minorHAnsi"/>
                      <w:szCs w:val="20"/>
                    </w:rPr>
                  </w:pPr>
                  <w:r w:rsidRPr="00DB21D0">
                    <w:rPr>
                      <w:rFonts w:cstheme="minorHAnsi"/>
                      <w:szCs w:val="20"/>
                    </w:rPr>
                    <w:t>Down-Stream Incentive</w:t>
                  </w:r>
                  <w:r>
                    <w:rPr>
                      <w:rFonts w:cstheme="minorHAnsi"/>
                      <w:szCs w:val="20"/>
                    </w:rPr>
                    <w:t>, Mid-Stream</w:t>
                  </w:r>
                </w:p>
              </w:tc>
            </w:tr>
            <w:tr w:rsidR="00820EAF" w:rsidRPr="00DB21D0" w:rsidTr="00C95E42">
              <w:trPr>
                <w:trHeight w:val="457"/>
              </w:trPr>
              <w:tc>
                <w:tcPr>
                  <w:tcW w:w="723" w:type="pct"/>
                  <w:hideMark/>
                </w:tcPr>
                <w:p w:rsidR="00C95E42" w:rsidRPr="00DB21D0" w:rsidRDefault="00C95E42" w:rsidP="00C95E42">
                  <w:pPr>
                    <w:rPr>
                      <w:rFonts w:cstheme="minorHAnsi"/>
                      <w:szCs w:val="20"/>
                    </w:rPr>
                  </w:pPr>
                  <w:r w:rsidRPr="00DB21D0">
                    <w:rPr>
                      <w:rFonts w:cstheme="minorHAnsi"/>
                      <w:szCs w:val="20"/>
                    </w:rPr>
                    <w:t>Measure B</w:t>
                  </w:r>
                </w:p>
              </w:tc>
              <w:tc>
                <w:tcPr>
                  <w:tcW w:w="547" w:type="pct"/>
                  <w:hideMark/>
                </w:tcPr>
                <w:p w:rsidR="00C95E42" w:rsidRPr="00C1610D" w:rsidRDefault="00C95E42" w:rsidP="00C95E42">
                  <w:pPr>
                    <w:jc w:val="center"/>
                    <w:rPr>
                      <w:rFonts w:cstheme="minorHAnsi"/>
                      <w:szCs w:val="20"/>
                    </w:rPr>
                  </w:pPr>
                  <w:r w:rsidRPr="00DB21D0">
                    <w:rPr>
                      <w:rFonts w:ascii="Calibri" w:hAnsi="Calibri"/>
                      <w:szCs w:val="18"/>
                    </w:rPr>
                    <w:t>PM-98422</w:t>
                  </w:r>
                </w:p>
              </w:tc>
              <w:tc>
                <w:tcPr>
                  <w:tcW w:w="479" w:type="pct"/>
                </w:tcPr>
                <w:p w:rsidR="00C95E42" w:rsidRPr="00DB21D0" w:rsidRDefault="00820EAF" w:rsidP="00C95E42">
                  <w:pPr>
                    <w:rPr>
                      <w:rFonts w:cstheme="minorHAnsi"/>
                      <w:sz w:val="20"/>
                      <w:szCs w:val="20"/>
                    </w:rPr>
                  </w:pPr>
                  <w:r>
                    <w:rPr>
                      <w:rFonts w:cstheme="minorHAnsi"/>
                      <w:sz w:val="20"/>
                      <w:szCs w:val="20"/>
                    </w:rPr>
                    <w:t>404011</w:t>
                  </w:r>
                </w:p>
              </w:tc>
              <w:tc>
                <w:tcPr>
                  <w:tcW w:w="813" w:type="pct"/>
                </w:tcPr>
                <w:p w:rsidR="00C95E42" w:rsidRPr="00DB21D0" w:rsidRDefault="00C95E42" w:rsidP="00C95E42">
                  <w:pPr>
                    <w:rPr>
                      <w:rFonts w:cstheme="minorHAnsi"/>
                      <w:sz w:val="20"/>
                      <w:szCs w:val="20"/>
                    </w:rPr>
                  </w:pPr>
                  <w:r w:rsidRPr="00DB21D0">
                    <w:rPr>
                      <w:rFonts w:cstheme="minorHAnsi"/>
                      <w:sz w:val="20"/>
                      <w:szCs w:val="20"/>
                    </w:rPr>
                    <w:t>Single Family</w:t>
                  </w:r>
                </w:p>
              </w:tc>
              <w:tc>
                <w:tcPr>
                  <w:tcW w:w="1055" w:type="pct"/>
                  <w:hideMark/>
                </w:tcPr>
                <w:p w:rsidR="00C95E42" w:rsidRPr="00DB21D0" w:rsidRDefault="00C95E42" w:rsidP="00C95E42">
                  <w:pPr>
                    <w:rPr>
                      <w:rFonts w:cstheme="minorHAnsi"/>
                      <w:sz w:val="20"/>
                      <w:szCs w:val="20"/>
                    </w:rPr>
                  </w:pPr>
                  <w:r w:rsidRPr="00DB21D0">
                    <w:rPr>
                      <w:rFonts w:cstheme="minorHAnsi"/>
                      <w:sz w:val="20"/>
                      <w:szCs w:val="20"/>
                    </w:rPr>
                    <w:t xml:space="preserve">Self-Installed Variable Speed Drive on Pool Pump Controls </w:t>
                  </w:r>
                </w:p>
              </w:tc>
              <w:tc>
                <w:tcPr>
                  <w:tcW w:w="609" w:type="pct"/>
                  <w:hideMark/>
                </w:tcPr>
                <w:p w:rsidR="00C95E42" w:rsidRPr="00DB21D0" w:rsidRDefault="00C95E42" w:rsidP="00C95E42">
                  <w:pPr>
                    <w:rPr>
                      <w:rFonts w:cstheme="minorHAnsi"/>
                      <w:szCs w:val="20"/>
                    </w:rPr>
                  </w:pPr>
                  <w:r w:rsidRPr="00DB21D0">
                    <w:rPr>
                      <w:rFonts w:cstheme="minorHAnsi"/>
                      <w:szCs w:val="20"/>
                    </w:rPr>
                    <w:t>ROB</w:t>
                  </w:r>
                </w:p>
              </w:tc>
              <w:tc>
                <w:tcPr>
                  <w:tcW w:w="773" w:type="pct"/>
                  <w:hideMark/>
                </w:tcPr>
                <w:p w:rsidR="00C95E42" w:rsidRPr="00DB21D0" w:rsidRDefault="00C95E42" w:rsidP="00C95E42">
                  <w:pPr>
                    <w:rPr>
                      <w:rFonts w:cstheme="minorHAnsi"/>
                      <w:szCs w:val="20"/>
                    </w:rPr>
                  </w:pPr>
                  <w:r w:rsidRPr="00DB21D0">
                    <w:rPr>
                      <w:rFonts w:cstheme="minorHAnsi"/>
                      <w:szCs w:val="20"/>
                    </w:rPr>
                    <w:t>Down-Stream Incentive</w:t>
                  </w:r>
                  <w:r>
                    <w:rPr>
                      <w:rFonts w:cstheme="minorHAnsi"/>
                      <w:szCs w:val="20"/>
                    </w:rPr>
                    <w:t>, Mid-Stream</w:t>
                  </w:r>
                </w:p>
              </w:tc>
            </w:tr>
            <w:tr w:rsidR="00820EAF" w:rsidRPr="00DB21D0" w:rsidTr="00C95E42">
              <w:trPr>
                <w:trHeight w:val="457"/>
              </w:trPr>
              <w:tc>
                <w:tcPr>
                  <w:tcW w:w="723" w:type="pct"/>
                  <w:hideMark/>
                </w:tcPr>
                <w:p w:rsidR="00C95E42" w:rsidRPr="00DB21D0" w:rsidRDefault="00C95E42" w:rsidP="00C95E42">
                  <w:pPr>
                    <w:rPr>
                      <w:rFonts w:cstheme="minorHAnsi"/>
                      <w:szCs w:val="20"/>
                    </w:rPr>
                  </w:pPr>
                  <w:r w:rsidRPr="00DB21D0">
                    <w:rPr>
                      <w:rFonts w:cstheme="minorHAnsi"/>
                      <w:szCs w:val="20"/>
                    </w:rPr>
                    <w:t>Measure C</w:t>
                  </w:r>
                </w:p>
              </w:tc>
              <w:tc>
                <w:tcPr>
                  <w:tcW w:w="547" w:type="pct"/>
                  <w:hideMark/>
                </w:tcPr>
                <w:p w:rsidR="00C95E42" w:rsidRPr="00C1610D" w:rsidRDefault="00C95E42" w:rsidP="00C95E42">
                  <w:pPr>
                    <w:jc w:val="center"/>
                    <w:rPr>
                      <w:rFonts w:cstheme="minorHAnsi"/>
                      <w:szCs w:val="20"/>
                    </w:rPr>
                  </w:pPr>
                  <w:r w:rsidRPr="00DB21D0">
                    <w:rPr>
                      <w:rFonts w:ascii="Calibri" w:hAnsi="Calibri"/>
                      <w:szCs w:val="18"/>
                    </w:rPr>
                    <w:t>PM-69234</w:t>
                  </w:r>
                </w:p>
              </w:tc>
              <w:tc>
                <w:tcPr>
                  <w:tcW w:w="479" w:type="pct"/>
                </w:tcPr>
                <w:p w:rsidR="00C95E42" w:rsidRPr="00DB21D0" w:rsidRDefault="00746C49" w:rsidP="00C95E42">
                  <w:pPr>
                    <w:rPr>
                      <w:rFonts w:cstheme="minorHAnsi"/>
                      <w:sz w:val="20"/>
                      <w:szCs w:val="20"/>
                    </w:rPr>
                  </w:pPr>
                  <w:r>
                    <w:rPr>
                      <w:rFonts w:cstheme="minorHAnsi"/>
                      <w:sz w:val="20"/>
                      <w:szCs w:val="20"/>
                    </w:rPr>
                    <w:t>465304</w:t>
                  </w:r>
                </w:p>
              </w:tc>
              <w:tc>
                <w:tcPr>
                  <w:tcW w:w="813" w:type="pct"/>
                </w:tcPr>
                <w:p w:rsidR="00C95E42" w:rsidRPr="00DB21D0" w:rsidRDefault="00C95E42" w:rsidP="00C95E42">
                  <w:pPr>
                    <w:rPr>
                      <w:rFonts w:cstheme="minorHAnsi"/>
                      <w:sz w:val="20"/>
                      <w:szCs w:val="20"/>
                    </w:rPr>
                  </w:pPr>
                  <w:r w:rsidRPr="00DB21D0">
                    <w:rPr>
                      <w:rFonts w:cstheme="minorHAnsi"/>
                      <w:sz w:val="20"/>
                      <w:szCs w:val="20"/>
                    </w:rPr>
                    <w:t>Single Family</w:t>
                  </w:r>
                </w:p>
              </w:tc>
              <w:tc>
                <w:tcPr>
                  <w:tcW w:w="1055" w:type="pct"/>
                  <w:hideMark/>
                </w:tcPr>
                <w:p w:rsidR="00C95E42" w:rsidRPr="00DB21D0" w:rsidRDefault="00C95E42" w:rsidP="00C95E42">
                  <w:pPr>
                    <w:rPr>
                      <w:rFonts w:cstheme="minorHAnsi"/>
                      <w:sz w:val="20"/>
                      <w:szCs w:val="20"/>
                    </w:rPr>
                  </w:pPr>
                  <w:r w:rsidRPr="00DB21D0">
                    <w:rPr>
                      <w:rFonts w:cstheme="minorHAnsi"/>
                      <w:sz w:val="20"/>
                      <w:szCs w:val="20"/>
                    </w:rPr>
                    <w:t xml:space="preserve">Commissioned Variable Speed Drive on Pool Pump Controls </w:t>
                  </w:r>
                </w:p>
              </w:tc>
              <w:tc>
                <w:tcPr>
                  <w:tcW w:w="609" w:type="pct"/>
                  <w:hideMark/>
                </w:tcPr>
                <w:p w:rsidR="00C95E42" w:rsidRPr="00DB21D0" w:rsidRDefault="005561B9" w:rsidP="00C95E42">
                  <w:pPr>
                    <w:rPr>
                      <w:rFonts w:cstheme="minorHAnsi"/>
                      <w:szCs w:val="20"/>
                    </w:rPr>
                  </w:pPr>
                  <w:r>
                    <w:rPr>
                      <w:rFonts w:cstheme="minorHAnsi"/>
                      <w:szCs w:val="20"/>
                    </w:rPr>
                    <w:t>ER/AR</w:t>
                  </w:r>
                </w:p>
              </w:tc>
              <w:tc>
                <w:tcPr>
                  <w:tcW w:w="773" w:type="pct"/>
                  <w:hideMark/>
                </w:tcPr>
                <w:p w:rsidR="00C95E42" w:rsidRPr="00DB21D0" w:rsidRDefault="00C95E42" w:rsidP="00C95E42">
                  <w:pPr>
                    <w:rPr>
                      <w:rFonts w:cstheme="minorHAnsi"/>
                      <w:szCs w:val="20"/>
                    </w:rPr>
                  </w:pPr>
                  <w:r w:rsidRPr="00DB21D0">
                    <w:rPr>
                      <w:rFonts w:cstheme="minorHAnsi"/>
                      <w:szCs w:val="20"/>
                    </w:rPr>
                    <w:t>Direct Install, Down-Stream Incentive</w:t>
                  </w:r>
                </w:p>
                <w:p w:rsidR="00C95E42" w:rsidRPr="00DB21D0" w:rsidRDefault="00C95E42" w:rsidP="00C95E42">
                  <w:pPr>
                    <w:rPr>
                      <w:rFonts w:cstheme="minorHAnsi"/>
                      <w:szCs w:val="20"/>
                    </w:rPr>
                  </w:pPr>
                </w:p>
              </w:tc>
            </w:tr>
            <w:tr w:rsidR="00820EAF" w:rsidRPr="00DB21D0" w:rsidTr="00C95E42">
              <w:trPr>
                <w:trHeight w:val="457"/>
              </w:trPr>
              <w:tc>
                <w:tcPr>
                  <w:tcW w:w="723" w:type="pct"/>
                  <w:hideMark/>
                </w:tcPr>
                <w:p w:rsidR="00C95E42" w:rsidRPr="00DB21D0" w:rsidRDefault="00C95E42" w:rsidP="00C95E42">
                  <w:pPr>
                    <w:rPr>
                      <w:rFonts w:cstheme="minorHAnsi"/>
                      <w:szCs w:val="20"/>
                    </w:rPr>
                  </w:pPr>
                  <w:r w:rsidRPr="00DB21D0">
                    <w:rPr>
                      <w:rFonts w:cstheme="minorHAnsi"/>
                      <w:szCs w:val="20"/>
                    </w:rPr>
                    <w:t>Measure D</w:t>
                  </w:r>
                </w:p>
              </w:tc>
              <w:tc>
                <w:tcPr>
                  <w:tcW w:w="547" w:type="pct"/>
                  <w:hideMark/>
                </w:tcPr>
                <w:p w:rsidR="00C95E42" w:rsidRPr="00C1610D" w:rsidRDefault="00C95E42" w:rsidP="00C95E42">
                  <w:pPr>
                    <w:jc w:val="center"/>
                    <w:rPr>
                      <w:rFonts w:cstheme="minorHAnsi"/>
                      <w:szCs w:val="20"/>
                    </w:rPr>
                  </w:pPr>
                  <w:r w:rsidRPr="00DB21D0">
                    <w:rPr>
                      <w:rFonts w:ascii="Calibri" w:hAnsi="Calibri"/>
                      <w:szCs w:val="18"/>
                    </w:rPr>
                    <w:t>PM-79353</w:t>
                  </w:r>
                </w:p>
              </w:tc>
              <w:tc>
                <w:tcPr>
                  <w:tcW w:w="479" w:type="pct"/>
                </w:tcPr>
                <w:p w:rsidR="00C95E42" w:rsidRPr="00DB21D0" w:rsidRDefault="00A41918" w:rsidP="00C95E42">
                  <w:pPr>
                    <w:rPr>
                      <w:rFonts w:cstheme="minorHAnsi"/>
                      <w:sz w:val="20"/>
                      <w:szCs w:val="20"/>
                    </w:rPr>
                  </w:pPr>
                  <w:r>
                    <w:rPr>
                      <w:rFonts w:cstheme="minorHAnsi"/>
                      <w:sz w:val="20"/>
                      <w:szCs w:val="20"/>
                    </w:rPr>
                    <w:t>464306</w:t>
                  </w:r>
                  <w:r>
                    <w:rPr>
                      <w:rFonts w:cstheme="minorHAnsi"/>
                      <w:sz w:val="20"/>
                      <w:szCs w:val="20"/>
                    </w:rPr>
                    <w:br/>
                  </w:r>
                  <w:r>
                    <w:rPr>
                      <w:rFonts w:cstheme="minorHAnsi"/>
                      <w:sz w:val="20"/>
                      <w:szCs w:val="20"/>
                    </w:rPr>
                    <w:br/>
                  </w:r>
                  <w:r w:rsidR="00820EAF">
                    <w:rPr>
                      <w:rFonts w:cstheme="minorHAnsi"/>
                      <w:sz w:val="20"/>
                      <w:szCs w:val="20"/>
                    </w:rPr>
                    <w:t>463579</w:t>
                  </w:r>
                </w:p>
              </w:tc>
              <w:tc>
                <w:tcPr>
                  <w:tcW w:w="813" w:type="pct"/>
                </w:tcPr>
                <w:p w:rsidR="00C95E42" w:rsidRPr="00DB21D0" w:rsidRDefault="00C95E42" w:rsidP="00C95E42">
                  <w:pPr>
                    <w:rPr>
                      <w:rFonts w:cstheme="minorHAnsi"/>
                      <w:sz w:val="20"/>
                      <w:szCs w:val="20"/>
                    </w:rPr>
                  </w:pPr>
                  <w:r w:rsidRPr="00DB21D0">
                    <w:rPr>
                      <w:rFonts w:cstheme="minorHAnsi"/>
                      <w:sz w:val="20"/>
                      <w:szCs w:val="20"/>
                    </w:rPr>
                    <w:t>Multifamily</w:t>
                  </w:r>
                </w:p>
              </w:tc>
              <w:tc>
                <w:tcPr>
                  <w:tcW w:w="1055" w:type="pct"/>
                  <w:hideMark/>
                </w:tcPr>
                <w:p w:rsidR="00C95E42" w:rsidRPr="00DB21D0" w:rsidRDefault="00C95E42" w:rsidP="00C95E42">
                  <w:pPr>
                    <w:rPr>
                      <w:rFonts w:cstheme="minorHAnsi"/>
                      <w:sz w:val="20"/>
                      <w:szCs w:val="20"/>
                    </w:rPr>
                  </w:pPr>
                  <w:r w:rsidRPr="00DB21D0">
                    <w:rPr>
                      <w:rFonts w:cstheme="minorHAnsi"/>
                      <w:sz w:val="20"/>
                      <w:szCs w:val="20"/>
                    </w:rPr>
                    <w:t xml:space="preserve">Programmable Variable Speed Drive on Pool Pump Control </w:t>
                  </w:r>
                </w:p>
              </w:tc>
              <w:tc>
                <w:tcPr>
                  <w:tcW w:w="609" w:type="pct"/>
                  <w:hideMark/>
                </w:tcPr>
                <w:p w:rsidR="00C95E42" w:rsidRPr="00DB21D0" w:rsidRDefault="00A41918" w:rsidP="00C95E42">
                  <w:pPr>
                    <w:rPr>
                      <w:rFonts w:cstheme="minorHAnsi"/>
                      <w:szCs w:val="20"/>
                    </w:rPr>
                  </w:pPr>
                  <w:r>
                    <w:rPr>
                      <w:rFonts w:cstheme="minorHAnsi"/>
                      <w:szCs w:val="20"/>
                    </w:rPr>
                    <w:t>ER/AR</w:t>
                  </w:r>
                  <w:r>
                    <w:rPr>
                      <w:rFonts w:cstheme="minorHAnsi"/>
                      <w:szCs w:val="20"/>
                    </w:rPr>
                    <w:br/>
                  </w:r>
                  <w:r>
                    <w:rPr>
                      <w:rFonts w:cstheme="minorHAnsi"/>
                      <w:szCs w:val="20"/>
                    </w:rPr>
                    <w:br/>
                  </w:r>
                  <w:r w:rsidR="00C95E42" w:rsidRPr="00DB21D0">
                    <w:rPr>
                      <w:rFonts w:cstheme="minorHAnsi"/>
                      <w:szCs w:val="20"/>
                    </w:rPr>
                    <w:t>ROB</w:t>
                  </w:r>
                </w:p>
              </w:tc>
              <w:tc>
                <w:tcPr>
                  <w:tcW w:w="773" w:type="pct"/>
                  <w:hideMark/>
                </w:tcPr>
                <w:p w:rsidR="00C95E42" w:rsidRPr="00DB21D0" w:rsidRDefault="00C95E42" w:rsidP="00C95E42">
                  <w:pPr>
                    <w:rPr>
                      <w:rFonts w:cstheme="minorHAnsi"/>
                      <w:szCs w:val="20"/>
                    </w:rPr>
                  </w:pPr>
                  <w:r w:rsidRPr="00DB21D0">
                    <w:rPr>
                      <w:rFonts w:cstheme="minorHAnsi"/>
                      <w:szCs w:val="20"/>
                    </w:rPr>
                    <w:t>Direct Install,</w:t>
                  </w:r>
                </w:p>
                <w:p w:rsidR="00C95E42" w:rsidRPr="00DB21D0" w:rsidRDefault="00C95E42" w:rsidP="00C95E42">
                  <w:pPr>
                    <w:rPr>
                      <w:rFonts w:cstheme="minorHAnsi"/>
                      <w:szCs w:val="20"/>
                    </w:rPr>
                  </w:pPr>
                  <w:r w:rsidRPr="00DB21D0">
                    <w:rPr>
                      <w:rFonts w:cstheme="minorHAnsi"/>
                      <w:szCs w:val="20"/>
                    </w:rPr>
                    <w:t>Down-Stream Incentive</w:t>
                  </w:r>
                </w:p>
              </w:tc>
            </w:tr>
            <w:tr w:rsidR="00820EAF" w:rsidRPr="00DB21D0" w:rsidTr="00C95E42">
              <w:trPr>
                <w:trHeight w:val="457"/>
              </w:trPr>
              <w:tc>
                <w:tcPr>
                  <w:tcW w:w="723" w:type="pct"/>
                  <w:hideMark/>
                </w:tcPr>
                <w:p w:rsidR="00C95E42" w:rsidRPr="00DB21D0" w:rsidRDefault="00C95E42" w:rsidP="00C95E42">
                  <w:pPr>
                    <w:rPr>
                      <w:rFonts w:cstheme="minorHAnsi"/>
                      <w:szCs w:val="20"/>
                    </w:rPr>
                  </w:pPr>
                  <w:r w:rsidRPr="00DB21D0">
                    <w:rPr>
                      <w:rFonts w:cstheme="minorHAnsi"/>
                      <w:szCs w:val="20"/>
                    </w:rPr>
                    <w:t>Measure F</w:t>
                  </w:r>
                </w:p>
              </w:tc>
              <w:tc>
                <w:tcPr>
                  <w:tcW w:w="547" w:type="pct"/>
                  <w:hideMark/>
                </w:tcPr>
                <w:p w:rsidR="00C95E42" w:rsidRPr="00C1610D" w:rsidRDefault="00C95E42" w:rsidP="00C95E42">
                  <w:pPr>
                    <w:jc w:val="center"/>
                    <w:rPr>
                      <w:rFonts w:cstheme="minorHAnsi"/>
                      <w:szCs w:val="20"/>
                    </w:rPr>
                  </w:pPr>
                  <w:r w:rsidRPr="00DB21D0">
                    <w:rPr>
                      <w:rFonts w:ascii="Calibri" w:hAnsi="Calibri"/>
                      <w:szCs w:val="18"/>
                    </w:rPr>
                    <w:t>PM-19753</w:t>
                  </w:r>
                </w:p>
              </w:tc>
              <w:tc>
                <w:tcPr>
                  <w:tcW w:w="479" w:type="pct"/>
                </w:tcPr>
                <w:p w:rsidR="00C95E42" w:rsidRPr="00DB21D0" w:rsidRDefault="00A41918" w:rsidP="00C95E42">
                  <w:pPr>
                    <w:rPr>
                      <w:rFonts w:cstheme="minorHAnsi"/>
                      <w:sz w:val="20"/>
                      <w:szCs w:val="20"/>
                    </w:rPr>
                  </w:pPr>
                  <w:r>
                    <w:rPr>
                      <w:rFonts w:cstheme="minorHAnsi"/>
                      <w:sz w:val="20"/>
                      <w:szCs w:val="20"/>
                    </w:rPr>
                    <w:t>465302</w:t>
                  </w:r>
                  <w:r>
                    <w:rPr>
                      <w:rFonts w:cstheme="minorHAnsi"/>
                      <w:sz w:val="20"/>
                      <w:szCs w:val="20"/>
                    </w:rPr>
                    <w:br/>
                  </w:r>
                  <w:r>
                    <w:rPr>
                      <w:rFonts w:cstheme="minorHAnsi"/>
                      <w:sz w:val="20"/>
                      <w:szCs w:val="20"/>
                    </w:rPr>
                    <w:br/>
                  </w:r>
                  <w:r w:rsidR="00750C46">
                    <w:rPr>
                      <w:rFonts w:cstheme="minorHAnsi"/>
                      <w:sz w:val="20"/>
                      <w:szCs w:val="20"/>
                    </w:rPr>
                    <w:t>464271</w:t>
                  </w:r>
                </w:p>
              </w:tc>
              <w:tc>
                <w:tcPr>
                  <w:tcW w:w="813" w:type="pct"/>
                </w:tcPr>
                <w:p w:rsidR="00C95E42" w:rsidRPr="00DB21D0" w:rsidRDefault="00C95E42" w:rsidP="00C95E42">
                  <w:pPr>
                    <w:rPr>
                      <w:rFonts w:cstheme="minorHAnsi"/>
                      <w:sz w:val="20"/>
                      <w:szCs w:val="20"/>
                    </w:rPr>
                  </w:pPr>
                  <w:r w:rsidRPr="00DB21D0">
                    <w:rPr>
                      <w:rFonts w:cstheme="minorHAnsi"/>
                      <w:sz w:val="20"/>
                      <w:szCs w:val="20"/>
                    </w:rPr>
                    <w:t>Multifamily</w:t>
                  </w:r>
                </w:p>
              </w:tc>
              <w:tc>
                <w:tcPr>
                  <w:tcW w:w="1055" w:type="pct"/>
                  <w:hideMark/>
                </w:tcPr>
                <w:p w:rsidR="00C95E42" w:rsidRPr="00DB21D0" w:rsidRDefault="00C95E42" w:rsidP="00C95E42">
                  <w:pPr>
                    <w:rPr>
                      <w:rFonts w:cstheme="minorHAnsi"/>
                      <w:sz w:val="20"/>
                      <w:szCs w:val="20"/>
                    </w:rPr>
                  </w:pPr>
                  <w:r w:rsidRPr="00DB21D0">
                    <w:rPr>
                      <w:rFonts w:cstheme="minorHAnsi"/>
                      <w:sz w:val="20"/>
                      <w:szCs w:val="20"/>
                    </w:rPr>
                    <w:t xml:space="preserve">Programmable Variable Speed Drive on Pool Pump Control </w:t>
                  </w:r>
                  <w:r w:rsidRPr="00746C49">
                    <w:rPr>
                      <w:rFonts w:cstheme="minorHAnsi"/>
                      <w:b/>
                      <w:sz w:val="20"/>
                      <w:szCs w:val="20"/>
                    </w:rPr>
                    <w:t>Spa Pool</w:t>
                  </w:r>
                </w:p>
              </w:tc>
              <w:tc>
                <w:tcPr>
                  <w:tcW w:w="609" w:type="pct"/>
                  <w:hideMark/>
                </w:tcPr>
                <w:p w:rsidR="00C95E42" w:rsidRPr="00DB21D0" w:rsidRDefault="00A41918" w:rsidP="00C95E42">
                  <w:pPr>
                    <w:rPr>
                      <w:rFonts w:cstheme="minorHAnsi"/>
                      <w:szCs w:val="20"/>
                    </w:rPr>
                  </w:pPr>
                  <w:r>
                    <w:rPr>
                      <w:rFonts w:cstheme="minorHAnsi"/>
                      <w:szCs w:val="20"/>
                    </w:rPr>
                    <w:t>ER/AR</w:t>
                  </w:r>
                  <w:r>
                    <w:rPr>
                      <w:rFonts w:cstheme="minorHAnsi"/>
                      <w:szCs w:val="20"/>
                    </w:rPr>
                    <w:br/>
                  </w:r>
                  <w:r>
                    <w:rPr>
                      <w:rFonts w:cstheme="minorHAnsi"/>
                      <w:szCs w:val="20"/>
                    </w:rPr>
                    <w:br/>
                  </w:r>
                  <w:r w:rsidR="00C95E42" w:rsidRPr="00DB21D0">
                    <w:rPr>
                      <w:rFonts w:cstheme="minorHAnsi"/>
                      <w:szCs w:val="20"/>
                    </w:rPr>
                    <w:t xml:space="preserve">ROB </w:t>
                  </w:r>
                </w:p>
              </w:tc>
              <w:tc>
                <w:tcPr>
                  <w:tcW w:w="773" w:type="pct"/>
                  <w:hideMark/>
                </w:tcPr>
                <w:p w:rsidR="00C95E42" w:rsidRPr="00DB21D0" w:rsidRDefault="00C95E42" w:rsidP="00C95E42">
                  <w:pPr>
                    <w:rPr>
                      <w:rFonts w:cstheme="minorHAnsi"/>
                      <w:szCs w:val="20"/>
                    </w:rPr>
                  </w:pPr>
                  <w:r w:rsidRPr="00DB21D0">
                    <w:rPr>
                      <w:rFonts w:cstheme="minorHAnsi"/>
                      <w:szCs w:val="20"/>
                    </w:rPr>
                    <w:t>Direct Install,</w:t>
                  </w:r>
                </w:p>
                <w:p w:rsidR="00C95E42" w:rsidRPr="00DB21D0" w:rsidRDefault="00C95E42" w:rsidP="00C95E42">
                  <w:pPr>
                    <w:rPr>
                      <w:rFonts w:cstheme="minorHAnsi"/>
                      <w:szCs w:val="20"/>
                    </w:rPr>
                  </w:pPr>
                  <w:r w:rsidRPr="00DB21D0">
                    <w:rPr>
                      <w:rFonts w:cstheme="minorHAnsi"/>
                      <w:szCs w:val="20"/>
                    </w:rPr>
                    <w:t>Down-Stream Incentive,</w:t>
                  </w:r>
                </w:p>
              </w:tc>
            </w:tr>
            <w:tr w:rsidR="00820EAF" w:rsidRPr="00DB21D0" w:rsidTr="00C95E42">
              <w:trPr>
                <w:trHeight w:val="457"/>
              </w:trPr>
              <w:tc>
                <w:tcPr>
                  <w:tcW w:w="723" w:type="pct"/>
                  <w:hideMark/>
                </w:tcPr>
                <w:p w:rsidR="00C95E42" w:rsidRPr="00DB21D0" w:rsidRDefault="00C95E42" w:rsidP="00C95E42">
                  <w:pPr>
                    <w:rPr>
                      <w:rFonts w:cstheme="minorHAnsi"/>
                      <w:szCs w:val="20"/>
                    </w:rPr>
                  </w:pPr>
                  <w:r w:rsidRPr="00DB21D0">
                    <w:rPr>
                      <w:rFonts w:cstheme="minorHAnsi"/>
                      <w:szCs w:val="20"/>
                    </w:rPr>
                    <w:t>Measure G</w:t>
                  </w:r>
                </w:p>
              </w:tc>
              <w:tc>
                <w:tcPr>
                  <w:tcW w:w="547" w:type="pct"/>
                  <w:hideMark/>
                </w:tcPr>
                <w:p w:rsidR="00C95E42" w:rsidRPr="00C1610D" w:rsidRDefault="00C95E42" w:rsidP="00C95E42">
                  <w:pPr>
                    <w:jc w:val="center"/>
                    <w:rPr>
                      <w:rFonts w:cstheme="minorHAnsi"/>
                      <w:szCs w:val="20"/>
                    </w:rPr>
                  </w:pPr>
                  <w:r w:rsidRPr="00DB21D0">
                    <w:rPr>
                      <w:rFonts w:ascii="Calibri" w:hAnsi="Calibri"/>
                      <w:szCs w:val="18"/>
                    </w:rPr>
                    <w:t>PM-19754</w:t>
                  </w:r>
                </w:p>
              </w:tc>
              <w:tc>
                <w:tcPr>
                  <w:tcW w:w="479" w:type="pct"/>
                </w:tcPr>
                <w:p w:rsidR="00C95E42" w:rsidRPr="00DB21D0" w:rsidRDefault="00A41918" w:rsidP="00C95E42">
                  <w:pPr>
                    <w:rPr>
                      <w:rFonts w:cstheme="minorHAnsi"/>
                      <w:sz w:val="20"/>
                      <w:szCs w:val="20"/>
                    </w:rPr>
                  </w:pPr>
                  <w:r>
                    <w:rPr>
                      <w:rFonts w:cstheme="minorHAnsi"/>
                      <w:sz w:val="20"/>
                      <w:szCs w:val="20"/>
                    </w:rPr>
                    <w:t>465303</w:t>
                  </w:r>
                  <w:r>
                    <w:rPr>
                      <w:rFonts w:cstheme="minorHAnsi"/>
                      <w:sz w:val="20"/>
                      <w:szCs w:val="20"/>
                    </w:rPr>
                    <w:br/>
                  </w:r>
                  <w:r>
                    <w:rPr>
                      <w:rFonts w:cstheme="minorHAnsi"/>
                      <w:sz w:val="20"/>
                      <w:szCs w:val="20"/>
                    </w:rPr>
                    <w:br/>
                  </w:r>
                  <w:r w:rsidR="00750C46">
                    <w:rPr>
                      <w:rFonts w:cstheme="minorHAnsi"/>
                      <w:sz w:val="20"/>
                      <w:szCs w:val="20"/>
                    </w:rPr>
                    <w:t>464272</w:t>
                  </w:r>
                </w:p>
              </w:tc>
              <w:tc>
                <w:tcPr>
                  <w:tcW w:w="813" w:type="pct"/>
                </w:tcPr>
                <w:p w:rsidR="00C95E42" w:rsidRPr="00DB21D0" w:rsidRDefault="00C95E42" w:rsidP="00C95E42">
                  <w:pPr>
                    <w:rPr>
                      <w:rFonts w:cstheme="minorHAnsi"/>
                      <w:sz w:val="20"/>
                      <w:szCs w:val="20"/>
                    </w:rPr>
                  </w:pPr>
                  <w:r w:rsidRPr="00DB21D0">
                    <w:rPr>
                      <w:rFonts w:cstheme="minorHAnsi"/>
                      <w:sz w:val="20"/>
                      <w:szCs w:val="20"/>
                    </w:rPr>
                    <w:t>Multifamily</w:t>
                  </w:r>
                </w:p>
              </w:tc>
              <w:tc>
                <w:tcPr>
                  <w:tcW w:w="1055" w:type="pct"/>
                  <w:hideMark/>
                </w:tcPr>
                <w:p w:rsidR="00C95E42" w:rsidRPr="00DB21D0" w:rsidRDefault="00C95E42" w:rsidP="00C95E42">
                  <w:pPr>
                    <w:rPr>
                      <w:rFonts w:cstheme="minorHAnsi"/>
                      <w:sz w:val="20"/>
                      <w:szCs w:val="20"/>
                    </w:rPr>
                  </w:pPr>
                  <w:r w:rsidRPr="00DB21D0">
                    <w:rPr>
                      <w:rFonts w:cstheme="minorHAnsi"/>
                      <w:sz w:val="20"/>
                      <w:szCs w:val="20"/>
                    </w:rPr>
                    <w:t xml:space="preserve">Programmable Variable Speed Drive on Pool Pump Control for </w:t>
                  </w:r>
                  <w:r w:rsidRPr="00746C49">
                    <w:rPr>
                      <w:rFonts w:cstheme="minorHAnsi"/>
                      <w:b/>
                      <w:sz w:val="20"/>
                      <w:szCs w:val="20"/>
                    </w:rPr>
                    <w:t>Wading Pool</w:t>
                  </w:r>
                </w:p>
              </w:tc>
              <w:tc>
                <w:tcPr>
                  <w:tcW w:w="609" w:type="pct"/>
                  <w:hideMark/>
                </w:tcPr>
                <w:p w:rsidR="00C95E42" w:rsidRPr="00DB21D0" w:rsidRDefault="00A41918" w:rsidP="00C95E42">
                  <w:pPr>
                    <w:rPr>
                      <w:rFonts w:cstheme="minorHAnsi"/>
                      <w:szCs w:val="20"/>
                    </w:rPr>
                  </w:pPr>
                  <w:r>
                    <w:rPr>
                      <w:rFonts w:cstheme="minorHAnsi"/>
                      <w:szCs w:val="20"/>
                    </w:rPr>
                    <w:t>ER/AR</w:t>
                  </w:r>
                  <w:r>
                    <w:rPr>
                      <w:rFonts w:cstheme="minorHAnsi"/>
                      <w:szCs w:val="20"/>
                    </w:rPr>
                    <w:br/>
                  </w:r>
                  <w:r>
                    <w:rPr>
                      <w:rFonts w:cstheme="minorHAnsi"/>
                      <w:szCs w:val="20"/>
                    </w:rPr>
                    <w:br/>
                  </w:r>
                  <w:r w:rsidR="00C95E42" w:rsidRPr="00DB21D0">
                    <w:rPr>
                      <w:rFonts w:cstheme="minorHAnsi"/>
                      <w:szCs w:val="20"/>
                    </w:rPr>
                    <w:t xml:space="preserve">ROB </w:t>
                  </w:r>
                </w:p>
              </w:tc>
              <w:tc>
                <w:tcPr>
                  <w:tcW w:w="773" w:type="pct"/>
                  <w:hideMark/>
                </w:tcPr>
                <w:p w:rsidR="00C95E42" w:rsidRPr="00DB21D0" w:rsidRDefault="00C95E42" w:rsidP="00C95E42">
                  <w:pPr>
                    <w:rPr>
                      <w:rFonts w:cstheme="minorHAnsi"/>
                      <w:szCs w:val="20"/>
                    </w:rPr>
                  </w:pPr>
                  <w:r w:rsidRPr="00DB21D0">
                    <w:rPr>
                      <w:rFonts w:cstheme="minorHAnsi"/>
                      <w:szCs w:val="20"/>
                    </w:rPr>
                    <w:t>Direct Install,</w:t>
                  </w:r>
                </w:p>
                <w:p w:rsidR="00C95E42" w:rsidRPr="00DB21D0" w:rsidRDefault="00C95E42" w:rsidP="00C95E42">
                  <w:pPr>
                    <w:rPr>
                      <w:rFonts w:cstheme="minorHAnsi"/>
                      <w:szCs w:val="20"/>
                    </w:rPr>
                  </w:pPr>
                  <w:r w:rsidRPr="00DB21D0">
                    <w:rPr>
                      <w:rFonts w:cstheme="minorHAnsi"/>
                      <w:szCs w:val="20"/>
                    </w:rPr>
                    <w:t>Down-Stream Incentive</w:t>
                  </w:r>
                </w:p>
              </w:tc>
            </w:tr>
          </w:tbl>
          <w:p w:rsidR="00736DEF" w:rsidRPr="00B44AAB" w:rsidRDefault="00736DEF" w:rsidP="00DD4B93">
            <w:pPr>
              <w:rPr>
                <w:szCs w:val="22"/>
              </w:rPr>
            </w:pPr>
          </w:p>
        </w:tc>
      </w:tr>
      <w:tr w:rsidR="00736DEF" w:rsidTr="00971BA3">
        <w:trPr>
          <w:cantSplit/>
        </w:trPr>
        <w:tc>
          <w:tcPr>
            <w:tcW w:w="1502" w:type="dxa"/>
            <w:vAlign w:val="center"/>
          </w:tcPr>
          <w:p w:rsidR="00736DEF" w:rsidRPr="001D77F7" w:rsidRDefault="00736DEF" w:rsidP="001D77F7">
            <w:pPr>
              <w:rPr>
                <w:b/>
              </w:rPr>
            </w:pPr>
            <w:r w:rsidRPr="001D77F7">
              <w:rPr>
                <w:b/>
              </w:rPr>
              <w:t xml:space="preserve">1.2 Technical Description </w:t>
            </w:r>
          </w:p>
        </w:tc>
        <w:tc>
          <w:tcPr>
            <w:tcW w:w="7848" w:type="dxa"/>
          </w:tcPr>
          <w:p w:rsidR="005973F9" w:rsidRPr="005973F9" w:rsidRDefault="005973F9" w:rsidP="005973F9">
            <w:r w:rsidRPr="005973F9">
              <w:t>Variable speed pool pumps allow the reduction of power consumption by running the motor at slower speeds when compared to single or two speed pumps to perform the same task. The speed is able to modulate based on a schedule, or be load based on the type of feedback control tied into the variable speed pool pump. This is in contrast to single or multi-speed pool pumps which run at either a constant speed or have stepped speed levels, typically two-speeds.</w:t>
            </w:r>
          </w:p>
          <w:p w:rsidR="00736DEF" w:rsidRDefault="00736DEF" w:rsidP="00D86243"/>
        </w:tc>
      </w:tr>
      <w:tr w:rsidR="00963B98" w:rsidTr="00971BA3">
        <w:trPr>
          <w:cantSplit/>
        </w:trPr>
        <w:tc>
          <w:tcPr>
            <w:tcW w:w="1502" w:type="dxa"/>
            <w:vAlign w:val="center"/>
          </w:tcPr>
          <w:p w:rsidR="00963B98" w:rsidRPr="00822B6F" w:rsidRDefault="00963B98" w:rsidP="00D86243">
            <w:pPr>
              <w:jc w:val="right"/>
              <w:rPr>
                <w:rFonts w:cs="Arial"/>
                <w:sz w:val="20"/>
                <w:szCs w:val="20"/>
              </w:rPr>
            </w:pPr>
            <w:bookmarkStart w:id="2" w:name="_Hlk524970360"/>
            <w:r>
              <w:rPr>
                <w:rFonts w:cs="Arial"/>
                <w:sz w:val="20"/>
                <w:szCs w:val="20"/>
              </w:rPr>
              <w:lastRenderedPageBreak/>
              <w:t>Requirements</w:t>
            </w:r>
          </w:p>
        </w:tc>
        <w:tc>
          <w:tcPr>
            <w:tcW w:w="7848" w:type="dxa"/>
          </w:tcPr>
          <w:p w:rsidR="00963B98" w:rsidRPr="00963B98" w:rsidRDefault="00963B98" w:rsidP="00963B98">
            <w:pPr>
              <w:spacing w:before="40" w:after="40"/>
              <w:rPr>
                <w:rFonts w:cstheme="minorHAnsi"/>
                <w:b/>
                <w:szCs w:val="22"/>
              </w:rPr>
            </w:pPr>
            <w:r w:rsidRPr="00963B98">
              <w:rPr>
                <w:rFonts w:cstheme="minorHAnsi"/>
                <w:b/>
                <w:szCs w:val="22"/>
              </w:rPr>
              <w:t>Eligibility Requirements</w:t>
            </w:r>
          </w:p>
          <w:p w:rsidR="00963B98" w:rsidRPr="00963B98" w:rsidRDefault="00963B98" w:rsidP="00963B98">
            <w:pPr>
              <w:spacing w:before="40" w:after="40"/>
              <w:rPr>
                <w:rFonts w:cstheme="minorHAnsi"/>
                <w:szCs w:val="22"/>
              </w:rPr>
            </w:pPr>
            <w:r w:rsidRPr="00963B98">
              <w:rPr>
                <w:rFonts w:cstheme="minorHAnsi"/>
                <w:szCs w:val="22"/>
              </w:rPr>
              <w:t xml:space="preserve">The following eligibility requirements apply to all measures in this workpaper. Please see Attachment 5 for more details. </w:t>
            </w:r>
          </w:p>
          <w:p w:rsidR="00963B98" w:rsidRPr="00963B98" w:rsidRDefault="00963B98" w:rsidP="00963B98">
            <w:pPr>
              <w:spacing w:before="40" w:after="40"/>
              <w:rPr>
                <w:rFonts w:cstheme="minorHAnsi"/>
                <w:szCs w:val="22"/>
              </w:rPr>
            </w:pPr>
          </w:p>
          <w:p w:rsidR="00963B98" w:rsidRPr="00963B98" w:rsidRDefault="00963B98" w:rsidP="00963B98">
            <w:pPr>
              <w:numPr>
                <w:ilvl w:val="0"/>
                <w:numId w:val="21"/>
              </w:numPr>
              <w:spacing w:after="160" w:line="276" w:lineRule="auto"/>
              <w:contextualSpacing/>
              <w:jc w:val="both"/>
            </w:pPr>
            <w:r w:rsidRPr="00963B98">
              <w:t xml:space="preserve">Variable speed pool pump must replace existing single or two speed pool pump.  </w:t>
            </w:r>
            <w:r w:rsidRPr="00963B98">
              <w:rPr>
                <w:rFonts w:eastAsiaTheme="minorHAnsi" w:cstheme="minorHAnsi"/>
                <w:szCs w:val="22"/>
              </w:rPr>
              <w:t>For models that require an automatic control system capable of controlling both high and low speeds, a controller must be installed.</w:t>
            </w:r>
          </w:p>
          <w:p w:rsidR="00963B98" w:rsidRPr="00963B98" w:rsidRDefault="00963B98" w:rsidP="00963B98">
            <w:pPr>
              <w:numPr>
                <w:ilvl w:val="0"/>
                <w:numId w:val="21"/>
              </w:numPr>
              <w:contextualSpacing/>
              <w:rPr>
                <w:rFonts w:cstheme="minorHAnsi"/>
                <w:szCs w:val="22"/>
              </w:rPr>
            </w:pPr>
            <w:r w:rsidRPr="00963B98">
              <w:rPr>
                <w:rFonts w:cstheme="minorHAnsi"/>
                <w:szCs w:val="22"/>
              </w:rPr>
              <w:t>Only main filtration pumps are eligible.  Booster pumps which are solely used for added spa jet circulation or secondary pumps used for cleaning purposes are not eligible.</w:t>
            </w:r>
          </w:p>
          <w:p w:rsidR="00963B98" w:rsidRPr="00963B98" w:rsidRDefault="00963B98" w:rsidP="00963B98">
            <w:pPr>
              <w:numPr>
                <w:ilvl w:val="0"/>
                <w:numId w:val="21"/>
              </w:numPr>
              <w:spacing w:before="40" w:after="40"/>
              <w:rPr>
                <w:rFonts w:cstheme="minorHAnsi"/>
                <w:szCs w:val="22"/>
              </w:rPr>
            </w:pPr>
            <w:r w:rsidRPr="00963B98">
              <w:rPr>
                <w:rFonts w:cstheme="minorHAnsi"/>
                <w:szCs w:val="22"/>
              </w:rPr>
              <w:t>It is recommended for the variable speed (VS) pool pump to match the capacity of the pump being replaced.  For this work paper, horsepower rating refers to the nameplate horsepower before service factor is applied.</w:t>
            </w:r>
          </w:p>
          <w:p w:rsidR="00963B98" w:rsidRPr="00963B98" w:rsidRDefault="00963B98" w:rsidP="00963B98">
            <w:pPr>
              <w:numPr>
                <w:ilvl w:val="0"/>
                <w:numId w:val="21"/>
              </w:numPr>
              <w:spacing w:before="40" w:after="40"/>
              <w:rPr>
                <w:rFonts w:cstheme="minorHAnsi"/>
                <w:szCs w:val="22"/>
              </w:rPr>
            </w:pPr>
            <w:r w:rsidRPr="00963B98">
              <w:rPr>
                <w:rFonts w:cstheme="minorHAnsi"/>
                <w:szCs w:val="22"/>
              </w:rPr>
              <w:t>All climate zones are eligible.</w:t>
            </w:r>
          </w:p>
          <w:p w:rsidR="00963B98" w:rsidRPr="00963B98" w:rsidRDefault="00963B98" w:rsidP="00963B98">
            <w:pPr>
              <w:numPr>
                <w:ilvl w:val="0"/>
                <w:numId w:val="21"/>
              </w:numPr>
              <w:contextualSpacing/>
              <w:rPr>
                <w:rFonts w:cstheme="minorHAnsi"/>
                <w:szCs w:val="22"/>
              </w:rPr>
            </w:pPr>
            <w:r w:rsidRPr="00963B98">
              <w:rPr>
                <w:rFonts w:cstheme="minorHAnsi"/>
                <w:szCs w:val="22"/>
              </w:rPr>
              <w:t>Must be configured to meet program pump configuration requirements (see implementation requirements below).</w:t>
            </w:r>
          </w:p>
          <w:p w:rsidR="00963B98" w:rsidRPr="00963B98" w:rsidRDefault="00963B98" w:rsidP="00963B98">
            <w:pPr>
              <w:numPr>
                <w:ilvl w:val="0"/>
                <w:numId w:val="21"/>
              </w:numPr>
              <w:spacing w:before="40" w:after="40"/>
              <w:rPr>
                <w:rFonts w:cstheme="minorHAnsi"/>
                <w:szCs w:val="22"/>
              </w:rPr>
            </w:pPr>
            <w:r w:rsidRPr="00963B98">
              <w:rPr>
                <w:rFonts w:cstheme="minorHAnsi"/>
                <w:szCs w:val="22"/>
              </w:rPr>
              <w:t xml:space="preserve">The following product types are </w:t>
            </w:r>
            <w:r w:rsidRPr="00963B98">
              <w:rPr>
                <w:rFonts w:cstheme="minorHAnsi"/>
                <w:i/>
                <w:szCs w:val="22"/>
              </w:rPr>
              <w:t>not</w:t>
            </w:r>
            <w:r w:rsidRPr="00963B98">
              <w:rPr>
                <w:rFonts w:cstheme="minorHAnsi"/>
                <w:szCs w:val="22"/>
              </w:rPr>
              <w:t xml:space="preserve"> eligible: </w:t>
            </w:r>
          </w:p>
          <w:p w:rsidR="00963B98" w:rsidRPr="00963B98" w:rsidRDefault="00963B98" w:rsidP="00963B98">
            <w:pPr>
              <w:numPr>
                <w:ilvl w:val="1"/>
                <w:numId w:val="21"/>
              </w:numPr>
              <w:spacing w:before="40" w:after="40"/>
              <w:rPr>
                <w:rFonts w:cstheme="minorHAnsi"/>
                <w:szCs w:val="22"/>
              </w:rPr>
            </w:pPr>
            <w:r w:rsidRPr="00963B98">
              <w:rPr>
                <w:rFonts w:cstheme="minorHAnsi"/>
                <w:szCs w:val="22"/>
              </w:rPr>
              <w:t>Rebuilt, refurbished, or reconditioned products</w:t>
            </w:r>
          </w:p>
          <w:p w:rsidR="00963B98" w:rsidRPr="00963B98" w:rsidRDefault="00963B98" w:rsidP="00963B98">
            <w:pPr>
              <w:numPr>
                <w:ilvl w:val="1"/>
                <w:numId w:val="21"/>
              </w:numPr>
              <w:spacing w:before="40" w:after="40"/>
              <w:rPr>
                <w:rFonts w:cstheme="minorHAnsi"/>
                <w:szCs w:val="22"/>
              </w:rPr>
            </w:pPr>
            <w:r w:rsidRPr="00963B98">
              <w:rPr>
                <w:rFonts w:cstheme="minorHAnsi"/>
                <w:szCs w:val="22"/>
              </w:rPr>
              <w:t>Rented or leased products</w:t>
            </w:r>
          </w:p>
          <w:p w:rsidR="00963B98" w:rsidRPr="00963B98" w:rsidRDefault="00963B98" w:rsidP="00963B98">
            <w:pPr>
              <w:numPr>
                <w:ilvl w:val="1"/>
                <w:numId w:val="21"/>
              </w:numPr>
              <w:spacing w:before="40" w:after="40"/>
              <w:rPr>
                <w:rFonts w:cstheme="minorHAnsi"/>
                <w:szCs w:val="22"/>
              </w:rPr>
            </w:pPr>
            <w:r w:rsidRPr="00963B98">
              <w:rPr>
                <w:rFonts w:cstheme="minorHAnsi"/>
                <w:szCs w:val="22"/>
              </w:rPr>
              <w:t>Products won as prizes, or</w:t>
            </w:r>
          </w:p>
          <w:p w:rsidR="00963B98" w:rsidRPr="00963B98" w:rsidRDefault="00963B98" w:rsidP="00963B98">
            <w:pPr>
              <w:numPr>
                <w:ilvl w:val="1"/>
                <w:numId w:val="21"/>
              </w:numPr>
              <w:spacing w:before="40" w:after="40"/>
              <w:rPr>
                <w:rFonts w:cstheme="minorHAnsi"/>
                <w:szCs w:val="22"/>
              </w:rPr>
            </w:pPr>
            <w:r w:rsidRPr="00963B98">
              <w:rPr>
                <w:rFonts w:cstheme="minorHAnsi"/>
                <w:szCs w:val="22"/>
              </w:rPr>
              <w:t>New parts installed in existing units.</w:t>
            </w:r>
          </w:p>
          <w:p w:rsidR="00963B98" w:rsidRPr="00963B98" w:rsidRDefault="00963B98" w:rsidP="00963B98">
            <w:pPr>
              <w:numPr>
                <w:ilvl w:val="0"/>
                <w:numId w:val="21"/>
              </w:numPr>
              <w:contextualSpacing/>
              <w:rPr>
                <w:rFonts w:cstheme="minorHAnsi"/>
                <w:szCs w:val="22"/>
              </w:rPr>
            </w:pPr>
            <w:r>
              <w:rPr>
                <w:rFonts w:cstheme="minorHAnsi"/>
                <w:szCs w:val="22"/>
              </w:rPr>
              <w:t>All ER/AR</w:t>
            </w:r>
            <w:r w:rsidRPr="00963B98">
              <w:rPr>
                <w:rFonts w:cstheme="minorHAnsi"/>
                <w:szCs w:val="22"/>
              </w:rPr>
              <w:t xml:space="preserve"> measures require third party baseline verification and data gathering in full compliance with established POE requirements – Attachment 5.  </w:t>
            </w:r>
          </w:p>
          <w:p w:rsidR="00963B98" w:rsidRPr="00963B98" w:rsidRDefault="00963B98" w:rsidP="00963B98">
            <w:pPr>
              <w:spacing w:before="40" w:after="40"/>
              <w:rPr>
                <w:rFonts w:cstheme="minorHAnsi"/>
                <w:szCs w:val="22"/>
              </w:rPr>
            </w:pPr>
          </w:p>
          <w:p w:rsidR="00963B98" w:rsidRPr="00963B98" w:rsidRDefault="00963B98" w:rsidP="00963B98">
            <w:pPr>
              <w:spacing w:before="40" w:after="40"/>
              <w:rPr>
                <w:rFonts w:cstheme="minorHAnsi"/>
                <w:i/>
                <w:szCs w:val="22"/>
              </w:rPr>
            </w:pPr>
            <w:r w:rsidRPr="00963B98">
              <w:rPr>
                <w:rFonts w:cstheme="minorHAnsi"/>
                <w:i/>
                <w:szCs w:val="22"/>
              </w:rPr>
              <w:t>Single family</w:t>
            </w:r>
          </w:p>
          <w:p w:rsidR="00963B98" w:rsidRPr="00963B98" w:rsidRDefault="00963B98" w:rsidP="00963B98">
            <w:pPr>
              <w:spacing w:before="40" w:after="40"/>
              <w:rPr>
                <w:rFonts w:cstheme="minorHAnsi"/>
                <w:szCs w:val="22"/>
              </w:rPr>
            </w:pPr>
            <w:r w:rsidRPr="00963B98">
              <w:rPr>
                <w:rFonts w:cstheme="minorHAnsi"/>
                <w:szCs w:val="22"/>
              </w:rPr>
              <w:t>The following additional eligibility requirements apply to only Single Family Building types:</w:t>
            </w:r>
          </w:p>
          <w:p w:rsidR="00963B98" w:rsidRPr="00963B98" w:rsidRDefault="00963B98" w:rsidP="00963B98">
            <w:pPr>
              <w:numPr>
                <w:ilvl w:val="0"/>
                <w:numId w:val="21"/>
              </w:numPr>
              <w:spacing w:before="40" w:after="40"/>
              <w:rPr>
                <w:rFonts w:cstheme="minorHAnsi"/>
                <w:szCs w:val="22"/>
              </w:rPr>
            </w:pPr>
            <w:r w:rsidRPr="00963B98">
              <w:rPr>
                <w:rFonts w:cstheme="minorHAnsi"/>
                <w:szCs w:val="22"/>
              </w:rPr>
              <w:t xml:space="preserve">Rebates are available for existing single-family properties which include in-ground pools for private, residential properties.  </w:t>
            </w:r>
          </w:p>
          <w:p w:rsidR="00963B98" w:rsidRPr="00963B98" w:rsidRDefault="00963B98" w:rsidP="00963B98">
            <w:pPr>
              <w:numPr>
                <w:ilvl w:val="0"/>
                <w:numId w:val="21"/>
              </w:numPr>
              <w:spacing w:before="40" w:after="40"/>
              <w:rPr>
                <w:rFonts w:cstheme="minorHAnsi"/>
                <w:szCs w:val="22"/>
              </w:rPr>
            </w:pPr>
            <w:r w:rsidRPr="00963B98">
              <w:rPr>
                <w:rFonts w:cstheme="minorHAnsi"/>
                <w:szCs w:val="22"/>
              </w:rPr>
              <w:t xml:space="preserve">Single Family properties with an active service account(s) served by the utility offering rebate are eligible to participate in the program.  The property must be occupied and the existing pool must not already have a Variable Speed Pool Pump.  </w:t>
            </w:r>
          </w:p>
          <w:p w:rsidR="00963B98" w:rsidRPr="00963B98" w:rsidRDefault="00963B98" w:rsidP="00963B98">
            <w:pPr>
              <w:numPr>
                <w:ilvl w:val="0"/>
                <w:numId w:val="21"/>
              </w:numPr>
              <w:spacing w:before="40" w:after="40"/>
              <w:rPr>
                <w:rFonts w:cstheme="minorHAnsi"/>
                <w:szCs w:val="22"/>
              </w:rPr>
            </w:pPr>
            <w:r w:rsidRPr="00963B98">
              <w:rPr>
                <w:rFonts w:cstheme="minorHAnsi"/>
                <w:szCs w:val="22"/>
              </w:rPr>
              <w:t xml:space="preserve">The existing pool pump must be a single or two speed type unit. </w:t>
            </w:r>
          </w:p>
          <w:p w:rsidR="00963B98" w:rsidRPr="00963B98" w:rsidRDefault="00963B98" w:rsidP="00963B98">
            <w:pPr>
              <w:numPr>
                <w:ilvl w:val="0"/>
                <w:numId w:val="21"/>
              </w:numPr>
              <w:spacing w:before="40" w:after="40"/>
              <w:rPr>
                <w:rFonts w:cstheme="minorHAnsi"/>
                <w:szCs w:val="22"/>
              </w:rPr>
            </w:pPr>
            <w:r w:rsidRPr="00963B98">
              <w:rPr>
                <w:rFonts w:cstheme="minorHAnsi"/>
                <w:szCs w:val="22"/>
              </w:rPr>
              <w:t xml:space="preserve">Only swimming pool pumps are eligible. Spa, wading pool or Jacuzzi pumps are not eligible for single family residences. </w:t>
            </w:r>
          </w:p>
          <w:p w:rsidR="00963B98" w:rsidRPr="00963B98" w:rsidRDefault="00963B98" w:rsidP="00963B98">
            <w:pPr>
              <w:spacing w:before="40" w:after="40"/>
              <w:rPr>
                <w:rFonts w:cstheme="minorHAnsi"/>
                <w:szCs w:val="22"/>
              </w:rPr>
            </w:pPr>
          </w:p>
          <w:p w:rsidR="00963B98" w:rsidRPr="00963B98" w:rsidRDefault="00963B98" w:rsidP="00963B98">
            <w:pPr>
              <w:spacing w:before="40" w:after="40"/>
              <w:rPr>
                <w:rFonts w:cstheme="minorHAnsi"/>
                <w:i/>
                <w:szCs w:val="22"/>
              </w:rPr>
            </w:pPr>
            <w:r w:rsidRPr="00963B98">
              <w:rPr>
                <w:rFonts w:cstheme="minorHAnsi"/>
                <w:i/>
                <w:szCs w:val="22"/>
              </w:rPr>
              <w:t>Multifamily</w:t>
            </w:r>
          </w:p>
          <w:p w:rsidR="00963B98" w:rsidRPr="00963B98" w:rsidRDefault="00963B98" w:rsidP="00963B98">
            <w:pPr>
              <w:spacing w:before="40" w:after="40"/>
              <w:rPr>
                <w:rFonts w:cstheme="minorHAnsi"/>
                <w:szCs w:val="22"/>
              </w:rPr>
            </w:pPr>
            <w:r w:rsidRPr="00963B98">
              <w:rPr>
                <w:rFonts w:cstheme="minorHAnsi"/>
                <w:szCs w:val="22"/>
              </w:rPr>
              <w:t>The following additional eligibility requirements apply to only Multifamily Family Building types:</w:t>
            </w:r>
          </w:p>
          <w:p w:rsidR="00963B98" w:rsidRPr="00963B98" w:rsidRDefault="00963B98" w:rsidP="00963B98">
            <w:pPr>
              <w:numPr>
                <w:ilvl w:val="0"/>
                <w:numId w:val="21"/>
              </w:numPr>
              <w:spacing w:before="40" w:after="40"/>
              <w:rPr>
                <w:rFonts w:cstheme="minorHAnsi"/>
                <w:szCs w:val="22"/>
              </w:rPr>
            </w:pPr>
            <w:r w:rsidRPr="00963B98">
              <w:rPr>
                <w:rFonts w:cstheme="minorHAnsi"/>
                <w:szCs w:val="22"/>
              </w:rPr>
              <w:lastRenderedPageBreak/>
              <w:t xml:space="preserve">Property Owners and Managers of residential multifamily property with an active service account(s) served by rebating utility may be eligible to participate in the programs. </w:t>
            </w:r>
          </w:p>
          <w:p w:rsidR="00963B98" w:rsidRPr="00963B98" w:rsidRDefault="00963B98" w:rsidP="00963B98">
            <w:pPr>
              <w:numPr>
                <w:ilvl w:val="0"/>
                <w:numId w:val="21"/>
              </w:numPr>
              <w:spacing w:before="40" w:after="40"/>
              <w:rPr>
                <w:rFonts w:cstheme="minorHAnsi"/>
                <w:szCs w:val="22"/>
              </w:rPr>
            </w:pPr>
            <w:r w:rsidRPr="00963B98">
              <w:rPr>
                <w:rFonts w:cstheme="minorHAnsi"/>
                <w:szCs w:val="22"/>
              </w:rPr>
              <w:t xml:space="preserve">The following residential properties are eligible for Multi-family pool pump rebates: apartment house pools, residential community pools, townhouse pools, condominium pools, mobile home park pools, and homeowner association pools. </w:t>
            </w:r>
          </w:p>
          <w:p w:rsidR="00963B98" w:rsidRPr="00963B98" w:rsidRDefault="00963B98" w:rsidP="00963B98">
            <w:pPr>
              <w:numPr>
                <w:ilvl w:val="0"/>
                <w:numId w:val="21"/>
              </w:numPr>
              <w:spacing w:before="40" w:after="40"/>
              <w:rPr>
                <w:rFonts w:cstheme="minorHAnsi"/>
                <w:szCs w:val="22"/>
              </w:rPr>
            </w:pPr>
            <w:r w:rsidRPr="00963B98">
              <w:rPr>
                <w:rFonts w:cstheme="minorHAnsi"/>
                <w:szCs w:val="22"/>
              </w:rPr>
              <w:t xml:space="preserve">The following pool types are eligible for Multi-family pool pump rebates: swimming pool, wading pool and spa. </w:t>
            </w:r>
          </w:p>
          <w:p w:rsidR="00963B98" w:rsidRPr="00963B98" w:rsidRDefault="00963B98" w:rsidP="00963B98">
            <w:pPr>
              <w:spacing w:before="40" w:after="40"/>
              <w:rPr>
                <w:rFonts w:cstheme="minorHAnsi"/>
                <w:b/>
                <w:szCs w:val="22"/>
              </w:rPr>
            </w:pPr>
          </w:p>
          <w:p w:rsidR="00963B98" w:rsidRPr="00963B98" w:rsidRDefault="00963B98" w:rsidP="00963B98">
            <w:pPr>
              <w:spacing w:before="40" w:after="40"/>
              <w:rPr>
                <w:rFonts w:cstheme="minorHAnsi"/>
                <w:b/>
                <w:szCs w:val="22"/>
              </w:rPr>
            </w:pPr>
            <w:r w:rsidRPr="00963B98">
              <w:rPr>
                <w:rFonts w:cstheme="minorHAnsi"/>
                <w:b/>
                <w:szCs w:val="22"/>
              </w:rPr>
              <w:t>Implementation Requirements</w:t>
            </w:r>
          </w:p>
          <w:p w:rsidR="00963B98" w:rsidRPr="00963B98" w:rsidRDefault="00963B98" w:rsidP="00963B98">
            <w:pPr>
              <w:spacing w:before="40" w:after="40"/>
              <w:rPr>
                <w:rFonts w:cstheme="minorHAnsi"/>
                <w:szCs w:val="22"/>
              </w:rPr>
            </w:pPr>
            <w:r w:rsidRPr="00963B98">
              <w:rPr>
                <w:rFonts w:cstheme="minorHAnsi"/>
                <w:szCs w:val="22"/>
              </w:rPr>
              <w:t xml:space="preserve">The following implementation requirements apply to all measures in this workpaper. Please see Attachment 5 for more detail and additional requirements. </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Pumps being replaced must be disposed of rather than refurbished and sold.</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 xml:space="preserve">Measure implementation must be completed with both the customer and the installation contractor acknowledgement of energy savings settings. </w:t>
            </w:r>
          </w:p>
          <w:p w:rsidR="00963B98" w:rsidRPr="00963B98" w:rsidRDefault="00963B98" w:rsidP="00963B98">
            <w:pPr>
              <w:numPr>
                <w:ilvl w:val="0"/>
                <w:numId w:val="22"/>
              </w:numPr>
              <w:spacing w:before="40" w:after="40"/>
              <w:rPr>
                <w:rFonts w:cstheme="minorHAnsi"/>
                <w:b/>
                <w:szCs w:val="22"/>
              </w:rPr>
            </w:pPr>
            <w:r w:rsidRPr="00963B98">
              <w:rPr>
                <w:rFonts w:cstheme="minorHAnsi"/>
                <w:szCs w:val="22"/>
              </w:rPr>
              <w:t xml:space="preserve">Self-Installed Measures: Measure B shall be used in applications where the client installs their own variable speed pump, or when no certified contractor is used to installed the equipment. </w:t>
            </w:r>
          </w:p>
          <w:p w:rsidR="00963B98" w:rsidRPr="00963B98" w:rsidRDefault="00963B98" w:rsidP="00963B98">
            <w:pPr>
              <w:numPr>
                <w:ilvl w:val="0"/>
                <w:numId w:val="22"/>
              </w:numPr>
              <w:spacing w:before="40" w:after="40"/>
              <w:rPr>
                <w:rFonts w:cstheme="minorHAnsi"/>
                <w:szCs w:val="22"/>
                <w:u w:val="single"/>
              </w:rPr>
            </w:pPr>
            <w:r w:rsidRPr="00963B98">
              <w:rPr>
                <w:rFonts w:cstheme="minorHAnsi"/>
                <w:szCs w:val="22"/>
                <w:u w:val="single"/>
              </w:rPr>
              <w:t>For Direct Install with Down-stream Incentivized Measures, only utility approved contractors must be used to install.  These approved contractors will undergo both technical and incentive program related training in order to assure proper installation. The contractors will be trained such that they can properly collect and submit the correct information for both Accelerate</w:t>
            </w:r>
            <w:r w:rsidR="00DD4DB4">
              <w:rPr>
                <w:rFonts w:cstheme="minorHAnsi"/>
                <w:szCs w:val="22"/>
                <w:u w:val="single"/>
              </w:rPr>
              <w:t>d Replacement (ER or AR</w:t>
            </w:r>
            <w:r w:rsidRPr="00963B98">
              <w:rPr>
                <w:rFonts w:cstheme="minorHAnsi"/>
                <w:szCs w:val="22"/>
                <w:u w:val="single"/>
              </w:rPr>
              <w:t xml:space="preserve">) and Replace-On-Burnout (ROB) measures. </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 xml:space="preserve">Per measures’ preponderance of evidence (POE) requirements for both single family (SFM) and multi-family (MF) sectors, contractor shall verify and document existing motor characteristics including, but not limited to, single speed or two-speed. </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Before issuing measure incentives, program participants must provide completed POE documentation for each project.</w:t>
            </w:r>
          </w:p>
          <w:p w:rsidR="00963B98" w:rsidRPr="00963B98" w:rsidRDefault="00963B98" w:rsidP="00963B98">
            <w:pPr>
              <w:spacing w:before="40" w:after="40"/>
              <w:ind w:left="720"/>
              <w:rPr>
                <w:rFonts w:cstheme="minorHAnsi"/>
                <w:szCs w:val="22"/>
              </w:rPr>
            </w:pPr>
          </w:p>
          <w:p w:rsidR="00963B98" w:rsidRPr="00963B98" w:rsidRDefault="00963B98" w:rsidP="00963B98">
            <w:pPr>
              <w:spacing w:before="40" w:after="40"/>
              <w:rPr>
                <w:rFonts w:cstheme="minorHAnsi"/>
                <w:i/>
                <w:szCs w:val="22"/>
              </w:rPr>
            </w:pPr>
            <w:r w:rsidRPr="00963B98">
              <w:rPr>
                <w:rFonts w:cstheme="minorHAnsi"/>
                <w:i/>
                <w:szCs w:val="22"/>
              </w:rPr>
              <w:t>Single family</w:t>
            </w:r>
          </w:p>
          <w:p w:rsidR="00963B98" w:rsidRPr="00963B98" w:rsidRDefault="00963B98" w:rsidP="00963B98">
            <w:pPr>
              <w:spacing w:before="40" w:after="40"/>
              <w:rPr>
                <w:rFonts w:cstheme="minorHAnsi"/>
                <w:szCs w:val="22"/>
              </w:rPr>
            </w:pPr>
            <w:r w:rsidRPr="00963B98">
              <w:rPr>
                <w:rFonts w:cstheme="minorHAnsi"/>
                <w:szCs w:val="22"/>
              </w:rPr>
              <w:t>The following implementation requirements apply to only Single Family Building types:</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Only one variable-speed pool pump and motor rebate per residence.</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Programming and Operations</w:t>
            </w:r>
          </w:p>
          <w:p w:rsidR="00963B98" w:rsidRPr="00963B98" w:rsidRDefault="00963B98" w:rsidP="00963B98">
            <w:pPr>
              <w:numPr>
                <w:ilvl w:val="1"/>
                <w:numId w:val="22"/>
              </w:numPr>
              <w:spacing w:before="40" w:after="40"/>
              <w:rPr>
                <w:rFonts w:cstheme="minorHAnsi"/>
                <w:szCs w:val="22"/>
              </w:rPr>
            </w:pPr>
            <w:r w:rsidRPr="00963B98">
              <w:rPr>
                <w:rFonts w:cstheme="minorHAnsi"/>
                <w:szCs w:val="22"/>
              </w:rPr>
              <w:t xml:space="preserve">Filtration settings must be configured to operate outside peak hours, as defined by the utility. Customers must acknowledge and confirm operation on application form in order to be eligible for rebate.  </w:t>
            </w:r>
          </w:p>
          <w:p w:rsidR="00963B98" w:rsidRPr="00963B98" w:rsidRDefault="00963B98" w:rsidP="00963B98">
            <w:pPr>
              <w:spacing w:before="40" w:after="40"/>
              <w:ind w:left="1440"/>
              <w:rPr>
                <w:rFonts w:cstheme="minorHAnsi"/>
                <w:szCs w:val="22"/>
              </w:rPr>
            </w:pPr>
          </w:p>
          <w:p w:rsidR="00963B98" w:rsidRPr="00963B98" w:rsidRDefault="00963B98" w:rsidP="00963B98">
            <w:pPr>
              <w:spacing w:before="40" w:after="40"/>
              <w:rPr>
                <w:rFonts w:cstheme="minorHAnsi"/>
                <w:i/>
                <w:szCs w:val="22"/>
              </w:rPr>
            </w:pPr>
            <w:r w:rsidRPr="00963B98">
              <w:rPr>
                <w:rFonts w:cstheme="minorHAnsi"/>
                <w:i/>
                <w:szCs w:val="22"/>
              </w:rPr>
              <w:t>Multifamily</w:t>
            </w:r>
          </w:p>
          <w:p w:rsidR="00963B98" w:rsidRPr="00963B98" w:rsidRDefault="00963B98" w:rsidP="00963B98">
            <w:pPr>
              <w:spacing w:before="40" w:after="40"/>
              <w:rPr>
                <w:rFonts w:cstheme="minorHAnsi"/>
                <w:szCs w:val="22"/>
              </w:rPr>
            </w:pPr>
            <w:r w:rsidRPr="00963B98">
              <w:rPr>
                <w:rFonts w:cstheme="minorHAnsi"/>
                <w:szCs w:val="22"/>
              </w:rPr>
              <w:lastRenderedPageBreak/>
              <w:t>The following implementation requirements apply to only Multifamily Family Building types:</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Installation must be performed by a contractor approved by the Multifamily Program or one who has the appropriate license and training.</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Contractor must follow all manufacturer installation requirements and comply with all applicable regulations.</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Variable speed pool pump or motor must be a new, qualifying product installed in a pre-existing in-ground spa or wading pool.</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Only one rebate is allowed per spa OR wading pool pumps.</w:t>
            </w:r>
          </w:p>
          <w:p w:rsidR="00963B98" w:rsidRPr="00963B98" w:rsidRDefault="00963B98" w:rsidP="00963B98">
            <w:pPr>
              <w:numPr>
                <w:ilvl w:val="0"/>
                <w:numId w:val="22"/>
              </w:numPr>
              <w:contextualSpacing/>
              <w:rPr>
                <w:rFonts w:cstheme="minorHAnsi"/>
                <w:szCs w:val="22"/>
              </w:rPr>
            </w:pPr>
            <w:r w:rsidRPr="00963B98">
              <w:rPr>
                <w:rFonts w:cstheme="minorHAnsi"/>
                <w:szCs w:val="22"/>
              </w:rPr>
              <w:t>A maximum of 3 rebates are allowed per customer property/site for main filtration pump(s).  Incentive applications for more than one main</w:t>
            </w:r>
            <w:r w:rsidRPr="00963B98">
              <w:rPr>
                <w:rFonts w:cstheme="minorHAnsi"/>
                <w:i/>
                <w:szCs w:val="22"/>
              </w:rPr>
              <w:t xml:space="preserve"> </w:t>
            </w:r>
            <w:r w:rsidRPr="00963B98">
              <w:rPr>
                <w:rFonts w:cstheme="minorHAnsi"/>
                <w:szCs w:val="22"/>
              </w:rPr>
              <w:t xml:space="preserve">filtration pump require supporting documentation verifying existing condition per Authority Having Jurisdiction.  </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Programming and Operations</w:t>
            </w:r>
          </w:p>
          <w:p w:rsidR="00963B98" w:rsidRPr="00963B98" w:rsidRDefault="00963B98" w:rsidP="00963B98">
            <w:pPr>
              <w:numPr>
                <w:ilvl w:val="1"/>
                <w:numId w:val="22"/>
              </w:numPr>
              <w:spacing w:before="40" w:after="40"/>
              <w:rPr>
                <w:rFonts w:cstheme="minorHAnsi"/>
                <w:szCs w:val="22"/>
              </w:rPr>
            </w:pPr>
            <w:r w:rsidRPr="00963B98">
              <w:rPr>
                <w:rFonts w:cstheme="minorHAnsi"/>
                <w:szCs w:val="22"/>
              </w:rPr>
              <w:t xml:space="preserve">During Pool Operating Hours: Variable speed drive setting must be “right sized” to meet turnover requirements as specified by California Code of Regulations, Title 24, Building Standards Code (2016) [505]: Chapter 31B “Public Swimming Pools,” Section 3124B. </w:t>
            </w:r>
          </w:p>
          <w:p w:rsidR="00963B98" w:rsidRPr="00963B98" w:rsidRDefault="00963B98" w:rsidP="00963B98">
            <w:pPr>
              <w:numPr>
                <w:ilvl w:val="1"/>
                <w:numId w:val="22"/>
              </w:numPr>
              <w:spacing w:before="40" w:after="40"/>
              <w:rPr>
                <w:rFonts w:cstheme="minorHAnsi"/>
                <w:szCs w:val="22"/>
              </w:rPr>
            </w:pPr>
            <w:r w:rsidRPr="00963B98">
              <w:rPr>
                <w:rFonts w:cstheme="minorHAnsi"/>
                <w:szCs w:val="22"/>
              </w:rPr>
              <w:t>During Pool Non-Operating Hours: Variable speed drive setting must be configured to at least 50% of full speed operation to achieve energy savings. Running the pump at half speed will theoretically reduce power draw to 1/8 of full power, but actual power draw will likely be higher due to lower motor efficiencies at part load.</w:t>
            </w:r>
          </w:p>
          <w:p w:rsidR="00963B98" w:rsidRPr="00963B98" w:rsidRDefault="00963B98" w:rsidP="00963B98">
            <w:pPr>
              <w:numPr>
                <w:ilvl w:val="0"/>
                <w:numId w:val="22"/>
              </w:numPr>
              <w:spacing w:before="40" w:after="40"/>
              <w:rPr>
                <w:rFonts w:cstheme="minorHAnsi"/>
                <w:szCs w:val="22"/>
              </w:rPr>
            </w:pPr>
            <w:r w:rsidRPr="00963B98">
              <w:rPr>
                <w:rFonts w:cstheme="minorHAnsi"/>
                <w:szCs w:val="22"/>
              </w:rPr>
              <w:t>Environmental Health &amp; Safety (EH&amp;S) Department Permit Requirements</w:t>
            </w:r>
          </w:p>
          <w:p w:rsidR="00963B98" w:rsidRPr="00963B98" w:rsidRDefault="00963B98" w:rsidP="00963B98">
            <w:pPr>
              <w:numPr>
                <w:ilvl w:val="1"/>
                <w:numId w:val="22"/>
              </w:numPr>
              <w:spacing w:before="40" w:after="40"/>
              <w:rPr>
                <w:rFonts w:cstheme="minorHAnsi"/>
                <w:szCs w:val="22"/>
              </w:rPr>
            </w:pPr>
            <w:r w:rsidRPr="00963B98">
              <w:rPr>
                <w:rFonts w:cstheme="minorHAnsi"/>
                <w:szCs w:val="22"/>
              </w:rPr>
              <w:t xml:space="preserve">Must obtain and submit a Permit from the governing Health and Safety Department (i.e. County or City) of jurisdiction, if applicable. </w:t>
            </w:r>
          </w:p>
          <w:p w:rsidR="00963B98" w:rsidRPr="00963B98" w:rsidRDefault="00963B98" w:rsidP="00963B98">
            <w:pPr>
              <w:numPr>
                <w:ilvl w:val="1"/>
                <w:numId w:val="22"/>
              </w:numPr>
              <w:spacing w:before="40" w:after="40"/>
              <w:rPr>
                <w:rFonts w:cstheme="minorHAnsi"/>
                <w:szCs w:val="22"/>
              </w:rPr>
            </w:pPr>
            <w:r w:rsidRPr="00963B98">
              <w:rPr>
                <w:rFonts w:cstheme="minorHAnsi"/>
                <w:szCs w:val="22"/>
              </w:rPr>
              <w:t>Health code requirements and inspections must be passed successfully.</w:t>
            </w:r>
          </w:p>
          <w:p w:rsidR="00963B98" w:rsidRPr="00963B98" w:rsidRDefault="00963B98" w:rsidP="00963B98">
            <w:pPr>
              <w:numPr>
                <w:ilvl w:val="1"/>
                <w:numId w:val="22"/>
              </w:numPr>
              <w:spacing w:before="40" w:after="40"/>
              <w:rPr>
                <w:rFonts w:cstheme="minorHAnsi"/>
                <w:szCs w:val="22"/>
              </w:rPr>
            </w:pPr>
            <w:r w:rsidRPr="00963B98">
              <w:rPr>
                <w:rFonts w:cstheme="minorHAnsi"/>
                <w:szCs w:val="22"/>
              </w:rPr>
              <w:t>EH&amp;S approves size and model of pump for installation, as well as, the required minimum and maximum flow rates based on specific site conditions.</w:t>
            </w:r>
          </w:p>
          <w:p w:rsidR="00963B98" w:rsidRPr="00963B98" w:rsidRDefault="00963B98" w:rsidP="00963B98"/>
          <w:p w:rsidR="00963B98" w:rsidRPr="00963B98" w:rsidRDefault="00963B98" w:rsidP="00963B98">
            <w:pPr>
              <w:rPr>
                <w:b/>
              </w:rPr>
            </w:pPr>
            <w:r w:rsidRPr="00963B98">
              <w:rPr>
                <w:b/>
              </w:rPr>
              <w:t>Data Collection Requirements</w:t>
            </w:r>
          </w:p>
          <w:p w:rsidR="00963B98" w:rsidRPr="00963B98" w:rsidRDefault="00963B98" w:rsidP="00963B98">
            <w:r w:rsidRPr="00963B98">
              <w:t xml:space="preserve">IOU programs will require the collection and submission of several pieces of information and documentation in order to ensure proper conformance to eligibility and implementation requirements. The following are the types of information that will be required for all projects: </w:t>
            </w:r>
          </w:p>
          <w:p w:rsidR="00963B98" w:rsidRPr="00963B98" w:rsidRDefault="00963B98" w:rsidP="00963B98"/>
          <w:p w:rsidR="00963B98" w:rsidRPr="00963B98" w:rsidRDefault="00963B98" w:rsidP="00963B98">
            <w:pPr>
              <w:numPr>
                <w:ilvl w:val="0"/>
                <w:numId w:val="24"/>
              </w:numPr>
              <w:contextualSpacing/>
            </w:pPr>
            <w:r w:rsidRPr="00963B98">
              <w:t>Customer/site information</w:t>
            </w:r>
          </w:p>
          <w:p w:rsidR="00963B98" w:rsidRPr="00963B98" w:rsidRDefault="00963B98" w:rsidP="00963B98">
            <w:pPr>
              <w:numPr>
                <w:ilvl w:val="0"/>
                <w:numId w:val="24"/>
              </w:numPr>
              <w:contextualSpacing/>
            </w:pPr>
            <w:r w:rsidRPr="00963B98">
              <w:t>Existing equipment</w:t>
            </w:r>
          </w:p>
          <w:p w:rsidR="00963B98" w:rsidRPr="00963B98" w:rsidRDefault="00963B98" w:rsidP="00963B98">
            <w:pPr>
              <w:numPr>
                <w:ilvl w:val="0"/>
                <w:numId w:val="24"/>
              </w:numPr>
              <w:contextualSpacing/>
            </w:pPr>
            <w:r w:rsidRPr="00963B98">
              <w:t>Replacement equipment</w:t>
            </w:r>
          </w:p>
          <w:p w:rsidR="00963B98" w:rsidRPr="00963B98" w:rsidRDefault="00963B98" w:rsidP="00963B98">
            <w:pPr>
              <w:numPr>
                <w:ilvl w:val="0"/>
                <w:numId w:val="24"/>
              </w:numPr>
              <w:contextualSpacing/>
            </w:pPr>
            <w:r w:rsidRPr="00963B98">
              <w:t xml:space="preserve">Permits and associated documentation </w:t>
            </w:r>
          </w:p>
          <w:p w:rsidR="00963B98" w:rsidRPr="00963B98" w:rsidRDefault="00963B98" w:rsidP="00963B98">
            <w:pPr>
              <w:numPr>
                <w:ilvl w:val="0"/>
                <w:numId w:val="24"/>
              </w:numPr>
              <w:contextualSpacing/>
            </w:pPr>
            <w:r w:rsidRPr="00963B98">
              <w:t xml:space="preserve">Pump commissioning information. </w:t>
            </w:r>
          </w:p>
          <w:p w:rsidR="00963B98" w:rsidRPr="00963B98" w:rsidRDefault="00963B98" w:rsidP="00963B98">
            <w:pPr>
              <w:numPr>
                <w:ilvl w:val="0"/>
                <w:numId w:val="24"/>
              </w:numPr>
              <w:contextualSpacing/>
            </w:pPr>
            <w:r w:rsidRPr="00963B98">
              <w:lastRenderedPageBreak/>
              <w:t xml:space="preserve">Preponderance of Evidence (POE) Questionnaire – POE establishes verification of existing conditions and data collection requirements for supporting Accelerated Replacement measures.  The questionnaire is intended to evaluate and demonstrate program influence).  Note that POE for both SFM and MFM is documented as part of their corresponding Rebate Application Forms. </w:t>
            </w:r>
          </w:p>
          <w:p w:rsidR="00963B98" w:rsidRPr="00963B98" w:rsidRDefault="00963B98" w:rsidP="00963B98"/>
          <w:p w:rsidR="00963B98" w:rsidRPr="00963B98" w:rsidRDefault="00963B98" w:rsidP="00963B98">
            <w:r w:rsidRPr="00963B98">
              <w:t xml:space="preserve">Please see Attachment 5 for more specific details on data collection requirements. </w:t>
            </w:r>
          </w:p>
          <w:p w:rsidR="00963B98" w:rsidRPr="00963B98" w:rsidRDefault="00963B98" w:rsidP="00963B98"/>
          <w:p w:rsidR="00963B98" w:rsidRPr="00963B98" w:rsidRDefault="00963B98" w:rsidP="00963B98">
            <w:pPr>
              <w:rPr>
                <w:b/>
              </w:rPr>
            </w:pPr>
            <w:r w:rsidRPr="00963B98">
              <w:rPr>
                <w:b/>
              </w:rPr>
              <w:t>Quality Control and Inspections</w:t>
            </w:r>
          </w:p>
          <w:p w:rsidR="00963B98" w:rsidRPr="00963B98" w:rsidRDefault="00963B98" w:rsidP="00963B98">
            <w:r w:rsidRPr="00963B98">
              <w:t>IOU programs will select a percentage of post-installation inspections to establish a performance baseline and/or to ensure that the contractor has met all installation criteria. Inspectors evaluate, and verify all retrofit work. Please see Attachment 5 for more details.</w:t>
            </w:r>
          </w:p>
          <w:p w:rsidR="00963B98" w:rsidRPr="00963B98" w:rsidRDefault="00963B98" w:rsidP="00963B98"/>
          <w:p w:rsidR="00963B98" w:rsidRPr="00963B98" w:rsidRDefault="00963B98" w:rsidP="00963B98">
            <w:r w:rsidRPr="00963B98">
              <w:t>Inspections will serve three main purposes:</w:t>
            </w:r>
          </w:p>
          <w:p w:rsidR="00963B98" w:rsidRPr="00963B98" w:rsidRDefault="00963B98" w:rsidP="00963B98">
            <w:pPr>
              <w:numPr>
                <w:ilvl w:val="0"/>
                <w:numId w:val="23"/>
              </w:numPr>
              <w:spacing w:after="200" w:line="276" w:lineRule="auto"/>
              <w:contextualSpacing/>
            </w:pPr>
            <w:r w:rsidRPr="00963B98">
              <w:t>To verify that equipment claimed for incentive is installed properly and configured per Program requirements.</w:t>
            </w:r>
          </w:p>
          <w:p w:rsidR="00963B98" w:rsidRPr="00963B98" w:rsidRDefault="00963B98" w:rsidP="00963B98">
            <w:pPr>
              <w:numPr>
                <w:ilvl w:val="0"/>
                <w:numId w:val="23"/>
              </w:numPr>
              <w:spacing w:after="200" w:line="276" w:lineRule="auto"/>
              <w:contextualSpacing/>
            </w:pPr>
            <w:r w:rsidRPr="00963B98">
              <w:t>To evaluate and understand program’s effectiveness, and</w:t>
            </w:r>
          </w:p>
          <w:p w:rsidR="00963B98" w:rsidRPr="00963B98" w:rsidRDefault="00963B98" w:rsidP="00963B98">
            <w:pPr>
              <w:numPr>
                <w:ilvl w:val="0"/>
                <w:numId w:val="23"/>
              </w:numPr>
              <w:spacing w:after="200" w:line="276" w:lineRule="auto"/>
              <w:contextualSpacing/>
            </w:pPr>
            <w:r w:rsidRPr="00963B98">
              <w:t>To ensure customer compliance with Program guidelines</w:t>
            </w:r>
          </w:p>
          <w:p w:rsidR="00963B98" w:rsidRPr="00F56BE9" w:rsidRDefault="00963B98" w:rsidP="003263A5">
            <w:pPr>
              <w:rPr>
                <w:rFonts w:cs="Arial"/>
                <w:sz w:val="20"/>
                <w:szCs w:val="20"/>
              </w:rPr>
            </w:pPr>
          </w:p>
        </w:tc>
      </w:tr>
      <w:bookmarkEnd w:id="2"/>
      <w:tr w:rsidR="00963B98" w:rsidTr="00671373">
        <w:trPr>
          <w:cantSplit/>
        </w:trPr>
        <w:tc>
          <w:tcPr>
            <w:tcW w:w="1502" w:type="dxa"/>
          </w:tcPr>
          <w:p w:rsidR="00963B98" w:rsidRPr="00822B6F" w:rsidRDefault="00963B98" w:rsidP="00D86243">
            <w:pPr>
              <w:jc w:val="right"/>
              <w:rPr>
                <w:rFonts w:cs="Arial"/>
                <w:sz w:val="20"/>
                <w:szCs w:val="20"/>
              </w:rPr>
            </w:pPr>
            <w:r w:rsidRPr="001D77F7">
              <w:rPr>
                <w:b/>
              </w:rPr>
              <w:lastRenderedPageBreak/>
              <w:t>1.3 Installation Type and Delivery Mechanisms</w:t>
            </w:r>
          </w:p>
        </w:tc>
        <w:tc>
          <w:tcPr>
            <w:tcW w:w="7848" w:type="dxa"/>
          </w:tcPr>
          <w:tbl>
            <w:tblPr>
              <w:tblStyle w:val="TableGrid1"/>
              <w:tblW w:w="5000" w:type="pct"/>
              <w:tblLook w:val="04A0" w:firstRow="1" w:lastRow="0" w:firstColumn="1" w:lastColumn="0" w:noHBand="0" w:noVBand="1"/>
            </w:tblPr>
            <w:tblGrid>
              <w:gridCol w:w="1977"/>
              <w:gridCol w:w="5645"/>
            </w:tblGrid>
            <w:tr w:rsidR="00963B98" w:rsidRPr="00DB21D0" w:rsidTr="008174F0">
              <w:tc>
                <w:tcPr>
                  <w:tcW w:w="1297" w:type="pct"/>
                  <w:shd w:val="clear" w:color="auto" w:fill="D9D9D9" w:themeFill="background1" w:themeFillShade="D9"/>
                </w:tcPr>
                <w:p w:rsidR="00963B98" w:rsidRPr="00DB21D0" w:rsidRDefault="00963B98" w:rsidP="00971BA3">
                  <w:pPr>
                    <w:rPr>
                      <w:b/>
                      <w:sz w:val="18"/>
                      <w:szCs w:val="18"/>
                    </w:rPr>
                  </w:pPr>
                  <w:r w:rsidRPr="00DB21D0">
                    <w:rPr>
                      <w:b/>
                      <w:sz w:val="18"/>
                      <w:szCs w:val="18"/>
                    </w:rPr>
                    <w:t>Delivery Method</w:t>
                  </w:r>
                </w:p>
              </w:tc>
              <w:tc>
                <w:tcPr>
                  <w:tcW w:w="3703" w:type="pct"/>
                  <w:shd w:val="clear" w:color="auto" w:fill="D9D9D9" w:themeFill="background1" w:themeFillShade="D9"/>
                </w:tcPr>
                <w:p w:rsidR="00963B98" w:rsidRPr="00DB21D0" w:rsidRDefault="00963B98" w:rsidP="00971BA3">
                  <w:pPr>
                    <w:rPr>
                      <w:b/>
                      <w:sz w:val="18"/>
                      <w:szCs w:val="18"/>
                    </w:rPr>
                  </w:pPr>
                  <w:r w:rsidRPr="00DB21D0">
                    <w:rPr>
                      <w:b/>
                      <w:sz w:val="18"/>
                      <w:szCs w:val="18"/>
                    </w:rPr>
                    <w:t>Description</w:t>
                  </w:r>
                </w:p>
              </w:tc>
            </w:tr>
            <w:tr w:rsidR="00963B98" w:rsidRPr="00DB21D0" w:rsidTr="008174F0">
              <w:tc>
                <w:tcPr>
                  <w:tcW w:w="1297" w:type="pct"/>
                </w:tcPr>
                <w:p w:rsidR="00963B98" w:rsidRPr="00DB21D0" w:rsidRDefault="00963B98" w:rsidP="00971BA3">
                  <w:pPr>
                    <w:pStyle w:val="NoSpacing"/>
                    <w:rPr>
                      <w:sz w:val="18"/>
                      <w:szCs w:val="18"/>
                    </w:rPr>
                  </w:pPr>
                  <w:r w:rsidRPr="00DB21D0">
                    <w:rPr>
                      <w:rFonts w:eastAsiaTheme="minorHAnsi" w:cs="BookAntiqua"/>
                      <w:sz w:val="18"/>
                      <w:szCs w:val="18"/>
                    </w:rPr>
                    <w:t>Financial Support</w:t>
                  </w:r>
                </w:p>
              </w:tc>
              <w:tc>
                <w:tcPr>
                  <w:tcW w:w="3703" w:type="pct"/>
                </w:tcPr>
                <w:p w:rsidR="00963B98" w:rsidRPr="00DB21D0" w:rsidRDefault="00963B98" w:rsidP="00971BA3">
                  <w:pPr>
                    <w:pStyle w:val="NoSpacing"/>
                    <w:rPr>
                      <w:sz w:val="18"/>
                      <w:szCs w:val="18"/>
                    </w:rPr>
                  </w:pPr>
                  <w:r w:rsidRPr="00DB21D0">
                    <w:rPr>
                      <w:rFonts w:eastAsiaTheme="minorHAnsi" w:cs="BookAntiqua"/>
                      <w:sz w:val="18"/>
                      <w:szCs w:val="18"/>
                    </w:rPr>
                    <w:t>The program motivates customers, through financial incentives such as rebates or low interest loans, to implement energy efficient measures or projects.</w:t>
                  </w:r>
                </w:p>
              </w:tc>
            </w:tr>
            <w:tr w:rsidR="00963B98" w:rsidRPr="00DB21D0" w:rsidTr="008174F0">
              <w:tc>
                <w:tcPr>
                  <w:tcW w:w="1297" w:type="pct"/>
                </w:tcPr>
                <w:p w:rsidR="00963B98" w:rsidRPr="00DB21D0" w:rsidRDefault="00963B98" w:rsidP="00971BA3">
                  <w:pPr>
                    <w:pStyle w:val="NoSpacing"/>
                    <w:rPr>
                      <w:rFonts w:cs="BookAntiqua"/>
                      <w:sz w:val="18"/>
                      <w:szCs w:val="18"/>
                    </w:rPr>
                  </w:pPr>
                  <w:r>
                    <w:rPr>
                      <w:rFonts w:eastAsiaTheme="minorHAnsi" w:cstheme="minorBidi"/>
                      <w:sz w:val="18"/>
                      <w:szCs w:val="18"/>
                    </w:rPr>
                    <w:t>Mid-Stream Programs</w:t>
                  </w:r>
                </w:p>
              </w:tc>
              <w:tc>
                <w:tcPr>
                  <w:tcW w:w="3703" w:type="pct"/>
                </w:tcPr>
                <w:p w:rsidR="00963B98" w:rsidRPr="00DB21D0" w:rsidRDefault="00963B98" w:rsidP="00971BA3">
                  <w:pPr>
                    <w:pStyle w:val="NoSpacing"/>
                    <w:rPr>
                      <w:rFonts w:cs="BookAntiqua"/>
                      <w:sz w:val="18"/>
                      <w:szCs w:val="18"/>
                    </w:rPr>
                  </w:pPr>
                  <w:r w:rsidRPr="003D2981">
                    <w:rPr>
                      <w:rFonts w:cs="Helv"/>
                      <w:i/>
                      <w:sz w:val="18"/>
                      <w:szCs w:val="18"/>
                    </w:rPr>
                    <w:t xml:space="preserve">See Mid-Stream Incentive in the </w:t>
                  </w:r>
                  <w:r w:rsidRPr="003D2981">
                    <w:rPr>
                      <w:i/>
                      <w:sz w:val="18"/>
                      <w:szCs w:val="18"/>
                    </w:rPr>
                    <w:t>Incentive Method Descriptions table.</w:t>
                  </w:r>
                </w:p>
              </w:tc>
            </w:tr>
          </w:tbl>
          <w:p w:rsidR="00963B98" w:rsidRDefault="00963B98" w:rsidP="00971BA3">
            <w:pPr>
              <w:rPr>
                <w:rFonts w:cs="Arial"/>
                <w:sz w:val="20"/>
                <w:szCs w:val="20"/>
              </w:rPr>
            </w:pPr>
          </w:p>
          <w:tbl>
            <w:tblPr>
              <w:tblStyle w:val="TableGrid1"/>
              <w:tblW w:w="5000" w:type="pct"/>
              <w:tblLook w:val="04A0" w:firstRow="1" w:lastRow="0" w:firstColumn="1" w:lastColumn="0" w:noHBand="0" w:noVBand="1"/>
            </w:tblPr>
            <w:tblGrid>
              <w:gridCol w:w="1977"/>
              <w:gridCol w:w="5645"/>
            </w:tblGrid>
            <w:tr w:rsidR="00963B98" w:rsidRPr="00DB21D0" w:rsidTr="008174F0">
              <w:tc>
                <w:tcPr>
                  <w:tcW w:w="1297" w:type="pct"/>
                  <w:shd w:val="clear" w:color="auto" w:fill="D9D9D9" w:themeFill="background1" w:themeFillShade="D9"/>
                </w:tcPr>
                <w:p w:rsidR="00963B98" w:rsidRPr="00DB21D0" w:rsidRDefault="00963B98" w:rsidP="00971BA3">
                  <w:pPr>
                    <w:rPr>
                      <w:b/>
                      <w:sz w:val="18"/>
                      <w:szCs w:val="18"/>
                    </w:rPr>
                  </w:pPr>
                  <w:r w:rsidRPr="00DB21D0">
                    <w:rPr>
                      <w:b/>
                      <w:sz w:val="18"/>
                      <w:szCs w:val="18"/>
                    </w:rPr>
                    <w:t>Incentive Method</w:t>
                  </w:r>
                </w:p>
              </w:tc>
              <w:tc>
                <w:tcPr>
                  <w:tcW w:w="3703" w:type="pct"/>
                  <w:shd w:val="clear" w:color="auto" w:fill="D9D9D9" w:themeFill="background1" w:themeFillShade="D9"/>
                </w:tcPr>
                <w:p w:rsidR="00963B98" w:rsidRPr="00DB21D0" w:rsidRDefault="00963B98" w:rsidP="00971BA3">
                  <w:pPr>
                    <w:rPr>
                      <w:b/>
                      <w:sz w:val="18"/>
                      <w:szCs w:val="18"/>
                    </w:rPr>
                  </w:pPr>
                  <w:r w:rsidRPr="00DB21D0">
                    <w:rPr>
                      <w:b/>
                      <w:sz w:val="18"/>
                      <w:szCs w:val="18"/>
                    </w:rPr>
                    <w:t>Description</w:t>
                  </w:r>
                </w:p>
              </w:tc>
            </w:tr>
            <w:tr w:rsidR="00963B98" w:rsidRPr="00DB21D0" w:rsidTr="008174F0">
              <w:tc>
                <w:tcPr>
                  <w:tcW w:w="1297" w:type="pct"/>
                </w:tcPr>
                <w:p w:rsidR="00963B98" w:rsidRPr="00DB21D0" w:rsidRDefault="00963B98" w:rsidP="00971BA3">
                  <w:pPr>
                    <w:autoSpaceDE w:val="0"/>
                    <w:autoSpaceDN w:val="0"/>
                    <w:adjustRightInd w:val="0"/>
                    <w:spacing w:line="240" w:lineRule="atLeast"/>
                    <w:rPr>
                      <w:sz w:val="18"/>
                      <w:szCs w:val="18"/>
                    </w:rPr>
                  </w:pPr>
                  <w:r w:rsidRPr="00DB21D0">
                    <w:rPr>
                      <w:rFonts w:cs="Helv"/>
                      <w:sz w:val="18"/>
                      <w:szCs w:val="18"/>
                    </w:rPr>
                    <w:t>Direct Install</w:t>
                  </w:r>
                </w:p>
              </w:tc>
              <w:tc>
                <w:tcPr>
                  <w:tcW w:w="3703" w:type="pct"/>
                </w:tcPr>
                <w:p w:rsidR="00963B98" w:rsidRPr="00DB21D0" w:rsidRDefault="00963B98" w:rsidP="00971BA3">
                  <w:pPr>
                    <w:autoSpaceDE w:val="0"/>
                    <w:autoSpaceDN w:val="0"/>
                    <w:adjustRightInd w:val="0"/>
                    <w:rPr>
                      <w:sz w:val="18"/>
                      <w:szCs w:val="18"/>
                    </w:rPr>
                  </w:pPr>
                  <w:r w:rsidRPr="00DB21D0">
                    <w:rPr>
                      <w:rFonts w:cs="Helv"/>
                      <w:sz w:val="18"/>
                      <w:szCs w:val="18"/>
                    </w:rPr>
                    <w:t xml:space="preserve">The program </w:t>
                  </w:r>
                  <w:r w:rsidRPr="00DB21D0">
                    <w:rPr>
                      <w:sz w:val="18"/>
                      <w:szCs w:val="18"/>
                    </w:rPr>
                    <w:t>implements energy efficiency measures for qualifying customers, at no cost to the customer.</w:t>
                  </w:r>
                </w:p>
              </w:tc>
            </w:tr>
            <w:tr w:rsidR="00963B98" w:rsidRPr="00DB21D0" w:rsidTr="008174F0">
              <w:tc>
                <w:tcPr>
                  <w:tcW w:w="1297" w:type="pct"/>
                </w:tcPr>
                <w:p w:rsidR="00963B98" w:rsidRPr="00DB21D0" w:rsidRDefault="00963B98" w:rsidP="00971BA3">
                  <w:pPr>
                    <w:autoSpaceDE w:val="0"/>
                    <w:autoSpaceDN w:val="0"/>
                    <w:adjustRightInd w:val="0"/>
                    <w:spacing w:line="240" w:lineRule="atLeast"/>
                    <w:rPr>
                      <w:sz w:val="18"/>
                      <w:szCs w:val="18"/>
                    </w:rPr>
                  </w:pPr>
                  <w:r w:rsidRPr="00DB21D0">
                    <w:rPr>
                      <w:rFonts w:cs="Helv"/>
                      <w:sz w:val="18"/>
                      <w:szCs w:val="18"/>
                    </w:rPr>
                    <w:t>Down-Stream Incentive</w:t>
                  </w:r>
                </w:p>
              </w:tc>
              <w:tc>
                <w:tcPr>
                  <w:tcW w:w="3703" w:type="pct"/>
                </w:tcPr>
                <w:p w:rsidR="00963B98" w:rsidRPr="00DB21D0" w:rsidRDefault="00963B98" w:rsidP="00971BA3">
                  <w:pPr>
                    <w:autoSpaceDE w:val="0"/>
                    <w:autoSpaceDN w:val="0"/>
                    <w:adjustRightInd w:val="0"/>
                    <w:spacing w:line="240" w:lineRule="atLeast"/>
                    <w:rPr>
                      <w:sz w:val="18"/>
                      <w:szCs w:val="18"/>
                    </w:rPr>
                  </w:pPr>
                  <w:r w:rsidRPr="00DB21D0">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963B98" w:rsidRPr="00DB21D0" w:rsidTr="008174F0">
              <w:tc>
                <w:tcPr>
                  <w:tcW w:w="1297" w:type="pct"/>
                </w:tcPr>
                <w:p w:rsidR="00963B98" w:rsidRDefault="00963B98" w:rsidP="00971BA3">
                  <w:pPr>
                    <w:autoSpaceDE w:val="0"/>
                    <w:autoSpaceDN w:val="0"/>
                    <w:adjustRightInd w:val="0"/>
                    <w:spacing w:line="240" w:lineRule="atLeast"/>
                    <w:rPr>
                      <w:rFonts w:cs="Helv"/>
                      <w:sz w:val="18"/>
                      <w:szCs w:val="18"/>
                    </w:rPr>
                  </w:pPr>
                  <w:r w:rsidRPr="00920905">
                    <w:rPr>
                      <w:rFonts w:cs="Helv"/>
                      <w:sz w:val="18"/>
                      <w:szCs w:val="18"/>
                    </w:rPr>
                    <w:t>Mid-Stream Incentive</w:t>
                  </w:r>
                </w:p>
                <w:p w:rsidR="00963B98" w:rsidRPr="00DB21D0" w:rsidRDefault="00963B98" w:rsidP="00971BA3">
                  <w:pPr>
                    <w:autoSpaceDE w:val="0"/>
                    <w:autoSpaceDN w:val="0"/>
                    <w:adjustRightInd w:val="0"/>
                    <w:spacing w:line="240" w:lineRule="atLeast"/>
                    <w:rPr>
                      <w:rFonts w:cs="Helv"/>
                      <w:sz w:val="18"/>
                      <w:szCs w:val="18"/>
                    </w:rPr>
                  </w:pPr>
                  <w:r w:rsidRPr="00920905">
                    <w:rPr>
                      <w:rFonts w:cs="Helv"/>
                      <w:sz w:val="18"/>
                      <w:szCs w:val="18"/>
                    </w:rPr>
                    <w:t xml:space="preserve">Mid-Stream </w:t>
                  </w:r>
                  <w:r>
                    <w:rPr>
                      <w:rFonts w:cs="Helv"/>
                      <w:sz w:val="18"/>
                      <w:szCs w:val="18"/>
                    </w:rPr>
                    <w:t>Buy Down</w:t>
                  </w:r>
                </w:p>
              </w:tc>
              <w:tc>
                <w:tcPr>
                  <w:tcW w:w="3703" w:type="pct"/>
                </w:tcPr>
                <w:p w:rsidR="00963B98" w:rsidRPr="00DB21D0" w:rsidRDefault="00963B98" w:rsidP="00971BA3">
                  <w:pPr>
                    <w:autoSpaceDE w:val="0"/>
                    <w:autoSpaceDN w:val="0"/>
                    <w:adjustRightInd w:val="0"/>
                    <w:spacing w:line="240" w:lineRule="atLeast"/>
                    <w:rPr>
                      <w:rFonts w:cs="Helv"/>
                      <w:sz w:val="18"/>
                      <w:szCs w:val="18"/>
                    </w:rPr>
                  </w:pPr>
                  <w:r w:rsidRPr="00920905">
                    <w:rPr>
                      <w:rFonts w:cs="Helv"/>
                      <w:sz w:val="18"/>
                      <w:szCs w:val="18"/>
                    </w:rPr>
                    <w:t>The program gives a financial incentive to a midstream market actor</w:t>
                  </w:r>
                  <w:r>
                    <w:rPr>
                      <w:rFonts w:cs="Helv"/>
                      <w:sz w:val="18"/>
                      <w:szCs w:val="18"/>
                    </w:rPr>
                    <w:t xml:space="preserve"> (distributor,</w:t>
                  </w:r>
                  <w:r w:rsidRPr="00920905">
                    <w:rPr>
                      <w:rFonts w:cs="Helv"/>
                      <w:sz w:val="18"/>
                      <w:szCs w:val="18"/>
                    </w:rPr>
                    <w:t xml:space="preserve"> </w:t>
                  </w:r>
                  <w:r>
                    <w:rPr>
                      <w:rFonts w:cs="Helv"/>
                      <w:sz w:val="18"/>
                      <w:szCs w:val="18"/>
                    </w:rPr>
                    <w:t>vendor, or retailer)</w:t>
                  </w:r>
                  <w:r w:rsidRPr="00920905">
                    <w:rPr>
                      <w:rFonts w:cs="Helv"/>
                      <w:sz w:val="18"/>
                      <w:szCs w:val="18"/>
                    </w:rPr>
                    <w:t xml:space="preserve"> to encourage the p</w:t>
                  </w:r>
                  <w:r>
                    <w:rPr>
                      <w:rFonts w:cs="Helv"/>
                      <w:sz w:val="18"/>
                      <w:szCs w:val="18"/>
                    </w:rPr>
                    <w:t>romotion of efficient measures.</w:t>
                  </w:r>
                  <w:r w:rsidRPr="00920905">
                    <w:rPr>
                      <w:rFonts w:cs="Helv"/>
                      <w:sz w:val="18"/>
                      <w:szCs w:val="18"/>
                    </w:rPr>
                    <w:t xml:space="preserve"> </w:t>
                  </w:r>
                  <w:r>
                    <w:rPr>
                      <w:rFonts w:cs="Helv"/>
                      <w:sz w:val="18"/>
                      <w:szCs w:val="18"/>
                    </w:rPr>
                    <w:t>B</w:t>
                  </w:r>
                  <w:r w:rsidRPr="00920905">
                    <w:rPr>
                      <w:rFonts w:cs="Helv"/>
                      <w:sz w:val="18"/>
                      <w:szCs w:val="18"/>
                    </w:rPr>
                    <w:t>uy</w:t>
                  </w:r>
                  <w:r>
                    <w:rPr>
                      <w:rFonts w:cs="Helv"/>
                      <w:sz w:val="18"/>
                      <w:szCs w:val="18"/>
                    </w:rPr>
                    <w:t xml:space="preserve"> D</w:t>
                  </w:r>
                  <w:r w:rsidRPr="00920905">
                    <w:rPr>
                      <w:rFonts w:cs="Helv"/>
                      <w:sz w:val="18"/>
                      <w:szCs w:val="18"/>
                    </w:rPr>
                    <w:t>own</w:t>
                  </w:r>
                  <w:r>
                    <w:rPr>
                      <w:rFonts w:cs="Helv"/>
                      <w:sz w:val="18"/>
                      <w:szCs w:val="18"/>
                    </w:rPr>
                    <w:t xml:space="preserve"> means that the incentive is required to be passed down to the</w:t>
                  </w:r>
                  <w:r w:rsidRPr="00920905">
                    <w:rPr>
                      <w:rFonts w:cs="Helv"/>
                      <w:sz w:val="18"/>
                      <w:szCs w:val="18"/>
                    </w:rPr>
                    <w:t xml:space="preserve"> end-use customer.</w:t>
                  </w:r>
                </w:p>
              </w:tc>
            </w:tr>
          </w:tbl>
          <w:p w:rsidR="00963B98" w:rsidRDefault="00963B98" w:rsidP="00971BA3">
            <w:pPr>
              <w:rPr>
                <w:rFonts w:cs="Arial"/>
                <w:sz w:val="20"/>
                <w:szCs w:val="20"/>
              </w:rPr>
            </w:pPr>
          </w:p>
          <w:p w:rsidR="00963B98" w:rsidRPr="00F56BE9" w:rsidRDefault="00963B98" w:rsidP="003263A5">
            <w:pPr>
              <w:rPr>
                <w:rFonts w:cs="Arial"/>
                <w:sz w:val="20"/>
                <w:szCs w:val="20"/>
              </w:rPr>
            </w:pPr>
          </w:p>
        </w:tc>
      </w:tr>
      <w:tr w:rsidR="00963B98" w:rsidTr="00971BA3">
        <w:trPr>
          <w:cantSplit/>
        </w:trPr>
        <w:tc>
          <w:tcPr>
            <w:tcW w:w="1502" w:type="dxa"/>
            <w:vAlign w:val="center"/>
          </w:tcPr>
          <w:p w:rsidR="00963B98" w:rsidRPr="00822B6F" w:rsidRDefault="00963B98" w:rsidP="00971BA3">
            <w:pPr>
              <w:jc w:val="right"/>
              <w:rPr>
                <w:rFonts w:cs="Arial"/>
                <w:sz w:val="20"/>
                <w:szCs w:val="20"/>
              </w:rPr>
            </w:pPr>
            <w:r w:rsidRPr="00822B6F">
              <w:rPr>
                <w:sz w:val="20"/>
                <w:szCs w:val="20"/>
              </w:rPr>
              <w:t>Installation Type</w:t>
            </w:r>
          </w:p>
        </w:tc>
        <w:tc>
          <w:tcPr>
            <w:tcW w:w="7848" w:type="dxa"/>
          </w:tcPr>
          <w:p w:rsidR="00963B98" w:rsidRPr="00F56BE9" w:rsidRDefault="00963B98" w:rsidP="00971BA3">
            <w:pPr>
              <w:rPr>
                <w:rFonts w:cs="Arial"/>
                <w:sz w:val="20"/>
                <w:szCs w:val="20"/>
              </w:rPr>
            </w:pPr>
            <w:r w:rsidRPr="00D86243">
              <w:rPr>
                <w:rFonts w:cs="Arial"/>
                <w:sz w:val="20"/>
                <w:szCs w:val="20"/>
              </w:rPr>
              <w:t>Replace On Burnout (ROB)</w:t>
            </w:r>
          </w:p>
        </w:tc>
      </w:tr>
      <w:tr w:rsidR="00963B98" w:rsidTr="00971BA3">
        <w:trPr>
          <w:cantSplit/>
        </w:trPr>
        <w:tc>
          <w:tcPr>
            <w:tcW w:w="1502" w:type="dxa"/>
            <w:vAlign w:val="center"/>
          </w:tcPr>
          <w:p w:rsidR="00963B98" w:rsidRPr="00822B6F" w:rsidRDefault="00963B98" w:rsidP="00971BA3">
            <w:pPr>
              <w:jc w:val="right"/>
              <w:rPr>
                <w:rFonts w:cs="Arial"/>
                <w:sz w:val="20"/>
                <w:szCs w:val="20"/>
              </w:rPr>
            </w:pPr>
            <w:r w:rsidRPr="00822B6F">
              <w:rPr>
                <w:sz w:val="20"/>
                <w:szCs w:val="20"/>
              </w:rPr>
              <w:t>Delivery Mechanisms</w:t>
            </w:r>
          </w:p>
        </w:tc>
        <w:tc>
          <w:tcPr>
            <w:tcW w:w="7848" w:type="dxa"/>
          </w:tcPr>
          <w:p w:rsidR="00963B98" w:rsidRPr="00476F40" w:rsidRDefault="00963B98" w:rsidP="00971BA3">
            <w:pPr>
              <w:pStyle w:val="ListParagraph"/>
              <w:numPr>
                <w:ilvl w:val="0"/>
                <w:numId w:val="19"/>
              </w:numPr>
              <w:rPr>
                <w:rFonts w:cs="Arial"/>
                <w:sz w:val="20"/>
                <w:szCs w:val="20"/>
              </w:rPr>
            </w:pPr>
            <w:r w:rsidRPr="00476F40">
              <w:rPr>
                <w:rFonts w:cs="Arial"/>
                <w:sz w:val="20"/>
                <w:szCs w:val="20"/>
              </w:rPr>
              <w:t>Financial Support - Downstream Incentive – Deemed</w:t>
            </w:r>
          </w:p>
          <w:p w:rsidR="00963B98" w:rsidRDefault="00963B98" w:rsidP="00971BA3">
            <w:pPr>
              <w:pStyle w:val="ListParagraph"/>
              <w:numPr>
                <w:ilvl w:val="0"/>
                <w:numId w:val="19"/>
              </w:numPr>
              <w:rPr>
                <w:rFonts w:cs="Arial"/>
                <w:sz w:val="20"/>
                <w:szCs w:val="20"/>
              </w:rPr>
            </w:pPr>
            <w:r w:rsidRPr="00476F40">
              <w:rPr>
                <w:rFonts w:cs="Arial"/>
                <w:sz w:val="20"/>
                <w:szCs w:val="20"/>
              </w:rPr>
              <w:t>Financial Support – Direct Install</w:t>
            </w:r>
          </w:p>
          <w:p w:rsidR="00963B98" w:rsidRDefault="00963B98" w:rsidP="00971BA3">
            <w:pPr>
              <w:pStyle w:val="ListParagraph"/>
              <w:numPr>
                <w:ilvl w:val="0"/>
                <w:numId w:val="19"/>
              </w:numPr>
              <w:rPr>
                <w:rFonts w:cs="Arial"/>
                <w:sz w:val="20"/>
                <w:szCs w:val="20"/>
              </w:rPr>
            </w:pPr>
            <w:r>
              <w:rPr>
                <w:rFonts w:cs="Arial"/>
                <w:sz w:val="20"/>
                <w:szCs w:val="20"/>
              </w:rPr>
              <w:t>Mid-Stream Programs – Mid-Stream Incentive</w:t>
            </w:r>
          </w:p>
          <w:p w:rsidR="00963B98" w:rsidRPr="00F56BE9" w:rsidRDefault="00963B98" w:rsidP="00971BA3">
            <w:pPr>
              <w:rPr>
                <w:rFonts w:cs="Arial"/>
                <w:sz w:val="20"/>
                <w:szCs w:val="20"/>
              </w:rPr>
            </w:pPr>
            <w:r w:rsidRPr="005973F9">
              <w:rPr>
                <w:rFonts w:cs="Arial"/>
                <w:sz w:val="20"/>
                <w:szCs w:val="20"/>
              </w:rPr>
              <w:t>Midstream Programs – Buy Down</w:t>
            </w:r>
          </w:p>
        </w:tc>
      </w:tr>
      <w:tr w:rsidR="00963B98" w:rsidTr="00671373">
        <w:trPr>
          <w:cantSplit/>
        </w:trPr>
        <w:tc>
          <w:tcPr>
            <w:tcW w:w="1502" w:type="dxa"/>
          </w:tcPr>
          <w:p w:rsidR="00963B98" w:rsidRPr="00822B6F" w:rsidRDefault="00963B98" w:rsidP="00971BA3">
            <w:pPr>
              <w:jc w:val="right"/>
              <w:rPr>
                <w:rFonts w:cs="Arial"/>
                <w:sz w:val="20"/>
                <w:szCs w:val="20"/>
              </w:rPr>
            </w:pPr>
            <w:r w:rsidRPr="001D77F7">
              <w:rPr>
                <w:b/>
              </w:rPr>
              <w:lastRenderedPageBreak/>
              <w:t>1.4.1 DEER Data</w:t>
            </w:r>
          </w:p>
        </w:tc>
        <w:tc>
          <w:tcPr>
            <w:tcW w:w="7848" w:type="dxa"/>
          </w:tcPr>
          <w:p w:rsidR="00963B98" w:rsidRPr="00E15615" w:rsidRDefault="00963B98" w:rsidP="00971BA3">
            <w:pPr>
              <w:rPr>
                <w:rFonts w:cs="Arial"/>
                <w:b/>
                <w:sz w:val="20"/>
                <w:szCs w:val="20"/>
              </w:rPr>
            </w:pPr>
          </w:p>
        </w:tc>
      </w:tr>
      <w:tr w:rsidR="00963B98" w:rsidTr="00671373">
        <w:trPr>
          <w:cantSplit/>
        </w:trPr>
        <w:tc>
          <w:tcPr>
            <w:tcW w:w="1502" w:type="dxa"/>
          </w:tcPr>
          <w:p w:rsidR="00963B98" w:rsidRPr="00822B6F" w:rsidRDefault="00963B98" w:rsidP="00971BA3">
            <w:pPr>
              <w:jc w:val="right"/>
              <w:rPr>
                <w:rFonts w:cs="Arial"/>
                <w:sz w:val="20"/>
                <w:szCs w:val="20"/>
              </w:rPr>
            </w:pPr>
            <w:r w:rsidRPr="00822B6F">
              <w:rPr>
                <w:sz w:val="20"/>
                <w:szCs w:val="20"/>
              </w:rPr>
              <w:t>DEER Measure ID</w:t>
            </w:r>
          </w:p>
        </w:tc>
        <w:tc>
          <w:tcPr>
            <w:tcW w:w="7848" w:type="dxa"/>
          </w:tcPr>
          <w:p w:rsidR="00963B98" w:rsidRPr="00E15615" w:rsidRDefault="00963B98" w:rsidP="00971BA3">
            <w:pPr>
              <w:rPr>
                <w:rFonts w:cs="Arial"/>
                <w:b/>
                <w:sz w:val="20"/>
                <w:szCs w:val="20"/>
              </w:rPr>
            </w:pPr>
            <w:r w:rsidRPr="005973F9">
              <w:rPr>
                <w:rFonts w:cs="Arial"/>
                <w:sz w:val="20"/>
                <w:szCs w:val="20"/>
              </w:rPr>
              <w:t>DEER does not contain this type of measure.</w:t>
            </w:r>
          </w:p>
        </w:tc>
      </w:tr>
      <w:tr w:rsidR="00963B98" w:rsidTr="00971BA3">
        <w:trPr>
          <w:cantSplit/>
        </w:trPr>
        <w:tc>
          <w:tcPr>
            <w:tcW w:w="1502" w:type="dxa"/>
            <w:vAlign w:val="center"/>
          </w:tcPr>
          <w:p w:rsidR="00963B98" w:rsidRPr="00822B6F" w:rsidRDefault="00963B98" w:rsidP="00971BA3">
            <w:pPr>
              <w:jc w:val="right"/>
              <w:rPr>
                <w:rFonts w:cs="Arial"/>
                <w:sz w:val="20"/>
                <w:szCs w:val="20"/>
              </w:rPr>
            </w:pPr>
            <w:r w:rsidRPr="00822B6F">
              <w:rPr>
                <w:sz w:val="20"/>
                <w:szCs w:val="20"/>
              </w:rPr>
              <w:t>Net-to-Gross Ratio</w:t>
            </w:r>
          </w:p>
        </w:tc>
        <w:tc>
          <w:tcPr>
            <w:tcW w:w="7848" w:type="dxa"/>
          </w:tcPr>
          <w:p w:rsidR="00963B98" w:rsidRPr="00D86243" w:rsidRDefault="00963B98" w:rsidP="00971BA3">
            <w:pPr>
              <w:rPr>
                <w:rFonts w:cs="Arial"/>
                <w:sz w:val="20"/>
                <w:szCs w:val="20"/>
              </w:rPr>
            </w:pPr>
            <w:r w:rsidRPr="00D86243">
              <w:rPr>
                <w:rFonts w:cs="Arial"/>
                <w:sz w:val="20"/>
                <w:szCs w:val="20"/>
              </w:rPr>
              <w:t>Res-Default&gt;2</w:t>
            </w:r>
            <w:r>
              <w:rPr>
                <w:rFonts w:cs="Arial"/>
                <w:sz w:val="20"/>
                <w:szCs w:val="20"/>
              </w:rPr>
              <w:tab/>
            </w:r>
          </w:p>
        </w:tc>
      </w:tr>
      <w:tr w:rsidR="00963B98" w:rsidTr="00971BA3">
        <w:trPr>
          <w:cantSplit/>
        </w:trPr>
        <w:tc>
          <w:tcPr>
            <w:tcW w:w="1502" w:type="dxa"/>
            <w:vAlign w:val="center"/>
          </w:tcPr>
          <w:p w:rsidR="00963B98" w:rsidRPr="00822B6F" w:rsidRDefault="00963B98" w:rsidP="00971BA3">
            <w:pPr>
              <w:jc w:val="right"/>
              <w:rPr>
                <w:rFonts w:cs="Arial"/>
                <w:sz w:val="20"/>
                <w:szCs w:val="20"/>
              </w:rPr>
            </w:pPr>
            <w:r w:rsidRPr="00822B6F">
              <w:rPr>
                <w:sz w:val="20"/>
                <w:szCs w:val="20"/>
              </w:rPr>
              <w:t>Effective and Remaining Useful Life</w:t>
            </w:r>
          </w:p>
        </w:tc>
        <w:tc>
          <w:tcPr>
            <w:tcW w:w="7848" w:type="dxa"/>
          </w:tcPr>
          <w:p w:rsidR="00963B98" w:rsidRPr="00D86243" w:rsidRDefault="00963B98" w:rsidP="00971BA3">
            <w:pPr>
              <w:rPr>
                <w:rFonts w:cs="Arial"/>
                <w:sz w:val="20"/>
                <w:szCs w:val="20"/>
              </w:rPr>
            </w:pPr>
            <w:r w:rsidRPr="00D86243">
              <w:rPr>
                <w:rFonts w:cs="Arial"/>
                <w:sz w:val="20"/>
                <w:szCs w:val="20"/>
              </w:rPr>
              <w:t>OutD-PoolPump</w:t>
            </w:r>
            <w:r>
              <w:rPr>
                <w:rFonts w:cs="Arial"/>
                <w:sz w:val="20"/>
                <w:szCs w:val="20"/>
              </w:rPr>
              <w:tab/>
            </w:r>
          </w:p>
        </w:tc>
      </w:tr>
      <w:tr w:rsidR="00963B98" w:rsidTr="00671373">
        <w:trPr>
          <w:cantSplit/>
        </w:trPr>
        <w:tc>
          <w:tcPr>
            <w:tcW w:w="1502" w:type="dxa"/>
            <w:vAlign w:val="center"/>
          </w:tcPr>
          <w:p w:rsidR="00963B98" w:rsidRPr="00822B6F" w:rsidRDefault="00963B98" w:rsidP="00971BA3">
            <w:pPr>
              <w:jc w:val="right"/>
              <w:rPr>
                <w:rFonts w:cs="Arial"/>
                <w:sz w:val="20"/>
                <w:szCs w:val="20"/>
              </w:rPr>
            </w:pPr>
            <w:r w:rsidRPr="001D77F7">
              <w:rPr>
                <w:b/>
              </w:rPr>
              <w:t>Section 2. Calculation Methodology</w:t>
            </w:r>
          </w:p>
        </w:tc>
        <w:tc>
          <w:tcPr>
            <w:tcW w:w="7848" w:type="dxa"/>
            <w:vAlign w:val="center"/>
          </w:tcPr>
          <w:p w:rsidR="00963B98" w:rsidRPr="00D86243" w:rsidRDefault="00963B98" w:rsidP="00971BA3">
            <w:pPr>
              <w:rPr>
                <w:rFonts w:cs="Arial"/>
                <w:sz w:val="20"/>
                <w:szCs w:val="20"/>
              </w:rPr>
            </w:pPr>
          </w:p>
        </w:tc>
      </w:tr>
      <w:tr w:rsidR="00963B98" w:rsidTr="00971BA3">
        <w:trPr>
          <w:cantSplit/>
        </w:trPr>
        <w:tc>
          <w:tcPr>
            <w:tcW w:w="1502" w:type="dxa"/>
            <w:vAlign w:val="center"/>
          </w:tcPr>
          <w:p w:rsidR="00963B98" w:rsidRPr="00822B6F" w:rsidRDefault="00963B98" w:rsidP="00971BA3">
            <w:pPr>
              <w:jc w:val="right"/>
              <w:rPr>
                <w:rFonts w:cs="Arial"/>
                <w:sz w:val="20"/>
                <w:szCs w:val="20"/>
              </w:rPr>
            </w:pPr>
            <w:r>
              <w:rPr>
                <w:rFonts w:cs="Arial"/>
                <w:sz w:val="20"/>
                <w:szCs w:val="20"/>
              </w:rPr>
              <w:t>Energy Savings/Peak Demand Reduction – All Measures</w:t>
            </w:r>
          </w:p>
        </w:tc>
        <w:tc>
          <w:tcPr>
            <w:tcW w:w="7848" w:type="dxa"/>
          </w:tcPr>
          <w:tbl>
            <w:tblPr>
              <w:tblW w:w="4958" w:type="pct"/>
              <w:tblLook w:val="04A0" w:firstRow="1" w:lastRow="0" w:firstColumn="1" w:lastColumn="0" w:noHBand="0" w:noVBand="1"/>
            </w:tblPr>
            <w:tblGrid>
              <w:gridCol w:w="2017"/>
              <w:gridCol w:w="1630"/>
              <w:gridCol w:w="1964"/>
              <w:gridCol w:w="1937"/>
            </w:tblGrid>
            <w:tr w:rsidR="00963B98" w:rsidRPr="00DB21D0" w:rsidTr="005B7A24">
              <w:trPr>
                <w:trHeight w:val="287"/>
              </w:trPr>
              <w:tc>
                <w:tcPr>
                  <w:tcW w:w="1336" w:type="pct"/>
                  <w:vMerge w:val="restart"/>
                  <w:tcBorders>
                    <w:top w:val="single" w:sz="8" w:space="0" w:color="auto"/>
                    <w:left w:val="single" w:sz="8" w:space="0" w:color="auto"/>
                    <w:bottom w:val="single" w:sz="4" w:space="0" w:color="auto"/>
                    <w:right w:val="single" w:sz="4" w:space="0" w:color="auto"/>
                  </w:tcBorders>
                  <w:shd w:val="clear" w:color="000000" w:fill="D9D9D9"/>
                  <w:vAlign w:val="center"/>
                  <w:hideMark/>
                </w:tcPr>
                <w:p w:rsidR="00963B98" w:rsidRPr="00DB21D0" w:rsidRDefault="00963B98" w:rsidP="00971BA3">
                  <w:pPr>
                    <w:jc w:val="center"/>
                    <w:rPr>
                      <w:rFonts w:ascii="Calibri" w:hAnsi="Calibri"/>
                      <w:b/>
                      <w:bCs/>
                      <w:sz w:val="20"/>
                      <w:szCs w:val="20"/>
                    </w:rPr>
                  </w:pPr>
                  <w:r>
                    <w:rPr>
                      <w:rFonts w:ascii="Calibri" w:hAnsi="Calibri"/>
                      <w:b/>
                      <w:bCs/>
                      <w:sz w:val="20"/>
                      <w:szCs w:val="20"/>
                    </w:rPr>
                    <w:t>SCE Product Code</w:t>
                  </w:r>
                </w:p>
              </w:tc>
              <w:tc>
                <w:tcPr>
                  <w:tcW w:w="1080" w:type="pct"/>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rsidR="00963B98" w:rsidRPr="00DB21D0" w:rsidRDefault="00963B98" w:rsidP="00971BA3">
                  <w:pPr>
                    <w:jc w:val="center"/>
                    <w:rPr>
                      <w:rFonts w:ascii="Calibri" w:hAnsi="Calibri"/>
                      <w:b/>
                      <w:bCs/>
                      <w:sz w:val="20"/>
                      <w:szCs w:val="20"/>
                    </w:rPr>
                  </w:pPr>
                  <w:r>
                    <w:rPr>
                      <w:rFonts w:ascii="Calibri" w:hAnsi="Calibri"/>
                      <w:b/>
                      <w:bCs/>
                      <w:sz w:val="20"/>
                      <w:szCs w:val="20"/>
                    </w:rPr>
                    <w:t>SDG&amp;E Imp ID</w:t>
                  </w:r>
                </w:p>
              </w:tc>
              <w:tc>
                <w:tcPr>
                  <w:tcW w:w="2584" w:type="pct"/>
                  <w:gridSpan w:val="2"/>
                  <w:tcBorders>
                    <w:top w:val="single" w:sz="8" w:space="0" w:color="auto"/>
                    <w:left w:val="nil"/>
                    <w:bottom w:val="single" w:sz="4" w:space="0" w:color="auto"/>
                    <w:right w:val="single" w:sz="8" w:space="0" w:color="000000"/>
                  </w:tcBorders>
                  <w:shd w:val="clear" w:color="000000" w:fill="D9D9D9"/>
                  <w:vAlign w:val="center"/>
                  <w:hideMark/>
                </w:tcPr>
                <w:p w:rsidR="00963B98" w:rsidRPr="00DB21D0" w:rsidRDefault="00963B98" w:rsidP="00971BA3">
                  <w:pPr>
                    <w:jc w:val="center"/>
                    <w:rPr>
                      <w:rFonts w:ascii="Calibri" w:hAnsi="Calibri"/>
                      <w:b/>
                      <w:bCs/>
                      <w:sz w:val="20"/>
                      <w:szCs w:val="20"/>
                    </w:rPr>
                  </w:pPr>
                  <w:r w:rsidRPr="00DB21D0">
                    <w:rPr>
                      <w:rFonts w:ascii="Calibri" w:hAnsi="Calibri"/>
                      <w:b/>
                      <w:bCs/>
                      <w:sz w:val="20"/>
                      <w:szCs w:val="20"/>
                    </w:rPr>
                    <w:t>All Other CZ Savings</w:t>
                  </w:r>
                </w:p>
              </w:tc>
            </w:tr>
            <w:tr w:rsidR="00963B98" w:rsidRPr="00DB21D0" w:rsidTr="005B7A24">
              <w:trPr>
                <w:trHeight w:val="489"/>
              </w:trPr>
              <w:tc>
                <w:tcPr>
                  <w:tcW w:w="1336" w:type="pct"/>
                  <w:vMerge/>
                  <w:tcBorders>
                    <w:top w:val="single" w:sz="8" w:space="0" w:color="auto"/>
                    <w:left w:val="single" w:sz="8" w:space="0" w:color="auto"/>
                    <w:bottom w:val="single" w:sz="4" w:space="0" w:color="auto"/>
                    <w:right w:val="single" w:sz="4" w:space="0" w:color="auto"/>
                  </w:tcBorders>
                  <w:vAlign w:val="center"/>
                  <w:hideMark/>
                </w:tcPr>
                <w:p w:rsidR="00963B98" w:rsidRPr="00DB21D0" w:rsidRDefault="00963B98" w:rsidP="00971BA3">
                  <w:pPr>
                    <w:rPr>
                      <w:rFonts w:ascii="Calibri" w:hAnsi="Calibri"/>
                      <w:b/>
                      <w:bCs/>
                      <w:sz w:val="20"/>
                      <w:szCs w:val="20"/>
                    </w:rPr>
                  </w:pPr>
                </w:p>
              </w:tc>
              <w:tc>
                <w:tcPr>
                  <w:tcW w:w="1080" w:type="pct"/>
                  <w:vMerge/>
                  <w:tcBorders>
                    <w:top w:val="single" w:sz="8" w:space="0" w:color="auto"/>
                    <w:left w:val="single" w:sz="4" w:space="0" w:color="auto"/>
                    <w:bottom w:val="single" w:sz="4" w:space="0" w:color="auto"/>
                    <w:right w:val="single" w:sz="4" w:space="0" w:color="auto"/>
                  </w:tcBorders>
                  <w:vAlign w:val="center"/>
                  <w:hideMark/>
                </w:tcPr>
                <w:p w:rsidR="00963B98" w:rsidRPr="00DB21D0" w:rsidRDefault="00963B98" w:rsidP="00971BA3">
                  <w:pPr>
                    <w:rPr>
                      <w:rFonts w:ascii="Calibri" w:hAnsi="Calibri"/>
                      <w:b/>
                      <w:bCs/>
                      <w:sz w:val="20"/>
                      <w:szCs w:val="20"/>
                    </w:rPr>
                  </w:pPr>
                </w:p>
              </w:tc>
              <w:tc>
                <w:tcPr>
                  <w:tcW w:w="1301" w:type="pct"/>
                  <w:tcBorders>
                    <w:top w:val="nil"/>
                    <w:left w:val="nil"/>
                    <w:bottom w:val="single" w:sz="4" w:space="0" w:color="auto"/>
                    <w:right w:val="single" w:sz="4" w:space="0" w:color="auto"/>
                  </w:tcBorders>
                  <w:shd w:val="clear" w:color="000000" w:fill="D9D9D9"/>
                  <w:vAlign w:val="center"/>
                  <w:hideMark/>
                </w:tcPr>
                <w:p w:rsidR="00963B98" w:rsidRPr="00DB21D0" w:rsidRDefault="00963B98" w:rsidP="00971BA3">
                  <w:pPr>
                    <w:jc w:val="center"/>
                    <w:rPr>
                      <w:rFonts w:ascii="Calibri" w:hAnsi="Calibri"/>
                      <w:b/>
                      <w:bCs/>
                      <w:sz w:val="20"/>
                      <w:szCs w:val="20"/>
                    </w:rPr>
                  </w:pPr>
                  <w:r w:rsidRPr="00DB21D0">
                    <w:rPr>
                      <w:rFonts w:ascii="Calibri" w:hAnsi="Calibri"/>
                      <w:b/>
                      <w:bCs/>
                      <w:sz w:val="20"/>
                      <w:szCs w:val="20"/>
                    </w:rPr>
                    <w:t>kWh Saving</w:t>
                  </w:r>
                </w:p>
              </w:tc>
              <w:tc>
                <w:tcPr>
                  <w:tcW w:w="1283" w:type="pct"/>
                  <w:tcBorders>
                    <w:top w:val="nil"/>
                    <w:left w:val="nil"/>
                    <w:bottom w:val="single" w:sz="4" w:space="0" w:color="auto"/>
                    <w:right w:val="single" w:sz="8" w:space="0" w:color="auto"/>
                  </w:tcBorders>
                  <w:shd w:val="clear" w:color="000000" w:fill="D9D9D9"/>
                  <w:vAlign w:val="center"/>
                  <w:hideMark/>
                </w:tcPr>
                <w:p w:rsidR="00963B98" w:rsidRPr="00DB21D0" w:rsidRDefault="00963B98" w:rsidP="00971BA3">
                  <w:pPr>
                    <w:jc w:val="center"/>
                    <w:rPr>
                      <w:rFonts w:ascii="Calibri" w:hAnsi="Calibri"/>
                      <w:b/>
                      <w:bCs/>
                      <w:sz w:val="20"/>
                      <w:szCs w:val="20"/>
                    </w:rPr>
                  </w:pPr>
                  <w:r>
                    <w:rPr>
                      <w:rFonts w:ascii="Calibri" w:hAnsi="Calibri"/>
                      <w:b/>
                      <w:bCs/>
                      <w:sz w:val="20"/>
                      <w:szCs w:val="20"/>
                    </w:rPr>
                    <w:t>kW</w:t>
                  </w:r>
                  <w:r w:rsidRPr="00DB21D0">
                    <w:rPr>
                      <w:rFonts w:ascii="Calibri" w:hAnsi="Calibri"/>
                      <w:b/>
                      <w:bCs/>
                      <w:sz w:val="20"/>
                      <w:szCs w:val="20"/>
                    </w:rPr>
                    <w:t xml:space="preserve"> savings</w:t>
                  </w:r>
                </w:p>
              </w:tc>
            </w:tr>
            <w:tr w:rsidR="00963B98" w:rsidRPr="00DB21D0" w:rsidTr="005B7A24">
              <w:trPr>
                <w:trHeight w:val="489"/>
              </w:trPr>
              <w:tc>
                <w:tcPr>
                  <w:tcW w:w="1336" w:type="pct"/>
                  <w:tcBorders>
                    <w:top w:val="nil"/>
                    <w:left w:val="single" w:sz="8" w:space="0" w:color="auto"/>
                    <w:bottom w:val="single" w:sz="4" w:space="0" w:color="auto"/>
                    <w:right w:val="single" w:sz="4" w:space="0" w:color="auto"/>
                  </w:tcBorders>
                  <w:shd w:val="clear" w:color="auto" w:fill="auto"/>
                  <w:vAlign w:val="center"/>
                  <w:hideMark/>
                </w:tcPr>
                <w:p w:rsidR="00963B98" w:rsidRPr="00DB21D0" w:rsidRDefault="00963B98" w:rsidP="00971BA3">
                  <w:pPr>
                    <w:jc w:val="center"/>
                    <w:rPr>
                      <w:rFonts w:ascii="Calibri" w:hAnsi="Calibri"/>
                      <w:sz w:val="20"/>
                      <w:szCs w:val="20"/>
                    </w:rPr>
                  </w:pPr>
                  <w:bookmarkStart w:id="3" w:name="_Hlk524972020"/>
                  <w:r w:rsidRPr="00DB21D0">
                    <w:rPr>
                      <w:rFonts w:ascii="Calibri" w:hAnsi="Calibri"/>
                      <w:sz w:val="20"/>
                      <w:szCs w:val="20"/>
                    </w:rPr>
                    <w:t>Measure A (PM-78394)</w:t>
                  </w:r>
                </w:p>
              </w:tc>
              <w:tc>
                <w:tcPr>
                  <w:tcW w:w="1080" w:type="pct"/>
                  <w:tcBorders>
                    <w:top w:val="nil"/>
                    <w:left w:val="nil"/>
                    <w:bottom w:val="single" w:sz="4" w:space="0" w:color="auto"/>
                    <w:right w:val="single" w:sz="4" w:space="0" w:color="auto"/>
                  </w:tcBorders>
                  <w:shd w:val="clear" w:color="auto" w:fill="auto"/>
                  <w:vAlign w:val="center"/>
                  <w:hideMark/>
                </w:tcPr>
                <w:p w:rsidR="00963B98" w:rsidRPr="00DB21D0" w:rsidRDefault="00963B98" w:rsidP="00971BA3">
                  <w:pPr>
                    <w:jc w:val="center"/>
                    <w:rPr>
                      <w:rFonts w:ascii="Calibri" w:hAnsi="Calibri"/>
                      <w:sz w:val="20"/>
                      <w:szCs w:val="20"/>
                    </w:rPr>
                  </w:pPr>
                  <w:r>
                    <w:rPr>
                      <w:rFonts w:ascii="Calibri" w:hAnsi="Calibri"/>
                      <w:sz w:val="20"/>
                      <w:szCs w:val="20"/>
                    </w:rPr>
                    <w:t>463003</w:t>
                  </w:r>
                </w:p>
              </w:tc>
              <w:tc>
                <w:tcPr>
                  <w:tcW w:w="1301" w:type="pct"/>
                  <w:tcBorders>
                    <w:top w:val="nil"/>
                    <w:left w:val="nil"/>
                    <w:bottom w:val="single" w:sz="4" w:space="0" w:color="auto"/>
                    <w:right w:val="single" w:sz="4" w:space="0" w:color="auto"/>
                  </w:tcBorders>
                  <w:shd w:val="clear" w:color="auto" w:fill="auto"/>
                  <w:vAlign w:val="center"/>
                  <w:hideMark/>
                </w:tcPr>
                <w:p w:rsidR="00963B98" w:rsidRPr="00DB21D0" w:rsidRDefault="00DD4DB4" w:rsidP="00971BA3">
                  <w:pPr>
                    <w:jc w:val="center"/>
                    <w:rPr>
                      <w:rFonts w:ascii="Calibri" w:hAnsi="Calibri"/>
                      <w:sz w:val="20"/>
                      <w:szCs w:val="20"/>
                    </w:rPr>
                  </w:pPr>
                  <w:r>
                    <w:rPr>
                      <w:rFonts w:ascii="Calibri" w:hAnsi="Calibri"/>
                      <w:color w:val="000000"/>
                      <w:sz w:val="20"/>
                      <w:szCs w:val="20"/>
                    </w:rPr>
                    <w:t>1,092.93</w:t>
                  </w:r>
                </w:p>
              </w:tc>
              <w:tc>
                <w:tcPr>
                  <w:tcW w:w="1283" w:type="pct"/>
                  <w:tcBorders>
                    <w:top w:val="nil"/>
                    <w:left w:val="nil"/>
                    <w:bottom w:val="single" w:sz="4" w:space="0" w:color="auto"/>
                    <w:right w:val="single" w:sz="4" w:space="0" w:color="auto"/>
                  </w:tcBorders>
                  <w:shd w:val="clear" w:color="auto" w:fill="auto"/>
                  <w:vAlign w:val="center"/>
                  <w:hideMark/>
                </w:tcPr>
                <w:p w:rsidR="00963B98" w:rsidRPr="00DB21D0" w:rsidRDefault="00DD4DB4" w:rsidP="00971BA3">
                  <w:pPr>
                    <w:jc w:val="center"/>
                    <w:rPr>
                      <w:rFonts w:ascii="Calibri" w:hAnsi="Calibri"/>
                      <w:sz w:val="20"/>
                      <w:szCs w:val="20"/>
                    </w:rPr>
                  </w:pPr>
                  <w:r>
                    <w:rPr>
                      <w:rFonts w:ascii="Calibri" w:hAnsi="Calibri"/>
                      <w:color w:val="000000"/>
                      <w:sz w:val="20"/>
                      <w:szCs w:val="20"/>
                    </w:rPr>
                    <w:t>0.0</w:t>
                  </w:r>
                </w:p>
              </w:tc>
            </w:tr>
            <w:bookmarkEnd w:id="3"/>
            <w:tr w:rsidR="00963B98" w:rsidRPr="00DB21D0" w:rsidTr="005B7A24">
              <w:trPr>
                <w:trHeight w:val="489"/>
              </w:trPr>
              <w:tc>
                <w:tcPr>
                  <w:tcW w:w="1336" w:type="pct"/>
                  <w:tcBorders>
                    <w:top w:val="nil"/>
                    <w:left w:val="single" w:sz="8" w:space="0" w:color="auto"/>
                    <w:bottom w:val="single" w:sz="4" w:space="0" w:color="auto"/>
                    <w:right w:val="single" w:sz="4" w:space="0" w:color="auto"/>
                  </w:tcBorders>
                  <w:shd w:val="clear" w:color="auto" w:fill="auto"/>
                  <w:vAlign w:val="center"/>
                  <w:hideMark/>
                </w:tcPr>
                <w:p w:rsidR="00963B98" w:rsidRPr="00DB21D0" w:rsidRDefault="00963B98" w:rsidP="00971BA3">
                  <w:pPr>
                    <w:jc w:val="center"/>
                    <w:rPr>
                      <w:rFonts w:ascii="Calibri" w:hAnsi="Calibri"/>
                      <w:sz w:val="20"/>
                      <w:szCs w:val="20"/>
                    </w:rPr>
                  </w:pPr>
                  <w:r w:rsidRPr="00DB21D0">
                    <w:rPr>
                      <w:rFonts w:ascii="Calibri" w:hAnsi="Calibri"/>
                      <w:sz w:val="20"/>
                      <w:szCs w:val="20"/>
                    </w:rPr>
                    <w:t>Measure B (PM-98422)</w:t>
                  </w:r>
                </w:p>
              </w:tc>
              <w:tc>
                <w:tcPr>
                  <w:tcW w:w="1080" w:type="pct"/>
                  <w:tcBorders>
                    <w:top w:val="nil"/>
                    <w:left w:val="nil"/>
                    <w:bottom w:val="single" w:sz="4" w:space="0" w:color="auto"/>
                    <w:right w:val="single" w:sz="4" w:space="0" w:color="auto"/>
                  </w:tcBorders>
                  <w:shd w:val="clear" w:color="auto" w:fill="auto"/>
                  <w:vAlign w:val="center"/>
                  <w:hideMark/>
                </w:tcPr>
                <w:p w:rsidR="00963B98" w:rsidRPr="00DB21D0" w:rsidRDefault="00963B98" w:rsidP="00971BA3">
                  <w:pPr>
                    <w:jc w:val="center"/>
                    <w:rPr>
                      <w:rFonts w:ascii="Calibri" w:hAnsi="Calibri"/>
                      <w:sz w:val="20"/>
                      <w:szCs w:val="20"/>
                    </w:rPr>
                  </w:pPr>
                  <w:r>
                    <w:rPr>
                      <w:rFonts w:ascii="Calibri" w:hAnsi="Calibri"/>
                      <w:sz w:val="20"/>
                      <w:szCs w:val="20"/>
                    </w:rPr>
                    <w:t>404011</w:t>
                  </w:r>
                </w:p>
              </w:tc>
              <w:tc>
                <w:tcPr>
                  <w:tcW w:w="1301" w:type="pct"/>
                  <w:tcBorders>
                    <w:top w:val="nil"/>
                    <w:left w:val="nil"/>
                    <w:bottom w:val="single" w:sz="4" w:space="0" w:color="auto"/>
                    <w:right w:val="single" w:sz="4" w:space="0" w:color="auto"/>
                  </w:tcBorders>
                  <w:shd w:val="clear" w:color="auto" w:fill="auto"/>
                  <w:vAlign w:val="center"/>
                  <w:hideMark/>
                </w:tcPr>
                <w:p w:rsidR="00963B98" w:rsidRPr="00DB21D0" w:rsidRDefault="00963B98" w:rsidP="00971BA3">
                  <w:pPr>
                    <w:jc w:val="center"/>
                    <w:rPr>
                      <w:rFonts w:ascii="Calibri" w:hAnsi="Calibri"/>
                      <w:sz w:val="20"/>
                      <w:szCs w:val="20"/>
                    </w:rPr>
                  </w:pPr>
                  <w:r>
                    <w:rPr>
                      <w:rFonts w:ascii="Calibri" w:hAnsi="Calibri"/>
                      <w:color w:val="000000"/>
                      <w:sz w:val="20"/>
                      <w:szCs w:val="20"/>
                    </w:rPr>
                    <w:t>506.03</w:t>
                  </w:r>
                </w:p>
              </w:tc>
              <w:tc>
                <w:tcPr>
                  <w:tcW w:w="1283" w:type="pct"/>
                  <w:tcBorders>
                    <w:top w:val="nil"/>
                    <w:left w:val="nil"/>
                    <w:bottom w:val="single" w:sz="4" w:space="0" w:color="auto"/>
                    <w:right w:val="single" w:sz="4" w:space="0" w:color="auto"/>
                  </w:tcBorders>
                  <w:shd w:val="clear" w:color="auto" w:fill="auto"/>
                  <w:vAlign w:val="center"/>
                  <w:hideMark/>
                </w:tcPr>
                <w:p w:rsidR="00963B98" w:rsidRPr="00DB21D0" w:rsidRDefault="00963B98" w:rsidP="00971BA3">
                  <w:pPr>
                    <w:jc w:val="center"/>
                    <w:rPr>
                      <w:rFonts w:ascii="Calibri" w:hAnsi="Calibri"/>
                      <w:sz w:val="20"/>
                      <w:szCs w:val="20"/>
                    </w:rPr>
                  </w:pPr>
                  <w:r>
                    <w:rPr>
                      <w:rFonts w:ascii="Calibri" w:hAnsi="Calibri"/>
                      <w:color w:val="000000"/>
                      <w:sz w:val="20"/>
                      <w:szCs w:val="20"/>
                    </w:rPr>
                    <w:t>0.034</w:t>
                  </w:r>
                </w:p>
              </w:tc>
            </w:tr>
            <w:tr w:rsidR="00AE5171" w:rsidRPr="00DB21D0" w:rsidTr="000074DF">
              <w:trPr>
                <w:trHeight w:val="489"/>
              </w:trPr>
              <w:tc>
                <w:tcPr>
                  <w:tcW w:w="1336" w:type="pct"/>
                  <w:tcBorders>
                    <w:top w:val="nil"/>
                    <w:left w:val="single" w:sz="8" w:space="0" w:color="auto"/>
                    <w:bottom w:val="single" w:sz="4" w:space="0" w:color="auto"/>
                    <w:right w:val="single" w:sz="4" w:space="0" w:color="auto"/>
                  </w:tcBorders>
                  <w:shd w:val="clear" w:color="auto" w:fill="auto"/>
                  <w:vAlign w:val="center"/>
                  <w:hideMark/>
                </w:tcPr>
                <w:p w:rsidR="00AE5171" w:rsidRPr="00DB21D0" w:rsidRDefault="00AE5171" w:rsidP="000074DF">
                  <w:pPr>
                    <w:jc w:val="center"/>
                    <w:rPr>
                      <w:rFonts w:ascii="Calibri" w:hAnsi="Calibri"/>
                      <w:sz w:val="20"/>
                      <w:szCs w:val="20"/>
                    </w:rPr>
                  </w:pPr>
                  <w:r>
                    <w:rPr>
                      <w:rFonts w:ascii="Calibri" w:hAnsi="Calibri"/>
                      <w:sz w:val="20"/>
                      <w:szCs w:val="20"/>
                    </w:rPr>
                    <w:t>Measure C</w:t>
                  </w:r>
                  <w:r w:rsidRPr="00DB21D0">
                    <w:rPr>
                      <w:rFonts w:ascii="Calibri" w:hAnsi="Calibri"/>
                      <w:sz w:val="20"/>
                      <w:szCs w:val="20"/>
                    </w:rPr>
                    <w:t xml:space="preserve"> (PM-</w:t>
                  </w:r>
                  <w:r w:rsidRPr="00AE5171">
                    <w:rPr>
                      <w:rFonts w:ascii="Calibri" w:hAnsi="Calibri"/>
                      <w:sz w:val="20"/>
                      <w:szCs w:val="20"/>
                    </w:rPr>
                    <w:t>69234</w:t>
                  </w:r>
                  <w:r w:rsidRPr="00DB21D0">
                    <w:rPr>
                      <w:rFonts w:ascii="Calibri" w:hAnsi="Calibri"/>
                      <w:sz w:val="20"/>
                      <w:szCs w:val="20"/>
                    </w:rPr>
                    <w:t>)</w:t>
                  </w:r>
                </w:p>
              </w:tc>
              <w:tc>
                <w:tcPr>
                  <w:tcW w:w="1080" w:type="pct"/>
                  <w:tcBorders>
                    <w:top w:val="nil"/>
                    <w:left w:val="nil"/>
                    <w:bottom w:val="single" w:sz="4" w:space="0" w:color="auto"/>
                    <w:right w:val="single" w:sz="4" w:space="0" w:color="auto"/>
                  </w:tcBorders>
                  <w:shd w:val="clear" w:color="auto" w:fill="auto"/>
                  <w:vAlign w:val="center"/>
                  <w:hideMark/>
                </w:tcPr>
                <w:p w:rsidR="00AE5171" w:rsidRPr="00DB21D0" w:rsidRDefault="00AE5171" w:rsidP="000074DF">
                  <w:pPr>
                    <w:jc w:val="center"/>
                    <w:rPr>
                      <w:rFonts w:ascii="Calibri" w:hAnsi="Calibri"/>
                      <w:sz w:val="20"/>
                      <w:szCs w:val="20"/>
                    </w:rPr>
                  </w:pPr>
                  <w:r>
                    <w:rPr>
                      <w:rFonts w:ascii="Calibri" w:hAnsi="Calibri"/>
                      <w:sz w:val="20"/>
                      <w:szCs w:val="20"/>
                    </w:rPr>
                    <w:t>465304</w:t>
                  </w:r>
                </w:p>
              </w:tc>
              <w:tc>
                <w:tcPr>
                  <w:tcW w:w="1301" w:type="pct"/>
                  <w:tcBorders>
                    <w:top w:val="nil"/>
                    <w:left w:val="nil"/>
                    <w:bottom w:val="single" w:sz="4" w:space="0" w:color="auto"/>
                    <w:right w:val="single" w:sz="4" w:space="0" w:color="auto"/>
                  </w:tcBorders>
                  <w:shd w:val="clear" w:color="auto" w:fill="auto"/>
                  <w:vAlign w:val="center"/>
                  <w:hideMark/>
                </w:tcPr>
                <w:p w:rsidR="00AE5171" w:rsidRPr="00DB21D0" w:rsidRDefault="00AE5171" w:rsidP="000074DF">
                  <w:pPr>
                    <w:jc w:val="center"/>
                    <w:rPr>
                      <w:rFonts w:ascii="Calibri" w:hAnsi="Calibri"/>
                      <w:sz w:val="20"/>
                      <w:szCs w:val="20"/>
                    </w:rPr>
                  </w:pPr>
                  <w:r>
                    <w:rPr>
                      <w:rFonts w:ascii="Calibri" w:hAnsi="Calibri"/>
                      <w:color w:val="000000"/>
                      <w:sz w:val="20"/>
                      <w:szCs w:val="20"/>
                    </w:rPr>
                    <w:t>1,252.20</w:t>
                  </w:r>
                </w:p>
              </w:tc>
              <w:tc>
                <w:tcPr>
                  <w:tcW w:w="1283" w:type="pct"/>
                  <w:tcBorders>
                    <w:top w:val="nil"/>
                    <w:left w:val="nil"/>
                    <w:bottom w:val="single" w:sz="4" w:space="0" w:color="auto"/>
                    <w:right w:val="single" w:sz="4" w:space="0" w:color="auto"/>
                  </w:tcBorders>
                  <w:shd w:val="clear" w:color="auto" w:fill="auto"/>
                  <w:vAlign w:val="center"/>
                  <w:hideMark/>
                </w:tcPr>
                <w:p w:rsidR="00AE5171" w:rsidRPr="00DB21D0" w:rsidRDefault="00AE5171" w:rsidP="000074DF">
                  <w:pPr>
                    <w:jc w:val="center"/>
                    <w:rPr>
                      <w:rFonts w:ascii="Calibri" w:hAnsi="Calibri"/>
                      <w:sz w:val="20"/>
                      <w:szCs w:val="20"/>
                    </w:rPr>
                  </w:pPr>
                  <w:r>
                    <w:rPr>
                      <w:rFonts w:ascii="Calibri" w:hAnsi="Calibri"/>
                      <w:color w:val="000000"/>
                      <w:sz w:val="20"/>
                      <w:szCs w:val="20"/>
                    </w:rPr>
                    <w:t>0.247</w:t>
                  </w:r>
                </w:p>
              </w:tc>
            </w:tr>
            <w:tr w:rsidR="00963B98" w:rsidRPr="00DB21D0" w:rsidTr="005B7A24">
              <w:trPr>
                <w:trHeight w:val="489"/>
              </w:trPr>
              <w:tc>
                <w:tcPr>
                  <w:tcW w:w="1336" w:type="pct"/>
                  <w:tcBorders>
                    <w:top w:val="nil"/>
                    <w:left w:val="single" w:sz="8" w:space="0" w:color="auto"/>
                    <w:bottom w:val="single" w:sz="4" w:space="0" w:color="auto"/>
                    <w:right w:val="single" w:sz="4" w:space="0" w:color="auto"/>
                  </w:tcBorders>
                  <w:shd w:val="clear" w:color="auto" w:fill="auto"/>
                  <w:vAlign w:val="center"/>
                  <w:hideMark/>
                </w:tcPr>
                <w:p w:rsidR="00963B98" w:rsidRPr="00DB21D0" w:rsidRDefault="00963B98" w:rsidP="00971BA3">
                  <w:pPr>
                    <w:jc w:val="center"/>
                    <w:rPr>
                      <w:rFonts w:ascii="Calibri" w:hAnsi="Calibri"/>
                      <w:sz w:val="20"/>
                      <w:szCs w:val="20"/>
                    </w:rPr>
                  </w:pPr>
                  <w:r w:rsidRPr="00DB21D0">
                    <w:rPr>
                      <w:rFonts w:ascii="Calibri" w:hAnsi="Calibri"/>
                      <w:sz w:val="20"/>
                      <w:szCs w:val="20"/>
                    </w:rPr>
                    <w:t>Measure D (PM-79353)</w:t>
                  </w:r>
                </w:p>
              </w:tc>
              <w:tc>
                <w:tcPr>
                  <w:tcW w:w="1080" w:type="pct"/>
                  <w:tcBorders>
                    <w:top w:val="nil"/>
                    <w:left w:val="nil"/>
                    <w:bottom w:val="single" w:sz="4" w:space="0" w:color="auto"/>
                    <w:right w:val="single" w:sz="4" w:space="0" w:color="auto"/>
                  </w:tcBorders>
                  <w:shd w:val="clear" w:color="auto" w:fill="auto"/>
                  <w:vAlign w:val="center"/>
                  <w:hideMark/>
                </w:tcPr>
                <w:p w:rsidR="00963B98" w:rsidRPr="00DB21D0" w:rsidRDefault="00AE5171" w:rsidP="00971BA3">
                  <w:pPr>
                    <w:jc w:val="center"/>
                    <w:rPr>
                      <w:rFonts w:ascii="Calibri" w:hAnsi="Calibri"/>
                      <w:sz w:val="20"/>
                      <w:szCs w:val="20"/>
                    </w:rPr>
                  </w:pPr>
                  <w:r>
                    <w:rPr>
                      <w:rFonts w:ascii="Calibri" w:hAnsi="Calibri"/>
                      <w:sz w:val="20"/>
                      <w:szCs w:val="20"/>
                    </w:rPr>
                    <w:t>464306</w:t>
                  </w:r>
                  <w:r>
                    <w:rPr>
                      <w:rFonts w:ascii="Calibri" w:hAnsi="Calibri"/>
                      <w:sz w:val="20"/>
                      <w:szCs w:val="20"/>
                    </w:rPr>
                    <w:br/>
                  </w:r>
                  <w:r w:rsidR="00963B98">
                    <w:rPr>
                      <w:rFonts w:ascii="Calibri" w:hAnsi="Calibri"/>
                      <w:sz w:val="20"/>
                      <w:szCs w:val="20"/>
                    </w:rPr>
                    <w:t>463579</w:t>
                  </w:r>
                </w:p>
              </w:tc>
              <w:tc>
                <w:tcPr>
                  <w:tcW w:w="1301" w:type="pct"/>
                  <w:tcBorders>
                    <w:top w:val="nil"/>
                    <w:left w:val="nil"/>
                    <w:bottom w:val="single" w:sz="4" w:space="0" w:color="auto"/>
                    <w:right w:val="single" w:sz="4" w:space="0" w:color="auto"/>
                  </w:tcBorders>
                  <w:shd w:val="clear" w:color="auto" w:fill="auto"/>
                  <w:vAlign w:val="center"/>
                  <w:hideMark/>
                </w:tcPr>
                <w:p w:rsidR="00963B98" w:rsidRPr="00DB21D0" w:rsidRDefault="00AE5171" w:rsidP="00971BA3">
                  <w:pPr>
                    <w:jc w:val="center"/>
                    <w:rPr>
                      <w:rFonts w:ascii="Calibri" w:hAnsi="Calibri"/>
                      <w:sz w:val="20"/>
                      <w:szCs w:val="20"/>
                    </w:rPr>
                  </w:pPr>
                  <w:r>
                    <w:rPr>
                      <w:rFonts w:ascii="Calibri" w:hAnsi="Calibri"/>
                      <w:color w:val="000000"/>
                      <w:sz w:val="20"/>
                      <w:szCs w:val="20"/>
                    </w:rPr>
                    <w:t>8,099.13</w:t>
                  </w:r>
                  <w:r>
                    <w:rPr>
                      <w:rFonts w:ascii="Calibri" w:hAnsi="Calibri"/>
                      <w:color w:val="000000"/>
                      <w:sz w:val="20"/>
                      <w:szCs w:val="20"/>
                    </w:rPr>
                    <w:br/>
                    <w:t>2,417.90</w:t>
                  </w:r>
                </w:p>
              </w:tc>
              <w:tc>
                <w:tcPr>
                  <w:tcW w:w="1283" w:type="pct"/>
                  <w:tcBorders>
                    <w:top w:val="nil"/>
                    <w:left w:val="nil"/>
                    <w:bottom w:val="single" w:sz="4" w:space="0" w:color="auto"/>
                    <w:right w:val="single" w:sz="4" w:space="0" w:color="auto"/>
                  </w:tcBorders>
                  <w:shd w:val="clear" w:color="auto" w:fill="auto"/>
                  <w:vAlign w:val="center"/>
                  <w:hideMark/>
                </w:tcPr>
                <w:p w:rsidR="00963B98" w:rsidRPr="00DB21D0" w:rsidRDefault="00AE5171" w:rsidP="00971BA3">
                  <w:pPr>
                    <w:jc w:val="center"/>
                    <w:rPr>
                      <w:rFonts w:ascii="Calibri" w:hAnsi="Calibri"/>
                      <w:sz w:val="20"/>
                      <w:szCs w:val="20"/>
                    </w:rPr>
                  </w:pPr>
                  <w:r>
                    <w:rPr>
                      <w:rFonts w:ascii="Calibri" w:hAnsi="Calibri"/>
                      <w:color w:val="000000"/>
                      <w:sz w:val="20"/>
                      <w:szCs w:val="20"/>
                    </w:rPr>
                    <w:t>0.759</w:t>
                  </w:r>
                  <w:r>
                    <w:rPr>
                      <w:rFonts w:ascii="Calibri" w:hAnsi="Calibri"/>
                      <w:color w:val="000000"/>
                      <w:sz w:val="20"/>
                      <w:szCs w:val="20"/>
                    </w:rPr>
                    <w:br/>
                    <w:t>0.292</w:t>
                  </w:r>
                </w:p>
              </w:tc>
            </w:tr>
            <w:tr w:rsidR="00963B98" w:rsidRPr="00DB21D0" w:rsidTr="005B7A24">
              <w:trPr>
                <w:trHeight w:val="489"/>
              </w:trPr>
              <w:tc>
                <w:tcPr>
                  <w:tcW w:w="1336" w:type="pct"/>
                  <w:tcBorders>
                    <w:top w:val="nil"/>
                    <w:left w:val="single" w:sz="8" w:space="0" w:color="auto"/>
                    <w:bottom w:val="single" w:sz="4" w:space="0" w:color="auto"/>
                    <w:right w:val="single" w:sz="4" w:space="0" w:color="auto"/>
                  </w:tcBorders>
                  <w:shd w:val="clear" w:color="auto" w:fill="auto"/>
                  <w:vAlign w:val="center"/>
                  <w:hideMark/>
                </w:tcPr>
                <w:p w:rsidR="00963B98" w:rsidRPr="00DB21D0" w:rsidRDefault="00963B98" w:rsidP="00971BA3">
                  <w:pPr>
                    <w:jc w:val="center"/>
                    <w:rPr>
                      <w:rFonts w:ascii="Calibri" w:hAnsi="Calibri"/>
                      <w:sz w:val="20"/>
                      <w:szCs w:val="20"/>
                    </w:rPr>
                  </w:pPr>
                  <w:r w:rsidRPr="00DB21D0">
                    <w:rPr>
                      <w:rFonts w:ascii="Calibri" w:hAnsi="Calibri"/>
                      <w:sz w:val="20"/>
                      <w:szCs w:val="20"/>
                    </w:rPr>
                    <w:t>Measure F (PM-19753)</w:t>
                  </w:r>
                </w:p>
              </w:tc>
              <w:tc>
                <w:tcPr>
                  <w:tcW w:w="1080" w:type="pct"/>
                  <w:tcBorders>
                    <w:top w:val="nil"/>
                    <w:left w:val="nil"/>
                    <w:bottom w:val="single" w:sz="4" w:space="0" w:color="auto"/>
                    <w:right w:val="single" w:sz="4" w:space="0" w:color="auto"/>
                  </w:tcBorders>
                  <w:shd w:val="clear" w:color="auto" w:fill="auto"/>
                  <w:vAlign w:val="center"/>
                  <w:hideMark/>
                </w:tcPr>
                <w:p w:rsidR="00963B98" w:rsidRPr="00DB21D0" w:rsidRDefault="00AE5171" w:rsidP="00971BA3">
                  <w:pPr>
                    <w:jc w:val="center"/>
                    <w:rPr>
                      <w:rFonts w:ascii="Calibri" w:hAnsi="Calibri"/>
                      <w:sz w:val="20"/>
                      <w:szCs w:val="20"/>
                    </w:rPr>
                  </w:pPr>
                  <w:r>
                    <w:rPr>
                      <w:rFonts w:ascii="Calibri" w:hAnsi="Calibri"/>
                      <w:sz w:val="20"/>
                      <w:szCs w:val="20"/>
                    </w:rPr>
                    <w:t>465302</w:t>
                  </w:r>
                  <w:r>
                    <w:rPr>
                      <w:rFonts w:ascii="Calibri" w:hAnsi="Calibri"/>
                      <w:sz w:val="20"/>
                      <w:szCs w:val="20"/>
                    </w:rPr>
                    <w:br/>
                  </w:r>
                  <w:r w:rsidR="00963B98">
                    <w:rPr>
                      <w:rFonts w:ascii="Calibri" w:hAnsi="Calibri"/>
                      <w:sz w:val="20"/>
                      <w:szCs w:val="20"/>
                    </w:rPr>
                    <w:t>464271</w:t>
                  </w:r>
                </w:p>
              </w:tc>
              <w:tc>
                <w:tcPr>
                  <w:tcW w:w="1301" w:type="pct"/>
                  <w:tcBorders>
                    <w:top w:val="nil"/>
                    <w:left w:val="nil"/>
                    <w:bottom w:val="single" w:sz="4" w:space="0" w:color="auto"/>
                    <w:right w:val="single" w:sz="4" w:space="0" w:color="auto"/>
                  </w:tcBorders>
                  <w:shd w:val="clear" w:color="auto" w:fill="auto"/>
                  <w:vAlign w:val="center"/>
                  <w:hideMark/>
                </w:tcPr>
                <w:p w:rsidR="00963B98" w:rsidRPr="00DB21D0" w:rsidRDefault="00AE5171" w:rsidP="00971BA3">
                  <w:pPr>
                    <w:jc w:val="center"/>
                    <w:rPr>
                      <w:rFonts w:ascii="Calibri" w:hAnsi="Calibri"/>
                      <w:sz w:val="20"/>
                      <w:szCs w:val="20"/>
                    </w:rPr>
                  </w:pPr>
                  <w:r>
                    <w:rPr>
                      <w:rFonts w:ascii="Calibri" w:hAnsi="Calibri"/>
                      <w:color w:val="000000"/>
                      <w:sz w:val="20"/>
                      <w:szCs w:val="20"/>
                    </w:rPr>
                    <w:t>4,812.17</w:t>
                  </w:r>
                  <w:r>
                    <w:rPr>
                      <w:rFonts w:ascii="Calibri" w:hAnsi="Calibri"/>
                      <w:color w:val="000000"/>
                      <w:sz w:val="20"/>
                      <w:szCs w:val="20"/>
                    </w:rPr>
                    <w:br/>
                    <w:t>2,911.80</w:t>
                  </w:r>
                </w:p>
              </w:tc>
              <w:tc>
                <w:tcPr>
                  <w:tcW w:w="1283" w:type="pct"/>
                  <w:tcBorders>
                    <w:top w:val="nil"/>
                    <w:left w:val="nil"/>
                    <w:bottom w:val="single" w:sz="4" w:space="0" w:color="auto"/>
                    <w:right w:val="single" w:sz="4" w:space="0" w:color="auto"/>
                  </w:tcBorders>
                  <w:shd w:val="clear" w:color="auto" w:fill="auto"/>
                  <w:vAlign w:val="center"/>
                  <w:hideMark/>
                </w:tcPr>
                <w:p w:rsidR="00963B98" w:rsidRPr="00DB21D0" w:rsidRDefault="00AE5171" w:rsidP="00971BA3">
                  <w:pPr>
                    <w:jc w:val="center"/>
                    <w:rPr>
                      <w:rFonts w:ascii="Calibri" w:hAnsi="Calibri"/>
                      <w:sz w:val="20"/>
                      <w:szCs w:val="20"/>
                    </w:rPr>
                  </w:pPr>
                  <w:r>
                    <w:rPr>
                      <w:rFonts w:ascii="Calibri" w:hAnsi="Calibri"/>
                      <w:color w:val="000000"/>
                      <w:sz w:val="20"/>
                      <w:szCs w:val="20"/>
                    </w:rPr>
                    <w:t>0.237</w:t>
                  </w:r>
                  <w:r>
                    <w:rPr>
                      <w:rFonts w:ascii="Calibri" w:hAnsi="Calibri"/>
                      <w:color w:val="000000"/>
                      <w:sz w:val="20"/>
                      <w:szCs w:val="20"/>
                    </w:rPr>
                    <w:br/>
                    <w:t>0.306</w:t>
                  </w:r>
                </w:p>
              </w:tc>
            </w:tr>
            <w:tr w:rsidR="00963B98" w:rsidRPr="00DB21D0" w:rsidTr="005B7A24">
              <w:trPr>
                <w:trHeight w:val="489"/>
              </w:trPr>
              <w:tc>
                <w:tcPr>
                  <w:tcW w:w="1336" w:type="pct"/>
                  <w:tcBorders>
                    <w:top w:val="nil"/>
                    <w:left w:val="single" w:sz="8" w:space="0" w:color="auto"/>
                    <w:bottom w:val="single" w:sz="4" w:space="0" w:color="auto"/>
                    <w:right w:val="single" w:sz="4" w:space="0" w:color="auto"/>
                  </w:tcBorders>
                  <w:shd w:val="clear" w:color="auto" w:fill="auto"/>
                  <w:vAlign w:val="center"/>
                  <w:hideMark/>
                </w:tcPr>
                <w:p w:rsidR="00963B98" w:rsidRPr="00DB21D0" w:rsidRDefault="00963B98" w:rsidP="00971BA3">
                  <w:pPr>
                    <w:jc w:val="center"/>
                    <w:rPr>
                      <w:rFonts w:ascii="Calibri" w:hAnsi="Calibri"/>
                      <w:sz w:val="20"/>
                      <w:szCs w:val="20"/>
                    </w:rPr>
                  </w:pPr>
                  <w:r w:rsidRPr="00DB21D0">
                    <w:rPr>
                      <w:rFonts w:ascii="Calibri" w:hAnsi="Calibri"/>
                      <w:sz w:val="20"/>
                      <w:szCs w:val="20"/>
                    </w:rPr>
                    <w:t>Measure G (PM-19754)</w:t>
                  </w:r>
                </w:p>
              </w:tc>
              <w:tc>
                <w:tcPr>
                  <w:tcW w:w="1080" w:type="pct"/>
                  <w:tcBorders>
                    <w:top w:val="nil"/>
                    <w:left w:val="nil"/>
                    <w:bottom w:val="single" w:sz="4" w:space="0" w:color="auto"/>
                    <w:right w:val="single" w:sz="4" w:space="0" w:color="auto"/>
                  </w:tcBorders>
                  <w:shd w:val="clear" w:color="auto" w:fill="auto"/>
                  <w:vAlign w:val="center"/>
                  <w:hideMark/>
                </w:tcPr>
                <w:p w:rsidR="00963B98" w:rsidRPr="00DB21D0" w:rsidRDefault="00AE5171" w:rsidP="00971BA3">
                  <w:pPr>
                    <w:jc w:val="center"/>
                    <w:rPr>
                      <w:rFonts w:ascii="Calibri" w:hAnsi="Calibri"/>
                      <w:sz w:val="20"/>
                      <w:szCs w:val="20"/>
                    </w:rPr>
                  </w:pPr>
                  <w:r>
                    <w:rPr>
                      <w:rFonts w:ascii="Calibri" w:hAnsi="Calibri"/>
                      <w:sz w:val="20"/>
                      <w:szCs w:val="20"/>
                    </w:rPr>
                    <w:t>465303</w:t>
                  </w:r>
                  <w:r>
                    <w:rPr>
                      <w:rFonts w:ascii="Calibri" w:hAnsi="Calibri"/>
                      <w:sz w:val="20"/>
                      <w:szCs w:val="20"/>
                    </w:rPr>
                    <w:br/>
                  </w:r>
                  <w:r w:rsidR="00963B98">
                    <w:rPr>
                      <w:rFonts w:ascii="Calibri" w:hAnsi="Calibri"/>
                      <w:sz w:val="20"/>
                      <w:szCs w:val="20"/>
                    </w:rPr>
                    <w:t>464272</w:t>
                  </w:r>
                </w:p>
              </w:tc>
              <w:tc>
                <w:tcPr>
                  <w:tcW w:w="1301" w:type="pct"/>
                  <w:tcBorders>
                    <w:top w:val="nil"/>
                    <w:left w:val="nil"/>
                    <w:bottom w:val="single" w:sz="4" w:space="0" w:color="auto"/>
                    <w:right w:val="single" w:sz="4" w:space="0" w:color="auto"/>
                  </w:tcBorders>
                  <w:shd w:val="clear" w:color="auto" w:fill="auto"/>
                  <w:vAlign w:val="center"/>
                  <w:hideMark/>
                </w:tcPr>
                <w:p w:rsidR="00963B98" w:rsidRPr="00DB21D0" w:rsidRDefault="00AE5171" w:rsidP="00971BA3">
                  <w:pPr>
                    <w:jc w:val="center"/>
                    <w:rPr>
                      <w:rFonts w:ascii="Calibri" w:hAnsi="Calibri"/>
                      <w:sz w:val="20"/>
                      <w:szCs w:val="20"/>
                    </w:rPr>
                  </w:pPr>
                  <w:r>
                    <w:rPr>
                      <w:rFonts w:ascii="Calibri" w:hAnsi="Calibri"/>
                      <w:color w:val="000000"/>
                      <w:sz w:val="20"/>
                      <w:szCs w:val="20"/>
                    </w:rPr>
                    <w:t>1,846.18</w:t>
                  </w:r>
                  <w:r>
                    <w:rPr>
                      <w:rFonts w:ascii="Calibri" w:hAnsi="Calibri"/>
                      <w:color w:val="000000"/>
                      <w:sz w:val="20"/>
                      <w:szCs w:val="20"/>
                    </w:rPr>
                    <w:br/>
                    <w:t>73.36</w:t>
                  </w:r>
                </w:p>
              </w:tc>
              <w:tc>
                <w:tcPr>
                  <w:tcW w:w="1283" w:type="pct"/>
                  <w:tcBorders>
                    <w:top w:val="nil"/>
                    <w:left w:val="nil"/>
                    <w:bottom w:val="single" w:sz="4" w:space="0" w:color="auto"/>
                    <w:right w:val="single" w:sz="4" w:space="0" w:color="auto"/>
                  </w:tcBorders>
                  <w:shd w:val="clear" w:color="auto" w:fill="auto"/>
                  <w:vAlign w:val="center"/>
                  <w:hideMark/>
                </w:tcPr>
                <w:p w:rsidR="00963B98" w:rsidRPr="00DB21D0" w:rsidRDefault="00AE5171" w:rsidP="00971BA3">
                  <w:pPr>
                    <w:jc w:val="center"/>
                    <w:rPr>
                      <w:rFonts w:ascii="Calibri" w:hAnsi="Calibri"/>
                      <w:sz w:val="20"/>
                      <w:szCs w:val="20"/>
                    </w:rPr>
                  </w:pPr>
                  <w:r>
                    <w:rPr>
                      <w:rFonts w:ascii="Calibri" w:hAnsi="Calibri"/>
                      <w:color w:val="000000"/>
                      <w:sz w:val="20"/>
                      <w:szCs w:val="20"/>
                    </w:rPr>
                    <w:t>0.652</w:t>
                  </w:r>
                  <w:r>
                    <w:rPr>
                      <w:rFonts w:ascii="Calibri" w:hAnsi="Calibri"/>
                      <w:color w:val="000000"/>
                      <w:sz w:val="20"/>
                      <w:szCs w:val="20"/>
                    </w:rPr>
                    <w:br/>
                    <w:t>0.154</w:t>
                  </w:r>
                </w:p>
              </w:tc>
            </w:tr>
          </w:tbl>
          <w:p w:rsidR="00963B98" w:rsidRDefault="00963B98" w:rsidP="00971BA3">
            <w:pPr>
              <w:tabs>
                <w:tab w:val="right" w:pos="6732"/>
              </w:tabs>
              <w:rPr>
                <w:rFonts w:cs="Arial"/>
                <w:sz w:val="20"/>
                <w:szCs w:val="20"/>
              </w:rPr>
            </w:pPr>
          </w:p>
          <w:p w:rsidR="00963B98" w:rsidRPr="00D86243" w:rsidRDefault="00963B98" w:rsidP="00971BA3">
            <w:pPr>
              <w:rPr>
                <w:rFonts w:cs="Arial"/>
                <w:sz w:val="20"/>
                <w:szCs w:val="20"/>
              </w:rPr>
            </w:pPr>
          </w:p>
        </w:tc>
      </w:tr>
      <w:tr w:rsidR="00963B98" w:rsidTr="00971BA3">
        <w:trPr>
          <w:cantSplit/>
        </w:trPr>
        <w:tc>
          <w:tcPr>
            <w:tcW w:w="1502" w:type="dxa"/>
            <w:vAlign w:val="center"/>
          </w:tcPr>
          <w:p w:rsidR="00963B98" w:rsidRPr="001D77F7" w:rsidRDefault="00963B98" w:rsidP="00971BA3">
            <w:pPr>
              <w:rPr>
                <w:b/>
              </w:rPr>
            </w:pPr>
            <w:r w:rsidRPr="001D77F7">
              <w:rPr>
                <w:b/>
              </w:rPr>
              <w:t>Section 3. Load Shapes</w:t>
            </w:r>
          </w:p>
        </w:tc>
        <w:tc>
          <w:tcPr>
            <w:tcW w:w="7848" w:type="dxa"/>
          </w:tcPr>
          <w:p w:rsidR="00963B98" w:rsidRPr="005973F9" w:rsidRDefault="00963B98" w:rsidP="00971BA3">
            <w:pPr>
              <w:pStyle w:val="ListParagraph"/>
              <w:numPr>
                <w:ilvl w:val="0"/>
                <w:numId w:val="19"/>
              </w:numPr>
              <w:rPr>
                <w:rFonts w:cs="Arial"/>
                <w:sz w:val="20"/>
                <w:szCs w:val="20"/>
              </w:rPr>
            </w:pPr>
            <w:r>
              <w:rPr>
                <w:rFonts w:cs="Arial"/>
                <w:sz w:val="20"/>
                <w:szCs w:val="20"/>
              </w:rPr>
              <w:t>SDG:</w:t>
            </w:r>
            <w:r w:rsidRPr="00476F40">
              <w:rPr>
                <w:rFonts w:cs="Arial"/>
                <w:sz w:val="20"/>
                <w:szCs w:val="20"/>
              </w:rPr>
              <w:t>19-RES-AllResidential-POOL_PMP</w:t>
            </w:r>
            <w:r>
              <w:rPr>
                <w:rFonts w:cs="Arial"/>
                <w:sz w:val="20"/>
                <w:szCs w:val="20"/>
              </w:rPr>
              <w:t>; Annual</w:t>
            </w:r>
          </w:p>
        </w:tc>
      </w:tr>
      <w:tr w:rsidR="00963B98" w:rsidTr="00671373">
        <w:trPr>
          <w:cantSplit/>
        </w:trPr>
        <w:tc>
          <w:tcPr>
            <w:tcW w:w="1502" w:type="dxa"/>
            <w:vAlign w:val="center"/>
          </w:tcPr>
          <w:p w:rsidR="00963B98" w:rsidRPr="00822B6F" w:rsidRDefault="00963B98" w:rsidP="00971BA3">
            <w:pPr>
              <w:jc w:val="right"/>
              <w:rPr>
                <w:sz w:val="20"/>
                <w:szCs w:val="20"/>
              </w:rPr>
            </w:pPr>
            <w:r w:rsidRPr="001D77F7">
              <w:rPr>
                <w:b/>
              </w:rPr>
              <w:t>Section 4. Costs</w:t>
            </w:r>
          </w:p>
        </w:tc>
        <w:tc>
          <w:tcPr>
            <w:tcW w:w="7848" w:type="dxa"/>
          </w:tcPr>
          <w:p w:rsidR="00963B98" w:rsidRPr="00017E7E" w:rsidRDefault="00963B98" w:rsidP="00971BA3">
            <w:pPr>
              <w:pStyle w:val="ListParagraph"/>
              <w:ind w:left="360"/>
              <w:rPr>
                <w:rFonts w:cs="Arial"/>
                <w:sz w:val="20"/>
                <w:szCs w:val="20"/>
              </w:rPr>
            </w:pPr>
            <w:r>
              <w:rPr>
                <w:rFonts w:cs="Arial"/>
                <w:sz w:val="20"/>
                <w:szCs w:val="20"/>
              </w:rPr>
              <w:t>Costs were referenced from SCE’s WP</w:t>
            </w:r>
          </w:p>
        </w:tc>
      </w:tr>
      <w:tr w:rsidR="00963B98" w:rsidTr="00971BA3">
        <w:trPr>
          <w:cantSplit/>
        </w:trPr>
        <w:tc>
          <w:tcPr>
            <w:tcW w:w="1502" w:type="dxa"/>
          </w:tcPr>
          <w:p w:rsidR="00963B98" w:rsidRPr="00822B6F" w:rsidRDefault="00963B98" w:rsidP="00971BA3">
            <w:pPr>
              <w:jc w:val="right"/>
              <w:rPr>
                <w:sz w:val="20"/>
                <w:szCs w:val="20"/>
              </w:rPr>
            </w:pPr>
            <w:r>
              <w:rPr>
                <w:sz w:val="20"/>
                <w:szCs w:val="20"/>
              </w:rPr>
              <w:lastRenderedPageBreak/>
              <w:t>DEER/READI Base CostID</w:t>
            </w:r>
          </w:p>
        </w:tc>
        <w:tc>
          <w:tcPr>
            <w:tcW w:w="7848" w:type="dxa"/>
          </w:tcPr>
          <w:tbl>
            <w:tblPr>
              <w:tblW w:w="7622" w:type="dxa"/>
              <w:tblLook w:val="04A0" w:firstRow="1" w:lastRow="0" w:firstColumn="1" w:lastColumn="0" w:noHBand="0" w:noVBand="1"/>
            </w:tblPr>
            <w:tblGrid>
              <w:gridCol w:w="1379"/>
              <w:gridCol w:w="1458"/>
              <w:gridCol w:w="1512"/>
              <w:gridCol w:w="1026"/>
              <w:gridCol w:w="1026"/>
              <w:gridCol w:w="1221"/>
            </w:tblGrid>
            <w:tr w:rsidR="00963B98" w:rsidRPr="00DB21D0" w:rsidTr="00AE5171">
              <w:trPr>
                <w:trHeight w:val="623"/>
              </w:trPr>
              <w:tc>
                <w:tcPr>
                  <w:tcW w:w="1379" w:type="dxa"/>
                  <w:tcBorders>
                    <w:top w:val="single" w:sz="4" w:space="0" w:color="auto"/>
                    <w:left w:val="single" w:sz="4" w:space="0" w:color="auto"/>
                    <w:bottom w:val="single" w:sz="4" w:space="0" w:color="auto"/>
                    <w:right w:val="single" w:sz="4" w:space="0" w:color="auto"/>
                  </w:tcBorders>
                  <w:shd w:val="clear" w:color="000000" w:fill="DBDBDB"/>
                  <w:vAlign w:val="center"/>
                  <w:hideMark/>
                </w:tcPr>
                <w:p w:rsidR="00963B98" w:rsidRPr="00AB5F6F" w:rsidRDefault="00963B98" w:rsidP="00971BA3">
                  <w:pPr>
                    <w:jc w:val="center"/>
                    <w:rPr>
                      <w:rFonts w:ascii="Calibri" w:hAnsi="Calibri"/>
                      <w:b/>
                      <w:bCs/>
                      <w:sz w:val="20"/>
                      <w:szCs w:val="20"/>
                    </w:rPr>
                  </w:pPr>
                  <w:r w:rsidRPr="00AB5F6F">
                    <w:rPr>
                      <w:rFonts w:ascii="Calibri" w:hAnsi="Calibri"/>
                      <w:b/>
                      <w:bCs/>
                      <w:sz w:val="20"/>
                      <w:szCs w:val="20"/>
                    </w:rPr>
                    <w:t xml:space="preserve">Measure </w:t>
                  </w:r>
                </w:p>
              </w:tc>
              <w:tc>
                <w:tcPr>
                  <w:tcW w:w="1458" w:type="dxa"/>
                  <w:tcBorders>
                    <w:top w:val="single" w:sz="4" w:space="0" w:color="auto"/>
                    <w:left w:val="nil"/>
                    <w:bottom w:val="single" w:sz="4" w:space="0" w:color="auto"/>
                    <w:right w:val="single" w:sz="4" w:space="0" w:color="auto"/>
                  </w:tcBorders>
                  <w:shd w:val="clear" w:color="000000" w:fill="DBDBDB"/>
                  <w:vAlign w:val="center"/>
                  <w:hideMark/>
                </w:tcPr>
                <w:p w:rsidR="00963B98" w:rsidRPr="00AB5F6F" w:rsidRDefault="00963B98" w:rsidP="00971BA3">
                  <w:pPr>
                    <w:jc w:val="center"/>
                    <w:rPr>
                      <w:rFonts w:ascii="Calibri" w:hAnsi="Calibri"/>
                      <w:b/>
                      <w:bCs/>
                      <w:sz w:val="20"/>
                      <w:szCs w:val="20"/>
                    </w:rPr>
                  </w:pPr>
                  <w:r w:rsidRPr="00AB5F6F">
                    <w:rPr>
                      <w:rFonts w:ascii="Calibri" w:hAnsi="Calibri"/>
                      <w:b/>
                      <w:bCs/>
                      <w:sz w:val="20"/>
                      <w:szCs w:val="20"/>
                    </w:rPr>
                    <w:t>SCE’s Solution Code</w:t>
                  </w:r>
                </w:p>
              </w:tc>
              <w:tc>
                <w:tcPr>
                  <w:tcW w:w="1512" w:type="dxa"/>
                  <w:tcBorders>
                    <w:top w:val="single" w:sz="4" w:space="0" w:color="auto"/>
                    <w:left w:val="nil"/>
                    <w:bottom w:val="single" w:sz="4" w:space="0" w:color="auto"/>
                    <w:right w:val="single" w:sz="4" w:space="0" w:color="auto"/>
                  </w:tcBorders>
                  <w:shd w:val="clear" w:color="000000" w:fill="DBDBDB"/>
                  <w:vAlign w:val="center"/>
                  <w:hideMark/>
                </w:tcPr>
                <w:p w:rsidR="00963B98" w:rsidRPr="00AB5F6F" w:rsidRDefault="00963B98" w:rsidP="00971BA3">
                  <w:pPr>
                    <w:jc w:val="center"/>
                    <w:rPr>
                      <w:rFonts w:ascii="Calibri" w:hAnsi="Calibri"/>
                      <w:b/>
                      <w:bCs/>
                      <w:sz w:val="20"/>
                      <w:szCs w:val="20"/>
                    </w:rPr>
                  </w:pPr>
                  <w:r w:rsidRPr="00AB5F6F">
                    <w:rPr>
                      <w:rFonts w:ascii="Calibri" w:hAnsi="Calibri"/>
                      <w:b/>
                      <w:bCs/>
                      <w:sz w:val="20"/>
                      <w:szCs w:val="20"/>
                    </w:rPr>
                    <w:t>SDG&amp;E’s Imp ID</w:t>
                  </w:r>
                </w:p>
              </w:tc>
              <w:tc>
                <w:tcPr>
                  <w:tcW w:w="1026" w:type="dxa"/>
                  <w:tcBorders>
                    <w:top w:val="single" w:sz="4" w:space="0" w:color="auto"/>
                    <w:left w:val="nil"/>
                    <w:bottom w:val="single" w:sz="4" w:space="0" w:color="auto"/>
                    <w:right w:val="single" w:sz="4" w:space="0" w:color="auto"/>
                  </w:tcBorders>
                  <w:shd w:val="clear" w:color="000000" w:fill="DBDBDB"/>
                  <w:vAlign w:val="center"/>
                </w:tcPr>
                <w:p w:rsidR="00963B98" w:rsidRPr="00AB5F6F" w:rsidRDefault="00963B98" w:rsidP="00971BA3">
                  <w:pPr>
                    <w:jc w:val="center"/>
                    <w:rPr>
                      <w:rFonts w:ascii="Calibri" w:hAnsi="Calibri"/>
                      <w:b/>
                      <w:bCs/>
                      <w:sz w:val="20"/>
                      <w:szCs w:val="20"/>
                    </w:rPr>
                  </w:pPr>
                  <w:r w:rsidRPr="00AB5F6F">
                    <w:rPr>
                      <w:rFonts w:ascii="Calibri" w:hAnsi="Calibri"/>
                      <w:b/>
                      <w:bCs/>
                      <w:sz w:val="20"/>
                      <w:szCs w:val="20"/>
                    </w:rPr>
                    <w:t>Base Cost</w:t>
                  </w:r>
                </w:p>
              </w:tc>
              <w:tc>
                <w:tcPr>
                  <w:tcW w:w="1026" w:type="dxa"/>
                  <w:tcBorders>
                    <w:top w:val="single" w:sz="4" w:space="0" w:color="auto"/>
                    <w:left w:val="single" w:sz="4" w:space="0" w:color="auto"/>
                    <w:bottom w:val="single" w:sz="4" w:space="0" w:color="auto"/>
                    <w:right w:val="single" w:sz="4" w:space="0" w:color="auto"/>
                  </w:tcBorders>
                  <w:shd w:val="clear" w:color="000000" w:fill="DBDBDB"/>
                  <w:vAlign w:val="center"/>
                  <w:hideMark/>
                </w:tcPr>
                <w:p w:rsidR="00963B98" w:rsidRPr="00AB5F6F" w:rsidRDefault="00963B98" w:rsidP="00971BA3">
                  <w:pPr>
                    <w:jc w:val="center"/>
                    <w:rPr>
                      <w:rFonts w:ascii="Calibri" w:hAnsi="Calibri"/>
                      <w:b/>
                      <w:bCs/>
                      <w:sz w:val="20"/>
                      <w:szCs w:val="20"/>
                    </w:rPr>
                  </w:pPr>
                  <w:r w:rsidRPr="00AB5F6F">
                    <w:rPr>
                      <w:rFonts w:ascii="Calibri" w:hAnsi="Calibri"/>
                      <w:b/>
                      <w:bCs/>
                      <w:sz w:val="20"/>
                      <w:szCs w:val="20"/>
                    </w:rPr>
                    <w:t>Measure Cost</w:t>
                  </w:r>
                </w:p>
              </w:tc>
              <w:tc>
                <w:tcPr>
                  <w:tcW w:w="1221" w:type="dxa"/>
                  <w:tcBorders>
                    <w:top w:val="single" w:sz="4" w:space="0" w:color="auto"/>
                    <w:left w:val="single" w:sz="4" w:space="0" w:color="auto"/>
                    <w:bottom w:val="single" w:sz="4" w:space="0" w:color="auto"/>
                    <w:right w:val="single" w:sz="4" w:space="0" w:color="auto"/>
                  </w:tcBorders>
                  <w:shd w:val="clear" w:color="000000" w:fill="DBDBDB"/>
                  <w:vAlign w:val="center"/>
                </w:tcPr>
                <w:p w:rsidR="00963B98" w:rsidRPr="00AB5F6F" w:rsidRDefault="00963B98" w:rsidP="00971BA3">
                  <w:pPr>
                    <w:jc w:val="center"/>
                    <w:rPr>
                      <w:rFonts w:ascii="Calibri" w:hAnsi="Calibri"/>
                      <w:b/>
                      <w:bCs/>
                      <w:sz w:val="20"/>
                      <w:szCs w:val="20"/>
                    </w:rPr>
                  </w:pPr>
                  <w:r w:rsidRPr="00AB5F6F">
                    <w:rPr>
                      <w:rFonts w:ascii="Calibri" w:hAnsi="Calibri"/>
                      <w:b/>
                      <w:bCs/>
                      <w:sz w:val="20"/>
                      <w:szCs w:val="20"/>
                    </w:rPr>
                    <w:t>Incremental Cost</w:t>
                  </w:r>
                </w:p>
              </w:tc>
            </w:tr>
            <w:tr w:rsidR="00963B98" w:rsidRPr="00DB21D0" w:rsidTr="00AE5171">
              <w:trPr>
                <w:trHeight w:val="415"/>
              </w:trPr>
              <w:tc>
                <w:tcPr>
                  <w:tcW w:w="1379" w:type="dxa"/>
                  <w:tcBorders>
                    <w:top w:val="nil"/>
                    <w:left w:val="single" w:sz="4" w:space="0" w:color="auto"/>
                    <w:bottom w:val="single" w:sz="4" w:space="0" w:color="auto"/>
                    <w:right w:val="single" w:sz="4" w:space="0" w:color="auto"/>
                  </w:tcBorders>
                  <w:shd w:val="clear" w:color="auto" w:fill="auto"/>
                  <w:vAlign w:val="center"/>
                  <w:hideMark/>
                </w:tcPr>
                <w:p w:rsidR="00963B98" w:rsidRPr="00AB5F6F" w:rsidRDefault="00963B98" w:rsidP="00971BA3">
                  <w:pPr>
                    <w:jc w:val="center"/>
                    <w:rPr>
                      <w:rFonts w:ascii="Calibri" w:hAnsi="Calibri"/>
                      <w:sz w:val="20"/>
                      <w:szCs w:val="20"/>
                    </w:rPr>
                  </w:pPr>
                  <w:bookmarkStart w:id="4" w:name="_Hlk524972513"/>
                  <w:r w:rsidRPr="00AB5F6F">
                    <w:rPr>
                      <w:rFonts w:ascii="Calibri" w:hAnsi="Calibri"/>
                      <w:sz w:val="20"/>
                      <w:szCs w:val="20"/>
                    </w:rPr>
                    <w:t>Measure A</w:t>
                  </w:r>
                </w:p>
              </w:tc>
              <w:tc>
                <w:tcPr>
                  <w:tcW w:w="1458" w:type="dxa"/>
                  <w:tcBorders>
                    <w:top w:val="nil"/>
                    <w:left w:val="nil"/>
                    <w:bottom w:val="single" w:sz="4" w:space="0" w:color="auto"/>
                    <w:right w:val="single" w:sz="4" w:space="0" w:color="auto"/>
                  </w:tcBorders>
                  <w:shd w:val="clear" w:color="auto" w:fill="auto"/>
                  <w:vAlign w:val="center"/>
                  <w:hideMark/>
                </w:tcPr>
                <w:p w:rsidR="00963B98" w:rsidRPr="00AB5F6F" w:rsidRDefault="00963B98" w:rsidP="00971BA3">
                  <w:pPr>
                    <w:jc w:val="center"/>
                    <w:rPr>
                      <w:rFonts w:ascii="Calibri" w:hAnsi="Calibri"/>
                      <w:sz w:val="20"/>
                      <w:szCs w:val="20"/>
                    </w:rPr>
                  </w:pPr>
                  <w:r w:rsidRPr="00AB5F6F">
                    <w:rPr>
                      <w:rFonts w:ascii="Calibri" w:hAnsi="Calibri"/>
                      <w:sz w:val="20"/>
                      <w:szCs w:val="20"/>
                    </w:rPr>
                    <w:t>PM-78394</w:t>
                  </w:r>
                </w:p>
              </w:tc>
              <w:tc>
                <w:tcPr>
                  <w:tcW w:w="1512" w:type="dxa"/>
                  <w:tcBorders>
                    <w:top w:val="nil"/>
                    <w:left w:val="nil"/>
                    <w:bottom w:val="single" w:sz="4" w:space="0" w:color="auto"/>
                    <w:right w:val="single" w:sz="4" w:space="0" w:color="auto"/>
                  </w:tcBorders>
                  <w:shd w:val="clear" w:color="auto" w:fill="auto"/>
                  <w:vAlign w:val="center"/>
                  <w:hideMark/>
                </w:tcPr>
                <w:p w:rsidR="00963B98" w:rsidRPr="00AB5F6F" w:rsidRDefault="00963B98" w:rsidP="00971BA3">
                  <w:pPr>
                    <w:jc w:val="center"/>
                    <w:rPr>
                      <w:rFonts w:ascii="Calibri" w:hAnsi="Calibri"/>
                      <w:sz w:val="20"/>
                      <w:szCs w:val="20"/>
                    </w:rPr>
                  </w:pPr>
                  <w:r w:rsidRPr="00AB5F6F">
                    <w:rPr>
                      <w:rFonts w:ascii="Calibri" w:hAnsi="Calibri"/>
                      <w:sz w:val="20"/>
                      <w:szCs w:val="20"/>
                    </w:rPr>
                    <w:t>463003</w:t>
                  </w:r>
                </w:p>
              </w:tc>
              <w:tc>
                <w:tcPr>
                  <w:tcW w:w="1026" w:type="dxa"/>
                  <w:tcBorders>
                    <w:top w:val="single" w:sz="4" w:space="0" w:color="auto"/>
                    <w:left w:val="nil"/>
                    <w:bottom w:val="single" w:sz="4" w:space="0" w:color="auto"/>
                    <w:right w:val="single" w:sz="4" w:space="0" w:color="auto"/>
                  </w:tcBorders>
                  <w:vAlign w:val="center"/>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$1,204.83</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$1,750.44</w:t>
                  </w:r>
                </w:p>
              </w:tc>
              <w:tc>
                <w:tcPr>
                  <w:tcW w:w="1221" w:type="dxa"/>
                  <w:tcBorders>
                    <w:top w:val="single" w:sz="4" w:space="0" w:color="auto"/>
                    <w:left w:val="single" w:sz="4" w:space="0" w:color="auto"/>
                    <w:bottom w:val="single" w:sz="4" w:space="0" w:color="auto"/>
                    <w:right w:val="single" w:sz="4" w:space="0" w:color="auto"/>
                  </w:tcBorders>
                  <w:vAlign w:val="center"/>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$545.61</w:t>
                  </w:r>
                </w:p>
              </w:tc>
            </w:tr>
            <w:bookmarkEnd w:id="4"/>
            <w:tr w:rsidR="00963B98" w:rsidRPr="00DB21D0" w:rsidTr="00AE5171">
              <w:trPr>
                <w:trHeight w:val="415"/>
              </w:trPr>
              <w:tc>
                <w:tcPr>
                  <w:tcW w:w="1379" w:type="dxa"/>
                  <w:tcBorders>
                    <w:top w:val="nil"/>
                    <w:left w:val="single" w:sz="4" w:space="0" w:color="auto"/>
                    <w:bottom w:val="single" w:sz="4" w:space="0" w:color="auto"/>
                    <w:right w:val="single" w:sz="4" w:space="0" w:color="auto"/>
                  </w:tcBorders>
                  <w:shd w:val="clear" w:color="auto" w:fill="auto"/>
                  <w:vAlign w:val="center"/>
                  <w:hideMark/>
                </w:tcPr>
                <w:p w:rsidR="00963B98" w:rsidRPr="00AB5F6F" w:rsidRDefault="00963B98" w:rsidP="00971BA3">
                  <w:pPr>
                    <w:jc w:val="center"/>
                    <w:rPr>
                      <w:rFonts w:ascii="Calibri" w:hAnsi="Calibri"/>
                      <w:sz w:val="20"/>
                      <w:szCs w:val="20"/>
                    </w:rPr>
                  </w:pPr>
                  <w:r w:rsidRPr="00AB5F6F">
                    <w:rPr>
                      <w:rFonts w:ascii="Calibri" w:hAnsi="Calibri"/>
                      <w:sz w:val="20"/>
                      <w:szCs w:val="20"/>
                    </w:rPr>
                    <w:t>Measure B</w:t>
                  </w:r>
                </w:p>
              </w:tc>
              <w:tc>
                <w:tcPr>
                  <w:tcW w:w="1458" w:type="dxa"/>
                  <w:tcBorders>
                    <w:top w:val="nil"/>
                    <w:left w:val="nil"/>
                    <w:bottom w:val="single" w:sz="4" w:space="0" w:color="auto"/>
                    <w:right w:val="single" w:sz="4" w:space="0" w:color="auto"/>
                  </w:tcBorders>
                  <w:shd w:val="clear" w:color="auto" w:fill="auto"/>
                  <w:vAlign w:val="center"/>
                  <w:hideMark/>
                </w:tcPr>
                <w:p w:rsidR="00963B98" w:rsidRPr="00AB5F6F" w:rsidRDefault="00963B98" w:rsidP="00971BA3">
                  <w:pPr>
                    <w:jc w:val="center"/>
                    <w:rPr>
                      <w:rFonts w:ascii="Calibri" w:hAnsi="Calibri"/>
                      <w:sz w:val="20"/>
                      <w:szCs w:val="20"/>
                    </w:rPr>
                  </w:pPr>
                  <w:r w:rsidRPr="00AB5F6F">
                    <w:rPr>
                      <w:rFonts w:ascii="Calibri" w:hAnsi="Calibri"/>
                      <w:sz w:val="20"/>
                      <w:szCs w:val="20"/>
                    </w:rPr>
                    <w:t>PM-98422</w:t>
                  </w:r>
                </w:p>
              </w:tc>
              <w:tc>
                <w:tcPr>
                  <w:tcW w:w="1512" w:type="dxa"/>
                  <w:tcBorders>
                    <w:top w:val="nil"/>
                    <w:left w:val="nil"/>
                    <w:bottom w:val="single" w:sz="4" w:space="0" w:color="auto"/>
                    <w:right w:val="single" w:sz="4" w:space="0" w:color="auto"/>
                  </w:tcBorders>
                  <w:shd w:val="clear" w:color="auto" w:fill="auto"/>
                  <w:vAlign w:val="center"/>
                  <w:hideMark/>
                </w:tcPr>
                <w:p w:rsidR="00963B98" w:rsidRPr="00B907FB" w:rsidRDefault="00963B98" w:rsidP="00971BA3">
                  <w:pPr>
                    <w:jc w:val="center"/>
                    <w:rPr>
                      <w:rFonts w:ascii="Calibri" w:hAnsi="Calibri"/>
                      <w:bCs/>
                      <w:sz w:val="20"/>
                      <w:szCs w:val="20"/>
                    </w:rPr>
                  </w:pPr>
                  <w:r w:rsidRPr="00B907FB">
                    <w:rPr>
                      <w:rFonts w:ascii="Calibri" w:hAnsi="Calibri"/>
                      <w:bCs/>
                      <w:sz w:val="20"/>
                      <w:szCs w:val="20"/>
                    </w:rPr>
                    <w:t>404011</w:t>
                  </w:r>
                </w:p>
              </w:tc>
              <w:tc>
                <w:tcPr>
                  <w:tcW w:w="1026" w:type="dxa"/>
                  <w:tcBorders>
                    <w:top w:val="single" w:sz="4" w:space="0" w:color="auto"/>
                    <w:left w:val="nil"/>
                    <w:bottom w:val="single" w:sz="4" w:space="0" w:color="auto"/>
                    <w:right w:val="single" w:sz="4" w:space="0" w:color="auto"/>
                  </w:tcBorders>
                  <w:vAlign w:val="center"/>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$1,204.83</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$1,684.59</w:t>
                  </w:r>
                </w:p>
              </w:tc>
              <w:tc>
                <w:tcPr>
                  <w:tcW w:w="1221" w:type="dxa"/>
                  <w:tcBorders>
                    <w:top w:val="single" w:sz="4" w:space="0" w:color="auto"/>
                    <w:left w:val="single" w:sz="4" w:space="0" w:color="auto"/>
                    <w:bottom w:val="single" w:sz="4" w:space="0" w:color="auto"/>
                    <w:right w:val="single" w:sz="4" w:space="0" w:color="auto"/>
                  </w:tcBorders>
                  <w:vAlign w:val="center"/>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$479.76</w:t>
                  </w:r>
                </w:p>
              </w:tc>
            </w:tr>
            <w:tr w:rsidR="00AE5171" w:rsidRPr="00AB5F6F" w:rsidTr="00AE5171">
              <w:trPr>
                <w:trHeight w:val="415"/>
              </w:trPr>
              <w:tc>
                <w:tcPr>
                  <w:tcW w:w="1379" w:type="dxa"/>
                  <w:tcBorders>
                    <w:top w:val="nil"/>
                    <w:left w:val="single" w:sz="4" w:space="0" w:color="auto"/>
                    <w:bottom w:val="single" w:sz="4" w:space="0" w:color="auto"/>
                    <w:right w:val="single" w:sz="4" w:space="0" w:color="auto"/>
                  </w:tcBorders>
                  <w:shd w:val="clear" w:color="auto" w:fill="auto"/>
                  <w:vAlign w:val="center"/>
                  <w:hideMark/>
                </w:tcPr>
                <w:p w:rsidR="00AE5171" w:rsidRPr="00AB5F6F" w:rsidRDefault="00AE5171" w:rsidP="000074DF">
                  <w:pPr>
                    <w:jc w:val="center"/>
                    <w:rPr>
                      <w:rFonts w:ascii="Calibri" w:hAnsi="Calibri"/>
                      <w:sz w:val="20"/>
                      <w:szCs w:val="20"/>
                    </w:rPr>
                  </w:pPr>
                  <w:r>
                    <w:rPr>
                      <w:rFonts w:ascii="Calibri" w:hAnsi="Calibri"/>
                      <w:sz w:val="20"/>
                      <w:szCs w:val="20"/>
                    </w:rPr>
                    <w:t>Measure C</w:t>
                  </w:r>
                </w:p>
              </w:tc>
              <w:tc>
                <w:tcPr>
                  <w:tcW w:w="1458" w:type="dxa"/>
                  <w:tcBorders>
                    <w:top w:val="nil"/>
                    <w:left w:val="nil"/>
                    <w:bottom w:val="single" w:sz="4" w:space="0" w:color="auto"/>
                    <w:right w:val="single" w:sz="4" w:space="0" w:color="auto"/>
                  </w:tcBorders>
                  <w:shd w:val="clear" w:color="auto" w:fill="auto"/>
                  <w:vAlign w:val="center"/>
                  <w:hideMark/>
                </w:tcPr>
                <w:p w:rsidR="00AE5171" w:rsidRPr="00AB5F6F" w:rsidRDefault="00AE5171" w:rsidP="000074DF">
                  <w:pPr>
                    <w:jc w:val="center"/>
                    <w:rPr>
                      <w:rFonts w:ascii="Calibri" w:hAnsi="Calibri"/>
                      <w:sz w:val="20"/>
                      <w:szCs w:val="20"/>
                    </w:rPr>
                  </w:pPr>
                  <w:r>
                    <w:rPr>
                      <w:rFonts w:ascii="Calibri" w:hAnsi="Calibri"/>
                      <w:sz w:val="20"/>
                      <w:szCs w:val="20"/>
                    </w:rPr>
                    <w:t>PM-69234</w:t>
                  </w:r>
                </w:p>
              </w:tc>
              <w:tc>
                <w:tcPr>
                  <w:tcW w:w="1512" w:type="dxa"/>
                  <w:tcBorders>
                    <w:top w:val="nil"/>
                    <w:left w:val="nil"/>
                    <w:bottom w:val="single" w:sz="4" w:space="0" w:color="auto"/>
                    <w:right w:val="single" w:sz="4" w:space="0" w:color="auto"/>
                  </w:tcBorders>
                  <w:shd w:val="clear" w:color="auto" w:fill="auto"/>
                  <w:vAlign w:val="center"/>
                  <w:hideMark/>
                </w:tcPr>
                <w:p w:rsidR="00AE5171" w:rsidRPr="00AB5F6F" w:rsidRDefault="00AE5171" w:rsidP="000074DF">
                  <w:pPr>
                    <w:jc w:val="center"/>
                    <w:rPr>
                      <w:rFonts w:ascii="Calibri" w:hAnsi="Calibri"/>
                      <w:sz w:val="20"/>
                      <w:szCs w:val="20"/>
                    </w:rPr>
                  </w:pPr>
                  <w:r>
                    <w:rPr>
                      <w:rFonts w:ascii="Calibri" w:hAnsi="Calibri"/>
                      <w:sz w:val="20"/>
                      <w:szCs w:val="20"/>
                    </w:rPr>
                    <w:t>465304</w:t>
                  </w:r>
                </w:p>
              </w:tc>
              <w:tc>
                <w:tcPr>
                  <w:tcW w:w="1026" w:type="dxa"/>
                  <w:tcBorders>
                    <w:top w:val="single" w:sz="4" w:space="0" w:color="auto"/>
                    <w:left w:val="nil"/>
                    <w:bottom w:val="single" w:sz="4" w:space="0" w:color="auto"/>
                    <w:right w:val="single" w:sz="4" w:space="0" w:color="auto"/>
                  </w:tcBorders>
                  <w:vAlign w:val="center"/>
                </w:tcPr>
                <w:p w:rsidR="00AE5171" w:rsidRPr="00AB5F6F" w:rsidRDefault="00AE5171" w:rsidP="000074DF">
                  <w:pPr>
                    <w:jc w:val="center"/>
                    <w:rPr>
                      <w:rFonts w:ascii="Calibri" w:hAnsi="Calibri"/>
                      <w:sz w:val="20"/>
                      <w:szCs w:val="20"/>
                    </w:rPr>
                  </w:pPr>
                  <w:r>
                    <w:rPr>
                      <w:rFonts w:ascii="Calibri" w:hAnsi="Calibri"/>
                      <w:color w:val="000000"/>
                      <w:sz w:val="20"/>
                      <w:szCs w:val="20"/>
                    </w:rPr>
                    <w:t>$999.49</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5171" w:rsidRPr="00AB5F6F" w:rsidRDefault="00AE5171" w:rsidP="000074DF">
                  <w:pPr>
                    <w:jc w:val="center"/>
                    <w:rPr>
                      <w:rFonts w:ascii="Calibri" w:hAnsi="Calibri"/>
                      <w:sz w:val="20"/>
                      <w:szCs w:val="20"/>
                    </w:rPr>
                  </w:pPr>
                  <w:r w:rsidRPr="00AB5F6F">
                    <w:rPr>
                      <w:rFonts w:ascii="Calibri" w:hAnsi="Calibri"/>
                      <w:color w:val="000000"/>
                      <w:sz w:val="20"/>
                      <w:szCs w:val="20"/>
                    </w:rPr>
                    <w:t>$1,750.44</w:t>
                  </w:r>
                </w:p>
              </w:tc>
              <w:tc>
                <w:tcPr>
                  <w:tcW w:w="1221" w:type="dxa"/>
                  <w:tcBorders>
                    <w:top w:val="single" w:sz="4" w:space="0" w:color="auto"/>
                    <w:left w:val="single" w:sz="4" w:space="0" w:color="auto"/>
                    <w:bottom w:val="single" w:sz="4" w:space="0" w:color="auto"/>
                    <w:right w:val="single" w:sz="4" w:space="0" w:color="auto"/>
                  </w:tcBorders>
                  <w:vAlign w:val="center"/>
                </w:tcPr>
                <w:p w:rsidR="00AE5171" w:rsidRPr="00AB5F6F" w:rsidRDefault="00AE5171" w:rsidP="000074DF">
                  <w:pPr>
                    <w:jc w:val="center"/>
                    <w:rPr>
                      <w:rFonts w:ascii="Calibri" w:hAnsi="Calibri"/>
                      <w:sz w:val="20"/>
                      <w:szCs w:val="20"/>
                    </w:rPr>
                  </w:pPr>
                  <w:r>
                    <w:rPr>
                      <w:rFonts w:ascii="Calibri" w:hAnsi="Calibri"/>
                      <w:color w:val="000000"/>
                      <w:sz w:val="20"/>
                      <w:szCs w:val="20"/>
                    </w:rPr>
                    <w:t>$750.95</w:t>
                  </w:r>
                </w:p>
              </w:tc>
            </w:tr>
            <w:tr w:rsidR="00963B98" w:rsidRPr="00DB21D0" w:rsidTr="00AE5171">
              <w:trPr>
                <w:trHeight w:val="415"/>
              </w:trPr>
              <w:tc>
                <w:tcPr>
                  <w:tcW w:w="1379" w:type="dxa"/>
                  <w:tcBorders>
                    <w:top w:val="nil"/>
                    <w:left w:val="single" w:sz="4" w:space="0" w:color="auto"/>
                    <w:bottom w:val="single" w:sz="4" w:space="0" w:color="auto"/>
                    <w:right w:val="single" w:sz="4" w:space="0" w:color="auto"/>
                  </w:tcBorders>
                  <w:shd w:val="clear" w:color="auto" w:fill="auto"/>
                  <w:vAlign w:val="center"/>
                  <w:hideMark/>
                </w:tcPr>
                <w:p w:rsidR="00963B98" w:rsidRPr="00AB5F6F" w:rsidRDefault="00963B98" w:rsidP="00971BA3">
                  <w:pPr>
                    <w:jc w:val="center"/>
                    <w:rPr>
                      <w:rFonts w:ascii="Calibri" w:hAnsi="Calibri"/>
                      <w:sz w:val="20"/>
                      <w:szCs w:val="20"/>
                    </w:rPr>
                  </w:pPr>
                  <w:r w:rsidRPr="00AB5F6F">
                    <w:rPr>
                      <w:rFonts w:ascii="Calibri" w:hAnsi="Calibri"/>
                      <w:sz w:val="20"/>
                      <w:szCs w:val="20"/>
                    </w:rPr>
                    <w:t>Measure D</w:t>
                  </w:r>
                </w:p>
              </w:tc>
              <w:tc>
                <w:tcPr>
                  <w:tcW w:w="1458" w:type="dxa"/>
                  <w:tcBorders>
                    <w:top w:val="nil"/>
                    <w:left w:val="nil"/>
                    <w:bottom w:val="single" w:sz="4" w:space="0" w:color="auto"/>
                    <w:right w:val="single" w:sz="4" w:space="0" w:color="auto"/>
                  </w:tcBorders>
                  <w:shd w:val="clear" w:color="auto" w:fill="auto"/>
                  <w:vAlign w:val="center"/>
                  <w:hideMark/>
                </w:tcPr>
                <w:p w:rsidR="00963B98" w:rsidRPr="00AB5F6F" w:rsidRDefault="00963B98" w:rsidP="00971BA3">
                  <w:pPr>
                    <w:jc w:val="center"/>
                    <w:rPr>
                      <w:rFonts w:ascii="Calibri" w:hAnsi="Calibri"/>
                      <w:sz w:val="20"/>
                      <w:szCs w:val="20"/>
                    </w:rPr>
                  </w:pPr>
                  <w:r w:rsidRPr="00AB5F6F">
                    <w:rPr>
                      <w:rFonts w:ascii="Calibri" w:hAnsi="Calibri"/>
                      <w:sz w:val="20"/>
                      <w:szCs w:val="20"/>
                    </w:rPr>
                    <w:t>PM-79353</w:t>
                  </w:r>
                </w:p>
              </w:tc>
              <w:tc>
                <w:tcPr>
                  <w:tcW w:w="1512" w:type="dxa"/>
                  <w:tcBorders>
                    <w:top w:val="nil"/>
                    <w:left w:val="nil"/>
                    <w:bottom w:val="single" w:sz="4" w:space="0" w:color="auto"/>
                    <w:right w:val="single" w:sz="4" w:space="0" w:color="auto"/>
                  </w:tcBorders>
                  <w:shd w:val="clear" w:color="auto" w:fill="auto"/>
                  <w:vAlign w:val="center"/>
                  <w:hideMark/>
                </w:tcPr>
                <w:p w:rsidR="00963B98" w:rsidRPr="00AB5F6F" w:rsidRDefault="00AE5171" w:rsidP="00971BA3">
                  <w:pPr>
                    <w:jc w:val="center"/>
                    <w:rPr>
                      <w:rFonts w:ascii="Calibri" w:hAnsi="Calibri"/>
                      <w:sz w:val="20"/>
                      <w:szCs w:val="20"/>
                    </w:rPr>
                  </w:pPr>
                  <w:r>
                    <w:rPr>
                      <w:rFonts w:ascii="Calibri" w:hAnsi="Calibri"/>
                      <w:sz w:val="20"/>
                      <w:szCs w:val="20"/>
                    </w:rPr>
                    <w:t>464306</w:t>
                  </w:r>
                  <w:r>
                    <w:rPr>
                      <w:rFonts w:ascii="Calibri" w:hAnsi="Calibri"/>
                      <w:sz w:val="20"/>
                      <w:szCs w:val="20"/>
                    </w:rPr>
                    <w:br/>
                  </w:r>
                  <w:r w:rsidR="00963B98" w:rsidRPr="00AB5F6F">
                    <w:rPr>
                      <w:rFonts w:ascii="Calibri" w:hAnsi="Calibri"/>
                      <w:sz w:val="20"/>
                      <w:szCs w:val="20"/>
                    </w:rPr>
                    <w:t>463579</w:t>
                  </w:r>
                </w:p>
              </w:tc>
              <w:tc>
                <w:tcPr>
                  <w:tcW w:w="1026" w:type="dxa"/>
                  <w:tcBorders>
                    <w:top w:val="single" w:sz="4" w:space="0" w:color="auto"/>
                    <w:left w:val="nil"/>
                    <w:bottom w:val="single" w:sz="4" w:space="0" w:color="auto"/>
                    <w:right w:val="single" w:sz="4" w:space="0" w:color="auto"/>
                  </w:tcBorders>
                  <w:vAlign w:val="center"/>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$1,220.43</w:t>
                  </w:r>
                  <w:r w:rsidR="00347EE5">
                    <w:rPr>
                      <w:rFonts w:ascii="Calibri" w:hAnsi="Calibri"/>
                      <w:color w:val="000000"/>
                      <w:sz w:val="20"/>
                      <w:szCs w:val="20"/>
                    </w:rPr>
                    <w:br/>
                    <w:t>$1,425.77</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$1,971.38</w:t>
                  </w:r>
                </w:p>
              </w:tc>
              <w:tc>
                <w:tcPr>
                  <w:tcW w:w="1221" w:type="dxa"/>
                  <w:tcBorders>
                    <w:top w:val="single" w:sz="4" w:space="0" w:color="auto"/>
                    <w:left w:val="single" w:sz="4" w:space="0" w:color="auto"/>
                    <w:bottom w:val="single" w:sz="4" w:space="0" w:color="auto"/>
                    <w:right w:val="single" w:sz="4" w:space="0" w:color="auto"/>
                  </w:tcBorders>
                  <w:vAlign w:val="center"/>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$750.95</w:t>
                  </w:r>
                  <w:r w:rsidR="00347EE5">
                    <w:rPr>
                      <w:rFonts w:ascii="Calibri" w:hAnsi="Calibri"/>
                      <w:color w:val="000000"/>
                      <w:sz w:val="20"/>
                      <w:szCs w:val="20"/>
                    </w:rPr>
                    <w:br/>
                    <w:t>$545.61</w:t>
                  </w:r>
                </w:p>
              </w:tc>
            </w:tr>
            <w:tr w:rsidR="00963B98" w:rsidRPr="00DB21D0" w:rsidTr="00AE5171">
              <w:trPr>
                <w:trHeight w:val="415"/>
              </w:trPr>
              <w:tc>
                <w:tcPr>
                  <w:tcW w:w="1379" w:type="dxa"/>
                  <w:tcBorders>
                    <w:top w:val="nil"/>
                    <w:left w:val="single" w:sz="4" w:space="0" w:color="auto"/>
                    <w:bottom w:val="single" w:sz="4" w:space="0" w:color="auto"/>
                    <w:right w:val="single" w:sz="4" w:space="0" w:color="auto"/>
                  </w:tcBorders>
                  <w:shd w:val="clear" w:color="auto" w:fill="auto"/>
                  <w:vAlign w:val="center"/>
                  <w:hideMark/>
                </w:tcPr>
                <w:p w:rsidR="00963B98" w:rsidRPr="00AB5F6F" w:rsidRDefault="00963B98" w:rsidP="00971BA3">
                  <w:pPr>
                    <w:jc w:val="center"/>
                    <w:rPr>
                      <w:rFonts w:ascii="Calibri" w:hAnsi="Calibri"/>
                      <w:sz w:val="20"/>
                      <w:szCs w:val="20"/>
                    </w:rPr>
                  </w:pPr>
                  <w:r w:rsidRPr="00AB5F6F">
                    <w:rPr>
                      <w:rFonts w:ascii="Calibri" w:hAnsi="Calibri"/>
                      <w:sz w:val="20"/>
                      <w:szCs w:val="20"/>
                    </w:rPr>
                    <w:t>Measure F</w:t>
                  </w:r>
                </w:p>
              </w:tc>
              <w:tc>
                <w:tcPr>
                  <w:tcW w:w="1458" w:type="dxa"/>
                  <w:tcBorders>
                    <w:top w:val="nil"/>
                    <w:left w:val="nil"/>
                    <w:bottom w:val="single" w:sz="4" w:space="0" w:color="auto"/>
                    <w:right w:val="single" w:sz="4" w:space="0" w:color="auto"/>
                  </w:tcBorders>
                  <w:shd w:val="clear" w:color="auto" w:fill="auto"/>
                  <w:vAlign w:val="center"/>
                  <w:hideMark/>
                </w:tcPr>
                <w:p w:rsidR="00963B98" w:rsidRPr="00AB5F6F" w:rsidRDefault="00963B98" w:rsidP="00971BA3">
                  <w:pPr>
                    <w:jc w:val="center"/>
                    <w:rPr>
                      <w:rFonts w:ascii="Calibri" w:hAnsi="Calibri"/>
                      <w:sz w:val="20"/>
                      <w:szCs w:val="20"/>
                    </w:rPr>
                  </w:pPr>
                  <w:r w:rsidRPr="00AB5F6F">
                    <w:rPr>
                      <w:rFonts w:ascii="Calibri" w:hAnsi="Calibri"/>
                      <w:sz w:val="20"/>
                      <w:szCs w:val="20"/>
                    </w:rPr>
                    <w:t>PM-19753</w:t>
                  </w:r>
                </w:p>
              </w:tc>
              <w:tc>
                <w:tcPr>
                  <w:tcW w:w="1512" w:type="dxa"/>
                  <w:tcBorders>
                    <w:top w:val="nil"/>
                    <w:left w:val="nil"/>
                    <w:bottom w:val="single" w:sz="4" w:space="0" w:color="auto"/>
                    <w:right w:val="single" w:sz="4" w:space="0" w:color="auto"/>
                  </w:tcBorders>
                  <w:shd w:val="clear" w:color="auto" w:fill="auto"/>
                  <w:vAlign w:val="center"/>
                  <w:hideMark/>
                </w:tcPr>
                <w:p w:rsidR="00963B98" w:rsidRPr="00AB5F6F" w:rsidRDefault="00AE5171" w:rsidP="00971BA3">
                  <w:pPr>
                    <w:jc w:val="center"/>
                    <w:rPr>
                      <w:rFonts w:ascii="Calibri" w:hAnsi="Calibri"/>
                      <w:b/>
                      <w:bCs/>
                      <w:sz w:val="20"/>
                      <w:szCs w:val="20"/>
                    </w:rPr>
                  </w:pPr>
                  <w:r>
                    <w:rPr>
                      <w:rFonts w:ascii="Calibri" w:hAnsi="Calibri"/>
                      <w:sz w:val="20"/>
                      <w:szCs w:val="20"/>
                    </w:rPr>
                    <w:t>465302</w:t>
                  </w:r>
                  <w:r>
                    <w:rPr>
                      <w:rFonts w:ascii="Calibri" w:hAnsi="Calibri"/>
                      <w:sz w:val="20"/>
                      <w:szCs w:val="20"/>
                    </w:rPr>
                    <w:br/>
                  </w:r>
                  <w:r w:rsidR="00963B98">
                    <w:rPr>
                      <w:rFonts w:ascii="Calibri" w:hAnsi="Calibri"/>
                      <w:sz w:val="20"/>
                      <w:szCs w:val="20"/>
                    </w:rPr>
                    <w:t>464271</w:t>
                  </w:r>
                </w:p>
              </w:tc>
              <w:tc>
                <w:tcPr>
                  <w:tcW w:w="1026" w:type="dxa"/>
                  <w:tcBorders>
                    <w:top w:val="single" w:sz="4" w:space="0" w:color="auto"/>
                    <w:left w:val="nil"/>
                    <w:bottom w:val="single" w:sz="4" w:space="0" w:color="auto"/>
                    <w:right w:val="single" w:sz="4" w:space="0" w:color="auto"/>
                  </w:tcBorders>
                  <w:vAlign w:val="center"/>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$1,220.43</w:t>
                  </w:r>
                  <w:r w:rsidR="00347EE5">
                    <w:rPr>
                      <w:rFonts w:ascii="Calibri" w:hAnsi="Calibri"/>
                      <w:color w:val="000000"/>
                      <w:sz w:val="20"/>
                      <w:szCs w:val="20"/>
                    </w:rPr>
                    <w:br/>
                    <w:t>$1,425.77</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$1,971.38</w:t>
                  </w:r>
                </w:p>
              </w:tc>
              <w:tc>
                <w:tcPr>
                  <w:tcW w:w="1221" w:type="dxa"/>
                  <w:tcBorders>
                    <w:top w:val="single" w:sz="4" w:space="0" w:color="auto"/>
                    <w:left w:val="single" w:sz="4" w:space="0" w:color="auto"/>
                    <w:bottom w:val="single" w:sz="4" w:space="0" w:color="auto"/>
                    <w:right w:val="single" w:sz="4" w:space="0" w:color="auto"/>
                  </w:tcBorders>
                  <w:vAlign w:val="center"/>
                </w:tcPr>
                <w:p w:rsidR="00963B98" w:rsidRDefault="00963B98" w:rsidP="00971BA3">
                  <w:pPr>
                    <w:jc w:val="center"/>
                    <w:rPr>
                      <w:rFonts w:ascii="Calibri" w:hAnsi="Calibri"/>
                      <w:color w:val="000000"/>
                      <w:sz w:val="20"/>
                      <w:szCs w:val="20"/>
                    </w:rPr>
                  </w:pPr>
                  <w:r w:rsidRPr="00AB5F6F">
                    <w:rPr>
                      <w:rFonts w:ascii="Calibri" w:hAnsi="Calibri"/>
                      <w:color w:val="000000"/>
                      <w:sz w:val="20"/>
                      <w:szCs w:val="20"/>
                    </w:rPr>
                    <w:t>$750.95</w:t>
                  </w:r>
                </w:p>
                <w:p w:rsidR="00347EE5" w:rsidRPr="00AB5F6F" w:rsidRDefault="00347EE5" w:rsidP="00971BA3">
                  <w:pPr>
                    <w:jc w:val="center"/>
                    <w:rPr>
                      <w:rFonts w:ascii="Calibri" w:hAnsi="Calibri"/>
                      <w:sz w:val="20"/>
                      <w:szCs w:val="20"/>
                    </w:rPr>
                  </w:pPr>
                  <w:r>
                    <w:rPr>
                      <w:rFonts w:ascii="Calibri" w:hAnsi="Calibri"/>
                      <w:color w:val="000000"/>
                      <w:sz w:val="20"/>
                      <w:szCs w:val="20"/>
                    </w:rPr>
                    <w:t>$545.61</w:t>
                  </w:r>
                </w:p>
              </w:tc>
            </w:tr>
            <w:tr w:rsidR="00963B98" w:rsidRPr="00DB21D0" w:rsidTr="00AE5171">
              <w:trPr>
                <w:trHeight w:val="415"/>
              </w:trPr>
              <w:tc>
                <w:tcPr>
                  <w:tcW w:w="1379" w:type="dxa"/>
                  <w:tcBorders>
                    <w:top w:val="nil"/>
                    <w:left w:val="single" w:sz="4" w:space="0" w:color="auto"/>
                    <w:bottom w:val="single" w:sz="4" w:space="0" w:color="auto"/>
                    <w:right w:val="single" w:sz="4" w:space="0" w:color="auto"/>
                  </w:tcBorders>
                  <w:shd w:val="clear" w:color="auto" w:fill="auto"/>
                  <w:vAlign w:val="center"/>
                  <w:hideMark/>
                </w:tcPr>
                <w:p w:rsidR="00963B98" w:rsidRPr="00AB5F6F" w:rsidRDefault="00963B98" w:rsidP="00971BA3">
                  <w:pPr>
                    <w:jc w:val="center"/>
                    <w:rPr>
                      <w:rFonts w:ascii="Calibri" w:hAnsi="Calibri"/>
                      <w:sz w:val="20"/>
                      <w:szCs w:val="20"/>
                    </w:rPr>
                  </w:pPr>
                  <w:r w:rsidRPr="00AB5F6F">
                    <w:rPr>
                      <w:rFonts w:ascii="Calibri" w:hAnsi="Calibri"/>
                      <w:sz w:val="20"/>
                      <w:szCs w:val="20"/>
                    </w:rPr>
                    <w:t>Measure G</w:t>
                  </w:r>
                </w:p>
              </w:tc>
              <w:tc>
                <w:tcPr>
                  <w:tcW w:w="1458" w:type="dxa"/>
                  <w:tcBorders>
                    <w:top w:val="nil"/>
                    <w:left w:val="nil"/>
                    <w:bottom w:val="single" w:sz="4" w:space="0" w:color="auto"/>
                    <w:right w:val="single" w:sz="4" w:space="0" w:color="auto"/>
                  </w:tcBorders>
                  <w:shd w:val="clear" w:color="auto" w:fill="auto"/>
                  <w:vAlign w:val="center"/>
                  <w:hideMark/>
                </w:tcPr>
                <w:p w:rsidR="00963B98" w:rsidRPr="00AB5F6F" w:rsidRDefault="00963B98" w:rsidP="00971BA3">
                  <w:pPr>
                    <w:jc w:val="center"/>
                    <w:rPr>
                      <w:rFonts w:ascii="Calibri" w:hAnsi="Calibri"/>
                      <w:sz w:val="20"/>
                      <w:szCs w:val="20"/>
                    </w:rPr>
                  </w:pPr>
                  <w:r w:rsidRPr="00AB5F6F">
                    <w:rPr>
                      <w:rFonts w:ascii="Calibri" w:hAnsi="Calibri"/>
                      <w:sz w:val="20"/>
                      <w:szCs w:val="20"/>
                    </w:rPr>
                    <w:t>PM-19754</w:t>
                  </w:r>
                </w:p>
              </w:tc>
              <w:tc>
                <w:tcPr>
                  <w:tcW w:w="1512" w:type="dxa"/>
                  <w:tcBorders>
                    <w:top w:val="nil"/>
                    <w:left w:val="nil"/>
                    <w:bottom w:val="single" w:sz="4" w:space="0" w:color="auto"/>
                    <w:right w:val="single" w:sz="4" w:space="0" w:color="auto"/>
                  </w:tcBorders>
                  <w:shd w:val="clear" w:color="auto" w:fill="auto"/>
                  <w:vAlign w:val="center"/>
                  <w:hideMark/>
                </w:tcPr>
                <w:p w:rsidR="00963B98" w:rsidRPr="00AB5F6F" w:rsidRDefault="00AE5171" w:rsidP="00971BA3">
                  <w:pPr>
                    <w:jc w:val="center"/>
                    <w:rPr>
                      <w:rFonts w:ascii="Calibri" w:hAnsi="Calibri"/>
                      <w:b/>
                      <w:bCs/>
                      <w:sz w:val="20"/>
                      <w:szCs w:val="20"/>
                    </w:rPr>
                  </w:pPr>
                  <w:r>
                    <w:rPr>
                      <w:rFonts w:ascii="Calibri" w:hAnsi="Calibri"/>
                      <w:sz w:val="20"/>
                      <w:szCs w:val="20"/>
                    </w:rPr>
                    <w:t>465303</w:t>
                  </w:r>
                  <w:r>
                    <w:rPr>
                      <w:rFonts w:ascii="Calibri" w:hAnsi="Calibri"/>
                      <w:sz w:val="20"/>
                      <w:szCs w:val="20"/>
                    </w:rPr>
                    <w:br/>
                  </w:r>
                  <w:r w:rsidR="00963B98">
                    <w:rPr>
                      <w:rFonts w:ascii="Calibri" w:hAnsi="Calibri"/>
                      <w:sz w:val="20"/>
                      <w:szCs w:val="20"/>
                    </w:rPr>
                    <w:t>464272</w:t>
                  </w:r>
                </w:p>
              </w:tc>
              <w:tc>
                <w:tcPr>
                  <w:tcW w:w="1026" w:type="dxa"/>
                  <w:tcBorders>
                    <w:top w:val="single" w:sz="4" w:space="0" w:color="auto"/>
                    <w:left w:val="nil"/>
                    <w:bottom w:val="single" w:sz="4" w:space="0" w:color="auto"/>
                    <w:right w:val="single" w:sz="4" w:space="0" w:color="auto"/>
                  </w:tcBorders>
                  <w:vAlign w:val="center"/>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$1,220.43</w:t>
                  </w:r>
                  <w:r w:rsidR="00347EE5">
                    <w:rPr>
                      <w:rFonts w:ascii="Calibri" w:hAnsi="Calibri"/>
                      <w:color w:val="000000"/>
                      <w:sz w:val="20"/>
                      <w:szCs w:val="20"/>
                    </w:rPr>
                    <w:br/>
                    <w:t>$1,425.77</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3B98" w:rsidRPr="00AB5F6F" w:rsidRDefault="00963B98" w:rsidP="00971BA3">
                  <w:pPr>
                    <w:jc w:val="center"/>
                    <w:rPr>
                      <w:rFonts w:ascii="Calibri" w:hAnsi="Calibri"/>
                      <w:sz w:val="20"/>
                      <w:szCs w:val="20"/>
                    </w:rPr>
                  </w:pPr>
                  <w:r w:rsidRPr="00AB5F6F">
                    <w:rPr>
                      <w:rFonts w:ascii="Calibri" w:hAnsi="Calibri"/>
                      <w:color w:val="000000"/>
                      <w:sz w:val="20"/>
                      <w:szCs w:val="20"/>
                    </w:rPr>
                    <w:t>$1,971.38</w:t>
                  </w:r>
                </w:p>
              </w:tc>
              <w:tc>
                <w:tcPr>
                  <w:tcW w:w="1221" w:type="dxa"/>
                  <w:tcBorders>
                    <w:top w:val="single" w:sz="4" w:space="0" w:color="auto"/>
                    <w:left w:val="single" w:sz="4" w:space="0" w:color="auto"/>
                    <w:bottom w:val="single" w:sz="4" w:space="0" w:color="auto"/>
                    <w:right w:val="single" w:sz="4" w:space="0" w:color="auto"/>
                  </w:tcBorders>
                  <w:vAlign w:val="center"/>
                </w:tcPr>
                <w:p w:rsidR="00963B98" w:rsidRDefault="00963B98" w:rsidP="00971BA3">
                  <w:pPr>
                    <w:jc w:val="center"/>
                    <w:rPr>
                      <w:rFonts w:ascii="Calibri" w:hAnsi="Calibri"/>
                      <w:color w:val="000000"/>
                      <w:sz w:val="20"/>
                      <w:szCs w:val="20"/>
                    </w:rPr>
                  </w:pPr>
                  <w:r w:rsidRPr="00AB5F6F">
                    <w:rPr>
                      <w:rFonts w:ascii="Calibri" w:hAnsi="Calibri"/>
                      <w:color w:val="000000"/>
                      <w:sz w:val="20"/>
                      <w:szCs w:val="20"/>
                    </w:rPr>
                    <w:t>$750.95</w:t>
                  </w:r>
                </w:p>
                <w:p w:rsidR="00347EE5" w:rsidRPr="00AB5F6F" w:rsidRDefault="00347EE5" w:rsidP="00971BA3">
                  <w:pPr>
                    <w:jc w:val="center"/>
                    <w:rPr>
                      <w:rFonts w:ascii="Calibri" w:hAnsi="Calibri"/>
                      <w:sz w:val="20"/>
                      <w:szCs w:val="20"/>
                    </w:rPr>
                  </w:pPr>
                  <w:r>
                    <w:rPr>
                      <w:rFonts w:ascii="Calibri" w:hAnsi="Calibri"/>
                      <w:color w:val="000000"/>
                      <w:sz w:val="20"/>
                      <w:szCs w:val="20"/>
                    </w:rPr>
                    <w:t>$545.61</w:t>
                  </w:r>
                </w:p>
              </w:tc>
            </w:tr>
          </w:tbl>
          <w:p w:rsidR="00963B98" w:rsidRPr="005973F9" w:rsidRDefault="00963B98" w:rsidP="00971BA3">
            <w:pPr>
              <w:rPr>
                <w:rFonts w:cs="Arial"/>
                <w:sz w:val="20"/>
                <w:szCs w:val="20"/>
              </w:rPr>
            </w:pPr>
            <w:bookmarkStart w:id="5" w:name="_GoBack"/>
            <w:bookmarkEnd w:id="5"/>
          </w:p>
        </w:tc>
      </w:tr>
    </w:tbl>
    <w:p w:rsidR="00A75EDC" w:rsidRDefault="00A75EDC" w:rsidP="0059117D"/>
    <w:p w:rsidR="0074209B" w:rsidRPr="00AB5978" w:rsidRDefault="0074209B" w:rsidP="001D77F7">
      <w:pPr>
        <w:pStyle w:val="Vertical"/>
        <w:jc w:val="left"/>
      </w:pPr>
    </w:p>
    <w:sectPr w:rsidR="0074209B" w:rsidRPr="00AB5978" w:rsidSect="00FA5C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FEC" w:rsidRDefault="00353FEC" w:rsidP="00FE520B">
      <w:r>
        <w:separator/>
      </w:r>
    </w:p>
  </w:endnote>
  <w:endnote w:type="continuationSeparator" w:id="0">
    <w:p w:rsidR="00353FEC" w:rsidRDefault="00353FEC"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BookAntiqua">
    <w:altName w:val="Calibri"/>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104" w:rsidRDefault="00347EE5" w:rsidP="00BF7104">
    <w:pPr>
      <w:pStyle w:val="Footer"/>
      <w:jc w:val="right"/>
      <w:rPr>
        <w:rFonts w:cstheme="minorHAnsi"/>
        <w:b/>
        <w:sz w:val="36"/>
        <w:szCs w:val="36"/>
      </w:rPr>
    </w:pPr>
    <w:sdt>
      <w:sdtPr>
        <w:rPr>
          <w:rFonts w:cstheme="minorHAnsi"/>
          <w:b/>
          <w:sz w:val="36"/>
          <w:szCs w:val="36"/>
        </w:rPr>
        <w:alias w:val="Date"/>
        <w:tag w:val=""/>
        <w:id w:val="-1014536461"/>
        <w:showingPlcHdr/>
        <w:dataBinding w:prefixMappings="xmlns:ns0='http://schemas.microsoft.com/office/2006/coverPageProps' " w:xpath="/ns0:CoverPageProperties[1]/ns0:PublishDate[1]" w:storeItemID="{55AF091B-3C7A-41E3-B477-F2FDAA23CFDA}"/>
        <w:date w:fullDate="2015-12-23T00:00:00Z">
          <w:dateFormat w:val="MMMM d, yyyy"/>
          <w:lid w:val="en-US"/>
          <w:storeMappedDataAs w:val="dateTime"/>
          <w:calendar w:val="gregorian"/>
        </w:date>
      </w:sdtPr>
      <w:sdtEndPr/>
      <w:sdtContent>
        <w:r w:rsidR="00BF7104">
          <w:rPr>
            <w:rFonts w:cstheme="minorHAnsi"/>
            <w:b/>
            <w:sz w:val="36"/>
            <w:szCs w:val="36"/>
          </w:rPr>
          <w:t xml:space="preserve">     </w:t>
        </w:r>
      </w:sdtContent>
    </w:sdt>
  </w:p>
  <w:p w:rsidR="00BF7104" w:rsidRPr="00E47372" w:rsidRDefault="00BF7104" w:rsidP="0084491B">
    <w:pPr>
      <w:pStyle w:val="Footer"/>
      <w:pBdr>
        <w:top w:val="single" w:sz="4" w:space="1" w:color="auto"/>
      </w:pBdr>
      <w:rPr>
        <w:b/>
      </w:rPr>
    </w:pPr>
    <w:r>
      <w:rPr>
        <w:b/>
      </w:rPr>
      <w:t xml:space="preserve">Workpaper </w:t>
    </w:r>
    <w:r w:rsidR="00E25322" w:rsidRPr="00E25322">
      <w:rPr>
        <w:b/>
      </w:rPr>
      <w:t>WPSDGEREWP0002</w:t>
    </w:r>
    <w:r w:rsidR="00736DEF">
      <w:rPr>
        <w:b/>
      </w:rPr>
      <w:t xml:space="preserve">, Revision </w:t>
    </w:r>
    <w:r w:rsidR="006446E9">
      <w:rPr>
        <w:b/>
      </w:rPr>
      <w:t>8</w:t>
    </w:r>
    <w:r w:rsidR="00E25322">
      <w:rPr>
        <w:b/>
      </w:rPr>
      <w:t xml:space="preserve">                            </w:t>
    </w:r>
    <w:r w:rsidR="0025216C">
      <w:rPr>
        <w:b/>
      </w:rPr>
      <w:tab/>
    </w:r>
    <w:r w:rsidR="006446E9">
      <w:rPr>
        <w:b/>
      </w:rPr>
      <w:t>September 17</w:t>
    </w:r>
    <w:r w:rsidRPr="00DC5C9B">
      <w:rPr>
        <w:b/>
      </w:rPr>
      <w:t>, 201</w:t>
    </w:r>
    <w:r w:rsidR="006446E9">
      <w:rPr>
        <w:b/>
      </w:rPr>
      <w:t>8</w:t>
    </w:r>
  </w:p>
  <w:p w:rsidR="00BF7104" w:rsidRDefault="00BF7104" w:rsidP="0084491B">
    <w:pPr>
      <w:pStyle w:val="Footer"/>
      <w:rPr>
        <w:b/>
      </w:rPr>
    </w:pPr>
    <w:r>
      <w:rPr>
        <w:b/>
      </w:rPr>
      <w:t>San Diego Gas &amp; Electric</w:t>
    </w:r>
  </w:p>
  <w:p w:rsidR="00BF7104" w:rsidRPr="009500DC" w:rsidRDefault="00BF7104"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FEC" w:rsidRDefault="00353FEC" w:rsidP="00FE520B">
      <w:r>
        <w:separator/>
      </w:r>
    </w:p>
  </w:footnote>
  <w:footnote w:type="continuationSeparator" w:id="0">
    <w:p w:rsidR="00353FEC" w:rsidRDefault="00353FEC"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C19D9"/>
    <w:multiLevelType w:val="multilevel"/>
    <w:tmpl w:val="DCAC44A6"/>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432313"/>
    <w:multiLevelType w:val="hybridMultilevel"/>
    <w:tmpl w:val="710C7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0D0843"/>
    <w:multiLevelType w:val="hybridMultilevel"/>
    <w:tmpl w:val="35AED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426A52"/>
    <w:multiLevelType w:val="hybridMultilevel"/>
    <w:tmpl w:val="B750F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6C1216"/>
    <w:multiLevelType w:val="hybridMultilevel"/>
    <w:tmpl w:val="195AE3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8A40D7"/>
    <w:multiLevelType w:val="hybridMultilevel"/>
    <w:tmpl w:val="59846E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081C3C"/>
    <w:multiLevelType w:val="hybridMultilevel"/>
    <w:tmpl w:val="9F3C6A42"/>
    <w:lvl w:ilvl="0" w:tplc="B4362734">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57425F"/>
    <w:multiLevelType w:val="hybridMultilevel"/>
    <w:tmpl w:val="B29A2BBC"/>
    <w:lvl w:ilvl="0" w:tplc="C3369918">
      <w:numFmt w:val="bullet"/>
      <w:lvlText w:val="•"/>
      <w:lvlJc w:val="left"/>
      <w:pPr>
        <w:ind w:left="720" w:hanging="360"/>
      </w:pPr>
      <w:rPr>
        <w:rFonts w:ascii="Calibri" w:eastAsia="Times New Roman" w:hAnsi="Calibri" w:cs="Calibri" w:hint="default"/>
      </w:rPr>
    </w:lvl>
    <w:lvl w:ilvl="1" w:tplc="7A3604C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8C699E"/>
    <w:multiLevelType w:val="hybridMultilevel"/>
    <w:tmpl w:val="1CF062C2"/>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6" w15:restartNumberingAfterBreak="0">
    <w:nsid w:val="63C128B8"/>
    <w:multiLevelType w:val="hybridMultilevel"/>
    <w:tmpl w:val="BA1AE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1"/>
  </w:num>
  <w:num w:numId="4">
    <w:abstractNumId w:val="8"/>
  </w:num>
  <w:num w:numId="5">
    <w:abstractNumId w:val="11"/>
  </w:num>
  <w:num w:numId="6">
    <w:abstractNumId w:val="0"/>
  </w:num>
  <w:num w:numId="7">
    <w:abstractNumId w:val="14"/>
  </w:num>
  <w:num w:numId="8">
    <w:abstractNumId w:val="17"/>
  </w:num>
  <w:num w:numId="9">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4"/>
  </w:num>
  <w:num w:numId="13">
    <w:abstractNumId w:val="13"/>
  </w:num>
  <w:num w:numId="14">
    <w:abstractNumId w:val="15"/>
  </w:num>
  <w:num w:numId="15">
    <w:abstractNumId w:val="0"/>
  </w:num>
  <w:num w:numId="16">
    <w:abstractNumId w:val="0"/>
  </w:num>
  <w:num w:numId="17">
    <w:abstractNumId w:val="10"/>
  </w:num>
  <w:num w:numId="18">
    <w:abstractNumId w:val="7"/>
  </w:num>
  <w:num w:numId="19">
    <w:abstractNumId w:val="18"/>
  </w:num>
  <w:num w:numId="20">
    <w:abstractNumId w:val="3"/>
  </w:num>
  <w:num w:numId="21">
    <w:abstractNumId w:val="12"/>
  </w:num>
  <w:num w:numId="22">
    <w:abstractNumId w:val="16"/>
  </w:num>
  <w:num w:numId="23">
    <w:abstractNumId w:val="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1556"/>
    <w:rsid w:val="000143F0"/>
    <w:rsid w:val="00017E7E"/>
    <w:rsid w:val="0005267D"/>
    <w:rsid w:val="00052743"/>
    <w:rsid w:val="00052CE4"/>
    <w:rsid w:val="000E2E9B"/>
    <w:rsid w:val="000F0580"/>
    <w:rsid w:val="000F72EF"/>
    <w:rsid w:val="00107D86"/>
    <w:rsid w:val="001158E9"/>
    <w:rsid w:val="001272B0"/>
    <w:rsid w:val="001419AB"/>
    <w:rsid w:val="001879C7"/>
    <w:rsid w:val="00191296"/>
    <w:rsid w:val="00193E56"/>
    <w:rsid w:val="001D77F7"/>
    <w:rsid w:val="001E5E5C"/>
    <w:rsid w:val="001E6317"/>
    <w:rsid w:val="001F020D"/>
    <w:rsid w:val="002057A3"/>
    <w:rsid w:val="00223B15"/>
    <w:rsid w:val="00226262"/>
    <w:rsid w:val="00234611"/>
    <w:rsid w:val="002372ED"/>
    <w:rsid w:val="00245B90"/>
    <w:rsid w:val="00250390"/>
    <w:rsid w:val="0025216C"/>
    <w:rsid w:val="00255991"/>
    <w:rsid w:val="00262398"/>
    <w:rsid w:val="002647E9"/>
    <w:rsid w:val="00282C54"/>
    <w:rsid w:val="002C7FB3"/>
    <w:rsid w:val="002E4233"/>
    <w:rsid w:val="00307A88"/>
    <w:rsid w:val="003263A5"/>
    <w:rsid w:val="003466A3"/>
    <w:rsid w:val="00347EE5"/>
    <w:rsid w:val="00353ECF"/>
    <w:rsid w:val="00353FEC"/>
    <w:rsid w:val="00362D4E"/>
    <w:rsid w:val="00392FA8"/>
    <w:rsid w:val="003A7B4E"/>
    <w:rsid w:val="003C4D88"/>
    <w:rsid w:val="003E122A"/>
    <w:rsid w:val="003E6FA5"/>
    <w:rsid w:val="003F0417"/>
    <w:rsid w:val="0040214F"/>
    <w:rsid w:val="00424C7F"/>
    <w:rsid w:val="0044518E"/>
    <w:rsid w:val="004537B4"/>
    <w:rsid w:val="00476F40"/>
    <w:rsid w:val="00481DAD"/>
    <w:rsid w:val="0048680D"/>
    <w:rsid w:val="00487D18"/>
    <w:rsid w:val="004B1B5F"/>
    <w:rsid w:val="004C44B9"/>
    <w:rsid w:val="004D6484"/>
    <w:rsid w:val="00500D21"/>
    <w:rsid w:val="00505172"/>
    <w:rsid w:val="0053719E"/>
    <w:rsid w:val="005561B9"/>
    <w:rsid w:val="005815D4"/>
    <w:rsid w:val="00581D34"/>
    <w:rsid w:val="0059117D"/>
    <w:rsid w:val="005973F9"/>
    <w:rsid w:val="005B439A"/>
    <w:rsid w:val="005B7A24"/>
    <w:rsid w:val="005C2962"/>
    <w:rsid w:val="005C2AFD"/>
    <w:rsid w:val="005F770E"/>
    <w:rsid w:val="006049AE"/>
    <w:rsid w:val="00611C2C"/>
    <w:rsid w:val="0062702B"/>
    <w:rsid w:val="00636490"/>
    <w:rsid w:val="006446E9"/>
    <w:rsid w:val="00654030"/>
    <w:rsid w:val="00684ABA"/>
    <w:rsid w:val="006B2014"/>
    <w:rsid w:val="006E05ED"/>
    <w:rsid w:val="006F1B85"/>
    <w:rsid w:val="00704E4C"/>
    <w:rsid w:val="007123A8"/>
    <w:rsid w:val="00736DEF"/>
    <w:rsid w:val="0074139F"/>
    <w:rsid w:val="00741B15"/>
    <w:rsid w:val="0074209B"/>
    <w:rsid w:val="00746C49"/>
    <w:rsid w:val="00750C46"/>
    <w:rsid w:val="007632B7"/>
    <w:rsid w:val="00763E52"/>
    <w:rsid w:val="007A2886"/>
    <w:rsid w:val="007A3BC7"/>
    <w:rsid w:val="007F6B28"/>
    <w:rsid w:val="00820EAF"/>
    <w:rsid w:val="00822B6F"/>
    <w:rsid w:val="008301C9"/>
    <w:rsid w:val="0084491B"/>
    <w:rsid w:val="00861B74"/>
    <w:rsid w:val="00867C9A"/>
    <w:rsid w:val="008733BD"/>
    <w:rsid w:val="008828CF"/>
    <w:rsid w:val="008858EA"/>
    <w:rsid w:val="008B6B70"/>
    <w:rsid w:val="008C3325"/>
    <w:rsid w:val="008C3D1E"/>
    <w:rsid w:val="008E017D"/>
    <w:rsid w:val="008F1A85"/>
    <w:rsid w:val="009011AB"/>
    <w:rsid w:val="00904D62"/>
    <w:rsid w:val="00915FF5"/>
    <w:rsid w:val="00952C33"/>
    <w:rsid w:val="009544BA"/>
    <w:rsid w:val="009604A3"/>
    <w:rsid w:val="00963B98"/>
    <w:rsid w:val="00971BA3"/>
    <w:rsid w:val="00991E1B"/>
    <w:rsid w:val="009A0721"/>
    <w:rsid w:val="009A0F3E"/>
    <w:rsid w:val="009D106C"/>
    <w:rsid w:val="009D7A38"/>
    <w:rsid w:val="00A40890"/>
    <w:rsid w:val="00A41918"/>
    <w:rsid w:val="00A43405"/>
    <w:rsid w:val="00A64AB4"/>
    <w:rsid w:val="00A738FF"/>
    <w:rsid w:val="00A75EDC"/>
    <w:rsid w:val="00AB3212"/>
    <w:rsid w:val="00AB3EEE"/>
    <w:rsid w:val="00AB5F6F"/>
    <w:rsid w:val="00AC70B7"/>
    <w:rsid w:val="00AD41FF"/>
    <w:rsid w:val="00AE5171"/>
    <w:rsid w:val="00AF71B7"/>
    <w:rsid w:val="00B44AAB"/>
    <w:rsid w:val="00B86725"/>
    <w:rsid w:val="00B907FB"/>
    <w:rsid w:val="00BA188B"/>
    <w:rsid w:val="00BF7104"/>
    <w:rsid w:val="00C13FDE"/>
    <w:rsid w:val="00C27546"/>
    <w:rsid w:val="00C361B3"/>
    <w:rsid w:val="00C469C4"/>
    <w:rsid w:val="00C84A06"/>
    <w:rsid w:val="00C85B1A"/>
    <w:rsid w:val="00C95E42"/>
    <w:rsid w:val="00CA3063"/>
    <w:rsid w:val="00CC12EC"/>
    <w:rsid w:val="00CE26E8"/>
    <w:rsid w:val="00CE3C22"/>
    <w:rsid w:val="00D32070"/>
    <w:rsid w:val="00D40AF1"/>
    <w:rsid w:val="00D426E4"/>
    <w:rsid w:val="00D60240"/>
    <w:rsid w:val="00D67814"/>
    <w:rsid w:val="00D77F05"/>
    <w:rsid w:val="00D83ED3"/>
    <w:rsid w:val="00D86243"/>
    <w:rsid w:val="00D90D41"/>
    <w:rsid w:val="00DA3395"/>
    <w:rsid w:val="00DB2A1D"/>
    <w:rsid w:val="00DB6775"/>
    <w:rsid w:val="00DC53A4"/>
    <w:rsid w:val="00DD4B93"/>
    <w:rsid w:val="00DD4DB4"/>
    <w:rsid w:val="00DF6FA0"/>
    <w:rsid w:val="00E00DCC"/>
    <w:rsid w:val="00E041B5"/>
    <w:rsid w:val="00E15615"/>
    <w:rsid w:val="00E25322"/>
    <w:rsid w:val="00E25439"/>
    <w:rsid w:val="00E42E3A"/>
    <w:rsid w:val="00E454CC"/>
    <w:rsid w:val="00E56CE7"/>
    <w:rsid w:val="00E70363"/>
    <w:rsid w:val="00E77D27"/>
    <w:rsid w:val="00E934BB"/>
    <w:rsid w:val="00EE19D6"/>
    <w:rsid w:val="00EE4316"/>
    <w:rsid w:val="00F108BD"/>
    <w:rsid w:val="00F117C6"/>
    <w:rsid w:val="00F11AF0"/>
    <w:rsid w:val="00F23AE9"/>
    <w:rsid w:val="00F56BE9"/>
    <w:rsid w:val="00F5794B"/>
    <w:rsid w:val="00F77C08"/>
    <w:rsid w:val="00F8481C"/>
    <w:rsid w:val="00F95AC4"/>
    <w:rsid w:val="00FA5C27"/>
    <w:rsid w:val="00FD1321"/>
    <w:rsid w:val="00FE520B"/>
    <w:rsid w:val="00FF2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B0BC37"/>
  <w15:docId w15:val="{9604F6B3-AA8F-40EB-BB07-E33325920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nhideWhenUsed/>
    <w:rsid w:val="00F117C6"/>
    <w:pPr>
      <w:tabs>
        <w:tab w:val="center" w:pos="4680"/>
        <w:tab w:val="right" w:pos="9360"/>
      </w:tabs>
    </w:pPr>
  </w:style>
  <w:style w:type="character" w:customStyle="1" w:styleId="FooterChar">
    <w:name w:val="Footer Char"/>
    <w:basedOn w:val="DefaultParagraphFont"/>
    <w:link w:val="Footer"/>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character" w:styleId="Strong">
    <w:name w:val="Strong"/>
    <w:qFormat/>
    <w:rsid w:val="0025216C"/>
    <w:rPr>
      <w:b/>
      <w:bCs/>
    </w:rPr>
  </w:style>
  <w:style w:type="table" w:customStyle="1" w:styleId="TableGrid11">
    <w:name w:val="Table Grid11"/>
    <w:basedOn w:val="TableNormal"/>
    <w:next w:val="TableGrid"/>
    <w:rsid w:val="0025216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Text">
    <w:name w:val="WP Text"/>
    <w:link w:val="WPTextChar"/>
    <w:rsid w:val="00B44AAB"/>
    <w:pPr>
      <w:spacing w:after="0" w:line="240" w:lineRule="auto"/>
    </w:pPr>
    <w:rPr>
      <w:rFonts w:ascii="Times New Roman" w:eastAsia="Times New Roman" w:hAnsi="Times New Roman" w:cs="Times New Roman"/>
      <w:sz w:val="24"/>
      <w:szCs w:val="24"/>
    </w:rPr>
  </w:style>
  <w:style w:type="character" w:customStyle="1" w:styleId="WPTextChar">
    <w:name w:val="WP Text Char"/>
    <w:link w:val="WPText"/>
    <w:rsid w:val="00B44AAB"/>
    <w:rPr>
      <w:rFonts w:ascii="Times New Roman" w:eastAsia="Times New Roman" w:hAnsi="Times New Roman" w:cs="Times New Roman"/>
      <w:sz w:val="24"/>
      <w:szCs w:val="24"/>
    </w:rPr>
  </w:style>
  <w:style w:type="paragraph" w:styleId="NoSpacing">
    <w:name w:val="No Spacing"/>
    <w:uiPriority w:val="1"/>
    <w:qFormat/>
    <w:rsid w:val="00D40A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1C3A54D61944DBB3D63B92C982C696"/>
        <w:category>
          <w:name w:val="General"/>
          <w:gallery w:val="placeholder"/>
        </w:category>
        <w:types>
          <w:type w:val="bbPlcHdr"/>
        </w:types>
        <w:behaviors>
          <w:behavior w:val="content"/>
        </w:behaviors>
        <w:guid w:val="{F650BA68-2FED-4C03-A228-33EEEE5F70A1}"/>
      </w:docPartPr>
      <w:docPartBody>
        <w:p w:rsidR="005C5C4F" w:rsidRDefault="001F1348" w:rsidP="001F1348">
          <w:pPr>
            <w:pStyle w:val="2D1C3A54D61944DBB3D63B92C982C696"/>
          </w:pPr>
          <w:r w:rsidRPr="0033327F">
            <w:rPr>
              <w:rStyle w:val="PlaceholderText"/>
            </w:rPr>
            <w:t>[Title]</w:t>
          </w:r>
        </w:p>
      </w:docPartBody>
    </w:docPart>
    <w:docPart>
      <w:docPartPr>
        <w:name w:val="5420FAF41CED451EAB8369D8BC2C0B60"/>
        <w:category>
          <w:name w:val="General"/>
          <w:gallery w:val="placeholder"/>
        </w:category>
        <w:types>
          <w:type w:val="bbPlcHdr"/>
        </w:types>
        <w:behaviors>
          <w:behavior w:val="content"/>
        </w:behaviors>
        <w:guid w:val="{07636B28-D62B-4A70-8ACE-F496EEC0C22D}"/>
      </w:docPartPr>
      <w:docPartBody>
        <w:p w:rsidR="005C5C4F" w:rsidRDefault="001F1348" w:rsidP="001F1348">
          <w:pPr>
            <w:pStyle w:val="5420FAF41CED451EAB8369D8BC2C0B60"/>
          </w:pPr>
          <w:r w:rsidRPr="0033327F">
            <w:rPr>
              <w:rStyle w:val="PlaceholderText"/>
            </w:rPr>
            <w:t>[Status]</w:t>
          </w:r>
        </w:p>
      </w:docPartBody>
    </w:docPart>
    <w:docPart>
      <w:docPartPr>
        <w:name w:val="954041495DA644508C725EBE45A9A075"/>
        <w:category>
          <w:name w:val="General"/>
          <w:gallery w:val="placeholder"/>
        </w:category>
        <w:types>
          <w:type w:val="bbPlcHdr"/>
        </w:types>
        <w:behaviors>
          <w:behavior w:val="content"/>
        </w:behaviors>
        <w:guid w:val="{E0F9CD43-C7D6-4BD6-B31F-DEA4DFBB8C2B}"/>
      </w:docPartPr>
      <w:docPartBody>
        <w:p w:rsidR="005C5C4F" w:rsidRDefault="001F1348" w:rsidP="001F1348">
          <w:pPr>
            <w:pStyle w:val="954041495DA644508C725EBE45A9A075"/>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BookAntiqua">
    <w:altName w:val="Calibri"/>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348"/>
    <w:rsid w:val="00131B1E"/>
    <w:rsid w:val="001F1348"/>
    <w:rsid w:val="00272735"/>
    <w:rsid w:val="002C53B6"/>
    <w:rsid w:val="00306DAD"/>
    <w:rsid w:val="00344BC0"/>
    <w:rsid w:val="0037586B"/>
    <w:rsid w:val="00400FBA"/>
    <w:rsid w:val="004071DC"/>
    <w:rsid w:val="004A6E2F"/>
    <w:rsid w:val="00523398"/>
    <w:rsid w:val="005C5C4F"/>
    <w:rsid w:val="00780E3A"/>
    <w:rsid w:val="008262D6"/>
    <w:rsid w:val="00882257"/>
    <w:rsid w:val="008D3C4F"/>
    <w:rsid w:val="009F7E92"/>
    <w:rsid w:val="00AC1BF4"/>
    <w:rsid w:val="00BC30DF"/>
    <w:rsid w:val="00DD71FD"/>
    <w:rsid w:val="00F34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6DAD"/>
    <w:rPr>
      <w:color w:val="808080"/>
    </w:rPr>
  </w:style>
  <w:style w:type="paragraph" w:customStyle="1" w:styleId="2D1C3A54D61944DBB3D63B92C982C696">
    <w:name w:val="2D1C3A54D61944DBB3D63B92C982C696"/>
    <w:rsid w:val="001F1348"/>
  </w:style>
  <w:style w:type="paragraph" w:customStyle="1" w:styleId="5420FAF41CED451EAB8369D8BC2C0B60">
    <w:name w:val="5420FAF41CED451EAB8369D8BC2C0B60"/>
    <w:rsid w:val="001F1348"/>
  </w:style>
  <w:style w:type="paragraph" w:customStyle="1" w:styleId="954041495DA644508C725EBE45A9A075">
    <w:name w:val="954041495DA644508C725EBE45A9A075"/>
    <w:rsid w:val="001F1348"/>
  </w:style>
  <w:style w:type="paragraph" w:customStyle="1" w:styleId="8C46EF96C9FB444D8B5F08F2D49CB598">
    <w:name w:val="8C46EF96C9FB444D8B5F08F2D49CB598"/>
    <w:rsid w:val="00306DA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F678F-4D1A-4129-AFC6-199ED1F4B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10</Pages>
  <Words>2212</Words>
  <Characters>12614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WPSDGEREWP0002</vt:lpstr>
    </vt:vector>
  </TitlesOfParts>
  <Company>San Diego Gas &amp; Electric</Company>
  <LinksUpToDate>false</LinksUpToDate>
  <CharactersWithSpaces>14797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WPSDGEREWP0002</dc:title>
  <dc:creator>Mark 2009</dc:creator>
  <cp:lastModifiedBy>Valenzuela, Kelvin</cp:lastModifiedBy>
  <cp:revision>5</cp:revision>
  <dcterms:created xsi:type="dcterms:W3CDTF">2018-09-17T22:40:00Z</dcterms:created>
  <dcterms:modified xsi:type="dcterms:W3CDTF">2018-09-18T01:36:00Z</dcterms:modified>
  <cp:contentStatus>Revision 8</cp:contentStatus>
</cp:coreProperties>
</file>