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7C6" w:rsidRPr="00500C4E" w:rsidRDefault="009A0721" w:rsidP="00F117C6">
      <w:pPr>
        <w:pStyle w:val="WPnumber"/>
      </w:pPr>
      <w:bookmarkStart w:id="0" w:name="_Toc153189647"/>
      <w:r>
        <w:t xml:space="preserve">Short Form </w:t>
      </w:r>
      <w:r w:rsidR="00F117C6" w:rsidRPr="00500C4E">
        <w:t xml:space="preserve">Work Paper </w:t>
      </w:r>
      <w:sdt>
        <w:sdtPr>
          <w:alias w:val="Title"/>
          <w:tag w:val=""/>
          <w:id w:val="650333005"/>
          <w:placeholder>
            <w:docPart w:val="2D1C3A54D61944DBB3D63B92C982C69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42E3A" w:rsidRPr="00C7019C">
            <w:t>WPSDGEREWP0002</w:t>
          </w:r>
        </w:sdtContent>
      </w:sdt>
    </w:p>
    <w:bookmarkEnd w:id="0"/>
    <w:p w:rsidR="00F117C6" w:rsidRPr="00500C4E" w:rsidRDefault="00245B90" w:rsidP="00F117C6">
      <w:pPr>
        <w:pStyle w:val="Revnumber"/>
        <w:rPr>
          <w:rStyle w:val="CaptionChar"/>
          <w:b/>
          <w:bCs w:val="0"/>
        </w:rPr>
      </w:pPr>
      <w:sdt>
        <w:sdtPr>
          <w:rPr>
            <w:rStyle w:val="CaptionChar"/>
            <w:b/>
            <w:bCs w:val="0"/>
          </w:rPr>
          <w:alias w:val="Revision"/>
          <w:tag w:val=""/>
          <w:id w:val="-1338455471"/>
          <w:placeholder>
            <w:docPart w:val="5420FAF41CED451EAB8369D8BC2C0B60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8E017D">
            <w:rPr>
              <w:rStyle w:val="CaptionChar"/>
              <w:b/>
              <w:bCs w:val="0"/>
            </w:rPr>
            <w:t>Revision 5.1</w:t>
          </w:r>
        </w:sdtContent>
      </w:sdt>
    </w:p>
    <w:p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bookmarkStart w:id="1" w:name="SCE"/>
    <w:p w:rsidR="00F117C6" w:rsidRPr="00500C4E" w:rsidRDefault="00245B90" w:rsidP="00F117C6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954041495DA644508C725EBE45A9A075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861B74">
            <w:rPr>
              <w:rFonts w:cstheme="minorHAnsi"/>
              <w:b/>
              <w:sz w:val="36"/>
              <w:szCs w:val="36"/>
            </w:rPr>
            <w:t>S</w:t>
          </w:r>
          <w:r w:rsidR="006049AE">
            <w:rPr>
              <w:rFonts w:cstheme="minorHAnsi"/>
              <w:b/>
              <w:sz w:val="36"/>
              <w:szCs w:val="36"/>
            </w:rPr>
            <w:t>an Diego Gas &amp; Electric</w:t>
          </w:r>
        </w:sdtContent>
      </w:sdt>
      <w:bookmarkEnd w:id="1"/>
    </w:p>
    <w:p w:rsidR="00F117C6" w:rsidRPr="006049AE" w:rsidRDefault="006049AE" w:rsidP="00F117C6">
      <w:pPr>
        <w:rPr>
          <w:rFonts w:cstheme="minorHAnsi"/>
          <w:b/>
        </w:rPr>
      </w:pPr>
      <w:r w:rsidRPr="006049AE">
        <w:rPr>
          <w:rFonts w:cstheme="minorHAnsi"/>
          <w:b/>
        </w:rPr>
        <w:t>Energy Efficiency Engineering</w:t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861B74" w:rsidRDefault="00E42E3A" w:rsidP="000F72EF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Residential</w:t>
      </w:r>
      <w:r w:rsidRPr="009D6BB2">
        <w:rPr>
          <w:rFonts w:cstheme="minorHAnsi"/>
          <w:b/>
          <w:sz w:val="72"/>
          <w:szCs w:val="72"/>
        </w:rPr>
        <w:t xml:space="preserve"> Variable Speed Swimming Pool Pump</w:t>
      </w:r>
    </w:p>
    <w:p w:rsidR="00861B74" w:rsidRDefault="00861B74" w:rsidP="000F72EF">
      <w:pPr>
        <w:rPr>
          <w:rFonts w:cstheme="minorHAnsi"/>
          <w:b/>
          <w:sz w:val="72"/>
          <w:szCs w:val="72"/>
        </w:rPr>
      </w:pPr>
    </w:p>
    <w:p w:rsidR="00861B74" w:rsidRDefault="00861B74" w:rsidP="000F72EF">
      <w:pPr>
        <w:rPr>
          <w:rFonts w:cstheme="minorHAnsi"/>
          <w:b/>
          <w:sz w:val="72"/>
          <w:szCs w:val="72"/>
        </w:rPr>
      </w:pPr>
    </w:p>
    <w:p w:rsidR="00861B74" w:rsidRDefault="00861B74" w:rsidP="000F72EF">
      <w:pPr>
        <w:rPr>
          <w:rFonts w:cstheme="minorHAnsi"/>
          <w:b/>
          <w:sz w:val="72"/>
          <w:szCs w:val="72"/>
        </w:rPr>
      </w:pPr>
    </w:p>
    <w:p w:rsidR="00861B74" w:rsidRDefault="00861B74" w:rsidP="000F72EF">
      <w:pPr>
        <w:rPr>
          <w:rFonts w:cstheme="minorHAnsi"/>
          <w:b/>
          <w:sz w:val="72"/>
          <w:szCs w:val="72"/>
        </w:rPr>
      </w:pPr>
    </w:p>
    <w:p w:rsidR="00861B74" w:rsidRDefault="00861B74" w:rsidP="000F72EF">
      <w:pPr>
        <w:rPr>
          <w:rFonts w:cstheme="minorHAnsi"/>
          <w:b/>
          <w:sz w:val="72"/>
          <w:szCs w:val="72"/>
        </w:rPr>
      </w:pPr>
    </w:p>
    <w:p w:rsidR="00861B74" w:rsidRDefault="00861B74" w:rsidP="000F72EF">
      <w:pPr>
        <w:rPr>
          <w:rFonts w:cstheme="minorHAnsi"/>
          <w:b/>
          <w:sz w:val="72"/>
          <w:szCs w:val="72"/>
        </w:rPr>
      </w:pPr>
    </w:p>
    <w:p w:rsidR="00861B74" w:rsidRPr="00861B74" w:rsidRDefault="00245B90" w:rsidP="00861B74">
      <w:pPr>
        <w:jc w:val="right"/>
        <w:rPr>
          <w:rFonts w:cstheme="minorHAnsi"/>
          <w:b/>
          <w:sz w:val="28"/>
          <w:szCs w:val="28"/>
        </w:rPr>
        <w:sectPr w:rsidR="00861B74" w:rsidRPr="00861B74" w:rsidSect="00017E7E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rFonts w:cstheme="minorHAnsi"/>
          <w:b/>
          <w:sz w:val="28"/>
          <w:szCs w:val="28"/>
        </w:rPr>
        <w:t>December 16</w:t>
      </w:r>
      <w:bookmarkStart w:id="2" w:name="_GoBack"/>
      <w:bookmarkEnd w:id="2"/>
      <w:r w:rsidR="008E017D">
        <w:rPr>
          <w:rFonts w:cstheme="minorHAnsi"/>
          <w:b/>
          <w:sz w:val="28"/>
          <w:szCs w:val="28"/>
        </w:rPr>
        <w:t>,</w:t>
      </w:r>
      <w:r w:rsidR="00500D21">
        <w:rPr>
          <w:rFonts w:cstheme="minorHAnsi"/>
          <w:b/>
          <w:sz w:val="28"/>
          <w:szCs w:val="28"/>
        </w:rPr>
        <w:t xml:space="preserve"> </w:t>
      </w:r>
      <w:r w:rsidR="009A0721">
        <w:rPr>
          <w:rFonts w:cstheme="minorHAnsi"/>
          <w:b/>
          <w:sz w:val="28"/>
          <w:szCs w:val="28"/>
        </w:rPr>
        <w:t>2016</w:t>
      </w:r>
    </w:p>
    <w:p w:rsidR="008828CF" w:rsidRPr="008828CF" w:rsidRDefault="008828CF" w:rsidP="008828CF">
      <w:pPr>
        <w:pStyle w:val="Heading1"/>
      </w:pPr>
      <w:r w:rsidRPr="008828CF">
        <w:lastRenderedPageBreak/>
        <w:t>Residential Variable Speed Swimming Pool Pump Short Form WP</w:t>
      </w:r>
    </w:p>
    <w:p w:rsidR="008828CF" w:rsidRDefault="008828CF" w:rsidP="008828CF">
      <w:pPr>
        <w:pStyle w:val="Heading2"/>
      </w:pPr>
      <w:r>
        <w:t>Introduction</w:t>
      </w:r>
    </w:p>
    <w:p w:rsidR="008828CF" w:rsidRPr="0074139F" w:rsidRDefault="008828CF" w:rsidP="008828CF">
      <w:r>
        <w:t>This short form workpaper documents the values adopted from SCE’s workpaper entitled “</w:t>
      </w:r>
      <w:r w:rsidRPr="0074139F">
        <w:t>Residential Variable Speed Swimming Pool Pump</w:t>
      </w:r>
      <w:r>
        <w:t>” (</w:t>
      </w:r>
      <w:r w:rsidR="0044518E">
        <w:t xml:space="preserve">SCE13WP001 Rev 3). </w:t>
      </w:r>
      <w:r>
        <w:t xml:space="preserve">SDG&amp;E adopts all of the values in </w:t>
      </w:r>
      <w:r w:rsidR="00CA3063">
        <w:t>SCE13WP001 Rev 3</w:t>
      </w:r>
      <w:r>
        <w:t xml:space="preserve"> with the exception of </w:t>
      </w:r>
      <w:r w:rsidR="002647E9">
        <w:t>the Res-Default-HTR-di and the use of</w:t>
      </w:r>
      <w:r w:rsidR="00CA3063">
        <w:t xml:space="preserve"> E3 load profile in Section 3</w:t>
      </w:r>
      <w:r w:rsidR="002647E9">
        <w:t xml:space="preserve">.  </w:t>
      </w:r>
      <w:r>
        <w:t>SDG&amp;E used its PA specific approved value for residential pool pumps.</w:t>
      </w:r>
      <w:r w:rsidR="00CA3063">
        <w:t xml:space="preserve"> </w:t>
      </w:r>
      <w:r w:rsidR="002647E9">
        <w:t xml:space="preserve">  </w:t>
      </w:r>
    </w:p>
    <w:p w:rsidR="0025216C" w:rsidRDefault="00500D21" w:rsidP="008828CF">
      <w:pPr>
        <w:pStyle w:val="Heading2"/>
      </w:pPr>
      <w:r w:rsidRPr="005734A4">
        <w:t>Document Revision History</w:t>
      </w:r>
      <w:r w:rsidR="0025216C"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5"/>
        <w:gridCol w:w="1310"/>
        <w:gridCol w:w="1693"/>
        <w:gridCol w:w="6048"/>
      </w:tblGrid>
      <w:tr w:rsidR="0025216C" w:rsidRPr="00500C4E" w:rsidTr="005E4FE7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884" w:type="pct"/>
            <w:shd w:val="clear" w:color="auto" w:fill="D9D9D9" w:themeFill="background1" w:themeFillShade="D9"/>
          </w:tcPr>
          <w:p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58" w:type="pct"/>
            <w:shd w:val="clear" w:color="auto" w:fill="D9D9D9" w:themeFill="background1" w:themeFillShade="D9"/>
          </w:tcPr>
          <w:p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25216C" w:rsidRPr="00500C4E" w:rsidTr="005E4FE7">
        <w:trPr>
          <w:trHeight w:val="20"/>
        </w:trPr>
        <w:tc>
          <w:tcPr>
            <w:tcW w:w="274" w:type="pct"/>
            <w:vAlign w:val="center"/>
          </w:tcPr>
          <w:p w:rsidR="0025216C" w:rsidRPr="000E2B6B" w:rsidRDefault="0025216C" w:rsidP="005E4FE7">
            <w:pPr>
              <w:jc w:val="center"/>
              <w:rPr>
                <w:rFonts w:cstheme="minorHAnsi"/>
                <w:szCs w:val="20"/>
              </w:rPr>
            </w:pPr>
            <w:r w:rsidRPr="000E2B6B">
              <w:rPr>
                <w:rFonts w:cstheme="minorHAnsi"/>
                <w:bCs/>
                <w:szCs w:val="20"/>
              </w:rPr>
              <w:t>1</w:t>
            </w:r>
          </w:p>
        </w:tc>
        <w:tc>
          <w:tcPr>
            <w:tcW w:w="684" w:type="pct"/>
            <w:vAlign w:val="center"/>
          </w:tcPr>
          <w:p w:rsidR="0025216C" w:rsidRPr="000E2B6B" w:rsidRDefault="0025216C" w:rsidP="005E4FE7">
            <w:pPr>
              <w:jc w:val="center"/>
              <w:rPr>
                <w:rFonts w:cstheme="minorHAnsi"/>
                <w:szCs w:val="20"/>
              </w:rPr>
            </w:pPr>
            <w:r w:rsidRPr="000E2B6B">
              <w:rPr>
                <w:rFonts w:cstheme="minorHAnsi"/>
                <w:bCs/>
                <w:szCs w:val="20"/>
              </w:rPr>
              <w:t>09/02/2010</w:t>
            </w:r>
          </w:p>
        </w:tc>
        <w:tc>
          <w:tcPr>
            <w:tcW w:w="884" w:type="pct"/>
            <w:vAlign w:val="center"/>
          </w:tcPr>
          <w:p w:rsidR="0025216C" w:rsidRPr="000E2B6B" w:rsidRDefault="0025216C" w:rsidP="005E4FE7">
            <w:pPr>
              <w:rPr>
                <w:rFonts w:cstheme="minorHAnsi"/>
                <w:szCs w:val="20"/>
              </w:rPr>
            </w:pPr>
            <w:r w:rsidRPr="000E2B6B">
              <w:rPr>
                <w:rFonts w:cstheme="minorHAnsi"/>
                <w:bCs/>
                <w:szCs w:val="20"/>
              </w:rPr>
              <w:t>Unknown</w:t>
            </w:r>
          </w:p>
        </w:tc>
        <w:tc>
          <w:tcPr>
            <w:tcW w:w="3158" w:type="pct"/>
          </w:tcPr>
          <w:p w:rsidR="0025216C" w:rsidRPr="000E2B6B" w:rsidRDefault="0025216C" w:rsidP="005E4FE7">
            <w:pPr>
              <w:rPr>
                <w:rFonts w:cstheme="minorHAnsi"/>
              </w:rPr>
            </w:pPr>
            <w:r w:rsidRPr="000E2B6B">
              <w:rPr>
                <w:rFonts w:cstheme="minorHAnsi"/>
                <w:bCs/>
                <w:szCs w:val="20"/>
              </w:rPr>
              <w:t>Adopted from PGE, PGECOPUM102 R2.doc</w:t>
            </w:r>
          </w:p>
        </w:tc>
      </w:tr>
      <w:tr w:rsidR="0025216C" w:rsidRPr="00500C4E" w:rsidTr="005E4FE7">
        <w:trPr>
          <w:trHeight w:val="20"/>
        </w:trPr>
        <w:tc>
          <w:tcPr>
            <w:tcW w:w="274" w:type="pct"/>
            <w:vAlign w:val="center"/>
          </w:tcPr>
          <w:p w:rsidR="0025216C" w:rsidRPr="000E2B6B" w:rsidRDefault="0025216C" w:rsidP="005E4FE7">
            <w:pPr>
              <w:jc w:val="center"/>
              <w:rPr>
                <w:rStyle w:val="Strong"/>
                <w:b w:val="0"/>
              </w:rPr>
            </w:pPr>
            <w:r>
              <w:rPr>
                <w:rFonts w:cstheme="minorHAnsi"/>
                <w:szCs w:val="20"/>
              </w:rPr>
              <w:t>2</w:t>
            </w:r>
          </w:p>
        </w:tc>
        <w:tc>
          <w:tcPr>
            <w:tcW w:w="684" w:type="pct"/>
            <w:vAlign w:val="center"/>
          </w:tcPr>
          <w:p w:rsidR="0025216C" w:rsidRPr="000E2B6B" w:rsidRDefault="0025216C" w:rsidP="005E4FE7">
            <w:pPr>
              <w:jc w:val="center"/>
              <w:rPr>
                <w:rStyle w:val="Strong"/>
                <w:b w:val="0"/>
              </w:rPr>
            </w:pPr>
            <w:r>
              <w:rPr>
                <w:rFonts w:cstheme="minorHAnsi"/>
                <w:szCs w:val="20"/>
              </w:rPr>
              <w:t>06/05/2012</w:t>
            </w:r>
          </w:p>
        </w:tc>
        <w:tc>
          <w:tcPr>
            <w:tcW w:w="884" w:type="pct"/>
            <w:vAlign w:val="center"/>
          </w:tcPr>
          <w:p w:rsidR="0025216C" w:rsidRPr="000E2B6B" w:rsidRDefault="0025216C" w:rsidP="005E4FE7">
            <w:pPr>
              <w:rPr>
                <w:rStyle w:val="Strong"/>
                <w:b w:val="0"/>
              </w:rPr>
            </w:pPr>
            <w:r>
              <w:rPr>
                <w:rFonts w:cstheme="minorHAnsi"/>
                <w:szCs w:val="20"/>
              </w:rPr>
              <w:t>Charles Harmstead / SDGE</w:t>
            </w:r>
          </w:p>
        </w:tc>
        <w:tc>
          <w:tcPr>
            <w:tcW w:w="3158" w:type="pct"/>
          </w:tcPr>
          <w:p w:rsidR="0025216C" w:rsidRPr="000E2B6B" w:rsidRDefault="0025216C" w:rsidP="005E4FE7">
            <w:pPr>
              <w:rPr>
                <w:rStyle w:val="Strong"/>
                <w:b w:val="0"/>
                <w:bCs w:val="0"/>
              </w:rPr>
            </w:pPr>
            <w:r w:rsidRPr="00D15129">
              <w:rPr>
                <w:rFonts w:cstheme="minorHAnsi"/>
                <w:bCs/>
                <w:szCs w:val="20"/>
              </w:rPr>
              <w:t>Revised NTGR for 2011 DEER Res</w:t>
            </w:r>
          </w:p>
        </w:tc>
      </w:tr>
      <w:tr w:rsidR="0025216C" w:rsidRPr="00500C4E" w:rsidTr="005E4FE7">
        <w:trPr>
          <w:trHeight w:val="20"/>
        </w:trPr>
        <w:tc>
          <w:tcPr>
            <w:tcW w:w="274" w:type="pct"/>
            <w:vAlign w:val="center"/>
          </w:tcPr>
          <w:p w:rsidR="0025216C" w:rsidRDefault="0025216C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</w:t>
            </w:r>
          </w:p>
        </w:tc>
        <w:tc>
          <w:tcPr>
            <w:tcW w:w="684" w:type="pct"/>
            <w:vAlign w:val="center"/>
          </w:tcPr>
          <w:p w:rsidR="0025216C" w:rsidRDefault="0025216C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10/24/2014</w:t>
            </w:r>
          </w:p>
        </w:tc>
        <w:tc>
          <w:tcPr>
            <w:tcW w:w="884" w:type="pct"/>
            <w:vAlign w:val="center"/>
          </w:tcPr>
          <w:p w:rsidR="0025216C" w:rsidRDefault="0025216C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Nathan Aronson, P.E. / RHA</w:t>
            </w:r>
          </w:p>
        </w:tc>
        <w:tc>
          <w:tcPr>
            <w:tcW w:w="3158" w:type="pct"/>
          </w:tcPr>
          <w:p w:rsidR="0025216C" w:rsidRPr="00D15129" w:rsidRDefault="0025216C" w:rsidP="005E4FE7">
            <w:pPr>
              <w:rPr>
                <w:rFonts w:cstheme="minorHAnsi"/>
                <w:bCs/>
                <w:szCs w:val="20"/>
              </w:rPr>
            </w:pPr>
            <w:r w:rsidRPr="00E218B9">
              <w:rPr>
                <w:rFonts w:cstheme="minorHAnsi"/>
                <w:bCs/>
                <w:szCs w:val="20"/>
              </w:rPr>
              <w:t>Original work paper developed by RHA. This workpaper supersedes WPSDGEREWP0002 R2 and incorporates the methodology and data used  in SCE workpaper SCEWP001</w:t>
            </w:r>
            <w:r>
              <w:rPr>
                <w:rFonts w:cstheme="minorHAnsi"/>
                <w:bCs/>
                <w:szCs w:val="20"/>
              </w:rPr>
              <w:t>.0</w:t>
            </w:r>
          </w:p>
        </w:tc>
      </w:tr>
      <w:tr w:rsidR="0025216C" w:rsidRPr="00500C4E" w:rsidTr="005E4FE7">
        <w:trPr>
          <w:trHeight w:val="20"/>
        </w:trPr>
        <w:tc>
          <w:tcPr>
            <w:tcW w:w="274" w:type="pct"/>
            <w:vAlign w:val="center"/>
          </w:tcPr>
          <w:p w:rsidR="0025216C" w:rsidRDefault="0025216C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3.1</w:t>
            </w:r>
          </w:p>
        </w:tc>
        <w:tc>
          <w:tcPr>
            <w:tcW w:w="684" w:type="pct"/>
            <w:vAlign w:val="center"/>
          </w:tcPr>
          <w:p w:rsidR="0025216C" w:rsidRDefault="0025216C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03/13/2015</w:t>
            </w:r>
          </w:p>
        </w:tc>
        <w:tc>
          <w:tcPr>
            <w:tcW w:w="884" w:type="pct"/>
            <w:vAlign w:val="center"/>
          </w:tcPr>
          <w:p w:rsidR="0025216C" w:rsidRDefault="0025216C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Judelson Enriquez, P.E. / RMS</w:t>
            </w:r>
          </w:p>
        </w:tc>
        <w:tc>
          <w:tcPr>
            <w:tcW w:w="3158" w:type="pct"/>
          </w:tcPr>
          <w:p w:rsidR="0025216C" w:rsidRPr="00D15129" w:rsidRDefault="0025216C" w:rsidP="005E4FE7">
            <w:pPr>
              <w:rPr>
                <w:rFonts w:cstheme="minorHAnsi"/>
                <w:bCs/>
                <w:szCs w:val="20"/>
              </w:rPr>
            </w:pPr>
            <w:r w:rsidRPr="00E218B9">
              <w:rPr>
                <w:rFonts w:cstheme="minorHAnsi"/>
                <w:bCs/>
                <w:szCs w:val="20"/>
              </w:rPr>
              <w:t>Added additional NTG ID and value (All-Default &lt;= 2yrs), per SDGE.</w:t>
            </w:r>
          </w:p>
        </w:tc>
      </w:tr>
      <w:tr w:rsidR="0025216C" w:rsidRPr="00500C4E" w:rsidTr="005E4FE7">
        <w:trPr>
          <w:trHeight w:val="20"/>
        </w:trPr>
        <w:tc>
          <w:tcPr>
            <w:tcW w:w="274" w:type="pct"/>
            <w:vAlign w:val="center"/>
          </w:tcPr>
          <w:p w:rsidR="0025216C" w:rsidRDefault="0025216C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4</w:t>
            </w:r>
          </w:p>
        </w:tc>
        <w:tc>
          <w:tcPr>
            <w:tcW w:w="684" w:type="pct"/>
            <w:vAlign w:val="center"/>
          </w:tcPr>
          <w:p w:rsidR="0025216C" w:rsidRDefault="0025216C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06/16/2015</w:t>
            </w:r>
          </w:p>
        </w:tc>
        <w:tc>
          <w:tcPr>
            <w:tcW w:w="884" w:type="pct"/>
            <w:vAlign w:val="center"/>
          </w:tcPr>
          <w:p w:rsidR="0025216C" w:rsidRDefault="0025216C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Rocaciano Vega / RMS</w:t>
            </w:r>
          </w:p>
        </w:tc>
        <w:tc>
          <w:tcPr>
            <w:tcW w:w="3158" w:type="pct"/>
          </w:tcPr>
          <w:p w:rsidR="0025216C" w:rsidRDefault="0025216C" w:rsidP="005E4FE7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- Updated to new work paper template</w:t>
            </w:r>
          </w:p>
          <w:p w:rsidR="0025216C" w:rsidRDefault="0025216C" w:rsidP="005E4FE7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- Incorporated multi-family measure from SCE workpaper SCE13WP0001.2 (Measure E)</w:t>
            </w:r>
          </w:p>
          <w:p w:rsidR="0025216C" w:rsidRDefault="0025216C" w:rsidP="005E4FE7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- Updated At-A-Glance Summary to include Measure 3 (multi-family)</w:t>
            </w:r>
          </w:p>
          <w:p w:rsidR="0025216C" w:rsidRDefault="0025216C" w:rsidP="005E4FE7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- Added Measure 3 to Sections 1.1a</w:t>
            </w:r>
          </w:p>
          <w:p w:rsidR="0025216C" w:rsidRDefault="0025216C" w:rsidP="005E4FE7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- Modified Terms and Conditions in Section 1.1c to remove language limiting to  single-family residential homes</w:t>
            </w:r>
          </w:p>
          <w:p w:rsidR="0025216C" w:rsidRDefault="0025216C" w:rsidP="005E4FE7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- Added Measure 3 to Sections 2.1 and 2.2</w:t>
            </w:r>
          </w:p>
          <w:p w:rsidR="0025216C" w:rsidRDefault="0025216C" w:rsidP="005E4FE7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- Added building type “Residential Multi-Family” to Section 3 load shape</w:t>
            </w:r>
          </w:p>
          <w:p w:rsidR="0025216C" w:rsidRPr="00D15129" w:rsidRDefault="0025216C" w:rsidP="005E4FE7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- Added costs for Measure 3 (multi-family) to Section 4</w:t>
            </w:r>
          </w:p>
        </w:tc>
      </w:tr>
      <w:tr w:rsidR="0025216C" w:rsidRPr="00500C4E" w:rsidTr="005E4FE7">
        <w:trPr>
          <w:trHeight w:val="20"/>
        </w:trPr>
        <w:tc>
          <w:tcPr>
            <w:tcW w:w="274" w:type="pct"/>
            <w:vAlign w:val="center"/>
          </w:tcPr>
          <w:p w:rsidR="0025216C" w:rsidRDefault="0025216C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5</w:t>
            </w:r>
          </w:p>
        </w:tc>
        <w:tc>
          <w:tcPr>
            <w:tcW w:w="684" w:type="pct"/>
            <w:vAlign w:val="center"/>
          </w:tcPr>
          <w:p w:rsidR="0025216C" w:rsidRDefault="0025216C" w:rsidP="006E05ED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09/</w:t>
            </w:r>
            <w:r w:rsidR="006E05ED">
              <w:rPr>
                <w:rFonts w:cstheme="minorHAnsi"/>
                <w:szCs w:val="20"/>
              </w:rPr>
              <w:t>22</w:t>
            </w:r>
            <w:r>
              <w:rPr>
                <w:rFonts w:cstheme="minorHAnsi"/>
                <w:szCs w:val="20"/>
              </w:rPr>
              <w:t>/2016</w:t>
            </w:r>
          </w:p>
        </w:tc>
        <w:tc>
          <w:tcPr>
            <w:tcW w:w="884" w:type="pct"/>
            <w:vAlign w:val="center"/>
          </w:tcPr>
          <w:p w:rsidR="0025216C" w:rsidRDefault="0025216C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David Rojas / RMS</w:t>
            </w:r>
          </w:p>
        </w:tc>
        <w:tc>
          <w:tcPr>
            <w:tcW w:w="3158" w:type="pct"/>
          </w:tcPr>
          <w:p w:rsidR="001272B0" w:rsidRPr="00017E7E" w:rsidRDefault="001272B0" w:rsidP="008828CF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 xml:space="preserve">Generated Short Form workpaper adopting SCE approved workpaper </w:t>
            </w:r>
            <w:r>
              <w:rPr>
                <w:rFonts w:cs="Arial"/>
                <w:szCs w:val="20"/>
              </w:rPr>
              <w:t xml:space="preserve">SCE13WP001 Rev 3 and applicable values therein. </w:t>
            </w:r>
            <w:r>
              <w:rPr>
                <w:rFonts w:cstheme="minorHAnsi"/>
                <w:bCs/>
                <w:szCs w:val="20"/>
              </w:rPr>
              <w:t xml:space="preserve"> </w:t>
            </w:r>
          </w:p>
          <w:p w:rsidR="0025216C" w:rsidRPr="00D15129" w:rsidRDefault="0025216C" w:rsidP="008828CF">
            <w:pPr>
              <w:rPr>
                <w:rFonts w:cstheme="minorHAnsi"/>
                <w:bCs/>
                <w:szCs w:val="20"/>
              </w:rPr>
            </w:pPr>
            <w:r w:rsidRPr="000E2B6B">
              <w:rPr>
                <w:rFonts w:cstheme="minorHAnsi"/>
                <w:b/>
                <w:bCs/>
                <w:szCs w:val="20"/>
              </w:rPr>
              <w:t>Measure 1:</w:t>
            </w:r>
            <w:r w:rsidRPr="000E2B6B">
              <w:rPr>
                <w:rFonts w:cstheme="minorHAnsi"/>
                <w:bCs/>
                <w:szCs w:val="20"/>
              </w:rPr>
              <w:t xml:space="preserve"> Commissioned Residential VFD Swimming Pool Pump has been removed from this workpaper as SDG&amp;E no longer provide</w:t>
            </w:r>
            <w:r w:rsidR="00736DEF">
              <w:rPr>
                <w:rFonts w:cstheme="minorHAnsi"/>
                <w:bCs/>
                <w:szCs w:val="20"/>
              </w:rPr>
              <w:t>s</w:t>
            </w:r>
            <w:r w:rsidRPr="000E2B6B">
              <w:rPr>
                <w:rFonts w:cstheme="minorHAnsi"/>
                <w:bCs/>
                <w:szCs w:val="20"/>
              </w:rPr>
              <w:t xml:space="preserve"> rebates for commissioned installation</w:t>
            </w:r>
            <w:r w:rsidR="008828CF">
              <w:rPr>
                <w:rFonts w:cstheme="minorHAnsi"/>
                <w:bCs/>
                <w:szCs w:val="20"/>
              </w:rPr>
              <w:t xml:space="preserve">. Measures </w:t>
            </w:r>
            <w:r w:rsidRPr="000E2B6B">
              <w:rPr>
                <w:rFonts w:cstheme="minorHAnsi"/>
                <w:bCs/>
                <w:szCs w:val="20"/>
              </w:rPr>
              <w:t xml:space="preserve">codes begin with Measure 2 to preserve </w:t>
            </w:r>
            <w:r w:rsidR="008828CF">
              <w:rPr>
                <w:rFonts w:cstheme="minorHAnsi"/>
                <w:bCs/>
                <w:szCs w:val="20"/>
              </w:rPr>
              <w:t>the ordering.</w:t>
            </w:r>
          </w:p>
        </w:tc>
      </w:tr>
      <w:tr w:rsidR="00741B15" w:rsidRPr="00500C4E" w:rsidTr="005E4FE7">
        <w:trPr>
          <w:trHeight w:val="20"/>
        </w:trPr>
        <w:tc>
          <w:tcPr>
            <w:tcW w:w="274" w:type="pct"/>
            <w:vAlign w:val="center"/>
          </w:tcPr>
          <w:p w:rsidR="00741B15" w:rsidRDefault="00741B15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5.1</w:t>
            </w:r>
          </w:p>
        </w:tc>
        <w:tc>
          <w:tcPr>
            <w:tcW w:w="684" w:type="pct"/>
            <w:vAlign w:val="center"/>
          </w:tcPr>
          <w:p w:rsidR="00741B15" w:rsidRDefault="00741B15" w:rsidP="006E05ED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12/13/2016</w:t>
            </w:r>
          </w:p>
        </w:tc>
        <w:tc>
          <w:tcPr>
            <w:tcW w:w="884" w:type="pct"/>
            <w:vAlign w:val="center"/>
          </w:tcPr>
          <w:p w:rsidR="00741B15" w:rsidRDefault="00741B15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Kelvin Valenzuela/ SDG&amp;E</w:t>
            </w:r>
          </w:p>
        </w:tc>
        <w:tc>
          <w:tcPr>
            <w:tcW w:w="3158" w:type="pct"/>
          </w:tcPr>
          <w:p w:rsidR="00741B15" w:rsidRDefault="00741B15" w:rsidP="008828CF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Revising short form to include Measure 1.  Programs decided to include measure offerings.</w:t>
            </w:r>
          </w:p>
        </w:tc>
      </w:tr>
    </w:tbl>
    <w:p w:rsidR="0025216C" w:rsidRDefault="0025216C" w:rsidP="00362D4E">
      <w:pPr>
        <w:rPr>
          <w:rFonts w:cs="Arial"/>
          <w:b/>
          <w:bCs/>
          <w:smallCaps/>
          <w:kern w:val="32"/>
          <w:sz w:val="36"/>
          <w:szCs w:val="32"/>
        </w:rPr>
      </w:pPr>
    </w:p>
    <w:p w:rsidR="008828CF" w:rsidRDefault="008828CF">
      <w:pPr>
        <w:spacing w:after="200" w:line="276" w:lineRule="auto"/>
        <w:rPr>
          <w:rFonts w:ascii="Arial Narrow" w:hAnsi="Arial Narrow" w:cs="Arial"/>
          <w:b/>
          <w:bCs/>
          <w:iCs/>
          <w:smallCaps/>
          <w:sz w:val="28"/>
          <w:szCs w:val="28"/>
        </w:rPr>
      </w:pPr>
      <w:r>
        <w:br w:type="page"/>
      </w:r>
    </w:p>
    <w:p w:rsidR="000F0580" w:rsidRDefault="000F0580" w:rsidP="000F0580">
      <w:pPr>
        <w:pStyle w:val="Heading2"/>
      </w:pPr>
      <w:r>
        <w:lastRenderedPageBreak/>
        <w:t>Measure Summary</w:t>
      </w:r>
      <w:r w:rsidRPr="0025216C">
        <w:t xml:space="preserve"> </w:t>
      </w:r>
    </w:p>
    <w:p w:rsidR="008828CF" w:rsidRDefault="008828CF" w:rsidP="008828CF">
      <w:pPr>
        <w:pStyle w:val="Heading2"/>
      </w:pPr>
    </w:p>
    <w:p w:rsidR="008733BD" w:rsidRDefault="008733BD" w:rsidP="00736DEF">
      <w:pPr>
        <w:pStyle w:val="Caption"/>
        <w:keepNext/>
        <w:jc w:val="center"/>
      </w:pPr>
      <w:r>
        <w:t xml:space="preserve">Table </w:t>
      </w:r>
      <w:fldSimple w:instr=" SEQ Table \* ARABIC ">
        <w:r w:rsidR="00F5794B"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6948"/>
      </w:tblGrid>
      <w:tr w:rsidR="00736DEF" w:rsidTr="00017E7E">
        <w:trPr>
          <w:cantSplit/>
          <w:tblHeader/>
        </w:trPr>
        <w:tc>
          <w:tcPr>
            <w:tcW w:w="2628" w:type="dxa"/>
          </w:tcPr>
          <w:p w:rsidR="00736DEF" w:rsidRPr="00D86243" w:rsidRDefault="00736DEF" w:rsidP="00D86243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948" w:type="dxa"/>
          </w:tcPr>
          <w:p w:rsidR="00736DEF" w:rsidRPr="00D86243" w:rsidRDefault="00736DEF" w:rsidP="00D86243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282C54" w:rsidTr="00017E7E">
        <w:trPr>
          <w:cantSplit/>
        </w:trPr>
        <w:tc>
          <w:tcPr>
            <w:tcW w:w="2628" w:type="dxa"/>
            <w:vAlign w:val="center"/>
          </w:tcPr>
          <w:p w:rsidR="00282C54" w:rsidRPr="001D77F7" w:rsidRDefault="00282C54" w:rsidP="001D77F7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948" w:type="dxa"/>
          </w:tcPr>
          <w:p w:rsidR="00282C54" w:rsidRPr="00D86243" w:rsidRDefault="00282C54" w:rsidP="007A2886">
            <w:pPr>
              <w:rPr>
                <w:rFonts w:cs="Arial"/>
                <w:sz w:val="20"/>
                <w:szCs w:val="20"/>
              </w:rPr>
            </w:pPr>
            <w:r w:rsidRPr="00D86243">
              <w:rPr>
                <w:rFonts w:cs="Arial"/>
                <w:sz w:val="20"/>
                <w:szCs w:val="20"/>
              </w:rPr>
              <w:t xml:space="preserve">This work paper </w:t>
            </w:r>
            <w:r w:rsidRPr="000143F0">
              <w:rPr>
                <w:rFonts w:cs="Arial"/>
                <w:sz w:val="20"/>
                <w:szCs w:val="20"/>
              </w:rPr>
              <w:t>documents the values adopted from SCE’s workpaper entitled “Residential Variable Speed Swimm</w:t>
            </w:r>
            <w:r>
              <w:rPr>
                <w:rFonts w:cs="Arial"/>
                <w:sz w:val="20"/>
                <w:szCs w:val="20"/>
              </w:rPr>
              <w:t>ing Pool Pump” (SCE13WP001 Rev 3</w:t>
            </w:r>
            <w:r w:rsidRPr="000143F0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 xml:space="preserve">. </w:t>
            </w:r>
            <w:r w:rsidR="007A2886">
              <w:rPr>
                <w:rFonts w:cs="Arial"/>
                <w:sz w:val="20"/>
                <w:szCs w:val="20"/>
              </w:rPr>
              <w:t xml:space="preserve">SDG&amp;E does not adopt the </w:t>
            </w:r>
            <w:r w:rsidR="007A2886" w:rsidRPr="007A2886">
              <w:rPr>
                <w:rFonts w:cs="Arial"/>
                <w:sz w:val="20"/>
                <w:szCs w:val="20"/>
              </w:rPr>
              <w:t xml:space="preserve">Res-Default-HTR-di </w:t>
            </w:r>
            <w:r w:rsidR="007A2886">
              <w:rPr>
                <w:rFonts w:cs="Arial"/>
                <w:sz w:val="20"/>
                <w:szCs w:val="20"/>
              </w:rPr>
              <w:t xml:space="preserve">value for NTG, opting for the </w:t>
            </w:r>
            <w:r w:rsidR="007A2886" w:rsidRPr="00D86243">
              <w:rPr>
                <w:rFonts w:cs="Arial"/>
                <w:sz w:val="20"/>
                <w:szCs w:val="20"/>
              </w:rPr>
              <w:t>Res-Default&gt;2</w:t>
            </w:r>
            <w:r w:rsidR="007A2886">
              <w:rPr>
                <w:rFonts w:cs="Arial"/>
                <w:sz w:val="20"/>
                <w:szCs w:val="20"/>
              </w:rPr>
              <w:t xml:space="preserve"> value instead.   In</w:t>
            </w:r>
            <w:r w:rsidR="007A2886" w:rsidRPr="007A2886">
              <w:rPr>
                <w:rFonts w:cs="Arial"/>
                <w:sz w:val="20"/>
                <w:szCs w:val="20"/>
              </w:rPr>
              <w:t xml:space="preserve"> Section 3</w:t>
            </w:r>
            <w:r w:rsidR="007A2886">
              <w:rPr>
                <w:rFonts w:cs="Arial"/>
                <w:sz w:val="20"/>
                <w:szCs w:val="20"/>
              </w:rPr>
              <w:t xml:space="preserve">, </w:t>
            </w:r>
            <w:r w:rsidR="007A2886" w:rsidRPr="007A2886">
              <w:rPr>
                <w:rFonts w:cs="Arial"/>
                <w:sz w:val="20"/>
                <w:szCs w:val="20"/>
              </w:rPr>
              <w:t xml:space="preserve">SDG&amp;E </w:t>
            </w:r>
            <w:r w:rsidR="007A2886">
              <w:rPr>
                <w:rFonts w:cs="Arial"/>
                <w:sz w:val="20"/>
                <w:szCs w:val="20"/>
              </w:rPr>
              <w:t xml:space="preserve">opts to </w:t>
            </w:r>
            <w:r w:rsidR="007A2886" w:rsidRPr="007A2886">
              <w:rPr>
                <w:rFonts w:cs="Arial"/>
                <w:sz w:val="20"/>
                <w:szCs w:val="20"/>
              </w:rPr>
              <w:t xml:space="preserve">use its PA specific approved </w:t>
            </w:r>
            <w:r w:rsidR="007A2886">
              <w:rPr>
                <w:rFonts w:cs="Arial"/>
                <w:sz w:val="20"/>
                <w:szCs w:val="20"/>
              </w:rPr>
              <w:t xml:space="preserve">load shapes </w:t>
            </w:r>
            <w:r w:rsidR="007A2886" w:rsidRPr="007A2886">
              <w:rPr>
                <w:rFonts w:cs="Arial"/>
                <w:sz w:val="20"/>
                <w:szCs w:val="20"/>
              </w:rPr>
              <w:t xml:space="preserve">for residential pool pumps </w:t>
            </w:r>
            <w:r w:rsidR="007A2886">
              <w:rPr>
                <w:rFonts w:cs="Arial"/>
                <w:sz w:val="20"/>
                <w:szCs w:val="20"/>
              </w:rPr>
              <w:t xml:space="preserve">rather than the SCE WP </w:t>
            </w:r>
            <w:r w:rsidR="007A2886" w:rsidRPr="007A2886">
              <w:rPr>
                <w:rFonts w:cs="Arial"/>
                <w:sz w:val="20"/>
                <w:szCs w:val="20"/>
              </w:rPr>
              <w:t>E3 load profile</w:t>
            </w:r>
            <w:r w:rsidR="007A2886"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 xml:space="preserve"> No </w:t>
            </w:r>
            <w:r w:rsidR="007A2886">
              <w:rPr>
                <w:rFonts w:cs="Arial"/>
                <w:sz w:val="20"/>
                <w:szCs w:val="20"/>
              </w:rPr>
              <w:t xml:space="preserve">other </w:t>
            </w:r>
            <w:r>
              <w:rPr>
                <w:rFonts w:cs="Arial"/>
                <w:sz w:val="20"/>
                <w:szCs w:val="20"/>
              </w:rPr>
              <w:t>values have been changed from the original SCE workpaper.</w:t>
            </w:r>
          </w:p>
        </w:tc>
      </w:tr>
      <w:tr w:rsidR="00736DEF" w:rsidTr="00017E7E">
        <w:trPr>
          <w:cantSplit/>
        </w:trPr>
        <w:tc>
          <w:tcPr>
            <w:tcW w:w="2628" w:type="dxa"/>
            <w:vAlign w:val="center"/>
          </w:tcPr>
          <w:p w:rsidR="00736DEF" w:rsidRPr="001D77F7" w:rsidRDefault="00736DEF" w:rsidP="001D77F7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948" w:type="dxa"/>
          </w:tcPr>
          <w:p w:rsidR="00736DEF" w:rsidRDefault="007632B7" w:rsidP="00262398">
            <w:r>
              <w:rPr>
                <w:rFonts w:cs="Arial"/>
                <w:sz w:val="20"/>
                <w:szCs w:val="20"/>
              </w:rPr>
              <w:t>M</w:t>
            </w:r>
            <w:r w:rsidR="00282C54">
              <w:rPr>
                <w:rFonts w:cs="Arial"/>
                <w:sz w:val="20"/>
                <w:szCs w:val="20"/>
              </w:rPr>
              <w:t>easure</w:t>
            </w:r>
            <w:r>
              <w:rPr>
                <w:rFonts w:cs="Arial"/>
                <w:sz w:val="20"/>
                <w:szCs w:val="20"/>
              </w:rPr>
              <w:t xml:space="preserve"> 2 &amp; 3</w:t>
            </w:r>
            <w:r w:rsidR="00282C54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are</w:t>
            </w:r>
            <w:r w:rsidR="00282C54">
              <w:rPr>
                <w:rFonts w:cs="Arial"/>
                <w:sz w:val="20"/>
                <w:szCs w:val="20"/>
              </w:rPr>
              <w:t xml:space="preserve"> </w:t>
            </w:r>
            <w:r w:rsidR="00D86243" w:rsidRPr="00D86243">
              <w:rPr>
                <w:rFonts w:cs="Arial"/>
                <w:sz w:val="20"/>
                <w:szCs w:val="20"/>
              </w:rPr>
              <w:t xml:space="preserve">non-commissioned variable speed pool pump for </w:t>
            </w:r>
            <w:r w:rsidR="00282C54">
              <w:rPr>
                <w:rFonts w:cs="Arial"/>
                <w:sz w:val="20"/>
                <w:szCs w:val="20"/>
              </w:rPr>
              <w:t>either</w:t>
            </w:r>
            <w:r w:rsidR="00A738FF">
              <w:rPr>
                <w:rFonts w:cs="Arial"/>
                <w:sz w:val="20"/>
                <w:szCs w:val="20"/>
              </w:rPr>
              <w:t xml:space="preserve"> </w:t>
            </w:r>
            <w:r w:rsidR="00D86243" w:rsidRPr="00D86243">
              <w:rPr>
                <w:rFonts w:cs="Arial"/>
                <w:sz w:val="20"/>
                <w:szCs w:val="20"/>
              </w:rPr>
              <w:t xml:space="preserve">single-family </w:t>
            </w:r>
            <w:r w:rsidR="00282C54">
              <w:rPr>
                <w:rFonts w:cs="Arial"/>
                <w:sz w:val="20"/>
                <w:szCs w:val="20"/>
              </w:rPr>
              <w:t>or</w:t>
            </w:r>
            <w:r w:rsidR="00D86243" w:rsidRPr="00D86243">
              <w:rPr>
                <w:rFonts w:cs="Arial"/>
                <w:sz w:val="20"/>
                <w:szCs w:val="20"/>
              </w:rPr>
              <w:t xml:space="preserve"> multi-family homes</w:t>
            </w:r>
            <w:r w:rsidR="00282C54">
              <w:rPr>
                <w:rFonts w:cs="Arial"/>
                <w:sz w:val="20"/>
                <w:szCs w:val="20"/>
              </w:rPr>
              <w:t xml:space="preserve">.  The baseline is </w:t>
            </w:r>
            <w:r w:rsidR="00262398">
              <w:rPr>
                <w:rFonts w:cs="Arial"/>
                <w:sz w:val="20"/>
                <w:szCs w:val="20"/>
              </w:rPr>
              <w:t xml:space="preserve">a code </w:t>
            </w:r>
            <w:r w:rsidR="00D86243">
              <w:rPr>
                <w:rFonts w:cs="Arial"/>
                <w:sz w:val="20"/>
                <w:szCs w:val="20"/>
              </w:rPr>
              <w:t>two-speed pool pump and motor</w:t>
            </w:r>
            <w:r w:rsidR="00262398">
              <w:rPr>
                <w:rFonts w:cs="Arial"/>
                <w:sz w:val="20"/>
                <w:szCs w:val="20"/>
              </w:rPr>
              <w:t xml:space="preserve"> being replaced</w:t>
            </w:r>
            <w:r w:rsidR="00D86243" w:rsidRPr="00D86243"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 xml:space="preserve">  Measure 1 is commissioned variable speed pool pump.  The measure case is a variable speed swimming pool pump that </w:t>
            </w:r>
            <w:r w:rsidR="00245B90">
              <w:rPr>
                <w:rFonts w:cs="Arial"/>
                <w:sz w:val="20"/>
                <w:szCs w:val="20"/>
              </w:rPr>
              <w:t>is</w:t>
            </w:r>
            <w:r>
              <w:rPr>
                <w:rFonts w:cs="Arial"/>
                <w:sz w:val="20"/>
                <w:szCs w:val="20"/>
              </w:rPr>
              <w:t xml:space="preserve"> programmed to operate outside peak hours (noon to 6pm) as part of the contractor driven offer.</w:t>
            </w:r>
          </w:p>
        </w:tc>
      </w:tr>
      <w:tr w:rsidR="00736DEF" w:rsidTr="00017E7E">
        <w:trPr>
          <w:cantSplit/>
        </w:trPr>
        <w:tc>
          <w:tcPr>
            <w:tcW w:w="2628" w:type="dxa"/>
            <w:vAlign w:val="center"/>
          </w:tcPr>
          <w:p w:rsidR="00736DEF" w:rsidRPr="001D77F7" w:rsidRDefault="00736DEF" w:rsidP="001D77F7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948" w:type="dxa"/>
          </w:tcPr>
          <w:p w:rsidR="00D86243" w:rsidRDefault="00D86243" w:rsidP="00D86243">
            <w:r>
              <w:t xml:space="preserve">• </w:t>
            </w:r>
            <w:r w:rsidRPr="00D86243">
              <w:rPr>
                <w:rFonts w:cs="Arial"/>
                <w:sz w:val="20"/>
                <w:szCs w:val="20"/>
              </w:rPr>
              <w:t>Two speed motor means a motor designed or intended to be operated at one of two preset speeds.</w:t>
            </w:r>
          </w:p>
          <w:p w:rsidR="00736DEF" w:rsidRDefault="00D86243" w:rsidP="00D86243">
            <w:r>
              <w:t xml:space="preserve">• </w:t>
            </w:r>
            <w:r w:rsidRPr="00D86243">
              <w:rPr>
                <w:rFonts w:cs="Arial"/>
                <w:sz w:val="20"/>
                <w:szCs w:val="20"/>
              </w:rPr>
              <w:t>Variable speed motor means a motor whose speed can vary continuously over a specified range.</w:t>
            </w:r>
          </w:p>
        </w:tc>
      </w:tr>
      <w:tr w:rsidR="00282C54" w:rsidTr="00017E7E">
        <w:trPr>
          <w:cantSplit/>
        </w:trPr>
        <w:tc>
          <w:tcPr>
            <w:tcW w:w="2628" w:type="dxa"/>
            <w:vAlign w:val="center"/>
          </w:tcPr>
          <w:p w:rsidR="00282C54" w:rsidRPr="00822B6F" w:rsidRDefault="00282C54" w:rsidP="00D86243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1</w:t>
            </w:r>
          </w:p>
        </w:tc>
        <w:tc>
          <w:tcPr>
            <w:tcW w:w="6948" w:type="dxa"/>
          </w:tcPr>
          <w:p w:rsidR="00282C54" w:rsidRPr="00F56BE9" w:rsidRDefault="00741B15" w:rsidP="00736DE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Commissioned Residential VFD Swimming Pool Pump</w:t>
            </w:r>
          </w:p>
        </w:tc>
      </w:tr>
      <w:tr w:rsidR="00F56BE9" w:rsidTr="00017E7E">
        <w:trPr>
          <w:cantSplit/>
        </w:trPr>
        <w:tc>
          <w:tcPr>
            <w:tcW w:w="2628" w:type="dxa"/>
            <w:vAlign w:val="center"/>
          </w:tcPr>
          <w:p w:rsidR="00F56BE9" w:rsidRPr="00822B6F" w:rsidRDefault="00F56BE9" w:rsidP="00D86243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>Measure 2</w:t>
            </w:r>
          </w:p>
        </w:tc>
        <w:tc>
          <w:tcPr>
            <w:tcW w:w="6948" w:type="dxa"/>
          </w:tcPr>
          <w:p w:rsidR="00F56BE9" w:rsidRPr="00F56BE9" w:rsidRDefault="00F56BE9" w:rsidP="00736DEF">
            <w:pPr>
              <w:rPr>
                <w:rFonts w:cs="Arial"/>
                <w:sz w:val="20"/>
                <w:szCs w:val="20"/>
              </w:rPr>
            </w:pPr>
            <w:r w:rsidRPr="00F56BE9">
              <w:rPr>
                <w:rFonts w:cs="Arial"/>
                <w:sz w:val="20"/>
                <w:szCs w:val="20"/>
              </w:rPr>
              <w:t>Non-commissioned Single-family Residential VFD Swimming Pool Pump</w:t>
            </w:r>
          </w:p>
        </w:tc>
      </w:tr>
      <w:tr w:rsidR="00F56BE9" w:rsidTr="00017E7E">
        <w:trPr>
          <w:cantSplit/>
        </w:trPr>
        <w:tc>
          <w:tcPr>
            <w:tcW w:w="2628" w:type="dxa"/>
            <w:vAlign w:val="center"/>
          </w:tcPr>
          <w:p w:rsidR="00F56BE9" w:rsidRPr="00822B6F" w:rsidRDefault="00F56BE9" w:rsidP="00D86243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>Measure 3</w:t>
            </w:r>
          </w:p>
        </w:tc>
        <w:tc>
          <w:tcPr>
            <w:tcW w:w="6948" w:type="dxa"/>
          </w:tcPr>
          <w:p w:rsidR="00F56BE9" w:rsidRPr="00F56BE9" w:rsidRDefault="00F5794B" w:rsidP="00736DE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Non-Commissioned </w:t>
            </w:r>
            <w:r w:rsidR="00F56BE9" w:rsidRPr="00F56BE9">
              <w:rPr>
                <w:rFonts w:cs="Arial"/>
                <w:sz w:val="20"/>
                <w:szCs w:val="20"/>
              </w:rPr>
              <w:t>Multi-family Residential VFD Swimming Pool Pump</w:t>
            </w:r>
          </w:p>
        </w:tc>
      </w:tr>
      <w:tr w:rsidR="00282C54" w:rsidTr="00017E7E">
        <w:trPr>
          <w:cantSplit/>
        </w:trPr>
        <w:tc>
          <w:tcPr>
            <w:tcW w:w="2628" w:type="dxa"/>
            <w:vAlign w:val="center"/>
          </w:tcPr>
          <w:p w:rsidR="00282C54" w:rsidRPr="00822B6F" w:rsidRDefault="00AB3EEE" w:rsidP="00D86243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 xml:space="preserve">Code for Measure </w:t>
            </w:r>
            <w:r w:rsidR="00282C5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948" w:type="dxa"/>
          </w:tcPr>
          <w:p w:rsidR="00282C54" w:rsidRPr="00D86243" w:rsidRDefault="00741B15" w:rsidP="00736DE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Two-Speed Pool Pump and Motor (as required by CEC Title 20)</w:t>
            </w:r>
          </w:p>
        </w:tc>
      </w:tr>
      <w:tr w:rsidR="00F56BE9" w:rsidTr="00017E7E">
        <w:trPr>
          <w:cantSplit/>
        </w:trPr>
        <w:tc>
          <w:tcPr>
            <w:tcW w:w="2628" w:type="dxa"/>
            <w:vAlign w:val="center"/>
          </w:tcPr>
          <w:p w:rsidR="00F56BE9" w:rsidRPr="00822B6F" w:rsidRDefault="00F56BE9" w:rsidP="00D86243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>Code for Measure 2</w:t>
            </w:r>
          </w:p>
        </w:tc>
        <w:tc>
          <w:tcPr>
            <w:tcW w:w="6948" w:type="dxa"/>
          </w:tcPr>
          <w:p w:rsidR="00F56BE9" w:rsidRPr="00D86243" w:rsidRDefault="00D86243" w:rsidP="00736DEF">
            <w:pPr>
              <w:rPr>
                <w:rFonts w:cs="Arial"/>
                <w:sz w:val="20"/>
                <w:szCs w:val="20"/>
              </w:rPr>
            </w:pPr>
            <w:r w:rsidRPr="00D86243">
              <w:rPr>
                <w:rFonts w:cs="Arial"/>
                <w:sz w:val="20"/>
                <w:szCs w:val="20"/>
              </w:rPr>
              <w:t>Two-Speed Pool Pump and Motor (as required by CEC Title 20)</w:t>
            </w:r>
          </w:p>
        </w:tc>
      </w:tr>
      <w:tr w:rsidR="00F56BE9" w:rsidTr="00017E7E">
        <w:trPr>
          <w:cantSplit/>
        </w:trPr>
        <w:tc>
          <w:tcPr>
            <w:tcW w:w="2628" w:type="dxa"/>
            <w:vAlign w:val="center"/>
          </w:tcPr>
          <w:p w:rsidR="00F56BE9" w:rsidRPr="00822B6F" w:rsidRDefault="00F56BE9" w:rsidP="00D86243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>Code for Measure 3</w:t>
            </w:r>
          </w:p>
        </w:tc>
        <w:tc>
          <w:tcPr>
            <w:tcW w:w="6948" w:type="dxa"/>
          </w:tcPr>
          <w:p w:rsidR="00F56BE9" w:rsidRPr="00D86243" w:rsidRDefault="00D86243" w:rsidP="00736DEF">
            <w:pPr>
              <w:rPr>
                <w:rFonts w:cs="Arial"/>
                <w:sz w:val="20"/>
                <w:szCs w:val="20"/>
              </w:rPr>
            </w:pPr>
            <w:r w:rsidRPr="00D86243">
              <w:rPr>
                <w:rFonts w:cs="Arial"/>
                <w:sz w:val="20"/>
                <w:szCs w:val="20"/>
              </w:rPr>
              <w:t>Two-Speed Pool Pump and Motor (as required by CEC Title 20)</w:t>
            </w:r>
          </w:p>
        </w:tc>
      </w:tr>
      <w:tr w:rsidR="00F56BE9" w:rsidTr="00017E7E">
        <w:trPr>
          <w:cantSplit/>
        </w:trPr>
        <w:tc>
          <w:tcPr>
            <w:tcW w:w="2628" w:type="dxa"/>
          </w:tcPr>
          <w:p w:rsidR="00F56BE9" w:rsidRPr="001D77F7" w:rsidRDefault="00F56BE9" w:rsidP="00736DEF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948" w:type="dxa"/>
          </w:tcPr>
          <w:p w:rsidR="00F56BE9" w:rsidRPr="00D86243" w:rsidRDefault="00F56BE9" w:rsidP="00736DEF">
            <w:pPr>
              <w:rPr>
                <w:rFonts w:cs="Arial"/>
                <w:sz w:val="20"/>
                <w:szCs w:val="20"/>
              </w:rPr>
            </w:pPr>
          </w:p>
        </w:tc>
      </w:tr>
      <w:tr w:rsidR="00F56BE9" w:rsidTr="00017E7E">
        <w:trPr>
          <w:cantSplit/>
        </w:trPr>
        <w:tc>
          <w:tcPr>
            <w:tcW w:w="2628" w:type="dxa"/>
            <w:vAlign w:val="center"/>
          </w:tcPr>
          <w:p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948" w:type="dxa"/>
          </w:tcPr>
          <w:p w:rsidR="00D86243" w:rsidRPr="00017E7E" w:rsidRDefault="00F56BE9" w:rsidP="00017E7E">
            <w:pPr>
              <w:pStyle w:val="ListParagraph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86243">
              <w:rPr>
                <w:rFonts w:cs="Arial"/>
                <w:sz w:val="20"/>
                <w:szCs w:val="20"/>
              </w:rPr>
              <w:t>Replace On Burnout (ROB)</w:t>
            </w:r>
          </w:p>
        </w:tc>
      </w:tr>
      <w:tr w:rsidR="00F56BE9" w:rsidTr="00017E7E">
        <w:trPr>
          <w:cantSplit/>
        </w:trPr>
        <w:tc>
          <w:tcPr>
            <w:tcW w:w="2628" w:type="dxa"/>
            <w:vAlign w:val="center"/>
          </w:tcPr>
          <w:p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948" w:type="dxa"/>
          </w:tcPr>
          <w:p w:rsidR="00D86243" w:rsidRPr="00476F40" w:rsidRDefault="00D86243" w:rsidP="00476F40">
            <w:pPr>
              <w:pStyle w:val="ListParagraph"/>
              <w:numPr>
                <w:ilvl w:val="0"/>
                <w:numId w:val="19"/>
              </w:numPr>
              <w:rPr>
                <w:rFonts w:cs="Arial"/>
                <w:sz w:val="20"/>
                <w:szCs w:val="20"/>
              </w:rPr>
            </w:pPr>
            <w:r w:rsidRPr="00476F40">
              <w:rPr>
                <w:rFonts w:cs="Arial"/>
                <w:sz w:val="20"/>
                <w:szCs w:val="20"/>
              </w:rPr>
              <w:t>Financial Support - Downstream Incentive – Deemed</w:t>
            </w:r>
          </w:p>
          <w:p w:rsidR="00F56BE9" w:rsidRPr="00476F40" w:rsidRDefault="00F56BE9" w:rsidP="00476F40">
            <w:pPr>
              <w:pStyle w:val="ListParagraph"/>
              <w:numPr>
                <w:ilvl w:val="0"/>
                <w:numId w:val="19"/>
              </w:numPr>
              <w:rPr>
                <w:rFonts w:cs="Arial"/>
                <w:sz w:val="20"/>
                <w:szCs w:val="20"/>
              </w:rPr>
            </w:pPr>
            <w:r w:rsidRPr="00476F40">
              <w:rPr>
                <w:rFonts w:cs="Arial"/>
                <w:sz w:val="20"/>
                <w:szCs w:val="20"/>
              </w:rPr>
              <w:t>Financial Support – Direct Install</w:t>
            </w:r>
          </w:p>
        </w:tc>
      </w:tr>
      <w:tr w:rsidR="00F56BE9" w:rsidTr="00017E7E">
        <w:trPr>
          <w:cantSplit/>
        </w:trPr>
        <w:tc>
          <w:tcPr>
            <w:tcW w:w="2628" w:type="dxa"/>
          </w:tcPr>
          <w:p w:rsidR="00F56BE9" w:rsidRPr="001D77F7" w:rsidRDefault="00F56BE9" w:rsidP="003F4A95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948" w:type="dxa"/>
          </w:tcPr>
          <w:p w:rsidR="00F56BE9" w:rsidRDefault="00F56BE9" w:rsidP="003F4A95"/>
        </w:tc>
      </w:tr>
      <w:tr w:rsidR="00F56BE9" w:rsidTr="00017E7E">
        <w:trPr>
          <w:cantSplit/>
        </w:trPr>
        <w:tc>
          <w:tcPr>
            <w:tcW w:w="2628" w:type="dxa"/>
          </w:tcPr>
          <w:p w:rsidR="00F56BE9" w:rsidRPr="00822B6F" w:rsidRDefault="00F56BE9" w:rsidP="00736DEF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DEER Measure ID</w:t>
            </w:r>
          </w:p>
        </w:tc>
        <w:tc>
          <w:tcPr>
            <w:tcW w:w="6948" w:type="dxa"/>
          </w:tcPr>
          <w:p w:rsidR="00F56BE9" w:rsidRPr="00D86243" w:rsidRDefault="00D86243" w:rsidP="003F4A95">
            <w:pPr>
              <w:rPr>
                <w:rFonts w:cs="Arial"/>
                <w:sz w:val="20"/>
                <w:szCs w:val="20"/>
              </w:rPr>
            </w:pPr>
            <w:r w:rsidRPr="00D86243">
              <w:rPr>
                <w:rFonts w:cs="Arial"/>
                <w:sz w:val="20"/>
                <w:szCs w:val="20"/>
              </w:rPr>
              <w:t>DEER does not contain this type of measure.</w:t>
            </w:r>
          </w:p>
        </w:tc>
      </w:tr>
      <w:tr w:rsidR="00F56BE9" w:rsidTr="00017E7E">
        <w:trPr>
          <w:cantSplit/>
        </w:trPr>
        <w:tc>
          <w:tcPr>
            <w:tcW w:w="2628" w:type="dxa"/>
            <w:vAlign w:val="center"/>
          </w:tcPr>
          <w:p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948" w:type="dxa"/>
          </w:tcPr>
          <w:p w:rsidR="00D86243" w:rsidRPr="00D86243" w:rsidRDefault="00D86243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D86243">
              <w:rPr>
                <w:rFonts w:cs="Arial"/>
                <w:sz w:val="20"/>
                <w:szCs w:val="20"/>
              </w:rPr>
              <w:t>Res-Default&gt;2</w:t>
            </w:r>
            <w:r w:rsidR="00F5794B">
              <w:rPr>
                <w:rFonts w:cs="Arial"/>
                <w:sz w:val="20"/>
                <w:szCs w:val="20"/>
              </w:rPr>
              <w:tab/>
            </w:r>
            <w:r w:rsidR="007A2886">
              <w:rPr>
                <w:rFonts w:cs="Arial"/>
                <w:sz w:val="20"/>
                <w:szCs w:val="20"/>
              </w:rPr>
              <w:t xml:space="preserve">SDG&amp;E will use the </w:t>
            </w:r>
            <w:r w:rsidR="00F5794B">
              <w:rPr>
                <w:rFonts w:cs="Arial"/>
                <w:sz w:val="20"/>
                <w:szCs w:val="20"/>
              </w:rPr>
              <w:t>Default NTG</w:t>
            </w:r>
          </w:p>
        </w:tc>
      </w:tr>
      <w:tr w:rsidR="00F56BE9" w:rsidTr="00017E7E">
        <w:trPr>
          <w:cantSplit/>
        </w:trPr>
        <w:tc>
          <w:tcPr>
            <w:tcW w:w="2628" w:type="dxa"/>
            <w:vAlign w:val="center"/>
          </w:tcPr>
          <w:p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948" w:type="dxa"/>
          </w:tcPr>
          <w:p w:rsidR="00F56BE9" w:rsidRPr="00D86243" w:rsidRDefault="00D86243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D86243">
              <w:rPr>
                <w:rFonts w:cs="Arial"/>
                <w:sz w:val="20"/>
                <w:szCs w:val="20"/>
              </w:rPr>
              <w:t>OutD-PoolPump</w:t>
            </w:r>
            <w:r w:rsidR="00262398">
              <w:rPr>
                <w:rFonts w:cs="Arial"/>
                <w:sz w:val="20"/>
                <w:szCs w:val="20"/>
              </w:rPr>
              <w:tab/>
              <w:t>(Per SCE Workpaper)</w:t>
            </w:r>
          </w:p>
        </w:tc>
      </w:tr>
      <w:tr w:rsidR="00F56BE9" w:rsidTr="00017E7E">
        <w:trPr>
          <w:cantSplit/>
        </w:trPr>
        <w:tc>
          <w:tcPr>
            <w:tcW w:w="2628" w:type="dxa"/>
            <w:vAlign w:val="center"/>
          </w:tcPr>
          <w:p w:rsidR="00F56BE9" w:rsidRPr="001D77F7" w:rsidRDefault="00F56BE9" w:rsidP="001D77F7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6948" w:type="dxa"/>
            <w:vAlign w:val="center"/>
          </w:tcPr>
          <w:p w:rsidR="00822B6F" w:rsidRDefault="00822B6F" w:rsidP="0044518E"/>
        </w:tc>
      </w:tr>
      <w:tr w:rsidR="00741B15" w:rsidTr="00017E7E">
        <w:trPr>
          <w:cantSplit/>
        </w:trPr>
        <w:tc>
          <w:tcPr>
            <w:tcW w:w="2628" w:type="dxa"/>
            <w:vAlign w:val="center"/>
          </w:tcPr>
          <w:p w:rsidR="00741B15" w:rsidRDefault="00741B15" w:rsidP="00822B6F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Energy Savings/Peak Demand Reduction Measure 1</w:t>
            </w:r>
          </w:p>
        </w:tc>
        <w:tc>
          <w:tcPr>
            <w:tcW w:w="6948" w:type="dxa"/>
          </w:tcPr>
          <w:p w:rsidR="00741B15" w:rsidRDefault="00741B15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1,686 kWh and 0.530 kW</w:t>
            </w:r>
            <w:r>
              <w:rPr>
                <w:rFonts w:cs="Arial"/>
                <w:sz w:val="20"/>
                <w:szCs w:val="20"/>
              </w:rPr>
              <w:tab/>
              <w:t>(Per SCE Workpaper)</w:t>
            </w:r>
          </w:p>
        </w:tc>
      </w:tr>
      <w:tr w:rsidR="00741B15" w:rsidTr="00017E7E">
        <w:trPr>
          <w:cantSplit/>
        </w:trPr>
        <w:tc>
          <w:tcPr>
            <w:tcW w:w="2628" w:type="dxa"/>
            <w:vAlign w:val="center"/>
          </w:tcPr>
          <w:p w:rsidR="00741B15" w:rsidRDefault="00741B15" w:rsidP="00822B6F">
            <w:pPr>
              <w:jc w:val="right"/>
            </w:pPr>
            <w:r>
              <w:rPr>
                <w:rFonts w:cs="Arial"/>
                <w:sz w:val="20"/>
                <w:szCs w:val="20"/>
              </w:rPr>
              <w:t xml:space="preserve">Energy Savings/Peak Demand Reduction </w:t>
            </w:r>
            <w:r w:rsidRPr="00822B6F">
              <w:rPr>
                <w:rFonts w:cs="Arial"/>
                <w:sz w:val="20"/>
                <w:szCs w:val="20"/>
              </w:rPr>
              <w:t>Measure</w:t>
            </w:r>
            <w:r>
              <w:rPr>
                <w:rFonts w:cs="Arial"/>
                <w:sz w:val="20"/>
                <w:szCs w:val="20"/>
              </w:rPr>
              <w:t xml:space="preserve"> 2</w:t>
            </w:r>
          </w:p>
        </w:tc>
        <w:tc>
          <w:tcPr>
            <w:tcW w:w="6948" w:type="dxa"/>
          </w:tcPr>
          <w:p w:rsidR="00741B15" w:rsidRPr="00476F40" w:rsidRDefault="00741B15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506 kWh and 0.034 kW</w:t>
            </w:r>
            <w:r>
              <w:rPr>
                <w:rFonts w:cs="Arial"/>
                <w:sz w:val="20"/>
                <w:szCs w:val="20"/>
              </w:rPr>
              <w:tab/>
              <w:t>(Per SCE Workpaper)</w:t>
            </w:r>
          </w:p>
        </w:tc>
      </w:tr>
      <w:tr w:rsidR="00741B15" w:rsidTr="00017E7E">
        <w:trPr>
          <w:cantSplit/>
        </w:trPr>
        <w:tc>
          <w:tcPr>
            <w:tcW w:w="2628" w:type="dxa"/>
            <w:vAlign w:val="center"/>
          </w:tcPr>
          <w:p w:rsidR="00741B15" w:rsidRDefault="00741B15" w:rsidP="00822B6F">
            <w:pPr>
              <w:jc w:val="right"/>
            </w:pPr>
            <w:r>
              <w:rPr>
                <w:rFonts w:cs="Arial"/>
                <w:sz w:val="20"/>
                <w:szCs w:val="20"/>
              </w:rPr>
              <w:t xml:space="preserve">Energy Savings/Peak Demand Reduction </w:t>
            </w:r>
            <w:r w:rsidRPr="00822B6F">
              <w:rPr>
                <w:rFonts w:cs="Arial"/>
                <w:sz w:val="20"/>
                <w:szCs w:val="20"/>
              </w:rPr>
              <w:t>Measure</w:t>
            </w:r>
            <w:r>
              <w:rPr>
                <w:rFonts w:cs="Arial"/>
                <w:sz w:val="20"/>
                <w:szCs w:val="20"/>
              </w:rPr>
              <w:t xml:space="preserve"> 3</w:t>
            </w:r>
          </w:p>
        </w:tc>
        <w:tc>
          <w:tcPr>
            <w:tcW w:w="6948" w:type="dxa"/>
          </w:tcPr>
          <w:p w:rsidR="00741B15" w:rsidRPr="00476F40" w:rsidRDefault="00741B15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888 kWh and 0.841</w:t>
            </w:r>
            <w:r>
              <w:rPr>
                <w:rFonts w:cs="Arial"/>
                <w:sz w:val="20"/>
                <w:szCs w:val="20"/>
              </w:rPr>
              <w:tab/>
              <w:t>(Per SCE Workpaper)</w:t>
            </w:r>
          </w:p>
        </w:tc>
      </w:tr>
      <w:tr w:rsidR="00741B15" w:rsidTr="00017E7E">
        <w:trPr>
          <w:cantSplit/>
        </w:trPr>
        <w:tc>
          <w:tcPr>
            <w:tcW w:w="2628" w:type="dxa"/>
            <w:vAlign w:val="center"/>
          </w:tcPr>
          <w:p w:rsidR="00741B15" w:rsidRPr="001D77F7" w:rsidRDefault="00741B15" w:rsidP="001D77F7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948" w:type="dxa"/>
          </w:tcPr>
          <w:p w:rsidR="00741B15" w:rsidRDefault="00741B15" w:rsidP="003F4A9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SDG:</w:t>
            </w:r>
            <w:r w:rsidRPr="00476F40">
              <w:rPr>
                <w:rFonts w:cs="Arial"/>
                <w:sz w:val="20"/>
                <w:szCs w:val="20"/>
              </w:rPr>
              <w:t>19-RES-AllResidential-POOL_PMP</w:t>
            </w:r>
            <w:r>
              <w:rPr>
                <w:rFonts w:cs="Arial"/>
                <w:sz w:val="20"/>
                <w:szCs w:val="20"/>
              </w:rPr>
              <w:t>; Annual</w:t>
            </w:r>
          </w:p>
          <w:p w:rsidR="00741B15" w:rsidRPr="00476F40" w:rsidRDefault="00741B15" w:rsidP="003F4A95">
            <w:pPr>
              <w:rPr>
                <w:rFonts w:cs="Arial"/>
                <w:sz w:val="20"/>
                <w:szCs w:val="20"/>
              </w:rPr>
            </w:pPr>
            <w:r w:rsidRPr="0044518E">
              <w:rPr>
                <w:rFonts w:cs="Arial"/>
                <w:sz w:val="20"/>
                <w:szCs w:val="20"/>
              </w:rPr>
              <w:t>SDG:13-MFM-ResidentialMulti-family-POOL_PMP</w:t>
            </w:r>
            <w:r>
              <w:rPr>
                <w:rFonts w:cs="Arial"/>
                <w:sz w:val="20"/>
                <w:szCs w:val="20"/>
              </w:rPr>
              <w:t>; Annual</w:t>
            </w:r>
          </w:p>
        </w:tc>
      </w:tr>
      <w:tr w:rsidR="00741B15" w:rsidTr="00017E7E">
        <w:trPr>
          <w:cantSplit/>
        </w:trPr>
        <w:tc>
          <w:tcPr>
            <w:tcW w:w="2628" w:type="dxa"/>
            <w:vAlign w:val="center"/>
          </w:tcPr>
          <w:p w:rsidR="00741B15" w:rsidRPr="001D77F7" w:rsidRDefault="00741B15" w:rsidP="001D77F7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6948" w:type="dxa"/>
          </w:tcPr>
          <w:p w:rsidR="00741B15" w:rsidRPr="00476F40" w:rsidRDefault="00741B15" w:rsidP="003F4A95">
            <w:pPr>
              <w:rPr>
                <w:rFonts w:cs="Arial"/>
                <w:sz w:val="20"/>
                <w:szCs w:val="20"/>
              </w:rPr>
            </w:pPr>
          </w:p>
        </w:tc>
      </w:tr>
      <w:tr w:rsidR="00741B15" w:rsidTr="00017E7E">
        <w:trPr>
          <w:cantSplit/>
        </w:trPr>
        <w:tc>
          <w:tcPr>
            <w:tcW w:w="2628" w:type="dxa"/>
          </w:tcPr>
          <w:p w:rsidR="00741B15" w:rsidRPr="00822B6F" w:rsidRDefault="00741B15" w:rsidP="00F56B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DEER/READI Base CostID</w:t>
            </w:r>
          </w:p>
        </w:tc>
        <w:tc>
          <w:tcPr>
            <w:tcW w:w="6948" w:type="dxa"/>
          </w:tcPr>
          <w:p w:rsidR="00741B15" w:rsidRDefault="00741B15" w:rsidP="003F4A9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There are no CostIDs for these measures in READI.  SDG&amp;E will reference this WP</w:t>
            </w:r>
          </w:p>
        </w:tc>
      </w:tr>
      <w:tr w:rsidR="00741B15" w:rsidTr="00017E7E">
        <w:trPr>
          <w:cantSplit/>
        </w:trPr>
        <w:tc>
          <w:tcPr>
            <w:tcW w:w="2628" w:type="dxa"/>
          </w:tcPr>
          <w:p w:rsidR="00741B15" w:rsidRPr="00822B6F" w:rsidRDefault="00741B15" w:rsidP="00F56B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Base Cost – Measure 1</w:t>
            </w:r>
          </w:p>
        </w:tc>
        <w:tc>
          <w:tcPr>
            <w:tcW w:w="6948" w:type="dxa"/>
          </w:tcPr>
          <w:p w:rsidR="00741B15" w:rsidRPr="00476F40" w:rsidRDefault="00741B15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$1,251.08</w:t>
            </w:r>
            <w:r>
              <w:rPr>
                <w:rFonts w:cs="Arial"/>
                <w:sz w:val="20"/>
                <w:szCs w:val="20"/>
              </w:rPr>
              <w:tab/>
              <w:t>(Per SCE Workpaper)</w:t>
            </w:r>
          </w:p>
        </w:tc>
      </w:tr>
      <w:tr w:rsidR="00741B15" w:rsidTr="00017E7E">
        <w:trPr>
          <w:cantSplit/>
        </w:trPr>
        <w:tc>
          <w:tcPr>
            <w:tcW w:w="2628" w:type="dxa"/>
          </w:tcPr>
          <w:p w:rsidR="00741B15" w:rsidRPr="00822B6F" w:rsidRDefault="00741B15" w:rsidP="00F56BE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 – Measure 2</w:t>
            </w:r>
          </w:p>
        </w:tc>
        <w:tc>
          <w:tcPr>
            <w:tcW w:w="6948" w:type="dxa"/>
          </w:tcPr>
          <w:p w:rsidR="00741B15" w:rsidRPr="00476F40" w:rsidRDefault="00741B15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476F40">
              <w:rPr>
                <w:rFonts w:cs="Arial"/>
                <w:sz w:val="20"/>
                <w:szCs w:val="20"/>
              </w:rPr>
              <w:t>$1,251.08</w:t>
            </w:r>
            <w:r>
              <w:rPr>
                <w:rFonts w:cs="Arial"/>
                <w:sz w:val="20"/>
                <w:szCs w:val="20"/>
              </w:rPr>
              <w:tab/>
              <w:t>(Per SCE Workpaper)</w:t>
            </w:r>
          </w:p>
        </w:tc>
      </w:tr>
      <w:tr w:rsidR="00741B15" w:rsidTr="00017E7E">
        <w:trPr>
          <w:cantSplit/>
        </w:trPr>
        <w:tc>
          <w:tcPr>
            <w:tcW w:w="2628" w:type="dxa"/>
          </w:tcPr>
          <w:p w:rsidR="00741B15" w:rsidRPr="00822B6F" w:rsidRDefault="00741B15" w:rsidP="00F56BE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 – Measure 3</w:t>
            </w:r>
          </w:p>
        </w:tc>
        <w:tc>
          <w:tcPr>
            <w:tcW w:w="6948" w:type="dxa"/>
          </w:tcPr>
          <w:p w:rsidR="00741B15" w:rsidRPr="00476F40" w:rsidRDefault="00741B15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476F40">
              <w:rPr>
                <w:rFonts w:cs="Arial"/>
                <w:sz w:val="20"/>
                <w:szCs w:val="20"/>
              </w:rPr>
              <w:t>$1,251.08</w:t>
            </w:r>
            <w:r>
              <w:rPr>
                <w:rFonts w:cs="Arial"/>
                <w:sz w:val="20"/>
                <w:szCs w:val="20"/>
              </w:rPr>
              <w:tab/>
              <w:t>(Per SCE Workpaper)</w:t>
            </w:r>
          </w:p>
        </w:tc>
      </w:tr>
      <w:tr w:rsidR="00741B15" w:rsidTr="00017E7E">
        <w:trPr>
          <w:cantSplit/>
        </w:trPr>
        <w:tc>
          <w:tcPr>
            <w:tcW w:w="2628" w:type="dxa"/>
          </w:tcPr>
          <w:p w:rsidR="00741B15" w:rsidRPr="00822B6F" w:rsidRDefault="00741B15" w:rsidP="00D426E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DEER/READI Measure CostID</w:t>
            </w:r>
          </w:p>
        </w:tc>
        <w:tc>
          <w:tcPr>
            <w:tcW w:w="6948" w:type="dxa"/>
          </w:tcPr>
          <w:p w:rsidR="00741B15" w:rsidRDefault="00741B15" w:rsidP="003F4A9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There are no CostIDs for these measures in READI.  SDG&amp;E will reference this WP</w:t>
            </w:r>
          </w:p>
        </w:tc>
      </w:tr>
      <w:tr w:rsidR="00741B15" w:rsidTr="00017E7E">
        <w:trPr>
          <w:cantSplit/>
        </w:trPr>
        <w:tc>
          <w:tcPr>
            <w:tcW w:w="2628" w:type="dxa"/>
          </w:tcPr>
          <w:p w:rsidR="00741B15" w:rsidRPr="00822B6F" w:rsidRDefault="00741B15" w:rsidP="00F56B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Measure Cost – Measure 1</w:t>
            </w:r>
          </w:p>
        </w:tc>
        <w:tc>
          <w:tcPr>
            <w:tcW w:w="6948" w:type="dxa"/>
          </w:tcPr>
          <w:p w:rsidR="00741B15" w:rsidRPr="00476F40" w:rsidRDefault="00741B15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$1,705.77</w:t>
            </w:r>
            <w:r>
              <w:rPr>
                <w:rFonts w:cs="Arial"/>
                <w:sz w:val="20"/>
                <w:szCs w:val="20"/>
              </w:rPr>
              <w:tab/>
              <w:t>(Per SCE Workpaper)</w:t>
            </w:r>
          </w:p>
        </w:tc>
      </w:tr>
      <w:tr w:rsidR="00741B15" w:rsidTr="00017E7E">
        <w:trPr>
          <w:cantSplit/>
        </w:trPr>
        <w:tc>
          <w:tcPr>
            <w:tcW w:w="2628" w:type="dxa"/>
          </w:tcPr>
          <w:p w:rsidR="00741B15" w:rsidRPr="00822B6F" w:rsidRDefault="00741B15" w:rsidP="00F56BE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 – Measure 2</w:t>
            </w:r>
          </w:p>
        </w:tc>
        <w:tc>
          <w:tcPr>
            <w:tcW w:w="6948" w:type="dxa"/>
          </w:tcPr>
          <w:p w:rsidR="00741B15" w:rsidRPr="00476F40" w:rsidRDefault="00741B15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476F40">
              <w:rPr>
                <w:rFonts w:cs="Arial"/>
                <w:sz w:val="20"/>
                <w:szCs w:val="20"/>
              </w:rPr>
              <w:t>$1,537.50</w:t>
            </w:r>
            <w:r>
              <w:rPr>
                <w:rFonts w:cs="Arial"/>
                <w:sz w:val="20"/>
                <w:szCs w:val="20"/>
              </w:rPr>
              <w:tab/>
              <w:t>(Per SCE Workpaper)</w:t>
            </w:r>
          </w:p>
        </w:tc>
      </w:tr>
      <w:tr w:rsidR="00741B15" w:rsidTr="00017E7E">
        <w:trPr>
          <w:cantSplit/>
        </w:trPr>
        <w:tc>
          <w:tcPr>
            <w:tcW w:w="2628" w:type="dxa"/>
          </w:tcPr>
          <w:p w:rsidR="00741B15" w:rsidRPr="00822B6F" w:rsidRDefault="00741B15" w:rsidP="00F56BE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 – Measure 3</w:t>
            </w:r>
          </w:p>
        </w:tc>
        <w:tc>
          <w:tcPr>
            <w:tcW w:w="6948" w:type="dxa"/>
          </w:tcPr>
          <w:p w:rsidR="00741B15" w:rsidRPr="00476F40" w:rsidRDefault="00741B15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476F40">
              <w:rPr>
                <w:rFonts w:cs="Arial"/>
                <w:sz w:val="20"/>
                <w:szCs w:val="20"/>
              </w:rPr>
              <w:t>$1,537.50</w:t>
            </w:r>
            <w:r>
              <w:rPr>
                <w:rFonts w:cs="Arial"/>
                <w:sz w:val="20"/>
                <w:szCs w:val="20"/>
              </w:rPr>
              <w:tab/>
              <w:t>(Per SCE Workpaper)</w:t>
            </w:r>
          </w:p>
        </w:tc>
      </w:tr>
      <w:tr w:rsidR="00741B15" w:rsidTr="00017E7E">
        <w:trPr>
          <w:cantSplit/>
        </w:trPr>
        <w:tc>
          <w:tcPr>
            <w:tcW w:w="2628" w:type="dxa"/>
          </w:tcPr>
          <w:p w:rsidR="00741B15" w:rsidRPr="00822B6F" w:rsidRDefault="00741B15" w:rsidP="00F56B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Incremental Measure Cost – Measure 1</w:t>
            </w:r>
          </w:p>
        </w:tc>
        <w:tc>
          <w:tcPr>
            <w:tcW w:w="6948" w:type="dxa"/>
          </w:tcPr>
          <w:p w:rsidR="00741B15" w:rsidRPr="00822B6F" w:rsidRDefault="00741B15" w:rsidP="00017E7E">
            <w:pPr>
              <w:tabs>
                <w:tab w:val="right" w:pos="67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$454.69</w:t>
            </w:r>
            <w:r>
              <w:rPr>
                <w:rFonts w:cs="Arial"/>
                <w:sz w:val="20"/>
                <w:szCs w:val="20"/>
              </w:rPr>
              <w:tab/>
              <w:t>(Per SCE Workpaper)</w:t>
            </w:r>
          </w:p>
        </w:tc>
      </w:tr>
      <w:tr w:rsidR="00741B15" w:rsidTr="00017E7E">
        <w:trPr>
          <w:cantSplit/>
        </w:trPr>
        <w:tc>
          <w:tcPr>
            <w:tcW w:w="2628" w:type="dxa"/>
          </w:tcPr>
          <w:p w:rsidR="00741B15" w:rsidRPr="00822B6F" w:rsidRDefault="00741B15" w:rsidP="00F56BE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Incremental Measure Cost – Measure 2</w:t>
            </w:r>
          </w:p>
        </w:tc>
        <w:tc>
          <w:tcPr>
            <w:tcW w:w="6948" w:type="dxa"/>
          </w:tcPr>
          <w:p w:rsidR="00741B15" w:rsidRPr="00822B6F" w:rsidRDefault="00741B15" w:rsidP="00017E7E">
            <w:pPr>
              <w:tabs>
                <w:tab w:val="right" w:pos="6732"/>
              </w:tabs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$286.42</w:t>
            </w:r>
            <w:r>
              <w:rPr>
                <w:rFonts w:cs="Arial"/>
                <w:sz w:val="20"/>
                <w:szCs w:val="20"/>
              </w:rPr>
              <w:tab/>
              <w:t>(Per SCE Workpaper)</w:t>
            </w:r>
          </w:p>
        </w:tc>
      </w:tr>
      <w:tr w:rsidR="00741B15" w:rsidTr="00017E7E">
        <w:trPr>
          <w:cantSplit/>
        </w:trPr>
        <w:tc>
          <w:tcPr>
            <w:tcW w:w="2628" w:type="dxa"/>
          </w:tcPr>
          <w:p w:rsidR="00741B15" w:rsidRPr="00822B6F" w:rsidRDefault="00741B15" w:rsidP="00F56BE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Incremental Measure Cost – Measure 3</w:t>
            </w:r>
          </w:p>
        </w:tc>
        <w:tc>
          <w:tcPr>
            <w:tcW w:w="6948" w:type="dxa"/>
          </w:tcPr>
          <w:p w:rsidR="00741B15" w:rsidRPr="00822B6F" w:rsidRDefault="00741B15" w:rsidP="00017E7E">
            <w:pPr>
              <w:tabs>
                <w:tab w:val="right" w:pos="6732"/>
              </w:tabs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$286.42</w:t>
            </w:r>
            <w:r>
              <w:rPr>
                <w:rFonts w:cs="Arial"/>
                <w:sz w:val="20"/>
                <w:szCs w:val="20"/>
              </w:rPr>
              <w:tab/>
              <w:t>(Per SCE Workpaper)</w:t>
            </w:r>
          </w:p>
        </w:tc>
      </w:tr>
    </w:tbl>
    <w:p w:rsidR="00A75EDC" w:rsidRDefault="00A75EDC" w:rsidP="0059117D"/>
    <w:p w:rsidR="0074209B" w:rsidRPr="00AB5978" w:rsidRDefault="0074209B" w:rsidP="001D77F7">
      <w:pPr>
        <w:pStyle w:val="Vertical"/>
        <w:jc w:val="left"/>
      </w:pPr>
    </w:p>
    <w:sectPr w:rsidR="0074209B" w:rsidRPr="00AB5978" w:rsidSect="00FA5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65896FA" w15:done="0"/>
  <w15:commentEx w15:paraId="541E83E6" w15:done="0"/>
  <w15:commentEx w15:paraId="116DBC0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FEC" w:rsidRDefault="00353FEC" w:rsidP="00FE520B">
      <w:r>
        <w:separator/>
      </w:r>
    </w:p>
  </w:endnote>
  <w:endnote w:type="continuationSeparator" w:id="0">
    <w:p w:rsidR="00353FEC" w:rsidRDefault="00353FEC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104" w:rsidRDefault="00245B90" w:rsidP="00BF7104">
    <w:pPr>
      <w:pStyle w:val="Footer"/>
      <w:jc w:val="right"/>
      <w:rPr>
        <w:rFonts w:cstheme="minorHAnsi"/>
        <w:b/>
        <w:sz w:val="36"/>
        <w:szCs w:val="36"/>
      </w:rPr>
    </w:pPr>
    <w:sdt>
      <w:sdtPr>
        <w:rPr>
          <w:rFonts w:cstheme="minorHAnsi"/>
          <w:b/>
          <w:sz w:val="36"/>
          <w:szCs w:val="36"/>
        </w:rPr>
        <w:alias w:val="Date"/>
        <w:tag w:val=""/>
        <w:id w:val="-1014536461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15-12-23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BF7104">
          <w:rPr>
            <w:rFonts w:cstheme="minorHAnsi"/>
            <w:b/>
            <w:sz w:val="36"/>
            <w:szCs w:val="36"/>
          </w:rPr>
          <w:t xml:space="preserve">     </w:t>
        </w:r>
      </w:sdtContent>
    </w:sdt>
  </w:p>
  <w:p w:rsidR="00BF7104" w:rsidRPr="00E47372" w:rsidRDefault="00BF7104" w:rsidP="0084491B">
    <w:pPr>
      <w:pStyle w:val="Footer"/>
      <w:pBdr>
        <w:top w:val="single" w:sz="4" w:space="1" w:color="auto"/>
      </w:pBdr>
      <w:rPr>
        <w:b/>
      </w:rPr>
    </w:pPr>
    <w:r>
      <w:rPr>
        <w:b/>
      </w:rPr>
      <w:t xml:space="preserve">Workpaper </w:t>
    </w:r>
    <w:r w:rsidR="00E25322" w:rsidRPr="00E25322">
      <w:rPr>
        <w:b/>
      </w:rPr>
      <w:t>WPSDGEREWP0002</w:t>
    </w:r>
    <w:r w:rsidR="00736DEF">
      <w:rPr>
        <w:b/>
      </w:rPr>
      <w:t xml:space="preserve">, Revision </w:t>
    </w:r>
    <w:r w:rsidR="00E25322">
      <w:rPr>
        <w:b/>
      </w:rPr>
      <w:t>5</w:t>
    </w:r>
    <w:r w:rsidR="008E017D">
      <w:rPr>
        <w:b/>
      </w:rPr>
      <w:t>.1</w:t>
    </w:r>
    <w:r w:rsidR="00E25322">
      <w:rPr>
        <w:b/>
      </w:rPr>
      <w:t xml:space="preserve">                             </w:t>
    </w:r>
    <w:r w:rsidR="0025216C">
      <w:rPr>
        <w:b/>
      </w:rPr>
      <w:tab/>
    </w:r>
    <w:r w:rsidR="00245B90">
      <w:rPr>
        <w:b/>
      </w:rPr>
      <w:t>December 16</w:t>
    </w:r>
    <w:r w:rsidRPr="00DC5C9B">
      <w:rPr>
        <w:b/>
      </w:rPr>
      <w:t>, 201</w:t>
    </w:r>
    <w:r>
      <w:rPr>
        <w:b/>
      </w:rPr>
      <w:t>6</w:t>
    </w:r>
  </w:p>
  <w:p w:rsidR="00BF7104" w:rsidRDefault="00BF7104" w:rsidP="0084491B">
    <w:pPr>
      <w:pStyle w:val="Footer"/>
      <w:rPr>
        <w:b/>
      </w:rPr>
    </w:pPr>
    <w:r>
      <w:rPr>
        <w:b/>
      </w:rPr>
      <w:t>San Diego Gas &amp; Electric</w:t>
    </w:r>
  </w:p>
  <w:p w:rsidR="00BF7104" w:rsidRPr="009500DC" w:rsidRDefault="00BF7104" w:rsidP="00BF7104">
    <w:pPr>
      <w:pStyle w:val="Footer"/>
      <w:jc w:val="right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FEC" w:rsidRDefault="00353FEC" w:rsidP="00FE520B">
      <w:r>
        <w:separator/>
      </w:r>
    </w:p>
  </w:footnote>
  <w:footnote w:type="continuationSeparator" w:id="0">
    <w:p w:rsidR="00353FEC" w:rsidRDefault="00353FEC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19D9"/>
    <w:multiLevelType w:val="multilevel"/>
    <w:tmpl w:val="DCAC44A6"/>
    <w:lvl w:ilvl="0">
      <w:start w:val="4"/>
      <w:numFmt w:val="decimal"/>
      <w:pStyle w:val="WPSCT"/>
      <w:suff w:val="nothing"/>
      <w:lvlText w:val="SECTION %1 - "/>
      <w:lvlJc w:val="left"/>
      <w:pPr>
        <w:ind w:left="576" w:hanging="576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pStyle w:val="ART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upperLetter"/>
      <w:pStyle w:val="PR1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decimal"/>
      <w:pStyle w:val="PR2"/>
      <w:lvlText w:val="%4."/>
      <w:lvlJc w:val="left"/>
      <w:pPr>
        <w:tabs>
          <w:tab w:val="num" w:pos="1584"/>
        </w:tabs>
        <w:ind w:left="1584" w:hanging="432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PR3"/>
      <w:lvlText w:val="%5."/>
      <w:lvlJc w:val="left"/>
      <w:pPr>
        <w:tabs>
          <w:tab w:val="num" w:pos="2016"/>
        </w:tabs>
        <w:ind w:left="2016" w:hanging="432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PR4"/>
      <w:lvlText w:val="%6."/>
      <w:lvlJc w:val="left"/>
      <w:pPr>
        <w:tabs>
          <w:tab w:val="num" w:pos="2736"/>
        </w:tabs>
        <w:ind w:left="2448" w:hanging="432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pStyle w:val="PR5"/>
      <w:lvlText w:val="%7)"/>
      <w:lvlJc w:val="left"/>
      <w:pPr>
        <w:tabs>
          <w:tab w:val="num" w:pos="2880"/>
        </w:tabs>
        <w:ind w:left="2880" w:hanging="432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pStyle w:val="PR6"/>
      <w:lvlText w:val="%8)"/>
      <w:lvlJc w:val="left"/>
      <w:pPr>
        <w:tabs>
          <w:tab w:val="num" w:pos="3600"/>
        </w:tabs>
        <w:ind w:left="3312" w:hanging="432"/>
      </w:pPr>
      <w:rPr>
        <w:rFonts w:ascii="Arial" w:hAnsi="Arial" w:hint="default"/>
        <w:b w:val="0"/>
        <w:i w:val="0"/>
        <w:sz w:val="20"/>
      </w:rPr>
    </w:lvl>
    <w:lvl w:ilvl="8">
      <w:start w:val="27"/>
      <w:numFmt w:val="lowerLetter"/>
      <w:pStyle w:val="PR7"/>
      <w:lvlText w:val="%9)"/>
      <w:lvlJc w:val="left"/>
      <w:pPr>
        <w:tabs>
          <w:tab w:val="num" w:pos="3744"/>
        </w:tabs>
        <w:ind w:left="3744" w:hanging="432"/>
      </w:pPr>
      <w:rPr>
        <w:rFonts w:ascii="Arial" w:hAnsi="Arial" w:hint="default"/>
        <w:b w:val="0"/>
        <w:i w:val="0"/>
        <w:sz w:val="20"/>
      </w:rPr>
    </w:lvl>
  </w:abstractNum>
  <w:abstractNum w:abstractNumId="1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426A52"/>
    <w:multiLevelType w:val="hybridMultilevel"/>
    <w:tmpl w:val="B750F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WPPR2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WPPR3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8A40D7"/>
    <w:multiLevelType w:val="hybridMultilevel"/>
    <w:tmpl w:val="59846E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57425F"/>
    <w:multiLevelType w:val="hybridMultilevel"/>
    <w:tmpl w:val="B29A2BBC"/>
    <w:lvl w:ilvl="0" w:tplc="C336991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A3604CA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21731C"/>
    <w:multiLevelType w:val="hybridMultilevel"/>
    <w:tmpl w:val="8F5EA138"/>
    <w:lvl w:ilvl="0" w:tplc="6D1C5CCC">
      <w:start w:val="3"/>
      <w:numFmt w:val="decimal"/>
      <w:pStyle w:val="TBL"/>
      <w:lvlText w:val="Table %1 - 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C699E"/>
    <w:multiLevelType w:val="hybridMultilevel"/>
    <w:tmpl w:val="1CF062C2"/>
    <w:lvl w:ilvl="0" w:tplc="04090015">
      <w:start w:val="1"/>
      <w:numFmt w:val="upperLetter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2">
    <w:nsid w:val="717F597A"/>
    <w:multiLevelType w:val="hybridMultilevel"/>
    <w:tmpl w:val="F1F015EA"/>
    <w:lvl w:ilvl="0" w:tplc="D6F068EA">
      <w:start w:val="1"/>
      <w:numFmt w:val="decimal"/>
      <w:lvlText w:val="Table %1 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10"/>
  </w:num>
  <w:num w:numId="8">
    <w:abstractNumId w:val="12"/>
  </w:num>
  <w:num w:numId="9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2">
    <w:abstractNumId w:val="2"/>
  </w:num>
  <w:num w:numId="13">
    <w:abstractNumId w:val="9"/>
  </w:num>
  <w:num w:numId="14">
    <w:abstractNumId w:val="11"/>
  </w:num>
  <w:num w:numId="15">
    <w:abstractNumId w:val="0"/>
  </w:num>
  <w:num w:numId="16">
    <w:abstractNumId w:val="0"/>
  </w:num>
  <w:num w:numId="17">
    <w:abstractNumId w:val="7"/>
  </w:num>
  <w:num w:numId="18">
    <w:abstractNumId w:val="5"/>
  </w:num>
  <w:num w:numId="19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 Vu">
    <w15:presenceInfo w15:providerId="Windows Live" w15:userId="585d9e805bc76d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markup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C6"/>
    <w:rsid w:val="00001556"/>
    <w:rsid w:val="000143F0"/>
    <w:rsid w:val="00017E7E"/>
    <w:rsid w:val="0005267D"/>
    <w:rsid w:val="00052743"/>
    <w:rsid w:val="00052CE4"/>
    <w:rsid w:val="000E2E9B"/>
    <w:rsid w:val="000F0580"/>
    <w:rsid w:val="000F72EF"/>
    <w:rsid w:val="001158E9"/>
    <w:rsid w:val="001272B0"/>
    <w:rsid w:val="001419AB"/>
    <w:rsid w:val="001879C7"/>
    <w:rsid w:val="00191296"/>
    <w:rsid w:val="00193E56"/>
    <w:rsid w:val="001D77F7"/>
    <w:rsid w:val="001E5E5C"/>
    <w:rsid w:val="001F020D"/>
    <w:rsid w:val="002057A3"/>
    <w:rsid w:val="00223B15"/>
    <w:rsid w:val="00226262"/>
    <w:rsid w:val="00245B90"/>
    <w:rsid w:val="00250390"/>
    <w:rsid w:val="0025216C"/>
    <w:rsid w:val="00255991"/>
    <w:rsid w:val="00262398"/>
    <w:rsid w:val="002647E9"/>
    <w:rsid w:val="00282C54"/>
    <w:rsid w:val="002C7FB3"/>
    <w:rsid w:val="00307A88"/>
    <w:rsid w:val="003466A3"/>
    <w:rsid w:val="00353ECF"/>
    <w:rsid w:val="00353FEC"/>
    <w:rsid w:val="00362D4E"/>
    <w:rsid w:val="003A7B4E"/>
    <w:rsid w:val="003C4D88"/>
    <w:rsid w:val="003E122A"/>
    <w:rsid w:val="003E6FA5"/>
    <w:rsid w:val="00424C7F"/>
    <w:rsid w:val="0044518E"/>
    <w:rsid w:val="004537B4"/>
    <w:rsid w:val="00476F40"/>
    <w:rsid w:val="00481DAD"/>
    <w:rsid w:val="0048680D"/>
    <w:rsid w:val="00487D18"/>
    <w:rsid w:val="004B1B5F"/>
    <w:rsid w:val="004C44B9"/>
    <w:rsid w:val="00500D21"/>
    <w:rsid w:val="00505172"/>
    <w:rsid w:val="0053719E"/>
    <w:rsid w:val="005815D4"/>
    <w:rsid w:val="00581D34"/>
    <w:rsid w:val="0059117D"/>
    <w:rsid w:val="005B439A"/>
    <w:rsid w:val="005C2962"/>
    <w:rsid w:val="005C2AFD"/>
    <w:rsid w:val="005F770E"/>
    <w:rsid w:val="006049AE"/>
    <w:rsid w:val="0062702B"/>
    <w:rsid w:val="00636490"/>
    <w:rsid w:val="00654030"/>
    <w:rsid w:val="00684ABA"/>
    <w:rsid w:val="006B2014"/>
    <w:rsid w:val="006E05ED"/>
    <w:rsid w:val="006F1B85"/>
    <w:rsid w:val="007123A8"/>
    <w:rsid w:val="00736DEF"/>
    <w:rsid w:val="0074139F"/>
    <w:rsid w:val="00741B15"/>
    <w:rsid w:val="0074209B"/>
    <w:rsid w:val="007632B7"/>
    <w:rsid w:val="00763E52"/>
    <w:rsid w:val="007A2886"/>
    <w:rsid w:val="007A3BC7"/>
    <w:rsid w:val="007F6B28"/>
    <w:rsid w:val="00822B6F"/>
    <w:rsid w:val="008301C9"/>
    <w:rsid w:val="0084491B"/>
    <w:rsid w:val="00861B74"/>
    <w:rsid w:val="00867C9A"/>
    <w:rsid w:val="008733BD"/>
    <w:rsid w:val="008828CF"/>
    <w:rsid w:val="008B6B70"/>
    <w:rsid w:val="008C3D1E"/>
    <w:rsid w:val="008E017D"/>
    <w:rsid w:val="009011AB"/>
    <w:rsid w:val="00904D62"/>
    <w:rsid w:val="00915FF5"/>
    <w:rsid w:val="009544BA"/>
    <w:rsid w:val="009604A3"/>
    <w:rsid w:val="009A0721"/>
    <w:rsid w:val="009A0F3E"/>
    <w:rsid w:val="009D106C"/>
    <w:rsid w:val="00A40890"/>
    <w:rsid w:val="00A43405"/>
    <w:rsid w:val="00A64AB4"/>
    <w:rsid w:val="00A738FF"/>
    <w:rsid w:val="00A75EDC"/>
    <w:rsid w:val="00AB3EEE"/>
    <w:rsid w:val="00AD41FF"/>
    <w:rsid w:val="00AF71B7"/>
    <w:rsid w:val="00B86725"/>
    <w:rsid w:val="00BA188B"/>
    <w:rsid w:val="00BF7104"/>
    <w:rsid w:val="00C13FDE"/>
    <w:rsid w:val="00C27546"/>
    <w:rsid w:val="00C361B3"/>
    <w:rsid w:val="00C469C4"/>
    <w:rsid w:val="00C84A06"/>
    <w:rsid w:val="00C85B1A"/>
    <w:rsid w:val="00CA3063"/>
    <w:rsid w:val="00CC12EC"/>
    <w:rsid w:val="00CE3C22"/>
    <w:rsid w:val="00D32070"/>
    <w:rsid w:val="00D426E4"/>
    <w:rsid w:val="00D60240"/>
    <w:rsid w:val="00D67814"/>
    <w:rsid w:val="00D77F05"/>
    <w:rsid w:val="00D83ED3"/>
    <w:rsid w:val="00D86243"/>
    <w:rsid w:val="00D90D41"/>
    <w:rsid w:val="00DA3395"/>
    <w:rsid w:val="00DB6775"/>
    <w:rsid w:val="00DC53A4"/>
    <w:rsid w:val="00DF6FA0"/>
    <w:rsid w:val="00E00DCC"/>
    <w:rsid w:val="00E041B5"/>
    <w:rsid w:val="00E25322"/>
    <w:rsid w:val="00E42E3A"/>
    <w:rsid w:val="00E56CE7"/>
    <w:rsid w:val="00E70363"/>
    <w:rsid w:val="00E77D27"/>
    <w:rsid w:val="00EE19D6"/>
    <w:rsid w:val="00EE4316"/>
    <w:rsid w:val="00F108BD"/>
    <w:rsid w:val="00F117C6"/>
    <w:rsid w:val="00F11AF0"/>
    <w:rsid w:val="00F23AE9"/>
    <w:rsid w:val="00F56BE9"/>
    <w:rsid w:val="00F5794B"/>
    <w:rsid w:val="00F77C08"/>
    <w:rsid w:val="00F8481C"/>
    <w:rsid w:val="00F95AC4"/>
    <w:rsid w:val="00FA5C27"/>
    <w:rsid w:val="00FE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table" w:styleId="TableContemporary">
    <w:name w:val="Table Contemporary"/>
    <w:basedOn w:val="TableNormal"/>
    <w:rsid w:val="00500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RT">
    <w:name w:val="ART"/>
    <w:basedOn w:val="Normal"/>
    <w:next w:val="PR1"/>
    <w:rsid w:val="00A64AB4"/>
    <w:pPr>
      <w:numPr>
        <w:ilvl w:val="1"/>
        <w:numId w:val="6"/>
      </w:numPr>
      <w:suppressAutoHyphens/>
      <w:spacing w:before="240"/>
      <w:outlineLvl w:val="1"/>
    </w:pPr>
    <w:rPr>
      <w:rFonts w:ascii="Arial" w:eastAsia="Batang" w:hAnsi="Arial"/>
      <w:b/>
      <w:caps/>
      <w:sz w:val="20"/>
      <w:szCs w:val="20"/>
    </w:rPr>
  </w:style>
  <w:style w:type="paragraph" w:customStyle="1" w:styleId="PR1">
    <w:name w:val="PR1"/>
    <w:basedOn w:val="ART"/>
    <w:rsid w:val="00A64AB4"/>
    <w:pPr>
      <w:numPr>
        <w:ilvl w:val="2"/>
      </w:numPr>
      <w:outlineLvl w:val="2"/>
    </w:pPr>
    <w:rPr>
      <w:b w:val="0"/>
      <w:caps w:val="0"/>
    </w:rPr>
  </w:style>
  <w:style w:type="paragraph" w:customStyle="1" w:styleId="PR2">
    <w:name w:val="PR2"/>
    <w:basedOn w:val="PR1"/>
    <w:rsid w:val="00A64AB4"/>
    <w:pPr>
      <w:numPr>
        <w:ilvl w:val="3"/>
      </w:numPr>
      <w:spacing w:before="0"/>
      <w:outlineLvl w:val="3"/>
    </w:pPr>
  </w:style>
  <w:style w:type="paragraph" w:customStyle="1" w:styleId="PR3">
    <w:name w:val="PR3"/>
    <w:basedOn w:val="PR1"/>
    <w:rsid w:val="00A64AB4"/>
    <w:pPr>
      <w:numPr>
        <w:ilvl w:val="4"/>
      </w:numPr>
      <w:spacing w:before="0"/>
      <w:outlineLvl w:val="4"/>
    </w:pPr>
  </w:style>
  <w:style w:type="paragraph" w:customStyle="1" w:styleId="PR4">
    <w:name w:val="PR4"/>
    <w:basedOn w:val="PR1"/>
    <w:rsid w:val="00A64AB4"/>
    <w:pPr>
      <w:numPr>
        <w:ilvl w:val="5"/>
      </w:numPr>
      <w:tabs>
        <w:tab w:val="left" w:pos="2448"/>
      </w:tabs>
      <w:spacing w:before="0"/>
      <w:outlineLvl w:val="5"/>
    </w:pPr>
  </w:style>
  <w:style w:type="paragraph" w:customStyle="1" w:styleId="PR5">
    <w:name w:val="PR5"/>
    <w:basedOn w:val="PR1"/>
    <w:rsid w:val="00A64AB4"/>
    <w:pPr>
      <w:numPr>
        <w:ilvl w:val="6"/>
      </w:numPr>
      <w:spacing w:before="0"/>
      <w:outlineLvl w:val="6"/>
    </w:pPr>
  </w:style>
  <w:style w:type="paragraph" w:customStyle="1" w:styleId="PR6">
    <w:name w:val="PR6"/>
    <w:basedOn w:val="PR1"/>
    <w:rsid w:val="00A64AB4"/>
    <w:pPr>
      <w:numPr>
        <w:ilvl w:val="7"/>
      </w:numPr>
      <w:tabs>
        <w:tab w:val="left" w:pos="3744"/>
      </w:tabs>
      <w:spacing w:before="0"/>
      <w:outlineLvl w:val="7"/>
    </w:pPr>
  </w:style>
  <w:style w:type="paragraph" w:customStyle="1" w:styleId="PR7">
    <w:name w:val="PR7"/>
    <w:basedOn w:val="PR6"/>
    <w:rsid w:val="00A64AB4"/>
    <w:pPr>
      <w:numPr>
        <w:ilvl w:val="8"/>
      </w:numPr>
      <w:tabs>
        <w:tab w:val="left" w:pos="4464"/>
      </w:tabs>
    </w:pPr>
  </w:style>
  <w:style w:type="paragraph" w:customStyle="1" w:styleId="TBL">
    <w:name w:val="TBL"/>
    <w:rsid w:val="00A64AB4"/>
    <w:pPr>
      <w:numPr>
        <w:numId w:val="7"/>
      </w:numPr>
      <w:spacing w:before="120" w:after="120" w:line="240" w:lineRule="auto"/>
      <w:jc w:val="center"/>
    </w:pPr>
    <w:rPr>
      <w:rFonts w:ascii="Arial" w:eastAsia="Batang" w:hAnsi="Arial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rsid w:val="00A64AB4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rsid w:val="00A64AB4"/>
    <w:pPr>
      <w:overflowPunct w:val="0"/>
      <w:autoSpaceDE w:val="0"/>
      <w:autoSpaceDN w:val="0"/>
      <w:adjustRightInd w:val="0"/>
      <w:spacing w:after="120" w:line="360" w:lineRule="atLeast"/>
      <w:textAlignment w:val="baseline"/>
    </w:pPr>
    <w:rPr>
      <w:rFonts w:ascii="Times New Roman" w:eastAsia="Batang" w:hAnsi="Times New Roman"/>
      <w:szCs w:val="20"/>
    </w:rPr>
  </w:style>
  <w:style w:type="paragraph" w:customStyle="1" w:styleId="WPSCT">
    <w:name w:val="WPSCT"/>
    <w:basedOn w:val="Normal"/>
    <w:next w:val="ART"/>
    <w:qFormat/>
    <w:rsid w:val="00A64AB4"/>
    <w:pPr>
      <w:numPr>
        <w:numId w:val="6"/>
      </w:numPr>
      <w:suppressAutoHyphens/>
      <w:spacing w:before="240"/>
      <w:outlineLvl w:val="0"/>
    </w:pPr>
    <w:rPr>
      <w:rFonts w:ascii="Arial" w:eastAsia="Batang" w:hAnsi="Arial"/>
      <w:b/>
      <w:caps/>
      <w:sz w:val="20"/>
      <w:szCs w:val="20"/>
    </w:rPr>
  </w:style>
  <w:style w:type="paragraph" w:customStyle="1" w:styleId="WPART">
    <w:name w:val="WPART"/>
    <w:basedOn w:val="ART"/>
    <w:qFormat/>
    <w:rsid w:val="00A64AB4"/>
    <w:pPr>
      <w:keepNext/>
    </w:pPr>
  </w:style>
  <w:style w:type="paragraph" w:customStyle="1" w:styleId="WPPR1">
    <w:name w:val="WPPR1"/>
    <w:basedOn w:val="PR1"/>
    <w:qFormat/>
    <w:rsid w:val="00A64AB4"/>
  </w:style>
  <w:style w:type="paragraph" w:customStyle="1" w:styleId="Vertical">
    <w:name w:val="Vertical"/>
    <w:basedOn w:val="Normal1"/>
    <w:qFormat/>
    <w:rsid w:val="00A64AB4"/>
    <w:pPr>
      <w:spacing w:line="240" w:lineRule="auto"/>
      <w:jc w:val="center"/>
    </w:pPr>
    <w:rPr>
      <w:rFonts w:ascii="Arial" w:eastAsia="Times New Roman" w:hAnsi="Arial"/>
      <w:sz w:val="20"/>
    </w:rPr>
  </w:style>
  <w:style w:type="paragraph" w:customStyle="1" w:styleId="WPPR2">
    <w:name w:val="WPPR2"/>
    <w:basedOn w:val="PR2"/>
    <w:qFormat/>
    <w:rsid w:val="005815D4"/>
    <w:pPr>
      <w:numPr>
        <w:numId w:val="1"/>
      </w:numPr>
    </w:pPr>
  </w:style>
  <w:style w:type="paragraph" w:customStyle="1" w:styleId="WPPR3">
    <w:name w:val="WPPR3"/>
    <w:basedOn w:val="PR3"/>
    <w:qFormat/>
    <w:rsid w:val="005815D4"/>
    <w:pPr>
      <w:numPr>
        <w:numId w:val="1"/>
      </w:numPr>
    </w:pPr>
  </w:style>
  <w:style w:type="character" w:styleId="EndnoteReference">
    <w:name w:val="endnote reference"/>
    <w:basedOn w:val="DefaultParagraphFont"/>
    <w:rsid w:val="00A64A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A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AB4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AB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40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8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890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890"/>
    <w:rPr>
      <w:rFonts w:eastAsia="Times New Roman" w:cs="Times New Roman"/>
      <w:b/>
      <w:bCs/>
      <w:sz w:val="20"/>
      <w:szCs w:val="20"/>
    </w:rPr>
  </w:style>
  <w:style w:type="character" w:styleId="Strong">
    <w:name w:val="Strong"/>
    <w:qFormat/>
    <w:rsid w:val="0025216C"/>
    <w:rPr>
      <w:b/>
      <w:bCs/>
    </w:rPr>
  </w:style>
  <w:style w:type="table" w:customStyle="1" w:styleId="TableGrid11">
    <w:name w:val="Table Grid11"/>
    <w:basedOn w:val="TableNormal"/>
    <w:next w:val="TableGrid"/>
    <w:rsid w:val="0025216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table" w:styleId="TableContemporary">
    <w:name w:val="Table Contemporary"/>
    <w:basedOn w:val="TableNormal"/>
    <w:rsid w:val="00500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RT">
    <w:name w:val="ART"/>
    <w:basedOn w:val="Normal"/>
    <w:next w:val="PR1"/>
    <w:rsid w:val="00A64AB4"/>
    <w:pPr>
      <w:numPr>
        <w:ilvl w:val="1"/>
        <w:numId w:val="6"/>
      </w:numPr>
      <w:suppressAutoHyphens/>
      <w:spacing w:before="240"/>
      <w:outlineLvl w:val="1"/>
    </w:pPr>
    <w:rPr>
      <w:rFonts w:ascii="Arial" w:eastAsia="Batang" w:hAnsi="Arial"/>
      <w:b/>
      <w:caps/>
      <w:sz w:val="20"/>
      <w:szCs w:val="20"/>
    </w:rPr>
  </w:style>
  <w:style w:type="paragraph" w:customStyle="1" w:styleId="PR1">
    <w:name w:val="PR1"/>
    <w:basedOn w:val="ART"/>
    <w:rsid w:val="00A64AB4"/>
    <w:pPr>
      <w:numPr>
        <w:ilvl w:val="2"/>
      </w:numPr>
      <w:outlineLvl w:val="2"/>
    </w:pPr>
    <w:rPr>
      <w:b w:val="0"/>
      <w:caps w:val="0"/>
    </w:rPr>
  </w:style>
  <w:style w:type="paragraph" w:customStyle="1" w:styleId="PR2">
    <w:name w:val="PR2"/>
    <w:basedOn w:val="PR1"/>
    <w:rsid w:val="00A64AB4"/>
    <w:pPr>
      <w:numPr>
        <w:ilvl w:val="3"/>
      </w:numPr>
      <w:spacing w:before="0"/>
      <w:outlineLvl w:val="3"/>
    </w:pPr>
  </w:style>
  <w:style w:type="paragraph" w:customStyle="1" w:styleId="PR3">
    <w:name w:val="PR3"/>
    <w:basedOn w:val="PR1"/>
    <w:rsid w:val="00A64AB4"/>
    <w:pPr>
      <w:numPr>
        <w:ilvl w:val="4"/>
      </w:numPr>
      <w:spacing w:before="0"/>
      <w:outlineLvl w:val="4"/>
    </w:pPr>
  </w:style>
  <w:style w:type="paragraph" w:customStyle="1" w:styleId="PR4">
    <w:name w:val="PR4"/>
    <w:basedOn w:val="PR1"/>
    <w:rsid w:val="00A64AB4"/>
    <w:pPr>
      <w:numPr>
        <w:ilvl w:val="5"/>
      </w:numPr>
      <w:tabs>
        <w:tab w:val="left" w:pos="2448"/>
      </w:tabs>
      <w:spacing w:before="0"/>
      <w:outlineLvl w:val="5"/>
    </w:pPr>
  </w:style>
  <w:style w:type="paragraph" w:customStyle="1" w:styleId="PR5">
    <w:name w:val="PR5"/>
    <w:basedOn w:val="PR1"/>
    <w:rsid w:val="00A64AB4"/>
    <w:pPr>
      <w:numPr>
        <w:ilvl w:val="6"/>
      </w:numPr>
      <w:spacing w:before="0"/>
      <w:outlineLvl w:val="6"/>
    </w:pPr>
  </w:style>
  <w:style w:type="paragraph" w:customStyle="1" w:styleId="PR6">
    <w:name w:val="PR6"/>
    <w:basedOn w:val="PR1"/>
    <w:rsid w:val="00A64AB4"/>
    <w:pPr>
      <w:numPr>
        <w:ilvl w:val="7"/>
      </w:numPr>
      <w:tabs>
        <w:tab w:val="left" w:pos="3744"/>
      </w:tabs>
      <w:spacing w:before="0"/>
      <w:outlineLvl w:val="7"/>
    </w:pPr>
  </w:style>
  <w:style w:type="paragraph" w:customStyle="1" w:styleId="PR7">
    <w:name w:val="PR7"/>
    <w:basedOn w:val="PR6"/>
    <w:rsid w:val="00A64AB4"/>
    <w:pPr>
      <w:numPr>
        <w:ilvl w:val="8"/>
      </w:numPr>
      <w:tabs>
        <w:tab w:val="left" w:pos="4464"/>
      </w:tabs>
    </w:pPr>
  </w:style>
  <w:style w:type="paragraph" w:customStyle="1" w:styleId="TBL">
    <w:name w:val="TBL"/>
    <w:rsid w:val="00A64AB4"/>
    <w:pPr>
      <w:numPr>
        <w:numId w:val="7"/>
      </w:numPr>
      <w:spacing w:before="120" w:after="120" w:line="240" w:lineRule="auto"/>
      <w:jc w:val="center"/>
    </w:pPr>
    <w:rPr>
      <w:rFonts w:ascii="Arial" w:eastAsia="Batang" w:hAnsi="Arial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rsid w:val="00A64AB4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rsid w:val="00A64AB4"/>
    <w:pPr>
      <w:overflowPunct w:val="0"/>
      <w:autoSpaceDE w:val="0"/>
      <w:autoSpaceDN w:val="0"/>
      <w:adjustRightInd w:val="0"/>
      <w:spacing w:after="120" w:line="360" w:lineRule="atLeast"/>
      <w:textAlignment w:val="baseline"/>
    </w:pPr>
    <w:rPr>
      <w:rFonts w:ascii="Times New Roman" w:eastAsia="Batang" w:hAnsi="Times New Roman"/>
      <w:szCs w:val="20"/>
    </w:rPr>
  </w:style>
  <w:style w:type="paragraph" w:customStyle="1" w:styleId="WPSCT">
    <w:name w:val="WPSCT"/>
    <w:basedOn w:val="Normal"/>
    <w:next w:val="ART"/>
    <w:qFormat/>
    <w:rsid w:val="00A64AB4"/>
    <w:pPr>
      <w:numPr>
        <w:numId w:val="6"/>
      </w:numPr>
      <w:suppressAutoHyphens/>
      <w:spacing w:before="240"/>
      <w:outlineLvl w:val="0"/>
    </w:pPr>
    <w:rPr>
      <w:rFonts w:ascii="Arial" w:eastAsia="Batang" w:hAnsi="Arial"/>
      <w:b/>
      <w:caps/>
      <w:sz w:val="20"/>
      <w:szCs w:val="20"/>
    </w:rPr>
  </w:style>
  <w:style w:type="paragraph" w:customStyle="1" w:styleId="WPART">
    <w:name w:val="WPART"/>
    <w:basedOn w:val="ART"/>
    <w:qFormat/>
    <w:rsid w:val="00A64AB4"/>
    <w:pPr>
      <w:keepNext/>
    </w:pPr>
  </w:style>
  <w:style w:type="paragraph" w:customStyle="1" w:styleId="WPPR1">
    <w:name w:val="WPPR1"/>
    <w:basedOn w:val="PR1"/>
    <w:qFormat/>
    <w:rsid w:val="00A64AB4"/>
  </w:style>
  <w:style w:type="paragraph" w:customStyle="1" w:styleId="Vertical">
    <w:name w:val="Vertical"/>
    <w:basedOn w:val="Normal1"/>
    <w:qFormat/>
    <w:rsid w:val="00A64AB4"/>
    <w:pPr>
      <w:spacing w:line="240" w:lineRule="auto"/>
      <w:jc w:val="center"/>
    </w:pPr>
    <w:rPr>
      <w:rFonts w:ascii="Arial" w:eastAsia="Times New Roman" w:hAnsi="Arial"/>
      <w:sz w:val="20"/>
    </w:rPr>
  </w:style>
  <w:style w:type="paragraph" w:customStyle="1" w:styleId="WPPR2">
    <w:name w:val="WPPR2"/>
    <w:basedOn w:val="PR2"/>
    <w:qFormat/>
    <w:rsid w:val="005815D4"/>
    <w:pPr>
      <w:numPr>
        <w:numId w:val="1"/>
      </w:numPr>
    </w:pPr>
  </w:style>
  <w:style w:type="paragraph" w:customStyle="1" w:styleId="WPPR3">
    <w:name w:val="WPPR3"/>
    <w:basedOn w:val="PR3"/>
    <w:qFormat/>
    <w:rsid w:val="005815D4"/>
    <w:pPr>
      <w:numPr>
        <w:numId w:val="1"/>
      </w:numPr>
    </w:pPr>
  </w:style>
  <w:style w:type="character" w:styleId="EndnoteReference">
    <w:name w:val="endnote reference"/>
    <w:basedOn w:val="DefaultParagraphFont"/>
    <w:rsid w:val="00A64A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A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AB4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AB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40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8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890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890"/>
    <w:rPr>
      <w:rFonts w:eastAsia="Times New Roman" w:cs="Times New Roman"/>
      <w:b/>
      <w:bCs/>
      <w:sz w:val="20"/>
      <w:szCs w:val="20"/>
    </w:rPr>
  </w:style>
  <w:style w:type="character" w:styleId="Strong">
    <w:name w:val="Strong"/>
    <w:qFormat/>
    <w:rsid w:val="0025216C"/>
    <w:rPr>
      <w:b/>
      <w:bCs/>
    </w:rPr>
  </w:style>
  <w:style w:type="table" w:customStyle="1" w:styleId="TableGrid11">
    <w:name w:val="Table Grid11"/>
    <w:basedOn w:val="TableNormal"/>
    <w:next w:val="TableGrid"/>
    <w:rsid w:val="0025216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D1C3A54D61944DBB3D63B92C982C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BA68-2FED-4C03-A228-33EEEE5F70A1}"/>
      </w:docPartPr>
      <w:docPartBody>
        <w:p w:rsidR="005C5C4F" w:rsidRDefault="001F1348" w:rsidP="001F1348">
          <w:pPr>
            <w:pStyle w:val="2D1C3A54D61944DBB3D63B92C982C696"/>
          </w:pPr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5420FAF41CED451EAB8369D8BC2C0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36B28-D62B-4A70-8ACE-F496EEC0C22D}"/>
      </w:docPartPr>
      <w:docPartBody>
        <w:p w:rsidR="005C5C4F" w:rsidRDefault="001F1348" w:rsidP="001F1348">
          <w:pPr>
            <w:pStyle w:val="5420FAF41CED451EAB8369D8BC2C0B60"/>
          </w:pPr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954041495DA644508C725EBE45A9A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9CD43-C7D6-4BD6-B31F-DEA4DFBB8C2B}"/>
      </w:docPartPr>
      <w:docPartBody>
        <w:p w:rsidR="005C5C4F" w:rsidRDefault="001F1348" w:rsidP="001F1348">
          <w:pPr>
            <w:pStyle w:val="954041495DA644508C725EBE45A9A075"/>
          </w:pPr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8"/>
    <w:rsid w:val="00131B1E"/>
    <w:rsid w:val="001F1348"/>
    <w:rsid w:val="00272735"/>
    <w:rsid w:val="002C53B6"/>
    <w:rsid w:val="00306DAD"/>
    <w:rsid w:val="00344BC0"/>
    <w:rsid w:val="0037586B"/>
    <w:rsid w:val="00400FBA"/>
    <w:rsid w:val="004071DC"/>
    <w:rsid w:val="004A6E2F"/>
    <w:rsid w:val="00523398"/>
    <w:rsid w:val="005C5C4F"/>
    <w:rsid w:val="00780E3A"/>
    <w:rsid w:val="008262D6"/>
    <w:rsid w:val="00882257"/>
    <w:rsid w:val="008D3C4F"/>
    <w:rsid w:val="009F7E92"/>
    <w:rsid w:val="00AC1BF4"/>
    <w:rsid w:val="00BC30DF"/>
    <w:rsid w:val="00DD71FD"/>
    <w:rsid w:val="00F3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6DAD"/>
    <w:rPr>
      <w:color w:val="808080"/>
    </w:rPr>
  </w:style>
  <w:style w:type="paragraph" w:customStyle="1" w:styleId="2D1C3A54D61944DBB3D63B92C982C696">
    <w:name w:val="2D1C3A54D61944DBB3D63B92C982C696"/>
    <w:rsid w:val="001F1348"/>
  </w:style>
  <w:style w:type="paragraph" w:customStyle="1" w:styleId="5420FAF41CED451EAB8369D8BC2C0B60">
    <w:name w:val="5420FAF41CED451EAB8369D8BC2C0B60"/>
    <w:rsid w:val="001F1348"/>
  </w:style>
  <w:style w:type="paragraph" w:customStyle="1" w:styleId="954041495DA644508C725EBE45A9A075">
    <w:name w:val="954041495DA644508C725EBE45A9A075"/>
    <w:rsid w:val="001F1348"/>
  </w:style>
  <w:style w:type="paragraph" w:customStyle="1" w:styleId="8C46EF96C9FB444D8B5F08F2D49CB598">
    <w:name w:val="8C46EF96C9FB444D8B5F08F2D49CB598"/>
    <w:rsid w:val="00306DAD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6DAD"/>
    <w:rPr>
      <w:color w:val="808080"/>
    </w:rPr>
  </w:style>
  <w:style w:type="paragraph" w:customStyle="1" w:styleId="2D1C3A54D61944DBB3D63B92C982C696">
    <w:name w:val="2D1C3A54D61944DBB3D63B92C982C696"/>
    <w:rsid w:val="001F1348"/>
  </w:style>
  <w:style w:type="paragraph" w:customStyle="1" w:styleId="5420FAF41CED451EAB8369D8BC2C0B60">
    <w:name w:val="5420FAF41CED451EAB8369D8BC2C0B60"/>
    <w:rsid w:val="001F1348"/>
  </w:style>
  <w:style w:type="paragraph" w:customStyle="1" w:styleId="954041495DA644508C725EBE45A9A075">
    <w:name w:val="954041495DA644508C725EBE45A9A075"/>
    <w:rsid w:val="001F1348"/>
  </w:style>
  <w:style w:type="paragraph" w:customStyle="1" w:styleId="8C46EF96C9FB444D8B5F08F2D49CB598">
    <w:name w:val="8C46EF96C9FB444D8B5F08F2D49CB598"/>
    <w:rsid w:val="00306DA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17977-2057-4FB1-A50A-293035F02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WPSDGEREWP0002</vt:lpstr>
    </vt:vector>
  </TitlesOfParts>
  <Company>San Diego Gas &amp; Electric</Company>
  <LinksUpToDate>false</LinksUpToDate>
  <CharactersWithSpaces>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WPSDGEREWP0002</dc:title>
  <dc:creator>Mark 2009</dc:creator>
  <cp:lastModifiedBy>kvalenzu</cp:lastModifiedBy>
  <cp:revision>2</cp:revision>
  <dcterms:created xsi:type="dcterms:W3CDTF">2016-12-16T21:26:00Z</dcterms:created>
  <dcterms:modified xsi:type="dcterms:W3CDTF">2016-12-16T21:26:00Z</dcterms:modified>
  <cp:contentStatus>Revision 5.1</cp:contentStatus>
</cp:coreProperties>
</file>