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B03D3" w14:textId="6D8743AA"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1B69CA" w:rsidRPr="001B69CA">
        <w:t>WPSDGEREWH10</w:t>
      </w:r>
      <w:r w:rsidR="00F541A3">
        <w:t>62</w:t>
      </w:r>
    </w:p>
    <w:p w14:paraId="5D6E8F44" w14:textId="330A58C7" w:rsidR="00E6385A" w:rsidRPr="00500C4E" w:rsidRDefault="00E6385A" w:rsidP="00F117C6">
      <w:pPr>
        <w:pStyle w:val="WPnumber"/>
      </w:pPr>
      <w:r>
        <w:tab/>
      </w:r>
      <w:r w:rsidR="000E19CA">
        <w:rPr>
          <w:rStyle w:val="CaptionChar"/>
          <w:b/>
          <w:bCs w:val="0"/>
        </w:rPr>
        <w:t xml:space="preserve">Revision </w:t>
      </w:r>
      <w:r w:rsidR="00F541A3">
        <w:rPr>
          <w:rStyle w:val="CaptionChar"/>
          <w:b/>
          <w:bCs w:val="0"/>
        </w:rPr>
        <w:t>0</w:t>
      </w:r>
    </w:p>
    <w:bookmarkEnd w:id="0"/>
    <w:p w14:paraId="757B06D5" w14:textId="77777777" w:rsidR="00F117C6" w:rsidRPr="00500C4E" w:rsidRDefault="00F117C6" w:rsidP="00F117C6">
      <w:pPr>
        <w:jc w:val="right"/>
        <w:rPr>
          <w:rFonts w:cstheme="minorHAnsi"/>
          <w:b/>
          <w:sz w:val="48"/>
          <w:szCs w:val="48"/>
        </w:rPr>
      </w:pPr>
    </w:p>
    <w:p w14:paraId="0BC1FF23"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2C65889B" w14:textId="77777777" w:rsidR="00E6385A" w:rsidRPr="00E6385A" w:rsidRDefault="00E6385A" w:rsidP="00E6385A">
      <w:pPr>
        <w:rPr>
          <w:rFonts w:cstheme="minorHAnsi"/>
          <w:b/>
          <w:sz w:val="32"/>
        </w:rPr>
      </w:pPr>
      <w:r w:rsidRPr="00E6385A">
        <w:rPr>
          <w:rFonts w:cstheme="minorHAnsi"/>
          <w:b/>
          <w:sz w:val="32"/>
        </w:rPr>
        <w:t>Energy Efficiency Engineering</w:t>
      </w:r>
    </w:p>
    <w:p w14:paraId="4E366033" w14:textId="77777777" w:rsidR="00F117C6" w:rsidRPr="00500C4E" w:rsidRDefault="00F117C6" w:rsidP="00F117C6">
      <w:pPr>
        <w:rPr>
          <w:rFonts w:cstheme="minorHAnsi"/>
        </w:rPr>
      </w:pPr>
    </w:p>
    <w:p w14:paraId="17155FB8" w14:textId="77777777" w:rsidR="00F117C6" w:rsidRPr="00500C4E" w:rsidRDefault="00F117C6" w:rsidP="00F117C6">
      <w:pPr>
        <w:tabs>
          <w:tab w:val="left" w:pos="8190"/>
        </w:tabs>
        <w:rPr>
          <w:rFonts w:cstheme="minorHAnsi"/>
        </w:rPr>
      </w:pPr>
      <w:r w:rsidRPr="00500C4E">
        <w:rPr>
          <w:rFonts w:cstheme="minorHAnsi"/>
        </w:rPr>
        <w:tab/>
      </w:r>
    </w:p>
    <w:p w14:paraId="2A05CB7E" w14:textId="77777777" w:rsidR="00F117C6" w:rsidRPr="00500C4E" w:rsidRDefault="00F117C6" w:rsidP="00F117C6">
      <w:pPr>
        <w:rPr>
          <w:rFonts w:cstheme="minorHAnsi"/>
        </w:rPr>
      </w:pPr>
    </w:p>
    <w:p w14:paraId="3B5C7CB6" w14:textId="77777777" w:rsidR="00F117C6" w:rsidRPr="00500C4E" w:rsidRDefault="00F117C6" w:rsidP="00F117C6">
      <w:pPr>
        <w:rPr>
          <w:rFonts w:cstheme="minorHAnsi"/>
        </w:rPr>
      </w:pPr>
    </w:p>
    <w:p w14:paraId="66292715" w14:textId="77777777" w:rsidR="00F117C6" w:rsidRPr="00500C4E" w:rsidRDefault="00F117C6" w:rsidP="00F117C6">
      <w:pPr>
        <w:rPr>
          <w:rFonts w:cstheme="minorHAnsi"/>
        </w:rPr>
      </w:pPr>
    </w:p>
    <w:p w14:paraId="53CD5015" w14:textId="77777777" w:rsidR="00F117C6" w:rsidRPr="00500C4E" w:rsidRDefault="00F117C6" w:rsidP="00F117C6">
      <w:pPr>
        <w:rPr>
          <w:rFonts w:cstheme="minorHAnsi"/>
        </w:rPr>
      </w:pPr>
    </w:p>
    <w:p w14:paraId="06860E59" w14:textId="77777777" w:rsidR="00F117C6" w:rsidRPr="00500C4E" w:rsidRDefault="00F117C6" w:rsidP="00F117C6">
      <w:pPr>
        <w:rPr>
          <w:rFonts w:cstheme="minorHAnsi"/>
        </w:rPr>
      </w:pPr>
    </w:p>
    <w:p w14:paraId="5FE12234" w14:textId="32AF9580" w:rsidR="001B69CA" w:rsidRDefault="00F541A3" w:rsidP="001B69CA">
      <w:pPr>
        <w:rPr>
          <w:rFonts w:cstheme="minorHAnsi"/>
          <w:b/>
          <w:sz w:val="72"/>
          <w:szCs w:val="72"/>
        </w:rPr>
      </w:pPr>
      <w:r>
        <w:rPr>
          <w:rFonts w:cstheme="minorHAnsi"/>
          <w:b/>
          <w:sz w:val="72"/>
          <w:szCs w:val="72"/>
        </w:rPr>
        <w:t>Water Saving Kit</w:t>
      </w:r>
    </w:p>
    <w:p w14:paraId="5AEA15BB" w14:textId="77777777" w:rsidR="000E19CA" w:rsidRDefault="000E19CA" w:rsidP="000E19CA">
      <w:pPr>
        <w:jc w:val="right"/>
        <w:rPr>
          <w:rFonts w:cstheme="minorHAnsi"/>
          <w:b/>
          <w:sz w:val="28"/>
          <w:szCs w:val="28"/>
        </w:rPr>
      </w:pPr>
    </w:p>
    <w:p w14:paraId="615095E7" w14:textId="77777777" w:rsidR="000E19CA" w:rsidRDefault="000E19CA" w:rsidP="000E19CA">
      <w:pPr>
        <w:jc w:val="right"/>
        <w:rPr>
          <w:rFonts w:cstheme="minorHAnsi"/>
          <w:b/>
          <w:sz w:val="28"/>
          <w:szCs w:val="28"/>
        </w:rPr>
      </w:pPr>
    </w:p>
    <w:p w14:paraId="6B939921" w14:textId="77777777" w:rsidR="000E19CA" w:rsidRDefault="000E19CA" w:rsidP="000E19CA">
      <w:pPr>
        <w:jc w:val="right"/>
        <w:rPr>
          <w:rFonts w:cstheme="minorHAnsi"/>
          <w:b/>
          <w:sz w:val="28"/>
          <w:szCs w:val="28"/>
        </w:rPr>
      </w:pPr>
    </w:p>
    <w:p w14:paraId="18667B81" w14:textId="77777777" w:rsidR="000E19CA" w:rsidRDefault="000E19CA" w:rsidP="000E19CA">
      <w:pPr>
        <w:jc w:val="right"/>
        <w:rPr>
          <w:rFonts w:cstheme="minorHAnsi"/>
          <w:b/>
          <w:sz w:val="28"/>
          <w:szCs w:val="28"/>
        </w:rPr>
      </w:pPr>
    </w:p>
    <w:p w14:paraId="2E9CC8B9" w14:textId="77777777" w:rsidR="000E19CA" w:rsidRDefault="000E19CA" w:rsidP="000E19CA">
      <w:pPr>
        <w:jc w:val="right"/>
        <w:rPr>
          <w:rFonts w:cstheme="minorHAnsi"/>
          <w:b/>
          <w:sz w:val="28"/>
          <w:szCs w:val="28"/>
        </w:rPr>
      </w:pPr>
    </w:p>
    <w:p w14:paraId="4FCD3846" w14:textId="77777777" w:rsidR="000E19CA" w:rsidRDefault="000E19CA" w:rsidP="000E19CA">
      <w:pPr>
        <w:jc w:val="right"/>
        <w:rPr>
          <w:rFonts w:cstheme="minorHAnsi"/>
          <w:b/>
          <w:sz w:val="28"/>
          <w:szCs w:val="28"/>
        </w:rPr>
      </w:pPr>
    </w:p>
    <w:p w14:paraId="0EF4B1D2" w14:textId="77777777" w:rsidR="000E19CA" w:rsidRDefault="000E19CA" w:rsidP="000E19CA">
      <w:pPr>
        <w:jc w:val="right"/>
        <w:rPr>
          <w:rFonts w:cstheme="minorHAnsi"/>
          <w:b/>
          <w:sz w:val="28"/>
          <w:szCs w:val="28"/>
        </w:rPr>
      </w:pPr>
    </w:p>
    <w:p w14:paraId="5C567757" w14:textId="77777777" w:rsidR="000E19CA" w:rsidRDefault="000E19CA" w:rsidP="000E19CA">
      <w:pPr>
        <w:jc w:val="right"/>
        <w:rPr>
          <w:rFonts w:cstheme="minorHAnsi"/>
          <w:b/>
          <w:sz w:val="28"/>
          <w:szCs w:val="28"/>
        </w:rPr>
      </w:pPr>
    </w:p>
    <w:p w14:paraId="7C2D2B54" w14:textId="77777777" w:rsidR="000E19CA" w:rsidRDefault="000E19CA" w:rsidP="000E19CA">
      <w:pPr>
        <w:jc w:val="right"/>
        <w:rPr>
          <w:rFonts w:cstheme="minorHAnsi"/>
          <w:b/>
          <w:sz w:val="28"/>
          <w:szCs w:val="28"/>
        </w:rPr>
      </w:pPr>
    </w:p>
    <w:p w14:paraId="6BE436D7" w14:textId="77777777" w:rsidR="000E19CA" w:rsidRDefault="000E19CA" w:rsidP="000E19CA">
      <w:pPr>
        <w:jc w:val="right"/>
        <w:rPr>
          <w:rFonts w:cstheme="minorHAnsi"/>
          <w:b/>
          <w:sz w:val="28"/>
          <w:szCs w:val="28"/>
        </w:rPr>
      </w:pPr>
    </w:p>
    <w:p w14:paraId="2D18C3BA" w14:textId="77777777" w:rsidR="000E19CA" w:rsidRDefault="000E19CA" w:rsidP="000E19CA">
      <w:pPr>
        <w:jc w:val="right"/>
        <w:rPr>
          <w:rFonts w:cstheme="minorHAnsi"/>
          <w:b/>
          <w:sz w:val="28"/>
          <w:szCs w:val="28"/>
        </w:rPr>
      </w:pPr>
    </w:p>
    <w:p w14:paraId="2A198685" w14:textId="77777777" w:rsidR="000E19CA" w:rsidRDefault="000E19CA" w:rsidP="000E19CA">
      <w:pPr>
        <w:jc w:val="right"/>
        <w:rPr>
          <w:rFonts w:cstheme="minorHAnsi"/>
          <w:b/>
          <w:sz w:val="28"/>
          <w:szCs w:val="28"/>
        </w:rPr>
      </w:pPr>
    </w:p>
    <w:p w14:paraId="304A6EE3" w14:textId="77777777" w:rsidR="000E19CA" w:rsidRDefault="000E19CA" w:rsidP="000E19CA">
      <w:pPr>
        <w:jc w:val="right"/>
        <w:rPr>
          <w:rFonts w:cstheme="minorHAnsi"/>
          <w:b/>
          <w:sz w:val="28"/>
          <w:szCs w:val="28"/>
        </w:rPr>
      </w:pPr>
    </w:p>
    <w:p w14:paraId="328CDAC0" w14:textId="77777777" w:rsidR="000E19CA" w:rsidRDefault="000E19CA" w:rsidP="000E19CA">
      <w:pPr>
        <w:jc w:val="right"/>
        <w:rPr>
          <w:rFonts w:cstheme="minorHAnsi"/>
          <w:b/>
          <w:sz w:val="28"/>
          <w:szCs w:val="28"/>
        </w:rPr>
      </w:pPr>
    </w:p>
    <w:p w14:paraId="60B0BAE2" w14:textId="77777777" w:rsidR="00E372B8" w:rsidRDefault="00E372B8" w:rsidP="000E19CA">
      <w:pPr>
        <w:jc w:val="right"/>
        <w:rPr>
          <w:rFonts w:cstheme="minorHAnsi"/>
          <w:b/>
          <w:sz w:val="28"/>
          <w:szCs w:val="28"/>
        </w:rPr>
      </w:pPr>
    </w:p>
    <w:p w14:paraId="76FE66B6" w14:textId="10C95FDB" w:rsidR="00E372B8" w:rsidRDefault="00E41345" w:rsidP="00241A1F">
      <w:pPr>
        <w:jc w:val="right"/>
        <w:rPr>
          <w:rFonts w:cstheme="minorHAnsi"/>
          <w:b/>
          <w:sz w:val="28"/>
          <w:szCs w:val="28"/>
        </w:rPr>
      </w:pPr>
      <w:r>
        <w:rPr>
          <w:rFonts w:cstheme="minorHAnsi"/>
          <w:b/>
          <w:sz w:val="28"/>
          <w:szCs w:val="28"/>
        </w:rPr>
        <w:t>December</w:t>
      </w:r>
      <w:r w:rsidR="00AB5449">
        <w:rPr>
          <w:rFonts w:cstheme="minorHAnsi"/>
          <w:b/>
          <w:sz w:val="28"/>
          <w:szCs w:val="28"/>
        </w:rPr>
        <w:t xml:space="preserve"> </w:t>
      </w:r>
      <w:r w:rsidR="00F541A3">
        <w:rPr>
          <w:rFonts w:cstheme="minorHAnsi"/>
          <w:b/>
          <w:sz w:val="28"/>
          <w:szCs w:val="28"/>
        </w:rPr>
        <w:t>29</w:t>
      </w:r>
      <w:r w:rsidR="00C75814">
        <w:rPr>
          <w:rFonts w:cstheme="minorHAnsi"/>
          <w:b/>
          <w:sz w:val="28"/>
          <w:szCs w:val="28"/>
        </w:rPr>
        <w:t>, 2017</w:t>
      </w:r>
    </w:p>
    <w:p w14:paraId="18B74290" w14:textId="77777777" w:rsidR="00E372B8" w:rsidRPr="000F72EF" w:rsidRDefault="00E372B8" w:rsidP="00241A1F">
      <w:pPr>
        <w:jc w:val="right"/>
        <w:rPr>
          <w:rFonts w:cstheme="minorHAnsi"/>
          <w:b/>
          <w:sz w:val="72"/>
          <w:szCs w:val="72"/>
        </w:rPr>
        <w:sectPr w:rsidR="00E372B8" w:rsidRPr="000F72EF" w:rsidSect="00241A1F">
          <w:footerReference w:type="default" r:id="rId9"/>
          <w:headerReference w:type="first" r:id="rId10"/>
          <w:pgSz w:w="12240" w:h="15840"/>
          <w:pgMar w:top="1440" w:right="1440" w:bottom="1440" w:left="1440" w:header="720" w:footer="720" w:gutter="0"/>
          <w:cols w:space="720"/>
          <w:titlePg/>
          <w:docGrid w:linePitch="360"/>
        </w:sectPr>
      </w:pPr>
    </w:p>
    <w:p w14:paraId="49815E43" w14:textId="00636E4F" w:rsidR="00486A75" w:rsidRPr="00DB7C6D" w:rsidRDefault="00486A75" w:rsidP="00486A75">
      <w:pPr>
        <w:rPr>
          <w:rFonts w:cstheme="minorHAnsi"/>
          <w:i/>
          <w:sz w:val="36"/>
          <w:szCs w:val="36"/>
        </w:rPr>
      </w:pPr>
      <w:r w:rsidRPr="00DB7C6D">
        <w:rPr>
          <w:rFonts w:cstheme="minorHAnsi"/>
          <w:b/>
          <w:sz w:val="36"/>
          <w:szCs w:val="36"/>
        </w:rPr>
        <w:lastRenderedPageBreak/>
        <w:t xml:space="preserve">SDG&amp;E </w:t>
      </w:r>
      <w:r w:rsidR="00F541A3">
        <w:rPr>
          <w:rFonts w:cstheme="minorHAnsi"/>
          <w:b/>
          <w:sz w:val="36"/>
          <w:szCs w:val="36"/>
        </w:rPr>
        <w:t>Water Saving Kit</w:t>
      </w:r>
      <w:r w:rsidR="00DB7C6D" w:rsidRPr="00DB7C6D">
        <w:rPr>
          <w:rFonts w:cstheme="minorHAnsi"/>
          <w:b/>
          <w:sz w:val="36"/>
          <w:szCs w:val="36"/>
        </w:rPr>
        <w:t xml:space="preserve"> in Residential Buildings</w:t>
      </w:r>
    </w:p>
    <w:p w14:paraId="030A02EA" w14:textId="77777777" w:rsidR="00413EF4" w:rsidRDefault="00413EF4" w:rsidP="00413EF4">
      <w:pPr>
        <w:pStyle w:val="Heading2"/>
      </w:pPr>
      <w:r>
        <w:t>Introduction</w:t>
      </w:r>
    </w:p>
    <w:p w14:paraId="52DFFDC2" w14:textId="26A42754" w:rsidR="00DB7C6D" w:rsidRPr="00804C1C" w:rsidRDefault="00C64A59" w:rsidP="00F541A3">
      <w:pPr>
        <w:rPr>
          <w:sz w:val="20"/>
          <w:szCs w:val="20"/>
        </w:rPr>
      </w:pPr>
      <w:r>
        <w:rPr>
          <w:sz w:val="20"/>
          <w:szCs w:val="20"/>
        </w:rPr>
        <w:t>This short form workpaper</w:t>
      </w:r>
      <w:r w:rsidR="00486A75" w:rsidRPr="00804C1C">
        <w:rPr>
          <w:sz w:val="20"/>
          <w:szCs w:val="20"/>
        </w:rPr>
        <w:t xml:space="preserve"> documents </w:t>
      </w:r>
      <w:r>
        <w:rPr>
          <w:sz w:val="20"/>
          <w:szCs w:val="20"/>
        </w:rPr>
        <w:t xml:space="preserve">the values adopted from </w:t>
      </w:r>
      <w:r w:rsidR="00F541A3">
        <w:rPr>
          <w:sz w:val="20"/>
          <w:szCs w:val="20"/>
        </w:rPr>
        <w:t xml:space="preserve">READI v2.4.7 for DEER ID </w:t>
      </w:r>
      <w:r w:rsidR="00F541A3" w:rsidRPr="00F541A3">
        <w:rPr>
          <w:sz w:val="20"/>
          <w:szCs w:val="20"/>
        </w:rPr>
        <w:t>Res-</w:t>
      </w:r>
      <w:proofErr w:type="spellStart"/>
      <w:r w:rsidR="00F541A3" w:rsidRPr="00F541A3">
        <w:rPr>
          <w:sz w:val="20"/>
          <w:szCs w:val="20"/>
        </w:rPr>
        <w:t>DHWSavingsKit</w:t>
      </w:r>
      <w:proofErr w:type="spellEnd"/>
      <w:r w:rsidR="00F541A3" w:rsidRPr="00F541A3">
        <w:rPr>
          <w:sz w:val="20"/>
          <w:szCs w:val="20"/>
        </w:rPr>
        <w:t>-Both</w:t>
      </w:r>
      <w:r w:rsidR="00F541A3">
        <w:rPr>
          <w:sz w:val="20"/>
          <w:szCs w:val="20"/>
        </w:rPr>
        <w:t xml:space="preserve">. </w:t>
      </w:r>
      <w:r w:rsidR="00745965">
        <w:rPr>
          <w:rFonts w:cstheme="minorHAnsi"/>
          <w:sz w:val="20"/>
          <w:szCs w:val="20"/>
        </w:rPr>
        <w:t xml:space="preserve">The measure costs are derived from Program’s negotiated price to put the kit and its “elements” together along with shipping and packaging.  </w:t>
      </w:r>
    </w:p>
    <w:p w14:paraId="7616CC19" w14:textId="77777777" w:rsidR="00B94F6F" w:rsidRPr="00804C1C" w:rsidRDefault="00B94F6F" w:rsidP="00486A75">
      <w:pPr>
        <w:rPr>
          <w:sz w:val="20"/>
          <w:szCs w:val="20"/>
        </w:rPr>
      </w:pPr>
    </w:p>
    <w:p w14:paraId="63A0C601"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14:paraId="041D3188" w14:textId="77777777" w:rsidTr="00C131CB">
        <w:trPr>
          <w:trHeight w:val="20"/>
        </w:trPr>
        <w:tc>
          <w:tcPr>
            <w:tcW w:w="280" w:type="pct"/>
            <w:shd w:val="clear" w:color="auto" w:fill="D9D9D9" w:themeFill="background1" w:themeFillShade="D9"/>
          </w:tcPr>
          <w:p w14:paraId="29D8F5FF" w14:textId="77777777" w:rsidR="00B57F32" w:rsidRPr="000E2B6B" w:rsidRDefault="00B57F32" w:rsidP="00B94F6F">
            <w:pPr>
              <w:rPr>
                <w:rStyle w:val="Strong"/>
                <w:bCs w:val="0"/>
              </w:rPr>
            </w:pPr>
            <w:r w:rsidRPr="000E2B6B">
              <w:rPr>
                <w:rStyle w:val="Strong"/>
              </w:rPr>
              <w:t>Rev</w:t>
            </w:r>
          </w:p>
        </w:tc>
        <w:tc>
          <w:tcPr>
            <w:tcW w:w="677" w:type="pct"/>
            <w:shd w:val="clear" w:color="auto" w:fill="D9D9D9" w:themeFill="background1" w:themeFillShade="D9"/>
          </w:tcPr>
          <w:p w14:paraId="0362051E" w14:textId="77777777" w:rsidR="00B57F32" w:rsidRPr="000E2B6B" w:rsidRDefault="00B57F32" w:rsidP="00B94F6F">
            <w:pPr>
              <w:rPr>
                <w:rStyle w:val="Strong"/>
                <w:bCs w:val="0"/>
              </w:rPr>
            </w:pPr>
            <w:r w:rsidRPr="000E2B6B">
              <w:rPr>
                <w:rStyle w:val="Strong"/>
              </w:rPr>
              <w:t>Date</w:t>
            </w:r>
          </w:p>
        </w:tc>
        <w:tc>
          <w:tcPr>
            <w:tcW w:w="938" w:type="pct"/>
            <w:shd w:val="clear" w:color="auto" w:fill="D9D9D9" w:themeFill="background1" w:themeFillShade="D9"/>
          </w:tcPr>
          <w:p w14:paraId="626AFC54" w14:textId="77777777" w:rsidR="00B57F32" w:rsidRPr="000E2B6B" w:rsidRDefault="00B57F32" w:rsidP="00B94F6F">
            <w:pPr>
              <w:rPr>
                <w:rStyle w:val="Strong"/>
                <w:bCs w:val="0"/>
              </w:rPr>
            </w:pPr>
            <w:r w:rsidRPr="000E2B6B">
              <w:rPr>
                <w:rStyle w:val="Strong"/>
              </w:rPr>
              <w:t>Author</w:t>
            </w:r>
          </w:p>
        </w:tc>
        <w:tc>
          <w:tcPr>
            <w:tcW w:w="3105" w:type="pct"/>
            <w:shd w:val="clear" w:color="auto" w:fill="D9D9D9" w:themeFill="background1" w:themeFillShade="D9"/>
          </w:tcPr>
          <w:p w14:paraId="3D5F17B4" w14:textId="77777777" w:rsidR="00B57F32" w:rsidRPr="000E2B6B" w:rsidRDefault="00B57F32" w:rsidP="00B94F6F">
            <w:pPr>
              <w:rPr>
                <w:rStyle w:val="Strong"/>
                <w:bCs w:val="0"/>
              </w:rPr>
            </w:pPr>
            <w:r w:rsidRPr="000E2B6B">
              <w:rPr>
                <w:rStyle w:val="Strong"/>
              </w:rPr>
              <w:t>Summary of Changes</w:t>
            </w:r>
          </w:p>
        </w:tc>
      </w:tr>
      <w:tr w:rsidR="001B69CA" w:rsidRPr="00500C4E" w14:paraId="6146FF66" w14:textId="77777777" w:rsidTr="00C131CB">
        <w:trPr>
          <w:trHeight w:val="20"/>
        </w:trPr>
        <w:tc>
          <w:tcPr>
            <w:tcW w:w="280" w:type="pct"/>
          </w:tcPr>
          <w:p w14:paraId="6F01D96A" w14:textId="77777777" w:rsidR="001B69CA" w:rsidRDefault="001B69CA" w:rsidP="001B69CA">
            <w:pPr>
              <w:jc w:val="center"/>
              <w:rPr>
                <w:rFonts w:cstheme="minorHAnsi"/>
                <w:szCs w:val="20"/>
              </w:rPr>
            </w:pPr>
            <w:r>
              <w:rPr>
                <w:rFonts w:cstheme="minorHAnsi"/>
                <w:szCs w:val="20"/>
              </w:rPr>
              <w:t>0</w:t>
            </w:r>
          </w:p>
        </w:tc>
        <w:tc>
          <w:tcPr>
            <w:tcW w:w="677" w:type="pct"/>
          </w:tcPr>
          <w:p w14:paraId="34FE9B63" w14:textId="2CEDB6E1" w:rsidR="001B69CA" w:rsidRDefault="00F541A3" w:rsidP="001B69CA">
            <w:pPr>
              <w:rPr>
                <w:rFonts w:cstheme="minorHAnsi"/>
                <w:szCs w:val="20"/>
              </w:rPr>
            </w:pPr>
            <w:r>
              <w:rPr>
                <w:rFonts w:cstheme="minorHAnsi"/>
                <w:szCs w:val="20"/>
              </w:rPr>
              <w:t>12</w:t>
            </w:r>
            <w:r w:rsidR="001B69CA">
              <w:rPr>
                <w:rFonts w:cstheme="minorHAnsi"/>
                <w:szCs w:val="20"/>
              </w:rPr>
              <w:t>/</w:t>
            </w:r>
            <w:r>
              <w:rPr>
                <w:rFonts w:cstheme="minorHAnsi"/>
                <w:szCs w:val="20"/>
              </w:rPr>
              <w:t>29/2017</w:t>
            </w:r>
          </w:p>
        </w:tc>
        <w:tc>
          <w:tcPr>
            <w:tcW w:w="938" w:type="pct"/>
          </w:tcPr>
          <w:p w14:paraId="269C03C0" w14:textId="2A6F2002" w:rsidR="001B69CA" w:rsidRDefault="00F541A3" w:rsidP="001B69CA">
            <w:pPr>
              <w:jc w:val="both"/>
              <w:rPr>
                <w:rFonts w:cstheme="minorHAnsi"/>
                <w:szCs w:val="20"/>
              </w:rPr>
            </w:pPr>
            <w:r>
              <w:rPr>
                <w:rFonts w:cstheme="minorHAnsi"/>
                <w:szCs w:val="20"/>
              </w:rPr>
              <w:t>Keith Valenzuela/SDGE Contractor</w:t>
            </w:r>
          </w:p>
        </w:tc>
        <w:tc>
          <w:tcPr>
            <w:tcW w:w="3105" w:type="pct"/>
          </w:tcPr>
          <w:p w14:paraId="4A48ADF9" w14:textId="77777777" w:rsidR="001B69CA" w:rsidRDefault="001B69CA" w:rsidP="001B69CA">
            <w:pPr>
              <w:rPr>
                <w:rFonts w:cstheme="minorHAnsi"/>
                <w:szCs w:val="20"/>
              </w:rPr>
            </w:pPr>
            <w:r>
              <w:rPr>
                <w:rFonts w:cstheme="minorHAnsi"/>
                <w:szCs w:val="20"/>
              </w:rPr>
              <w:t>Original Workpaper</w:t>
            </w:r>
          </w:p>
        </w:tc>
      </w:tr>
      <w:tr w:rsidR="001B69CA" w:rsidRPr="00500C4E" w14:paraId="55AEA51E" w14:textId="77777777" w:rsidTr="00C131CB">
        <w:trPr>
          <w:trHeight w:val="20"/>
        </w:trPr>
        <w:tc>
          <w:tcPr>
            <w:tcW w:w="280" w:type="pct"/>
          </w:tcPr>
          <w:p w14:paraId="7BC0D301" w14:textId="0F9D5C22" w:rsidR="001B69CA" w:rsidRDefault="001B69CA" w:rsidP="001B69CA">
            <w:pPr>
              <w:jc w:val="center"/>
              <w:rPr>
                <w:rFonts w:cstheme="minorHAnsi"/>
                <w:szCs w:val="20"/>
              </w:rPr>
            </w:pPr>
          </w:p>
        </w:tc>
        <w:tc>
          <w:tcPr>
            <w:tcW w:w="677" w:type="pct"/>
          </w:tcPr>
          <w:p w14:paraId="2F6BBD3C" w14:textId="23E126E1" w:rsidR="001B69CA" w:rsidRDefault="001B69CA" w:rsidP="001B69CA">
            <w:pPr>
              <w:rPr>
                <w:rFonts w:cstheme="minorHAnsi"/>
                <w:szCs w:val="20"/>
              </w:rPr>
            </w:pPr>
          </w:p>
        </w:tc>
        <w:tc>
          <w:tcPr>
            <w:tcW w:w="938" w:type="pct"/>
          </w:tcPr>
          <w:p w14:paraId="5347619D" w14:textId="54CBA761" w:rsidR="001B69CA" w:rsidRDefault="001B69CA" w:rsidP="001B69CA">
            <w:pPr>
              <w:ind w:left="6"/>
              <w:rPr>
                <w:rFonts w:cstheme="minorHAnsi"/>
                <w:szCs w:val="20"/>
              </w:rPr>
            </w:pPr>
          </w:p>
        </w:tc>
        <w:tc>
          <w:tcPr>
            <w:tcW w:w="3105" w:type="pct"/>
          </w:tcPr>
          <w:p w14:paraId="7478B46D" w14:textId="4B59F2FD" w:rsidR="001B69CA" w:rsidRDefault="001B69CA" w:rsidP="001B69CA">
            <w:pPr>
              <w:rPr>
                <w:rFonts w:cstheme="minorHAnsi"/>
                <w:bCs/>
                <w:szCs w:val="20"/>
              </w:rPr>
            </w:pPr>
          </w:p>
        </w:tc>
      </w:tr>
      <w:tr w:rsidR="001B69CA" w:rsidRPr="00500C4E" w14:paraId="486144A3" w14:textId="77777777" w:rsidTr="00C131CB">
        <w:trPr>
          <w:trHeight w:val="20"/>
        </w:trPr>
        <w:tc>
          <w:tcPr>
            <w:tcW w:w="280" w:type="pct"/>
          </w:tcPr>
          <w:p w14:paraId="280162EA" w14:textId="1CDD2F8E" w:rsidR="001B69CA" w:rsidRDefault="001B69CA" w:rsidP="001B69CA">
            <w:pPr>
              <w:jc w:val="center"/>
              <w:rPr>
                <w:rFonts w:cstheme="minorHAnsi"/>
                <w:szCs w:val="20"/>
              </w:rPr>
            </w:pPr>
          </w:p>
        </w:tc>
        <w:tc>
          <w:tcPr>
            <w:tcW w:w="677" w:type="pct"/>
          </w:tcPr>
          <w:p w14:paraId="4F4738FB" w14:textId="3631502A" w:rsidR="001B69CA" w:rsidRDefault="001B69CA" w:rsidP="001B69CA">
            <w:pPr>
              <w:jc w:val="center"/>
              <w:rPr>
                <w:rFonts w:cstheme="minorHAnsi"/>
                <w:szCs w:val="20"/>
              </w:rPr>
            </w:pPr>
          </w:p>
        </w:tc>
        <w:tc>
          <w:tcPr>
            <w:tcW w:w="938" w:type="pct"/>
          </w:tcPr>
          <w:p w14:paraId="2CB7183B" w14:textId="2AB9D51C" w:rsidR="001B69CA" w:rsidRDefault="001B69CA" w:rsidP="001B69CA">
            <w:pPr>
              <w:rPr>
                <w:rFonts w:cstheme="minorHAnsi"/>
                <w:szCs w:val="20"/>
              </w:rPr>
            </w:pPr>
          </w:p>
        </w:tc>
        <w:tc>
          <w:tcPr>
            <w:tcW w:w="3105" w:type="pct"/>
          </w:tcPr>
          <w:p w14:paraId="5812129F" w14:textId="22E44863" w:rsidR="001B69CA" w:rsidRDefault="001B69CA" w:rsidP="001B69CA">
            <w:pPr>
              <w:rPr>
                <w:rFonts w:cstheme="minorHAnsi"/>
                <w:bCs/>
                <w:szCs w:val="20"/>
              </w:rPr>
            </w:pPr>
          </w:p>
        </w:tc>
      </w:tr>
      <w:tr w:rsidR="001B69CA" w:rsidRPr="00500C4E" w14:paraId="7D9E1107" w14:textId="77777777" w:rsidTr="00C131CB">
        <w:trPr>
          <w:trHeight w:val="20"/>
        </w:trPr>
        <w:tc>
          <w:tcPr>
            <w:tcW w:w="280" w:type="pct"/>
          </w:tcPr>
          <w:p w14:paraId="56930A1D" w14:textId="33869E29" w:rsidR="001B69CA" w:rsidRPr="00F2079F" w:rsidRDefault="001B69CA" w:rsidP="008C2C8A">
            <w:pPr>
              <w:jc w:val="center"/>
            </w:pPr>
          </w:p>
        </w:tc>
        <w:tc>
          <w:tcPr>
            <w:tcW w:w="677" w:type="pct"/>
          </w:tcPr>
          <w:p w14:paraId="61F7DFC3" w14:textId="0A031699" w:rsidR="001B69CA" w:rsidRDefault="001B69CA" w:rsidP="00B94F6F">
            <w:pPr>
              <w:jc w:val="center"/>
              <w:rPr>
                <w:szCs w:val="20"/>
              </w:rPr>
            </w:pPr>
          </w:p>
        </w:tc>
        <w:tc>
          <w:tcPr>
            <w:tcW w:w="938" w:type="pct"/>
          </w:tcPr>
          <w:p w14:paraId="7D5024E3" w14:textId="6C761B52" w:rsidR="001B69CA" w:rsidRDefault="001B69CA" w:rsidP="00B94F6F">
            <w:pPr>
              <w:rPr>
                <w:szCs w:val="20"/>
              </w:rPr>
            </w:pPr>
          </w:p>
        </w:tc>
        <w:tc>
          <w:tcPr>
            <w:tcW w:w="3105" w:type="pct"/>
          </w:tcPr>
          <w:p w14:paraId="5E5F005E" w14:textId="77777777" w:rsidR="001B69CA" w:rsidRPr="006A478E" w:rsidRDefault="001B69CA" w:rsidP="001B69CA">
            <w:pPr>
              <w:rPr>
                <w:bCs/>
                <w:szCs w:val="20"/>
              </w:rPr>
            </w:pPr>
          </w:p>
        </w:tc>
      </w:tr>
    </w:tbl>
    <w:p w14:paraId="3400358D" w14:textId="77777777" w:rsidR="00DB71F1" w:rsidRDefault="00DB71F1" w:rsidP="00413EF4"/>
    <w:p w14:paraId="07132D61" w14:textId="77777777" w:rsidR="00DB71F1" w:rsidRDefault="00DB71F1">
      <w:pPr>
        <w:spacing w:after="200" w:line="276" w:lineRule="auto"/>
      </w:pPr>
      <w:r>
        <w:br w:type="page"/>
      </w:r>
    </w:p>
    <w:p w14:paraId="05C09CD6" w14:textId="77777777" w:rsidR="00DB71F1" w:rsidRDefault="00DB71F1" w:rsidP="00DB71F1">
      <w:pPr>
        <w:pStyle w:val="Heading2"/>
      </w:pPr>
      <w:r>
        <w:lastRenderedPageBreak/>
        <w:t>Measure Summary</w:t>
      </w:r>
      <w:r w:rsidRPr="0025216C">
        <w:t xml:space="preserve"> </w:t>
      </w:r>
    </w:p>
    <w:p w14:paraId="494D72DE" w14:textId="77777777" w:rsidR="00EE6CFE" w:rsidRPr="00EE6CFE" w:rsidRDefault="00EE6CFE" w:rsidP="0081521B"/>
    <w:p w14:paraId="3B3C802C" w14:textId="77777777" w:rsidR="00DB71F1" w:rsidRDefault="00DB71F1" w:rsidP="00DB71F1">
      <w:pPr>
        <w:pStyle w:val="Caption"/>
        <w:keepNext/>
        <w:jc w:val="center"/>
      </w:pPr>
      <w:r>
        <w:t xml:space="preserve">Table </w:t>
      </w:r>
      <w:r w:rsidR="00A010CD">
        <w:fldChar w:fldCharType="begin"/>
      </w:r>
      <w:r w:rsidR="00A010CD">
        <w:instrText xml:space="preserve"> SEQ Table \* ARABIC </w:instrText>
      </w:r>
      <w:r w:rsidR="00A010CD">
        <w:fldChar w:fldCharType="separate"/>
      </w:r>
      <w:r w:rsidR="00C6110B">
        <w:rPr>
          <w:noProof/>
        </w:rPr>
        <w:t>1</w:t>
      </w:r>
      <w:r w:rsidR="00A010CD">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14:paraId="35EDC789" w14:textId="77777777" w:rsidTr="00F52060">
        <w:trPr>
          <w:cantSplit/>
          <w:tblHeader/>
        </w:trPr>
        <w:tc>
          <w:tcPr>
            <w:tcW w:w="1975" w:type="dxa"/>
          </w:tcPr>
          <w:p w14:paraId="1B0DE371" w14:textId="77777777" w:rsidR="00DB71F1" w:rsidRPr="00D86243" w:rsidRDefault="00DB71F1" w:rsidP="00B94F6F">
            <w:pPr>
              <w:jc w:val="center"/>
              <w:rPr>
                <w:b/>
              </w:rPr>
            </w:pPr>
            <w:r w:rsidRPr="00D86243">
              <w:rPr>
                <w:b/>
              </w:rPr>
              <w:t>Section</w:t>
            </w:r>
          </w:p>
        </w:tc>
        <w:tc>
          <w:tcPr>
            <w:tcW w:w="7375" w:type="dxa"/>
          </w:tcPr>
          <w:p w14:paraId="7EDB1627" w14:textId="77777777" w:rsidR="00DB71F1" w:rsidRPr="00D86243" w:rsidRDefault="00DB71F1" w:rsidP="00B94F6F">
            <w:pPr>
              <w:jc w:val="center"/>
              <w:rPr>
                <w:b/>
              </w:rPr>
            </w:pPr>
            <w:r w:rsidRPr="00D86243">
              <w:rPr>
                <w:b/>
              </w:rPr>
              <w:t>Value</w:t>
            </w:r>
          </w:p>
        </w:tc>
      </w:tr>
      <w:tr w:rsidR="00DB71F1" w14:paraId="00BBAF21" w14:textId="77777777" w:rsidTr="00F52060">
        <w:trPr>
          <w:cantSplit/>
        </w:trPr>
        <w:tc>
          <w:tcPr>
            <w:tcW w:w="1975" w:type="dxa"/>
            <w:vAlign w:val="center"/>
          </w:tcPr>
          <w:p w14:paraId="7E0CA5DD" w14:textId="77777777" w:rsidR="00DB71F1" w:rsidRPr="001D77F7" w:rsidRDefault="00DB71F1" w:rsidP="00B94F6F">
            <w:pPr>
              <w:rPr>
                <w:b/>
              </w:rPr>
            </w:pPr>
            <w:r>
              <w:rPr>
                <w:b/>
              </w:rPr>
              <w:t>Summary &amp; Purpose</w:t>
            </w:r>
          </w:p>
        </w:tc>
        <w:tc>
          <w:tcPr>
            <w:tcW w:w="7375" w:type="dxa"/>
          </w:tcPr>
          <w:p w14:paraId="4643F9FC" w14:textId="0B549589" w:rsidR="00486A75" w:rsidRDefault="00486A75" w:rsidP="00486A75">
            <w:pPr>
              <w:jc w:val="both"/>
              <w:rPr>
                <w:rFonts w:cs="Arial"/>
                <w:sz w:val="20"/>
                <w:szCs w:val="20"/>
              </w:rPr>
            </w:pPr>
            <w:r w:rsidRPr="001519FD">
              <w:rPr>
                <w:rFonts w:cs="Arial"/>
                <w:sz w:val="20"/>
                <w:szCs w:val="20"/>
              </w:rPr>
              <w:t xml:space="preserve">This short form workpaper documents ex-ante load impacts and cost-effectiveness values for </w:t>
            </w:r>
            <w:r w:rsidR="00F541A3">
              <w:rPr>
                <w:sz w:val="20"/>
                <w:szCs w:val="20"/>
              </w:rPr>
              <w:t>water saving kits</w:t>
            </w:r>
            <w:r w:rsidRPr="001519FD">
              <w:rPr>
                <w:rFonts w:cs="Arial"/>
                <w:sz w:val="20"/>
                <w:szCs w:val="20"/>
              </w:rPr>
              <w:t>.</w:t>
            </w:r>
            <w:r w:rsidRPr="00241A1F">
              <w:rPr>
                <w:rFonts w:cs="Arial"/>
                <w:sz w:val="20"/>
                <w:szCs w:val="20"/>
              </w:rPr>
              <w:t xml:space="preserve"> </w:t>
            </w:r>
            <w:r>
              <w:rPr>
                <w:rFonts w:cs="Arial"/>
                <w:sz w:val="20"/>
                <w:szCs w:val="20"/>
              </w:rPr>
              <w:t>The base energy consumption and measure energy consumption</w:t>
            </w:r>
            <w:r w:rsidRPr="00555671">
              <w:rPr>
                <w:rFonts w:cs="Arial"/>
                <w:sz w:val="20"/>
                <w:szCs w:val="20"/>
              </w:rPr>
              <w:t xml:space="preserve"> values</w:t>
            </w:r>
            <w:r>
              <w:rPr>
                <w:rFonts w:cs="Arial"/>
                <w:sz w:val="20"/>
                <w:szCs w:val="20"/>
              </w:rPr>
              <w:t xml:space="preserve"> are from </w:t>
            </w:r>
            <w:r w:rsidR="00F541A3">
              <w:rPr>
                <w:sz w:val="20"/>
                <w:szCs w:val="20"/>
              </w:rPr>
              <w:t xml:space="preserve">READI v2.4.7 for DEER ID </w:t>
            </w:r>
            <w:r w:rsidR="00F541A3" w:rsidRPr="00F541A3">
              <w:rPr>
                <w:sz w:val="20"/>
                <w:szCs w:val="20"/>
              </w:rPr>
              <w:t>Res-</w:t>
            </w:r>
            <w:proofErr w:type="spellStart"/>
            <w:r w:rsidR="00F541A3" w:rsidRPr="00F541A3">
              <w:rPr>
                <w:sz w:val="20"/>
                <w:szCs w:val="20"/>
              </w:rPr>
              <w:t>DHWSavingsKit</w:t>
            </w:r>
            <w:proofErr w:type="spellEnd"/>
            <w:r w:rsidR="00F541A3" w:rsidRPr="00F541A3">
              <w:rPr>
                <w:sz w:val="20"/>
                <w:szCs w:val="20"/>
              </w:rPr>
              <w:t>-Both</w:t>
            </w:r>
            <w:r w:rsidR="00F541A3">
              <w:rPr>
                <w:sz w:val="20"/>
                <w:szCs w:val="20"/>
              </w:rPr>
              <w:t>.</w:t>
            </w:r>
          </w:p>
          <w:p w14:paraId="38DA0533" w14:textId="77777777" w:rsidR="00486A75" w:rsidRDefault="00486A75" w:rsidP="00486A75">
            <w:pPr>
              <w:jc w:val="both"/>
              <w:rPr>
                <w:rFonts w:cs="Arial"/>
                <w:sz w:val="20"/>
                <w:szCs w:val="20"/>
              </w:rPr>
            </w:pPr>
          </w:p>
          <w:p w14:paraId="7F0F1593" w14:textId="77777777" w:rsidR="00DB71F1" w:rsidRPr="00D86243" w:rsidRDefault="00DB71F1" w:rsidP="00F541A3">
            <w:pPr>
              <w:jc w:val="both"/>
              <w:rPr>
                <w:rFonts w:cs="Arial"/>
                <w:sz w:val="20"/>
                <w:szCs w:val="20"/>
              </w:rPr>
            </w:pPr>
          </w:p>
        </w:tc>
      </w:tr>
      <w:tr w:rsidR="00AF368D" w14:paraId="413F19CE" w14:textId="77777777" w:rsidTr="00B94F6F">
        <w:trPr>
          <w:cantSplit/>
        </w:trPr>
        <w:tc>
          <w:tcPr>
            <w:tcW w:w="9350" w:type="dxa"/>
            <w:gridSpan w:val="2"/>
            <w:vAlign w:val="center"/>
          </w:tcPr>
          <w:p w14:paraId="3B3A28E1" w14:textId="77777777" w:rsidR="00AF368D" w:rsidRPr="00241A1F" w:rsidRDefault="00AF368D" w:rsidP="00AF368D">
            <w:pPr>
              <w:rPr>
                <w:rFonts w:cs="Arial"/>
                <w:sz w:val="20"/>
                <w:szCs w:val="20"/>
              </w:rPr>
            </w:pPr>
            <w:r w:rsidRPr="001D77F7">
              <w:rPr>
                <w:b/>
              </w:rPr>
              <w:t>1.1 Measure &amp; Baseline Data</w:t>
            </w:r>
          </w:p>
        </w:tc>
      </w:tr>
      <w:tr w:rsidR="00DB71F1" w14:paraId="617AD332" w14:textId="77777777" w:rsidTr="00F52060">
        <w:trPr>
          <w:cantSplit/>
        </w:trPr>
        <w:tc>
          <w:tcPr>
            <w:tcW w:w="1975" w:type="dxa"/>
            <w:vAlign w:val="center"/>
          </w:tcPr>
          <w:p w14:paraId="2CCDBF84" w14:textId="77777777" w:rsidR="00DB71F1" w:rsidRPr="001D77F7" w:rsidRDefault="00DB71F1" w:rsidP="00B94F6F">
            <w:pPr>
              <w:rPr>
                <w:b/>
              </w:rPr>
            </w:pPr>
            <w:r w:rsidRPr="001D77F7">
              <w:rPr>
                <w:b/>
              </w:rPr>
              <w:t xml:space="preserve">1.2 Technical Description </w:t>
            </w:r>
          </w:p>
        </w:tc>
        <w:tc>
          <w:tcPr>
            <w:tcW w:w="7375" w:type="dxa"/>
          </w:tcPr>
          <w:p w14:paraId="6E98F8AE" w14:textId="77777777" w:rsidR="00F541A3" w:rsidRDefault="001519FD" w:rsidP="00F541A3">
            <w:pPr>
              <w:tabs>
                <w:tab w:val="num" w:pos="360"/>
              </w:tabs>
              <w:spacing w:before="40" w:after="40"/>
              <w:rPr>
                <w:rFonts w:cstheme="minorHAnsi"/>
                <w:sz w:val="20"/>
                <w:szCs w:val="20"/>
              </w:rPr>
            </w:pPr>
            <w:r w:rsidRPr="001519FD">
              <w:rPr>
                <w:rFonts w:cstheme="minorHAnsi"/>
                <w:sz w:val="20"/>
                <w:szCs w:val="20"/>
              </w:rPr>
              <w:t xml:space="preserve">A faucet aerator is a device that screws onto an existing faucet head </w:t>
            </w:r>
            <w:proofErr w:type="gramStart"/>
            <w:r w:rsidRPr="001519FD">
              <w:rPr>
                <w:rFonts w:cstheme="minorHAnsi"/>
                <w:sz w:val="20"/>
                <w:szCs w:val="20"/>
              </w:rPr>
              <w:t>in order to</w:t>
            </w:r>
            <w:proofErr w:type="gramEnd"/>
            <w:r w:rsidRPr="001519FD">
              <w:rPr>
                <w:rFonts w:cstheme="minorHAnsi"/>
                <w:sz w:val="20"/>
                <w:szCs w:val="20"/>
              </w:rPr>
              <w:t xml:space="preserve"> reduce water flow. It splits the flow of water into multiple streams and adds air. This reduces flow while maintaining sufficient water pressure. This work paper assumes an aerator measure case </w:t>
            </w:r>
            <w:r w:rsidR="00984534">
              <w:rPr>
                <w:rFonts w:cstheme="minorHAnsi"/>
                <w:sz w:val="20"/>
                <w:szCs w:val="20"/>
              </w:rPr>
              <w:t xml:space="preserve">flow of 1.0 </w:t>
            </w:r>
            <w:proofErr w:type="spellStart"/>
            <w:r w:rsidR="00984534">
              <w:rPr>
                <w:rFonts w:cstheme="minorHAnsi"/>
                <w:sz w:val="20"/>
                <w:szCs w:val="20"/>
              </w:rPr>
              <w:t>gpm</w:t>
            </w:r>
            <w:proofErr w:type="spellEnd"/>
            <w:r w:rsidR="00984534">
              <w:rPr>
                <w:rFonts w:cstheme="minorHAnsi"/>
                <w:sz w:val="20"/>
                <w:szCs w:val="20"/>
              </w:rPr>
              <w:t xml:space="preserve"> in lavatories and 1.5 </w:t>
            </w:r>
            <w:proofErr w:type="spellStart"/>
            <w:r w:rsidR="00984534">
              <w:rPr>
                <w:rFonts w:cstheme="minorHAnsi"/>
                <w:sz w:val="20"/>
                <w:szCs w:val="20"/>
              </w:rPr>
              <w:t>gpm</w:t>
            </w:r>
            <w:proofErr w:type="spellEnd"/>
            <w:r w:rsidR="00984534">
              <w:rPr>
                <w:rFonts w:cstheme="minorHAnsi"/>
                <w:sz w:val="20"/>
                <w:szCs w:val="20"/>
              </w:rPr>
              <w:t xml:space="preserve"> in kitchens.</w:t>
            </w:r>
            <w:r w:rsidR="00F541A3">
              <w:rPr>
                <w:rFonts w:cstheme="minorHAnsi"/>
                <w:sz w:val="20"/>
                <w:szCs w:val="20"/>
              </w:rPr>
              <w:t xml:space="preserve"> </w:t>
            </w:r>
          </w:p>
          <w:p w14:paraId="102AA27A" w14:textId="790CA01D" w:rsidR="00F541A3" w:rsidRPr="001519FD" w:rsidRDefault="00F541A3" w:rsidP="00F541A3">
            <w:pPr>
              <w:tabs>
                <w:tab w:val="num" w:pos="360"/>
              </w:tabs>
              <w:spacing w:before="40" w:after="40"/>
              <w:rPr>
                <w:rFonts w:cstheme="minorHAnsi"/>
                <w:sz w:val="20"/>
                <w:szCs w:val="20"/>
              </w:rPr>
            </w:pPr>
            <w:r w:rsidRPr="001519FD">
              <w:rPr>
                <w:rFonts w:cstheme="minorHAnsi"/>
                <w:sz w:val="20"/>
                <w:szCs w:val="20"/>
              </w:rPr>
              <w:t>There are 2 types of low flow showerheads:</w:t>
            </w:r>
          </w:p>
          <w:p w14:paraId="4EA7D1C0" w14:textId="77777777" w:rsidR="00F541A3" w:rsidRPr="001519FD" w:rsidRDefault="00F541A3" w:rsidP="00F541A3">
            <w:pPr>
              <w:numPr>
                <w:ilvl w:val="0"/>
                <w:numId w:val="22"/>
              </w:numPr>
              <w:spacing w:before="40" w:after="40"/>
              <w:rPr>
                <w:rFonts w:cstheme="minorHAnsi"/>
                <w:sz w:val="20"/>
                <w:szCs w:val="20"/>
              </w:rPr>
            </w:pPr>
            <w:r w:rsidRPr="001519FD">
              <w:rPr>
                <w:rFonts w:cstheme="minorHAnsi"/>
                <w:sz w:val="20"/>
                <w:szCs w:val="20"/>
              </w:rPr>
              <w:t>Aerating showerheads introduce air into the flow, which produces an even, misty spray while maintaining sufficient water pressure.</w:t>
            </w:r>
          </w:p>
          <w:p w14:paraId="17268BC5" w14:textId="77777777" w:rsidR="00F541A3" w:rsidRPr="001519FD" w:rsidRDefault="00F541A3" w:rsidP="00F541A3">
            <w:pPr>
              <w:numPr>
                <w:ilvl w:val="0"/>
                <w:numId w:val="22"/>
              </w:numPr>
              <w:spacing w:before="40" w:after="40"/>
              <w:rPr>
                <w:rFonts w:cstheme="minorHAnsi"/>
                <w:sz w:val="20"/>
                <w:szCs w:val="20"/>
              </w:rPr>
            </w:pPr>
            <w:r w:rsidRPr="001519FD">
              <w:rPr>
                <w:rFonts w:cstheme="minorHAnsi"/>
                <w:sz w:val="20"/>
                <w:szCs w:val="20"/>
              </w:rPr>
              <w:t>Laminar flow showerheads split the flow of water into multiple parallel streams; no air is added. They produce less steam than aerating showerheads.</w:t>
            </w:r>
          </w:p>
          <w:p w14:paraId="3CCCAFF3" w14:textId="77777777" w:rsidR="00F541A3" w:rsidRPr="001519FD" w:rsidRDefault="00F541A3" w:rsidP="00F541A3">
            <w:pPr>
              <w:tabs>
                <w:tab w:val="num" w:pos="360"/>
              </w:tabs>
              <w:spacing w:before="40" w:after="40"/>
              <w:rPr>
                <w:rFonts w:cstheme="minorHAnsi"/>
                <w:color w:val="FF0000"/>
                <w:sz w:val="20"/>
                <w:szCs w:val="20"/>
              </w:rPr>
            </w:pPr>
            <w:r w:rsidRPr="001519FD">
              <w:rPr>
                <w:rFonts w:cstheme="minorHAnsi"/>
                <w:sz w:val="20"/>
                <w:szCs w:val="20"/>
              </w:rPr>
              <w:t xml:space="preserve">This work paper assumes a showerhead measure case flow of 1.5 </w:t>
            </w:r>
            <w:proofErr w:type="spellStart"/>
            <w:r w:rsidRPr="001519FD">
              <w:rPr>
                <w:rFonts w:cstheme="minorHAnsi"/>
                <w:sz w:val="20"/>
                <w:szCs w:val="20"/>
              </w:rPr>
              <w:t>gpm</w:t>
            </w:r>
            <w:proofErr w:type="spellEnd"/>
            <w:r w:rsidRPr="001519FD">
              <w:rPr>
                <w:rFonts w:cstheme="minorHAnsi"/>
                <w:sz w:val="20"/>
                <w:szCs w:val="20"/>
              </w:rPr>
              <w:t>.</w:t>
            </w:r>
          </w:p>
          <w:p w14:paraId="6C38EFF6" w14:textId="402F47D7" w:rsidR="001519FD" w:rsidRDefault="00F541A3" w:rsidP="001519FD">
            <w:pPr>
              <w:tabs>
                <w:tab w:val="num" w:pos="360"/>
              </w:tabs>
              <w:spacing w:before="40" w:after="40"/>
              <w:rPr>
                <w:rFonts w:cstheme="minorHAnsi"/>
                <w:sz w:val="20"/>
                <w:szCs w:val="20"/>
              </w:rPr>
            </w:pPr>
            <w:r>
              <w:rPr>
                <w:rFonts w:cstheme="minorHAnsi"/>
                <w:sz w:val="20"/>
                <w:szCs w:val="20"/>
              </w:rPr>
              <w:t xml:space="preserve"> Per READI v2.4.7 the measure includes:</w:t>
            </w:r>
          </w:p>
          <w:p w14:paraId="4F9E106D" w14:textId="4723C5DC" w:rsidR="00F541A3" w:rsidRPr="001519FD" w:rsidRDefault="004C6D60" w:rsidP="001519FD">
            <w:pPr>
              <w:tabs>
                <w:tab w:val="num" w:pos="360"/>
              </w:tabs>
              <w:spacing w:before="40" w:after="40"/>
              <w:rPr>
                <w:rFonts w:cstheme="minorHAnsi"/>
                <w:sz w:val="20"/>
                <w:szCs w:val="20"/>
              </w:rPr>
            </w:pPr>
            <w:r>
              <w:rPr>
                <w:rFonts w:cstheme="minorHAnsi"/>
                <w:sz w:val="20"/>
                <w:szCs w:val="20"/>
              </w:rPr>
              <w:t>Water Saving</w:t>
            </w:r>
            <w:r w:rsidR="00F541A3">
              <w:rPr>
                <w:rFonts w:cstheme="minorHAnsi"/>
                <w:sz w:val="20"/>
                <w:szCs w:val="20"/>
              </w:rPr>
              <w:t xml:space="preserve"> Kit: 1-1.5 GPM shower head, 1-</w:t>
            </w:r>
            <w:r w:rsidR="00F541A3" w:rsidRPr="00F541A3">
              <w:rPr>
                <w:rFonts w:cstheme="minorHAnsi"/>
                <w:sz w:val="20"/>
                <w:szCs w:val="20"/>
              </w:rPr>
              <w:t>1.</w:t>
            </w:r>
            <w:r w:rsidR="00F541A3">
              <w:rPr>
                <w:rFonts w:cstheme="minorHAnsi"/>
                <w:sz w:val="20"/>
                <w:szCs w:val="20"/>
              </w:rPr>
              <w:t>5 GPM kitchen faucet aerator, 2-</w:t>
            </w:r>
            <w:r w:rsidR="00F541A3" w:rsidRPr="00F541A3">
              <w:rPr>
                <w:rFonts w:cstheme="minorHAnsi"/>
                <w:sz w:val="20"/>
                <w:szCs w:val="20"/>
              </w:rPr>
              <w:t>1.0 GPM lavatory faucet aerators - Residential. Energy savings are based on weighted impacts to include either gas and electric heaters</w:t>
            </w:r>
            <w:r w:rsidR="00F541A3">
              <w:rPr>
                <w:rFonts w:cstheme="minorHAnsi"/>
                <w:sz w:val="20"/>
                <w:szCs w:val="20"/>
              </w:rPr>
              <w:t>.</w:t>
            </w:r>
          </w:p>
          <w:p w14:paraId="5F5A955E" w14:textId="77777777" w:rsidR="001519FD" w:rsidRPr="001519FD" w:rsidRDefault="001519FD" w:rsidP="001519FD">
            <w:pPr>
              <w:tabs>
                <w:tab w:val="num" w:pos="360"/>
              </w:tabs>
              <w:spacing w:before="40" w:after="40"/>
              <w:rPr>
                <w:rFonts w:cstheme="minorHAnsi"/>
                <w:sz w:val="20"/>
                <w:szCs w:val="20"/>
              </w:rPr>
            </w:pPr>
          </w:p>
          <w:p w14:paraId="312131A8" w14:textId="77777777" w:rsidR="00DB71F1" w:rsidRPr="00D4142C" w:rsidRDefault="00DB71F1" w:rsidP="00D4142C">
            <w:pPr>
              <w:rPr>
                <w:rFonts w:cs="Arial"/>
                <w:sz w:val="20"/>
                <w:szCs w:val="20"/>
              </w:rPr>
            </w:pPr>
          </w:p>
        </w:tc>
      </w:tr>
      <w:tr w:rsidR="008775D7" w:rsidRPr="008775D7" w14:paraId="1B01E028" w14:textId="77777777" w:rsidTr="00F52060">
        <w:trPr>
          <w:cantSplit/>
        </w:trPr>
        <w:tc>
          <w:tcPr>
            <w:tcW w:w="1975" w:type="dxa"/>
          </w:tcPr>
          <w:p w14:paraId="400504D9" w14:textId="77777777" w:rsidR="008775D7" w:rsidRPr="00241A1F" w:rsidRDefault="008775D7" w:rsidP="00241A1F">
            <w:pPr>
              <w:jc w:val="right"/>
              <w:rPr>
                <w:sz w:val="20"/>
                <w:szCs w:val="20"/>
              </w:rPr>
            </w:pPr>
            <w:r w:rsidRPr="00241A1F">
              <w:rPr>
                <w:sz w:val="20"/>
                <w:szCs w:val="20"/>
              </w:rPr>
              <w:t>Measures</w:t>
            </w:r>
          </w:p>
        </w:tc>
        <w:tc>
          <w:tcPr>
            <w:tcW w:w="7375" w:type="dxa"/>
          </w:tcPr>
          <w:p w14:paraId="04E96CF0" w14:textId="170DAAEF" w:rsidR="008775D7" w:rsidRDefault="00A81245" w:rsidP="00A81245">
            <w:pPr>
              <w:rPr>
                <w:rFonts w:cs="Arial"/>
                <w:sz w:val="20"/>
                <w:szCs w:val="20"/>
              </w:rPr>
            </w:pPr>
            <w:r>
              <w:rPr>
                <w:rFonts w:cs="Arial"/>
                <w:sz w:val="20"/>
                <w:szCs w:val="20"/>
              </w:rPr>
              <w:t xml:space="preserve">Measure 1: </w:t>
            </w:r>
            <w:r w:rsidR="00F541A3">
              <w:rPr>
                <w:rFonts w:cs="Arial"/>
                <w:sz w:val="20"/>
                <w:szCs w:val="20"/>
              </w:rPr>
              <w:t>404026</w:t>
            </w:r>
            <w:r>
              <w:rPr>
                <w:rFonts w:cs="Arial"/>
                <w:sz w:val="20"/>
                <w:szCs w:val="20"/>
              </w:rPr>
              <w:t>-</w:t>
            </w:r>
            <w:r w:rsidRPr="00023AFF">
              <w:rPr>
                <w:rFonts w:cs="Arial"/>
                <w:sz w:val="20"/>
                <w:szCs w:val="20"/>
              </w:rPr>
              <w:t xml:space="preserve"> </w:t>
            </w:r>
            <w:r w:rsidR="00F541A3">
              <w:rPr>
                <w:rFonts w:cs="Arial"/>
                <w:sz w:val="20"/>
                <w:szCs w:val="20"/>
              </w:rPr>
              <w:t>Water Saving Kit</w:t>
            </w:r>
          </w:p>
          <w:p w14:paraId="2D511791" w14:textId="361CAB6E" w:rsidR="00F541A3" w:rsidRPr="00E733C7" w:rsidRDefault="00F541A3" w:rsidP="00A81245">
            <w:pPr>
              <w:rPr>
                <w:rFonts w:cs="Arial"/>
                <w:sz w:val="20"/>
                <w:szCs w:val="20"/>
              </w:rPr>
            </w:pPr>
          </w:p>
        </w:tc>
      </w:tr>
      <w:tr w:rsidR="008775D7" w:rsidRPr="008775D7" w14:paraId="5FDB365D" w14:textId="77777777" w:rsidTr="00F52060">
        <w:trPr>
          <w:cantSplit/>
        </w:trPr>
        <w:tc>
          <w:tcPr>
            <w:tcW w:w="1975" w:type="dxa"/>
          </w:tcPr>
          <w:p w14:paraId="32012723" w14:textId="77777777" w:rsidR="008775D7" w:rsidRPr="00653C4B" w:rsidRDefault="008775D7" w:rsidP="00241A1F">
            <w:pPr>
              <w:jc w:val="right"/>
              <w:rPr>
                <w:sz w:val="20"/>
                <w:szCs w:val="20"/>
              </w:rPr>
            </w:pPr>
            <w:r w:rsidRPr="00653C4B">
              <w:rPr>
                <w:sz w:val="20"/>
                <w:szCs w:val="20"/>
              </w:rPr>
              <w:lastRenderedPageBreak/>
              <w:t>Code for All Measures</w:t>
            </w:r>
          </w:p>
        </w:tc>
        <w:tc>
          <w:tcPr>
            <w:tcW w:w="7375" w:type="dxa"/>
          </w:tcPr>
          <w:p w14:paraId="714743ED" w14:textId="77777777" w:rsidR="0040369C" w:rsidRPr="0040369C" w:rsidRDefault="0040369C" w:rsidP="0040369C">
            <w:pPr>
              <w:pStyle w:val="Reminders"/>
              <w:rPr>
                <w:rFonts w:asciiTheme="minorHAnsi" w:hAnsiTheme="minorHAnsi" w:cstheme="minorHAnsi"/>
                <w:i w:val="0"/>
                <w:color w:val="auto"/>
                <w:sz w:val="20"/>
                <w:szCs w:val="20"/>
              </w:rPr>
            </w:pPr>
            <w:r w:rsidRPr="0040369C">
              <w:rPr>
                <w:rFonts w:asciiTheme="minorHAnsi" w:hAnsiTheme="minorHAnsi" w:cstheme="minorHAnsi"/>
                <w:b/>
                <w:i w:val="0"/>
                <w:color w:val="auto"/>
                <w:sz w:val="20"/>
                <w:szCs w:val="20"/>
              </w:rPr>
              <w:t>Title 20 2016:</w:t>
            </w:r>
            <w:r w:rsidRPr="0040369C">
              <w:rPr>
                <w:rFonts w:asciiTheme="minorHAnsi" w:hAnsiTheme="minorHAnsi" w:cstheme="minorHAnsi"/>
                <w:i w:val="0"/>
                <w:color w:val="auto"/>
                <w:sz w:val="20"/>
                <w:szCs w:val="20"/>
              </w:rPr>
              <w:t xml:space="preserve"> Section 1605.1, Table H-3 provides requirements for aerators</w:t>
            </w:r>
            <w:r w:rsidR="001B69CA">
              <w:rPr>
                <w:rFonts w:asciiTheme="minorHAnsi" w:hAnsiTheme="minorHAnsi" w:cstheme="minorHAnsi"/>
                <w:i w:val="0"/>
                <w:color w:val="auto"/>
                <w:sz w:val="20"/>
                <w:szCs w:val="20"/>
              </w:rPr>
              <w:t xml:space="preserve"> and </w:t>
            </w:r>
            <w:r>
              <w:rPr>
                <w:rFonts w:asciiTheme="minorHAnsi" w:hAnsiTheme="minorHAnsi" w:cstheme="minorHAnsi"/>
                <w:i w:val="0"/>
                <w:color w:val="auto"/>
                <w:sz w:val="20"/>
                <w:szCs w:val="20"/>
              </w:rPr>
              <w:t>Table H-4 provides requirements for kitchen aerators</w:t>
            </w:r>
            <w:r w:rsidR="001B69CA">
              <w:rPr>
                <w:rFonts w:asciiTheme="minorHAnsi" w:hAnsiTheme="minorHAnsi" w:cstheme="minorHAnsi"/>
                <w:i w:val="0"/>
                <w:color w:val="auto"/>
                <w:sz w:val="20"/>
                <w:szCs w:val="20"/>
              </w:rPr>
              <w:t xml:space="preserve">. </w:t>
            </w:r>
            <w:r w:rsidRPr="0040369C">
              <w:rPr>
                <w:rFonts w:asciiTheme="minorHAnsi" w:hAnsiTheme="minorHAnsi" w:cstheme="minorHAnsi"/>
                <w:i w:val="0"/>
                <w:color w:val="auto"/>
                <w:sz w:val="20"/>
                <w:szCs w:val="20"/>
              </w:rPr>
              <w:t xml:space="preserve">The measure cases in this work paper have lower flow rates (1.0 </w:t>
            </w:r>
            <w:proofErr w:type="spellStart"/>
            <w:r w:rsidRPr="0040369C">
              <w:rPr>
                <w:rFonts w:asciiTheme="minorHAnsi" w:hAnsiTheme="minorHAnsi" w:cstheme="minorHAnsi"/>
                <w:i w:val="0"/>
                <w:color w:val="auto"/>
                <w:sz w:val="20"/>
                <w:szCs w:val="20"/>
              </w:rPr>
              <w:t>gpm</w:t>
            </w:r>
            <w:proofErr w:type="spellEnd"/>
            <w:r w:rsidRPr="0040369C">
              <w:rPr>
                <w:rFonts w:asciiTheme="minorHAnsi" w:hAnsiTheme="minorHAnsi" w:cstheme="minorHAnsi"/>
                <w:i w:val="0"/>
                <w:color w:val="auto"/>
                <w:sz w:val="20"/>
                <w:szCs w:val="20"/>
              </w:rPr>
              <w:t xml:space="preserve"> for</w:t>
            </w:r>
            <w:r w:rsidR="001B69CA">
              <w:rPr>
                <w:rFonts w:asciiTheme="minorHAnsi" w:hAnsiTheme="minorHAnsi" w:cstheme="minorHAnsi"/>
                <w:i w:val="0"/>
                <w:color w:val="auto"/>
                <w:sz w:val="20"/>
                <w:szCs w:val="20"/>
              </w:rPr>
              <w:t xml:space="preserve"> laboratory</w:t>
            </w:r>
            <w:r w:rsidRPr="0040369C">
              <w:rPr>
                <w:rFonts w:asciiTheme="minorHAnsi" w:hAnsiTheme="minorHAnsi" w:cstheme="minorHAnsi"/>
                <w:i w:val="0"/>
                <w:color w:val="auto"/>
                <w:sz w:val="20"/>
                <w:szCs w:val="20"/>
              </w:rPr>
              <w:t xml:space="preserve"> aerators</w:t>
            </w:r>
            <w:r w:rsidR="001B69CA">
              <w:rPr>
                <w:rFonts w:asciiTheme="minorHAnsi" w:hAnsiTheme="minorHAnsi" w:cstheme="minorHAnsi"/>
                <w:i w:val="0"/>
                <w:color w:val="auto"/>
                <w:sz w:val="20"/>
                <w:szCs w:val="20"/>
              </w:rPr>
              <w:t xml:space="preserve"> and 1.5 for kitchen sink aerators</w:t>
            </w:r>
            <w:r w:rsidR="00C50122">
              <w:rPr>
                <w:rFonts w:asciiTheme="minorHAnsi" w:hAnsiTheme="minorHAnsi" w:cstheme="minorHAnsi"/>
                <w:i w:val="0"/>
                <w:color w:val="auto"/>
                <w:sz w:val="20"/>
                <w:szCs w:val="20"/>
              </w:rPr>
              <w:t xml:space="preserve">) </w:t>
            </w:r>
            <w:r w:rsidRPr="0040369C">
              <w:rPr>
                <w:rFonts w:asciiTheme="minorHAnsi" w:hAnsiTheme="minorHAnsi" w:cstheme="minorHAnsi"/>
                <w:i w:val="0"/>
                <w:color w:val="auto"/>
                <w:sz w:val="20"/>
                <w:szCs w:val="20"/>
              </w:rPr>
              <w:t xml:space="preserve">when compared to 2016 Title-20 standards. </w:t>
            </w:r>
          </w:p>
          <w:p w14:paraId="5605CF9C" w14:textId="77777777" w:rsidR="0040369C" w:rsidRDefault="0040369C" w:rsidP="0040369C">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102BD2FD" wp14:editId="7C49F060">
                  <wp:extent cx="4545965" cy="1624330"/>
                  <wp:effectExtent l="0" t="0" r="6985" b="0"/>
                  <wp:docPr id="4" name="Picture 4"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74BB99.tmp"/>
                          <pic:cNvPicPr/>
                        </pic:nvPicPr>
                        <pic:blipFill>
                          <a:blip r:embed="rId11">
                            <a:extLst>
                              <a:ext uri="{28A0092B-C50C-407E-A947-70E740481C1C}">
                                <a14:useLocalDpi xmlns:a14="http://schemas.microsoft.com/office/drawing/2010/main" val="0"/>
                              </a:ext>
                            </a:extLst>
                          </a:blip>
                          <a:stretch>
                            <a:fillRect/>
                          </a:stretch>
                        </pic:blipFill>
                        <pic:spPr>
                          <a:xfrm>
                            <a:off x="0" y="0"/>
                            <a:ext cx="4545965" cy="1624330"/>
                          </a:xfrm>
                          <a:prstGeom prst="rect">
                            <a:avLst/>
                          </a:prstGeom>
                        </pic:spPr>
                      </pic:pic>
                    </a:graphicData>
                  </a:graphic>
                </wp:inline>
              </w:drawing>
            </w:r>
          </w:p>
          <w:p w14:paraId="37FA7EE5" w14:textId="77777777" w:rsidR="0040369C" w:rsidRDefault="0040369C" w:rsidP="0040369C">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3B97831E" wp14:editId="3E8DF3A2">
                  <wp:extent cx="4545965" cy="1455420"/>
                  <wp:effectExtent l="0" t="0" r="6985" b="0"/>
                  <wp:docPr id="5" name="Picture 5"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74251D.tmp"/>
                          <pic:cNvPicPr/>
                        </pic:nvPicPr>
                        <pic:blipFill>
                          <a:blip r:embed="rId12">
                            <a:extLst>
                              <a:ext uri="{28A0092B-C50C-407E-A947-70E740481C1C}">
                                <a14:useLocalDpi xmlns:a14="http://schemas.microsoft.com/office/drawing/2010/main" val="0"/>
                              </a:ext>
                            </a:extLst>
                          </a:blip>
                          <a:stretch>
                            <a:fillRect/>
                          </a:stretch>
                        </pic:blipFill>
                        <pic:spPr>
                          <a:xfrm>
                            <a:off x="0" y="0"/>
                            <a:ext cx="4545965" cy="1455420"/>
                          </a:xfrm>
                          <a:prstGeom prst="rect">
                            <a:avLst/>
                          </a:prstGeom>
                        </pic:spPr>
                      </pic:pic>
                    </a:graphicData>
                  </a:graphic>
                </wp:inline>
              </w:drawing>
            </w:r>
          </w:p>
          <w:p w14:paraId="17ED0EBA" w14:textId="77777777" w:rsidR="00AC5F34" w:rsidRPr="0040369C" w:rsidRDefault="00AC5F34" w:rsidP="00AC5F34">
            <w:pPr>
              <w:pStyle w:val="Reminders"/>
              <w:rPr>
                <w:rFonts w:asciiTheme="minorHAnsi" w:hAnsiTheme="minorHAnsi" w:cstheme="minorHAnsi"/>
                <w:i w:val="0"/>
                <w:color w:val="auto"/>
                <w:sz w:val="20"/>
                <w:szCs w:val="20"/>
              </w:rPr>
            </w:pPr>
            <w:r w:rsidRPr="0040369C">
              <w:rPr>
                <w:rFonts w:asciiTheme="minorHAnsi" w:hAnsiTheme="minorHAnsi" w:cstheme="minorHAnsi"/>
                <w:i w:val="0"/>
                <w:color w:val="auto"/>
                <w:sz w:val="20"/>
                <w:szCs w:val="20"/>
              </w:rPr>
              <w:t>Section 1605.1, Table H-5 provides requirements for showerheads. The measure cases in this work paper have lower flow rates (</w:t>
            </w:r>
            <w:r>
              <w:rPr>
                <w:rFonts w:asciiTheme="minorHAnsi" w:hAnsiTheme="minorHAnsi" w:cstheme="minorHAnsi"/>
                <w:i w:val="0"/>
                <w:color w:val="auto"/>
                <w:sz w:val="20"/>
                <w:szCs w:val="20"/>
              </w:rPr>
              <w:t>1.5</w:t>
            </w:r>
            <w:r w:rsidRPr="0040369C">
              <w:rPr>
                <w:rFonts w:asciiTheme="minorHAnsi" w:hAnsiTheme="minorHAnsi" w:cstheme="minorHAnsi"/>
                <w:i w:val="0"/>
                <w:color w:val="auto"/>
                <w:sz w:val="20"/>
                <w:szCs w:val="20"/>
              </w:rPr>
              <w:t xml:space="preserve"> </w:t>
            </w:r>
            <w:proofErr w:type="spellStart"/>
            <w:r w:rsidRPr="0040369C">
              <w:rPr>
                <w:rFonts w:asciiTheme="minorHAnsi" w:hAnsiTheme="minorHAnsi" w:cstheme="minorHAnsi"/>
                <w:i w:val="0"/>
                <w:color w:val="auto"/>
                <w:sz w:val="20"/>
                <w:szCs w:val="20"/>
              </w:rPr>
              <w:t>gpm</w:t>
            </w:r>
            <w:proofErr w:type="spellEnd"/>
            <w:r w:rsidRPr="0040369C">
              <w:rPr>
                <w:rFonts w:asciiTheme="minorHAnsi" w:hAnsiTheme="minorHAnsi" w:cstheme="minorHAnsi"/>
                <w:i w:val="0"/>
                <w:color w:val="auto"/>
                <w:sz w:val="20"/>
                <w:szCs w:val="20"/>
              </w:rPr>
              <w:t xml:space="preserve"> for showerheads</w:t>
            </w:r>
            <w:r>
              <w:rPr>
                <w:rFonts w:asciiTheme="minorHAnsi" w:hAnsiTheme="minorHAnsi" w:cstheme="minorHAnsi"/>
                <w:i w:val="0"/>
                <w:color w:val="auto"/>
                <w:sz w:val="20"/>
                <w:szCs w:val="20"/>
              </w:rPr>
              <w:t xml:space="preserve">) </w:t>
            </w:r>
            <w:r w:rsidRPr="0040369C">
              <w:rPr>
                <w:rFonts w:asciiTheme="minorHAnsi" w:hAnsiTheme="minorHAnsi" w:cstheme="minorHAnsi"/>
                <w:i w:val="0"/>
                <w:color w:val="auto"/>
                <w:sz w:val="20"/>
                <w:szCs w:val="20"/>
              </w:rPr>
              <w:t xml:space="preserve">when compared to 2016 Title-20 standards. </w:t>
            </w:r>
            <w:r>
              <w:rPr>
                <w:rFonts w:asciiTheme="minorHAnsi" w:hAnsiTheme="minorHAnsi" w:cstheme="minorHAnsi"/>
                <w:i w:val="0"/>
                <w:color w:val="auto"/>
                <w:sz w:val="20"/>
                <w:szCs w:val="20"/>
              </w:rPr>
              <w:t xml:space="preserve">This will still be true on July 1, 2018 when showerhead minimum flow rate is reduced to 1.8 </w:t>
            </w:r>
            <w:proofErr w:type="spellStart"/>
            <w:r>
              <w:rPr>
                <w:rFonts w:asciiTheme="minorHAnsi" w:hAnsiTheme="minorHAnsi" w:cstheme="minorHAnsi"/>
                <w:i w:val="0"/>
                <w:color w:val="auto"/>
                <w:sz w:val="20"/>
                <w:szCs w:val="20"/>
              </w:rPr>
              <w:t>gpm</w:t>
            </w:r>
            <w:proofErr w:type="spellEnd"/>
            <w:r>
              <w:rPr>
                <w:rFonts w:asciiTheme="minorHAnsi" w:hAnsiTheme="minorHAnsi" w:cstheme="minorHAnsi"/>
                <w:i w:val="0"/>
                <w:color w:val="auto"/>
                <w:sz w:val="20"/>
                <w:szCs w:val="20"/>
              </w:rPr>
              <w:t>.</w:t>
            </w:r>
          </w:p>
          <w:p w14:paraId="7C5AB81A" w14:textId="77777777" w:rsidR="00AC5F34" w:rsidRDefault="00AC5F34" w:rsidP="00AC5F34">
            <w:pPr>
              <w:pStyle w:val="Reminders"/>
              <w:rPr>
                <w:rFonts w:asciiTheme="minorHAnsi" w:hAnsiTheme="minorHAnsi" w:cstheme="minorHAnsi"/>
                <w:i w:val="0"/>
                <w:color w:val="auto"/>
                <w:szCs w:val="22"/>
              </w:rPr>
            </w:pPr>
          </w:p>
          <w:p w14:paraId="3F55C909" w14:textId="77777777" w:rsidR="00AC5F34" w:rsidRDefault="00AC5F34" w:rsidP="00AC5F34">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590E4765" wp14:editId="13D5C177">
                  <wp:extent cx="4545965" cy="2268855"/>
                  <wp:effectExtent l="0" t="0" r="6985" b="0"/>
                  <wp:docPr id="6"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74735D.tmp"/>
                          <pic:cNvPicPr/>
                        </pic:nvPicPr>
                        <pic:blipFill>
                          <a:blip r:embed="rId13">
                            <a:extLst>
                              <a:ext uri="{28A0092B-C50C-407E-A947-70E740481C1C}">
                                <a14:useLocalDpi xmlns:a14="http://schemas.microsoft.com/office/drawing/2010/main" val="0"/>
                              </a:ext>
                            </a:extLst>
                          </a:blip>
                          <a:stretch>
                            <a:fillRect/>
                          </a:stretch>
                        </pic:blipFill>
                        <pic:spPr>
                          <a:xfrm>
                            <a:off x="0" y="0"/>
                            <a:ext cx="4545965" cy="2268855"/>
                          </a:xfrm>
                          <a:prstGeom prst="rect">
                            <a:avLst/>
                          </a:prstGeom>
                        </pic:spPr>
                      </pic:pic>
                    </a:graphicData>
                  </a:graphic>
                </wp:inline>
              </w:drawing>
            </w:r>
          </w:p>
          <w:p w14:paraId="1FE2EE43" w14:textId="77777777" w:rsidR="000E65D6" w:rsidRPr="00653C4B" w:rsidRDefault="000E65D6" w:rsidP="005C1518">
            <w:pPr>
              <w:jc w:val="both"/>
              <w:rPr>
                <w:rFonts w:cs="Arial"/>
                <w:sz w:val="20"/>
                <w:szCs w:val="20"/>
              </w:rPr>
            </w:pPr>
          </w:p>
        </w:tc>
      </w:tr>
      <w:tr w:rsidR="00E84938" w14:paraId="0437F240" w14:textId="77777777" w:rsidTr="00F52060">
        <w:trPr>
          <w:cantSplit/>
        </w:trPr>
        <w:tc>
          <w:tcPr>
            <w:tcW w:w="1975" w:type="dxa"/>
          </w:tcPr>
          <w:p w14:paraId="77C16633" w14:textId="77777777" w:rsidR="00E84938" w:rsidRPr="001D77F7" w:rsidRDefault="00E84938" w:rsidP="008724D6">
            <w:pPr>
              <w:jc w:val="right"/>
              <w:rPr>
                <w:b/>
              </w:rPr>
            </w:pPr>
            <w:r w:rsidRPr="00197677">
              <w:rPr>
                <w:rFonts w:cs="Arial"/>
                <w:sz w:val="20"/>
                <w:szCs w:val="20"/>
              </w:rPr>
              <w:lastRenderedPageBreak/>
              <w:t>Requirements</w:t>
            </w:r>
          </w:p>
        </w:tc>
        <w:tc>
          <w:tcPr>
            <w:tcW w:w="7375" w:type="dxa"/>
          </w:tcPr>
          <w:p w14:paraId="517A9941" w14:textId="77777777" w:rsidR="00C50122" w:rsidRPr="00C50122" w:rsidRDefault="00C50122" w:rsidP="00C50122">
            <w:pPr>
              <w:pStyle w:val="Reminders"/>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Eligible building types are:</w:t>
            </w:r>
          </w:p>
          <w:p w14:paraId="67562DA6" w14:textId="77777777"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Single Family</w:t>
            </w:r>
          </w:p>
          <w:p w14:paraId="70222DBE" w14:textId="77777777"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Multi-family</w:t>
            </w:r>
          </w:p>
          <w:p w14:paraId="6A41B633" w14:textId="77777777"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Mobile Home - Double-Wide</w:t>
            </w:r>
          </w:p>
          <w:p w14:paraId="75F7BD2F" w14:textId="77777777" w:rsidR="00C50122" w:rsidRPr="00C50122" w:rsidRDefault="00C50122" w:rsidP="00C50122">
            <w:pPr>
              <w:pStyle w:val="Reminders"/>
              <w:rPr>
                <w:rFonts w:asciiTheme="minorHAnsi" w:hAnsiTheme="minorHAnsi" w:cstheme="minorHAnsi"/>
                <w:i w:val="0"/>
                <w:color w:val="auto"/>
                <w:sz w:val="20"/>
                <w:szCs w:val="20"/>
              </w:rPr>
            </w:pPr>
          </w:p>
          <w:p w14:paraId="704AE4C9" w14:textId="1B2E9F60" w:rsidR="00AF368D" w:rsidRPr="00555671" w:rsidRDefault="00C50122" w:rsidP="00AC5F34">
            <w:pPr>
              <w:pStyle w:val="Reminders"/>
              <w:rPr>
                <w:sz w:val="20"/>
                <w:szCs w:val="20"/>
              </w:rPr>
            </w:pPr>
            <w:r w:rsidRPr="00C50122">
              <w:rPr>
                <w:rFonts w:asciiTheme="minorHAnsi" w:hAnsiTheme="minorHAnsi" w:cstheme="minorHAnsi"/>
                <w:i w:val="0"/>
                <w:color w:val="auto"/>
                <w:sz w:val="20"/>
                <w:szCs w:val="20"/>
              </w:rPr>
              <w:t xml:space="preserve">All SDG&amp;E climate zones are eligible.  </w:t>
            </w:r>
          </w:p>
        </w:tc>
      </w:tr>
      <w:tr w:rsidR="00AF368D" w14:paraId="6F4CF8CA" w14:textId="77777777" w:rsidTr="00B94F6F">
        <w:trPr>
          <w:cantSplit/>
        </w:trPr>
        <w:tc>
          <w:tcPr>
            <w:tcW w:w="9350" w:type="dxa"/>
            <w:gridSpan w:val="2"/>
          </w:tcPr>
          <w:p w14:paraId="71554535" w14:textId="77777777" w:rsidR="00AF368D" w:rsidRPr="00D86243" w:rsidRDefault="00AF368D" w:rsidP="00B94F6F">
            <w:pPr>
              <w:rPr>
                <w:rFonts w:cs="Arial"/>
                <w:sz w:val="20"/>
                <w:szCs w:val="20"/>
              </w:rPr>
            </w:pPr>
            <w:r w:rsidRPr="001D77F7">
              <w:rPr>
                <w:b/>
              </w:rPr>
              <w:t>1.3 Installation Type and Delivery Mechanisms</w:t>
            </w:r>
          </w:p>
        </w:tc>
      </w:tr>
      <w:tr w:rsidR="00DB71F1" w14:paraId="6223F974" w14:textId="77777777" w:rsidTr="00F52060">
        <w:trPr>
          <w:cantSplit/>
        </w:trPr>
        <w:tc>
          <w:tcPr>
            <w:tcW w:w="1975" w:type="dxa"/>
            <w:vAlign w:val="center"/>
          </w:tcPr>
          <w:p w14:paraId="76F14501" w14:textId="77777777" w:rsidR="00DB71F1" w:rsidRPr="00822B6F" w:rsidRDefault="00DB71F1" w:rsidP="00B94F6F">
            <w:pPr>
              <w:jc w:val="right"/>
              <w:rPr>
                <w:sz w:val="20"/>
                <w:szCs w:val="20"/>
              </w:rPr>
            </w:pPr>
            <w:r w:rsidRPr="00822B6F">
              <w:rPr>
                <w:sz w:val="20"/>
                <w:szCs w:val="20"/>
              </w:rPr>
              <w:t>Installation Type</w:t>
            </w:r>
          </w:p>
        </w:tc>
        <w:tc>
          <w:tcPr>
            <w:tcW w:w="7375" w:type="dxa"/>
          </w:tcPr>
          <w:p w14:paraId="20F13FA9" w14:textId="77777777" w:rsidR="00CF2ABA" w:rsidRPr="00F52060" w:rsidRDefault="00F52060" w:rsidP="00FE636E">
            <w:pPr>
              <w:rPr>
                <w:rFonts w:cs="Arial"/>
                <w:sz w:val="20"/>
                <w:szCs w:val="20"/>
              </w:rPr>
            </w:pPr>
            <w:r w:rsidRPr="00F52060">
              <w:rPr>
                <w:sz w:val="20"/>
                <w:szCs w:val="20"/>
              </w:rPr>
              <w:t>Retrofit Add-on (REA)</w:t>
            </w:r>
          </w:p>
        </w:tc>
      </w:tr>
      <w:tr w:rsidR="00DB71F1" w14:paraId="2C016997" w14:textId="77777777" w:rsidTr="00F52060">
        <w:trPr>
          <w:cantSplit/>
        </w:trPr>
        <w:tc>
          <w:tcPr>
            <w:tcW w:w="1975" w:type="dxa"/>
            <w:vAlign w:val="center"/>
          </w:tcPr>
          <w:p w14:paraId="1925C6C9" w14:textId="77777777" w:rsidR="00DB71F1" w:rsidRPr="00822B6F" w:rsidRDefault="00DB71F1" w:rsidP="00B94F6F">
            <w:pPr>
              <w:jc w:val="right"/>
              <w:rPr>
                <w:sz w:val="20"/>
                <w:szCs w:val="20"/>
              </w:rPr>
            </w:pPr>
            <w:r w:rsidRPr="00822B6F">
              <w:rPr>
                <w:sz w:val="20"/>
                <w:szCs w:val="20"/>
              </w:rPr>
              <w:t>Delivery Mechanisms</w:t>
            </w:r>
          </w:p>
        </w:tc>
        <w:tc>
          <w:tcPr>
            <w:tcW w:w="7375" w:type="dxa"/>
          </w:tcPr>
          <w:p w14:paraId="02C580AD" w14:textId="60A7817C" w:rsidR="00A81245" w:rsidRDefault="00AC5F34" w:rsidP="00AC5F34">
            <w:pPr>
              <w:rPr>
                <w:rFonts w:cs="Arial"/>
                <w:sz w:val="20"/>
                <w:szCs w:val="20"/>
              </w:rPr>
            </w:pPr>
            <w:r>
              <w:rPr>
                <w:rFonts w:cs="Arial"/>
                <w:sz w:val="20"/>
                <w:szCs w:val="20"/>
              </w:rPr>
              <w:t>Measure 1: 404026-</w:t>
            </w:r>
            <w:r w:rsidRPr="00023AFF">
              <w:rPr>
                <w:rFonts w:cs="Arial"/>
                <w:sz w:val="20"/>
                <w:szCs w:val="20"/>
              </w:rPr>
              <w:t xml:space="preserve"> </w:t>
            </w:r>
            <w:r>
              <w:rPr>
                <w:rFonts w:cs="Arial"/>
                <w:sz w:val="20"/>
                <w:szCs w:val="20"/>
              </w:rPr>
              <w:t xml:space="preserve">Water Saving Kit </w:t>
            </w:r>
            <w:r w:rsidR="00A81245">
              <w:rPr>
                <w:rFonts w:cs="Arial"/>
                <w:sz w:val="20"/>
                <w:szCs w:val="20"/>
              </w:rPr>
              <w:t>(</w:t>
            </w:r>
            <w:proofErr w:type="spellStart"/>
            <w:r w:rsidR="00A81245">
              <w:rPr>
                <w:rFonts w:cs="Arial"/>
                <w:sz w:val="20"/>
                <w:szCs w:val="20"/>
              </w:rPr>
              <w:t>P</w:t>
            </w:r>
            <w:r w:rsidR="00A81245" w:rsidRPr="00A81245">
              <w:rPr>
                <w:rFonts w:cs="Arial"/>
                <w:sz w:val="20"/>
                <w:szCs w:val="20"/>
              </w:rPr>
              <w:t>reRebDown</w:t>
            </w:r>
            <w:proofErr w:type="spellEnd"/>
            <w:r w:rsidR="00A81245">
              <w:rPr>
                <w:rFonts w:cs="Arial"/>
                <w:sz w:val="20"/>
                <w:szCs w:val="20"/>
              </w:rPr>
              <w:t>)</w:t>
            </w:r>
          </w:p>
          <w:p w14:paraId="651CB3EB" w14:textId="77777777" w:rsidR="00A81245" w:rsidRDefault="00A81245" w:rsidP="00F21F76">
            <w:pPr>
              <w:rPr>
                <w:rFonts w:cs="Arial"/>
                <w:sz w:val="20"/>
                <w:szCs w:val="20"/>
              </w:rPr>
            </w:pPr>
          </w:p>
          <w:p w14:paraId="0EF6C572" w14:textId="77777777" w:rsidR="00B9551F" w:rsidRPr="00FE636E" w:rsidRDefault="00B9551F" w:rsidP="00FE636E">
            <w:pPr>
              <w:rPr>
                <w:rFonts w:cs="Arial"/>
                <w:sz w:val="20"/>
                <w:szCs w:val="20"/>
              </w:rPr>
            </w:pPr>
          </w:p>
        </w:tc>
      </w:tr>
      <w:tr w:rsidR="00DD2F3D" w14:paraId="25FD1CFC" w14:textId="77777777" w:rsidTr="00B94F6F">
        <w:trPr>
          <w:cantSplit/>
        </w:trPr>
        <w:tc>
          <w:tcPr>
            <w:tcW w:w="9350" w:type="dxa"/>
            <w:gridSpan w:val="2"/>
          </w:tcPr>
          <w:p w14:paraId="4D3C8668" w14:textId="77777777" w:rsidR="00DD2F3D" w:rsidRDefault="00DD2F3D" w:rsidP="00B94F6F">
            <w:r w:rsidRPr="001D77F7">
              <w:rPr>
                <w:b/>
              </w:rPr>
              <w:t>1.4.1 DEER Data</w:t>
            </w:r>
          </w:p>
        </w:tc>
      </w:tr>
      <w:tr w:rsidR="00DD7DBE" w14:paraId="75B4C212" w14:textId="77777777" w:rsidTr="00F52060">
        <w:trPr>
          <w:cantSplit/>
        </w:trPr>
        <w:tc>
          <w:tcPr>
            <w:tcW w:w="1975" w:type="dxa"/>
            <w:vAlign w:val="center"/>
          </w:tcPr>
          <w:p w14:paraId="7A4DBF91" w14:textId="77777777" w:rsidR="00DD7DBE" w:rsidRPr="00822B6F" w:rsidRDefault="00DD7DBE" w:rsidP="00DD7DBE">
            <w:pPr>
              <w:jc w:val="right"/>
              <w:rPr>
                <w:sz w:val="20"/>
                <w:szCs w:val="20"/>
              </w:rPr>
            </w:pPr>
            <w:r w:rsidRPr="00822B6F">
              <w:rPr>
                <w:sz w:val="20"/>
                <w:szCs w:val="20"/>
              </w:rPr>
              <w:t>Net-to-Gross Ratio</w:t>
            </w:r>
          </w:p>
        </w:tc>
        <w:tc>
          <w:tcPr>
            <w:tcW w:w="7375" w:type="dxa"/>
          </w:tcPr>
          <w:p w14:paraId="13BB1D95" w14:textId="68D210A7" w:rsidR="00E450A0" w:rsidRPr="004C6D60" w:rsidRDefault="00E450A0" w:rsidP="00E450A0">
            <w:pPr>
              <w:pStyle w:val="NoSpacing"/>
              <w:rPr>
                <w:sz w:val="20"/>
                <w:szCs w:val="20"/>
              </w:rPr>
            </w:pPr>
            <w:r w:rsidRPr="004C6D60">
              <w:rPr>
                <w:sz w:val="20"/>
                <w:szCs w:val="20"/>
              </w:rPr>
              <w:t>The NTG values were obtained using the DEER READI tool. The relevant NTG values for the measures in this work paper are in the table below.</w:t>
            </w:r>
          </w:p>
          <w:p w14:paraId="5DD5B2C1" w14:textId="1D90DB42" w:rsidR="004C6D60" w:rsidRPr="004C6D60" w:rsidRDefault="004C6D60" w:rsidP="00E450A0">
            <w:pPr>
              <w:pStyle w:val="NoSpacing"/>
              <w:rPr>
                <w:sz w:val="20"/>
                <w:szCs w:val="20"/>
              </w:rPr>
            </w:pPr>
            <w:r w:rsidRPr="004C6D60">
              <w:rPr>
                <w:sz w:val="20"/>
                <w:szCs w:val="20"/>
              </w:rPr>
              <w:t>Faucets:</w:t>
            </w:r>
          </w:p>
          <w:p w14:paraId="0C6A9301" w14:textId="39A7EDC0" w:rsidR="00DD7DBE" w:rsidRDefault="00150257" w:rsidP="00DD7DBE">
            <w:pPr>
              <w:rPr>
                <w:rFonts w:cs="Arial"/>
                <w:color w:val="FF0000"/>
                <w:szCs w:val="20"/>
              </w:rPr>
            </w:pPr>
            <w:r>
              <w:rPr>
                <w:rFonts w:cs="Arial"/>
                <w:noProof/>
                <w:color w:val="FF0000"/>
                <w:szCs w:val="20"/>
              </w:rPr>
              <w:drawing>
                <wp:inline distT="0" distB="0" distL="0" distR="0" wp14:anchorId="113AFE0C" wp14:editId="0D01E236">
                  <wp:extent cx="4545965" cy="1077595"/>
                  <wp:effectExtent l="0" t="0" r="6985" b="8255"/>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42480.tmp"/>
                          <pic:cNvPicPr/>
                        </pic:nvPicPr>
                        <pic:blipFill>
                          <a:blip r:embed="rId14">
                            <a:extLst>
                              <a:ext uri="{28A0092B-C50C-407E-A947-70E740481C1C}">
                                <a14:useLocalDpi xmlns:a14="http://schemas.microsoft.com/office/drawing/2010/main" val="0"/>
                              </a:ext>
                            </a:extLst>
                          </a:blip>
                          <a:stretch>
                            <a:fillRect/>
                          </a:stretch>
                        </pic:blipFill>
                        <pic:spPr>
                          <a:xfrm>
                            <a:off x="0" y="0"/>
                            <a:ext cx="4545965" cy="1077595"/>
                          </a:xfrm>
                          <a:prstGeom prst="rect">
                            <a:avLst/>
                          </a:prstGeom>
                        </pic:spPr>
                      </pic:pic>
                    </a:graphicData>
                  </a:graphic>
                </wp:inline>
              </w:drawing>
            </w:r>
          </w:p>
          <w:p w14:paraId="6F9657D7" w14:textId="289B91D0" w:rsidR="00E450A0" w:rsidRPr="00500C4E" w:rsidRDefault="00E450A0" w:rsidP="00914A77">
            <w:pPr>
              <w:rPr>
                <w:rFonts w:cs="Arial"/>
                <w:color w:val="FF0000"/>
                <w:szCs w:val="20"/>
              </w:rPr>
            </w:pPr>
          </w:p>
        </w:tc>
      </w:tr>
      <w:tr w:rsidR="00DD7DBE" w14:paraId="37914677" w14:textId="77777777" w:rsidTr="00AF368D">
        <w:trPr>
          <w:cantSplit/>
          <w:trHeight w:val="845"/>
        </w:trPr>
        <w:tc>
          <w:tcPr>
            <w:tcW w:w="1975" w:type="dxa"/>
            <w:vAlign w:val="center"/>
          </w:tcPr>
          <w:p w14:paraId="32862D31" w14:textId="77777777" w:rsidR="00DD7DBE" w:rsidRPr="00822B6F" w:rsidRDefault="00DD7DBE" w:rsidP="00DD7DBE">
            <w:pPr>
              <w:jc w:val="right"/>
              <w:rPr>
                <w:sz w:val="20"/>
                <w:szCs w:val="20"/>
              </w:rPr>
            </w:pPr>
            <w:r w:rsidRPr="00822B6F">
              <w:rPr>
                <w:sz w:val="20"/>
                <w:szCs w:val="20"/>
              </w:rPr>
              <w:t>Effective and Remaining Useful Life</w:t>
            </w:r>
          </w:p>
        </w:tc>
        <w:tc>
          <w:tcPr>
            <w:tcW w:w="7375" w:type="dxa"/>
          </w:tcPr>
          <w:p w14:paraId="608085FE" w14:textId="77777777" w:rsidR="00DD7DBE" w:rsidRPr="00B7580B" w:rsidRDefault="00DD7DBE" w:rsidP="00DD7DBE">
            <w:pPr>
              <w:pStyle w:val="NoSpacing"/>
              <w:rPr>
                <w:sz w:val="20"/>
                <w:szCs w:val="20"/>
              </w:rPr>
            </w:pPr>
            <w:r w:rsidRPr="00B7580B">
              <w:rPr>
                <w:sz w:val="20"/>
                <w:szCs w:val="20"/>
              </w:rPr>
              <w:t xml:space="preserve">The EUL and RUL values were obtained using the DEER READI v2.4.7 tool. DEER defines the RUL as 1/3 of the EUL value. </w:t>
            </w:r>
          </w:p>
          <w:p w14:paraId="3DA14F45" w14:textId="77777777" w:rsidR="00DD7DBE" w:rsidRPr="00920905" w:rsidRDefault="00DD7DBE" w:rsidP="00DD7DBE">
            <w:pPr>
              <w:pStyle w:val="NoSpacing"/>
            </w:pPr>
          </w:p>
          <w:tbl>
            <w:tblPr>
              <w:tblStyle w:val="TableGrid1"/>
              <w:tblW w:w="5000" w:type="pct"/>
              <w:tblLayout w:type="fixed"/>
              <w:tblLook w:val="04A0" w:firstRow="1" w:lastRow="0" w:firstColumn="1" w:lastColumn="0" w:noHBand="0" w:noVBand="1"/>
            </w:tblPr>
            <w:tblGrid>
              <w:gridCol w:w="1375"/>
              <w:gridCol w:w="1859"/>
              <w:gridCol w:w="796"/>
              <w:gridCol w:w="1350"/>
              <w:gridCol w:w="811"/>
              <w:gridCol w:w="958"/>
            </w:tblGrid>
            <w:tr w:rsidR="00DD7DBE" w:rsidRPr="00500C4E" w14:paraId="49A53CB5" w14:textId="77777777" w:rsidTr="001B69CA">
              <w:tc>
                <w:tcPr>
                  <w:tcW w:w="962" w:type="pct"/>
                  <w:shd w:val="clear" w:color="auto" w:fill="D9D9D9" w:themeFill="background1" w:themeFillShade="D9"/>
                </w:tcPr>
                <w:p w14:paraId="706AD66A" w14:textId="77777777" w:rsidR="00DD7DBE" w:rsidRPr="00920905" w:rsidRDefault="00DD7DBE" w:rsidP="00DD7DBE">
                  <w:pPr>
                    <w:rPr>
                      <w:rFonts w:cstheme="minorHAnsi"/>
                      <w:b/>
                      <w:szCs w:val="20"/>
                    </w:rPr>
                  </w:pPr>
                  <w:r w:rsidRPr="00920905">
                    <w:rPr>
                      <w:rFonts w:cstheme="minorHAnsi"/>
                      <w:b/>
                      <w:szCs w:val="20"/>
                    </w:rPr>
                    <w:t>EUL ID</w:t>
                  </w:r>
                </w:p>
              </w:tc>
              <w:tc>
                <w:tcPr>
                  <w:tcW w:w="1300" w:type="pct"/>
                  <w:shd w:val="clear" w:color="auto" w:fill="D9D9D9" w:themeFill="background1" w:themeFillShade="D9"/>
                </w:tcPr>
                <w:p w14:paraId="4DB0A43B" w14:textId="77777777" w:rsidR="00DD7DBE" w:rsidRPr="00920905" w:rsidRDefault="00DD7DBE" w:rsidP="00DD7DBE">
                  <w:pPr>
                    <w:rPr>
                      <w:rFonts w:cstheme="minorHAnsi"/>
                      <w:b/>
                      <w:szCs w:val="20"/>
                    </w:rPr>
                  </w:pPr>
                  <w:r w:rsidRPr="00920905">
                    <w:rPr>
                      <w:rFonts w:cstheme="minorHAnsi"/>
                      <w:b/>
                      <w:szCs w:val="20"/>
                    </w:rPr>
                    <w:t>Description</w:t>
                  </w:r>
                </w:p>
              </w:tc>
              <w:tc>
                <w:tcPr>
                  <w:tcW w:w="557" w:type="pct"/>
                  <w:shd w:val="clear" w:color="auto" w:fill="D9D9D9" w:themeFill="background1" w:themeFillShade="D9"/>
                </w:tcPr>
                <w:p w14:paraId="0C9951DD" w14:textId="77777777" w:rsidR="00DD7DBE" w:rsidRPr="00920905" w:rsidRDefault="00DD7DBE" w:rsidP="00DD7DBE">
                  <w:pPr>
                    <w:rPr>
                      <w:rFonts w:cstheme="minorHAnsi"/>
                      <w:b/>
                      <w:szCs w:val="20"/>
                    </w:rPr>
                  </w:pPr>
                  <w:r w:rsidRPr="00920905">
                    <w:rPr>
                      <w:rFonts w:cstheme="minorHAnsi"/>
                      <w:b/>
                      <w:szCs w:val="20"/>
                    </w:rPr>
                    <w:t>Sector</w:t>
                  </w:r>
                </w:p>
              </w:tc>
              <w:tc>
                <w:tcPr>
                  <w:tcW w:w="944" w:type="pct"/>
                  <w:shd w:val="clear" w:color="auto" w:fill="D9D9D9" w:themeFill="background1" w:themeFillShade="D9"/>
                </w:tcPr>
                <w:p w14:paraId="70E64A5F" w14:textId="77777777" w:rsidR="00DD7DBE" w:rsidRPr="00920905" w:rsidRDefault="00DD7DBE" w:rsidP="00DD7DBE">
                  <w:pPr>
                    <w:rPr>
                      <w:rFonts w:cstheme="minorHAnsi"/>
                      <w:b/>
                      <w:szCs w:val="20"/>
                    </w:rPr>
                  </w:pPr>
                  <w:proofErr w:type="spellStart"/>
                  <w:r w:rsidRPr="00920905">
                    <w:rPr>
                      <w:rFonts w:cstheme="minorHAnsi"/>
                      <w:b/>
                      <w:szCs w:val="20"/>
                    </w:rPr>
                    <w:t>UseCategory</w:t>
                  </w:r>
                  <w:proofErr w:type="spellEnd"/>
                </w:p>
              </w:tc>
              <w:tc>
                <w:tcPr>
                  <w:tcW w:w="567" w:type="pct"/>
                  <w:shd w:val="clear" w:color="auto" w:fill="D9D9D9" w:themeFill="background1" w:themeFillShade="D9"/>
                </w:tcPr>
                <w:p w14:paraId="4DC01C77" w14:textId="77777777" w:rsidR="00DD7DBE" w:rsidRPr="00920905" w:rsidRDefault="00DD7DBE" w:rsidP="00DD7DBE">
                  <w:pPr>
                    <w:rPr>
                      <w:rFonts w:cstheme="minorHAnsi"/>
                      <w:b/>
                      <w:szCs w:val="20"/>
                    </w:rPr>
                  </w:pPr>
                  <w:r w:rsidRPr="00920905">
                    <w:rPr>
                      <w:rFonts w:cstheme="minorHAnsi"/>
                      <w:b/>
                      <w:szCs w:val="20"/>
                    </w:rPr>
                    <w:t>EUL (Years)</w:t>
                  </w:r>
                </w:p>
              </w:tc>
              <w:tc>
                <w:tcPr>
                  <w:tcW w:w="670" w:type="pct"/>
                  <w:shd w:val="clear" w:color="auto" w:fill="D9D9D9" w:themeFill="background1" w:themeFillShade="D9"/>
                </w:tcPr>
                <w:p w14:paraId="5E10E81B" w14:textId="77777777" w:rsidR="00DD7DBE" w:rsidRPr="00920905" w:rsidRDefault="00DD7DBE" w:rsidP="00DD7DBE">
                  <w:pPr>
                    <w:rPr>
                      <w:rFonts w:cstheme="minorHAnsi"/>
                      <w:b/>
                      <w:szCs w:val="20"/>
                    </w:rPr>
                  </w:pPr>
                  <w:r w:rsidRPr="00920905">
                    <w:rPr>
                      <w:rFonts w:cstheme="minorHAnsi"/>
                      <w:b/>
                      <w:szCs w:val="20"/>
                    </w:rPr>
                    <w:t>RUL (Years)</w:t>
                  </w:r>
                </w:p>
              </w:tc>
            </w:tr>
            <w:tr w:rsidR="00DD7DBE" w:rsidRPr="00500C4E" w14:paraId="392E473C" w14:textId="77777777" w:rsidTr="001B69CA">
              <w:tc>
                <w:tcPr>
                  <w:tcW w:w="962" w:type="pct"/>
                </w:tcPr>
                <w:p w14:paraId="6316D0FB" w14:textId="77777777" w:rsidR="00DD7DBE" w:rsidRPr="00920905" w:rsidRDefault="00DD7DBE" w:rsidP="00DD7DBE">
                  <w:pPr>
                    <w:rPr>
                      <w:rFonts w:cstheme="minorHAnsi"/>
                      <w:b/>
                      <w:szCs w:val="20"/>
                    </w:rPr>
                  </w:pPr>
                  <w:proofErr w:type="spellStart"/>
                  <w:r w:rsidRPr="00ED5C3A">
                    <w:rPr>
                      <w:color w:val="000000"/>
                      <w:szCs w:val="20"/>
                    </w:rPr>
                    <w:t>WtrHt</w:t>
                  </w:r>
                  <w:proofErr w:type="spellEnd"/>
                  <w:r w:rsidRPr="00ED5C3A">
                    <w:rPr>
                      <w:color w:val="000000"/>
                      <w:szCs w:val="20"/>
                    </w:rPr>
                    <w:t>-WH-</w:t>
                  </w:r>
                  <w:proofErr w:type="spellStart"/>
                  <w:r w:rsidRPr="00ED5C3A">
                    <w:rPr>
                      <w:color w:val="000000"/>
                      <w:szCs w:val="20"/>
                    </w:rPr>
                    <w:t>Aertr</w:t>
                  </w:r>
                  <w:proofErr w:type="spellEnd"/>
                </w:p>
              </w:tc>
              <w:tc>
                <w:tcPr>
                  <w:tcW w:w="1300" w:type="pct"/>
                </w:tcPr>
                <w:p w14:paraId="7D5C163B" w14:textId="77777777" w:rsidR="00DD7DBE" w:rsidRPr="00920905" w:rsidRDefault="00DD7DBE" w:rsidP="00DD7DBE">
                  <w:pPr>
                    <w:rPr>
                      <w:rFonts w:cstheme="minorHAnsi"/>
                      <w:b/>
                      <w:szCs w:val="20"/>
                    </w:rPr>
                  </w:pPr>
                  <w:r w:rsidRPr="00ED5C3A">
                    <w:rPr>
                      <w:color w:val="000000"/>
                      <w:szCs w:val="20"/>
                    </w:rPr>
                    <w:t>Faucet Aerators</w:t>
                  </w:r>
                </w:p>
              </w:tc>
              <w:tc>
                <w:tcPr>
                  <w:tcW w:w="557" w:type="pct"/>
                </w:tcPr>
                <w:p w14:paraId="50CDC899" w14:textId="77777777" w:rsidR="00DD7DBE" w:rsidRPr="00920905" w:rsidRDefault="00DD7DBE" w:rsidP="00DD7DBE">
                  <w:pPr>
                    <w:rPr>
                      <w:rFonts w:cstheme="minorHAnsi"/>
                      <w:b/>
                      <w:szCs w:val="20"/>
                    </w:rPr>
                  </w:pPr>
                  <w:r w:rsidRPr="00ED5C3A">
                    <w:rPr>
                      <w:color w:val="000000"/>
                      <w:szCs w:val="20"/>
                    </w:rPr>
                    <w:t>Any</w:t>
                  </w:r>
                </w:p>
              </w:tc>
              <w:tc>
                <w:tcPr>
                  <w:tcW w:w="944" w:type="pct"/>
                </w:tcPr>
                <w:p w14:paraId="01957678" w14:textId="77777777" w:rsidR="00DD7DBE" w:rsidRPr="00920905" w:rsidRDefault="00DD7DBE" w:rsidP="00DD7DBE">
                  <w:pPr>
                    <w:rPr>
                      <w:rFonts w:cstheme="minorHAnsi"/>
                      <w:b/>
                      <w:szCs w:val="20"/>
                    </w:rPr>
                  </w:pPr>
                  <w:r w:rsidRPr="00ED5C3A">
                    <w:rPr>
                      <w:color w:val="000000"/>
                      <w:szCs w:val="20"/>
                    </w:rPr>
                    <w:t>SHW</w:t>
                  </w:r>
                </w:p>
              </w:tc>
              <w:tc>
                <w:tcPr>
                  <w:tcW w:w="567" w:type="pct"/>
                </w:tcPr>
                <w:p w14:paraId="5DEE87C0" w14:textId="77777777" w:rsidR="00DD7DBE" w:rsidRPr="00920905" w:rsidRDefault="00DD7DBE" w:rsidP="00DD7DBE">
                  <w:pPr>
                    <w:rPr>
                      <w:rFonts w:cstheme="minorHAnsi"/>
                      <w:b/>
                      <w:szCs w:val="20"/>
                    </w:rPr>
                  </w:pPr>
                  <w:r>
                    <w:rPr>
                      <w:color w:val="000000"/>
                      <w:szCs w:val="20"/>
                    </w:rPr>
                    <w:t>10</w:t>
                  </w:r>
                </w:p>
              </w:tc>
              <w:tc>
                <w:tcPr>
                  <w:tcW w:w="670" w:type="pct"/>
                </w:tcPr>
                <w:p w14:paraId="22DAA665" w14:textId="77777777" w:rsidR="00DD7DBE" w:rsidRPr="00920905" w:rsidRDefault="00DD7DBE" w:rsidP="00DD7DBE">
                  <w:pPr>
                    <w:rPr>
                      <w:rFonts w:cstheme="minorHAnsi"/>
                      <w:b/>
                      <w:szCs w:val="20"/>
                    </w:rPr>
                  </w:pPr>
                  <w:r>
                    <w:rPr>
                      <w:color w:val="000000"/>
                      <w:szCs w:val="20"/>
                    </w:rPr>
                    <w:t>3.33</w:t>
                  </w:r>
                </w:p>
              </w:tc>
            </w:tr>
          </w:tbl>
          <w:p w14:paraId="3F6F9AC5" w14:textId="77777777" w:rsidR="00DD7DBE" w:rsidRPr="00D86243" w:rsidRDefault="00DD7DBE" w:rsidP="00DD7DBE">
            <w:pPr>
              <w:tabs>
                <w:tab w:val="right" w:pos="6732"/>
              </w:tabs>
              <w:rPr>
                <w:rFonts w:cs="Arial"/>
                <w:sz w:val="20"/>
                <w:szCs w:val="20"/>
              </w:rPr>
            </w:pPr>
          </w:p>
        </w:tc>
      </w:tr>
      <w:tr w:rsidR="00DD7DBE" w14:paraId="2076DB7F" w14:textId="77777777" w:rsidTr="00AF368D">
        <w:trPr>
          <w:cantSplit/>
          <w:trHeight w:val="458"/>
        </w:trPr>
        <w:tc>
          <w:tcPr>
            <w:tcW w:w="9350" w:type="dxa"/>
            <w:gridSpan w:val="2"/>
            <w:vAlign w:val="center"/>
          </w:tcPr>
          <w:p w14:paraId="5B492755" w14:textId="77777777" w:rsidR="00DD7DBE" w:rsidRPr="00241A1F" w:rsidRDefault="00DD7DBE" w:rsidP="00DD7DBE">
            <w:pPr>
              <w:rPr>
                <w:rFonts w:cs="Arial"/>
                <w:sz w:val="20"/>
                <w:szCs w:val="20"/>
              </w:rPr>
            </w:pPr>
            <w:r w:rsidRPr="001D77F7">
              <w:rPr>
                <w:b/>
              </w:rPr>
              <w:t>Section 2. Calculation Methodology</w:t>
            </w:r>
          </w:p>
        </w:tc>
      </w:tr>
      <w:tr w:rsidR="00DD7DBE" w14:paraId="5826AE37" w14:textId="77777777" w:rsidTr="00F52060">
        <w:trPr>
          <w:cantSplit/>
        </w:trPr>
        <w:tc>
          <w:tcPr>
            <w:tcW w:w="1975" w:type="dxa"/>
            <w:vAlign w:val="center"/>
          </w:tcPr>
          <w:p w14:paraId="0ACF5508" w14:textId="77777777" w:rsidR="00DD7DBE" w:rsidRDefault="00DD7DBE" w:rsidP="00DD7DBE">
            <w:pPr>
              <w:jc w:val="right"/>
            </w:pPr>
            <w:r>
              <w:rPr>
                <w:rFonts w:cs="Arial"/>
                <w:sz w:val="20"/>
                <w:szCs w:val="20"/>
              </w:rPr>
              <w:t>Energy Savings/Peak Demand Reduction – All Measures</w:t>
            </w:r>
          </w:p>
        </w:tc>
        <w:tc>
          <w:tcPr>
            <w:tcW w:w="7375" w:type="dxa"/>
          </w:tcPr>
          <w:p w14:paraId="6E178C79" w14:textId="77777777" w:rsidR="004C6D60" w:rsidRDefault="004C6D60" w:rsidP="004C6D60">
            <w:pPr>
              <w:jc w:val="both"/>
              <w:rPr>
                <w:rFonts w:cs="Arial"/>
                <w:sz w:val="20"/>
                <w:szCs w:val="20"/>
              </w:rPr>
            </w:pPr>
            <w:r>
              <w:rPr>
                <w:rFonts w:cs="Arial"/>
                <w:sz w:val="20"/>
                <w:szCs w:val="20"/>
              </w:rPr>
              <w:t>The base energy consumption and measure energy consumption</w:t>
            </w:r>
            <w:r w:rsidRPr="00555671">
              <w:rPr>
                <w:rFonts w:cs="Arial"/>
                <w:sz w:val="20"/>
                <w:szCs w:val="20"/>
              </w:rPr>
              <w:t xml:space="preserve"> values</w:t>
            </w:r>
            <w:r>
              <w:rPr>
                <w:rFonts w:cs="Arial"/>
                <w:sz w:val="20"/>
                <w:szCs w:val="20"/>
              </w:rPr>
              <w:t xml:space="preserve"> are from </w:t>
            </w:r>
            <w:r>
              <w:rPr>
                <w:sz w:val="20"/>
                <w:szCs w:val="20"/>
              </w:rPr>
              <w:t xml:space="preserve">READI v2.4.7 for DEER ID </w:t>
            </w:r>
            <w:r w:rsidRPr="00F541A3">
              <w:rPr>
                <w:sz w:val="20"/>
                <w:szCs w:val="20"/>
              </w:rPr>
              <w:t>Res-</w:t>
            </w:r>
            <w:proofErr w:type="spellStart"/>
            <w:r w:rsidRPr="00F541A3">
              <w:rPr>
                <w:sz w:val="20"/>
                <w:szCs w:val="20"/>
              </w:rPr>
              <w:t>DHWSavingsKit</w:t>
            </w:r>
            <w:proofErr w:type="spellEnd"/>
            <w:r w:rsidRPr="00F541A3">
              <w:rPr>
                <w:sz w:val="20"/>
                <w:szCs w:val="20"/>
              </w:rPr>
              <w:t>-Both</w:t>
            </w:r>
            <w:r>
              <w:rPr>
                <w:sz w:val="20"/>
                <w:szCs w:val="20"/>
              </w:rPr>
              <w:t>.</w:t>
            </w:r>
          </w:p>
          <w:p w14:paraId="0A7D3288" w14:textId="77777777" w:rsidR="00DD7DBE" w:rsidRDefault="00DD7DBE" w:rsidP="0050595C">
            <w:pPr>
              <w:pStyle w:val="NoSpacing"/>
              <w:rPr>
                <w:rFonts w:cs="Arial"/>
                <w:sz w:val="20"/>
                <w:szCs w:val="20"/>
              </w:rPr>
            </w:pPr>
          </w:p>
          <w:p w14:paraId="5606A64D" w14:textId="08F08751" w:rsidR="007B0C15" w:rsidRPr="006970B1" w:rsidRDefault="007B0C15" w:rsidP="0050595C">
            <w:pPr>
              <w:pStyle w:val="NoSpacing"/>
              <w:rPr>
                <w:rFonts w:cs="Arial"/>
                <w:sz w:val="20"/>
                <w:szCs w:val="20"/>
              </w:rPr>
            </w:pPr>
            <w:r w:rsidRPr="00804C1C">
              <w:rPr>
                <w:sz w:val="20"/>
                <w:szCs w:val="20"/>
              </w:rPr>
              <w:t xml:space="preserve">Since SDG&amp;E provides </w:t>
            </w:r>
            <w:r>
              <w:rPr>
                <w:sz w:val="20"/>
                <w:szCs w:val="20"/>
              </w:rPr>
              <w:t xml:space="preserve">both </w:t>
            </w:r>
            <w:r w:rsidRPr="00804C1C">
              <w:rPr>
                <w:sz w:val="20"/>
                <w:szCs w:val="20"/>
              </w:rPr>
              <w:t>gas and electric</w:t>
            </w:r>
            <w:r>
              <w:rPr>
                <w:sz w:val="20"/>
                <w:szCs w:val="20"/>
              </w:rPr>
              <w:t xml:space="preserve">, </w:t>
            </w:r>
            <w:r w:rsidRPr="00804C1C">
              <w:rPr>
                <w:sz w:val="20"/>
                <w:szCs w:val="20"/>
              </w:rPr>
              <w:t xml:space="preserve">the </w:t>
            </w:r>
            <w:r>
              <w:rPr>
                <w:sz w:val="20"/>
                <w:szCs w:val="20"/>
              </w:rPr>
              <w:t xml:space="preserve">workpaper </w:t>
            </w:r>
            <w:r w:rsidRPr="00804C1C">
              <w:rPr>
                <w:sz w:val="20"/>
                <w:szCs w:val="20"/>
              </w:rPr>
              <w:t xml:space="preserve">savings use the savings defined as “both” in the </w:t>
            </w:r>
            <w:r w:rsidRPr="00804C1C">
              <w:rPr>
                <w:rFonts w:cstheme="minorHAnsi"/>
                <w:sz w:val="20"/>
                <w:szCs w:val="20"/>
              </w:rPr>
              <w:t>Energy Division disposition</w:t>
            </w:r>
            <w:r>
              <w:rPr>
                <w:rFonts w:cstheme="minorHAnsi"/>
                <w:sz w:val="20"/>
                <w:szCs w:val="20"/>
              </w:rPr>
              <w:t>.</w:t>
            </w:r>
          </w:p>
        </w:tc>
      </w:tr>
      <w:tr w:rsidR="00DD7DBE" w14:paraId="2A78DE70" w14:textId="77777777" w:rsidTr="00B94F6F">
        <w:trPr>
          <w:cantSplit/>
        </w:trPr>
        <w:tc>
          <w:tcPr>
            <w:tcW w:w="9350" w:type="dxa"/>
            <w:gridSpan w:val="2"/>
            <w:vAlign w:val="center"/>
          </w:tcPr>
          <w:p w14:paraId="5EF65071" w14:textId="77777777" w:rsidR="00DD7DBE" w:rsidRPr="00476F40" w:rsidRDefault="00DD7DBE" w:rsidP="00DD7DBE">
            <w:pPr>
              <w:tabs>
                <w:tab w:val="right" w:pos="6732"/>
              </w:tabs>
              <w:rPr>
                <w:rFonts w:cs="Arial"/>
                <w:sz w:val="20"/>
                <w:szCs w:val="20"/>
              </w:rPr>
            </w:pPr>
            <w:r w:rsidRPr="001D77F7">
              <w:rPr>
                <w:b/>
              </w:rPr>
              <w:t>Section 3. Load Shapes</w:t>
            </w:r>
          </w:p>
        </w:tc>
      </w:tr>
      <w:tr w:rsidR="00DD7DBE" w14:paraId="44465FA2" w14:textId="77777777" w:rsidTr="00F52060">
        <w:trPr>
          <w:cantSplit/>
        </w:trPr>
        <w:tc>
          <w:tcPr>
            <w:tcW w:w="1975" w:type="dxa"/>
            <w:vAlign w:val="center"/>
          </w:tcPr>
          <w:p w14:paraId="79FA2AED" w14:textId="77777777" w:rsidR="00DD7DBE" w:rsidRPr="00DD2F3D" w:rsidRDefault="00DD7DBE" w:rsidP="00DD7DBE">
            <w:r>
              <w:t>Load Shape</w:t>
            </w:r>
          </w:p>
        </w:tc>
        <w:tc>
          <w:tcPr>
            <w:tcW w:w="7375" w:type="dxa"/>
          </w:tcPr>
          <w:p w14:paraId="0D4DC7CD" w14:textId="77777777" w:rsidR="00DD7DBE" w:rsidRPr="00C85CA1" w:rsidRDefault="00DD7DBE" w:rsidP="00DD7DBE">
            <w:pPr>
              <w:rPr>
                <w:rFonts w:cstheme="minorHAnsi"/>
                <w:sz w:val="20"/>
                <w:szCs w:val="20"/>
              </w:rPr>
            </w:pPr>
            <w:r w:rsidRPr="00C85CA1">
              <w:rPr>
                <w:rFonts w:cstheme="minorHAnsi"/>
                <w:sz w:val="20"/>
                <w:szCs w:val="20"/>
              </w:rPr>
              <w:t>The ideal load shape for net benefits estimates would represent the difference between the base case and measure case. The closest load shapes that are applicable to the measures in this work paper are listed in the table below.</w:t>
            </w:r>
          </w:p>
          <w:tbl>
            <w:tblPr>
              <w:tblStyle w:val="TableGrid1"/>
              <w:tblW w:w="5000" w:type="pct"/>
              <w:tblLayout w:type="fixed"/>
              <w:tblLook w:val="01E0" w:firstRow="1" w:lastRow="1" w:firstColumn="1" w:lastColumn="1" w:noHBand="0" w:noVBand="0"/>
            </w:tblPr>
            <w:tblGrid>
              <w:gridCol w:w="2410"/>
              <w:gridCol w:w="2544"/>
              <w:gridCol w:w="2195"/>
            </w:tblGrid>
            <w:tr w:rsidR="0050595C" w:rsidRPr="00500C4E" w14:paraId="779F11E2" w14:textId="77777777" w:rsidTr="00403DE3">
              <w:tc>
                <w:tcPr>
                  <w:tcW w:w="1686" w:type="pct"/>
                  <w:shd w:val="clear" w:color="auto" w:fill="D9D9D9" w:themeFill="background1" w:themeFillShade="D9"/>
                </w:tcPr>
                <w:p w14:paraId="7BF6C721" w14:textId="77777777" w:rsidR="0050595C" w:rsidRPr="00920905" w:rsidRDefault="0050595C" w:rsidP="0050595C">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5423E04" w14:textId="77777777" w:rsidR="0050595C" w:rsidRPr="00920905" w:rsidRDefault="0050595C" w:rsidP="0050595C">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1951F134" w14:textId="77777777" w:rsidR="0050595C" w:rsidRPr="00920905" w:rsidRDefault="0050595C" w:rsidP="0050595C">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50595C" w:rsidRPr="00500C4E" w14:paraId="606F036E" w14:textId="77777777" w:rsidTr="00403DE3">
              <w:tc>
                <w:tcPr>
                  <w:tcW w:w="1686" w:type="pct"/>
                </w:tcPr>
                <w:p w14:paraId="2C7DFB92" w14:textId="77777777" w:rsidR="0050595C" w:rsidRPr="00920905" w:rsidRDefault="0050595C" w:rsidP="0050595C">
                  <w:pPr>
                    <w:rPr>
                      <w:rFonts w:cstheme="minorHAnsi"/>
                      <w:color w:val="FF0000"/>
                      <w:szCs w:val="20"/>
                    </w:rPr>
                  </w:pPr>
                  <w:r w:rsidRPr="00ED5C3A">
                    <w:rPr>
                      <w:rFonts w:cstheme="minorHAnsi"/>
                      <w:szCs w:val="20"/>
                    </w:rPr>
                    <w:t>Residential Mobile Home - Double-Wide</w:t>
                  </w:r>
                </w:p>
              </w:tc>
              <w:tc>
                <w:tcPr>
                  <w:tcW w:w="1779" w:type="pct"/>
                </w:tcPr>
                <w:p w14:paraId="7828DC3D" w14:textId="170CDBF9" w:rsidR="0050595C" w:rsidRPr="00920905" w:rsidRDefault="00455BE9" w:rsidP="0050595C">
                  <w:pPr>
                    <w:rPr>
                      <w:rFonts w:cstheme="minorHAnsi"/>
                      <w:color w:val="FF0000"/>
                      <w:szCs w:val="20"/>
                    </w:rPr>
                  </w:pPr>
                  <w:r w:rsidRPr="00901BD8">
                    <w:rPr>
                      <w:rFonts w:cstheme="minorHAnsi"/>
                      <w:szCs w:val="20"/>
                    </w:rPr>
                    <w:t>SDGE:19-RES-A</w:t>
                  </w:r>
                  <w:r>
                    <w:rPr>
                      <w:rFonts w:cstheme="minorHAnsi"/>
                      <w:szCs w:val="20"/>
                    </w:rPr>
                    <w:t>ll</w:t>
                  </w:r>
                  <w:r w:rsidRPr="00901BD8">
                    <w:rPr>
                      <w:rFonts w:cstheme="minorHAnsi"/>
                      <w:szCs w:val="20"/>
                    </w:rPr>
                    <w:t>Residential-WAT_HEAT</w:t>
                  </w:r>
                </w:p>
              </w:tc>
              <w:tc>
                <w:tcPr>
                  <w:tcW w:w="1535" w:type="pct"/>
                </w:tcPr>
                <w:p w14:paraId="529605F2" w14:textId="77777777" w:rsidR="0050595C" w:rsidRPr="00920905" w:rsidRDefault="0050595C" w:rsidP="0050595C">
                  <w:pPr>
                    <w:rPr>
                      <w:rFonts w:cstheme="minorHAnsi"/>
                      <w:color w:val="FF0000"/>
                      <w:szCs w:val="20"/>
                    </w:rPr>
                  </w:pPr>
                  <w:r w:rsidRPr="00ED5C3A">
                    <w:rPr>
                      <w:rFonts w:cstheme="minorHAnsi"/>
                      <w:szCs w:val="20"/>
                    </w:rPr>
                    <w:t>Residential</w:t>
                  </w:r>
                </w:p>
              </w:tc>
            </w:tr>
            <w:tr w:rsidR="0050595C" w:rsidRPr="00500C4E" w14:paraId="72FD131B" w14:textId="77777777" w:rsidTr="00403DE3">
              <w:tc>
                <w:tcPr>
                  <w:tcW w:w="1686" w:type="pct"/>
                </w:tcPr>
                <w:p w14:paraId="1DE39018" w14:textId="77777777" w:rsidR="0050595C" w:rsidRPr="00920905" w:rsidRDefault="0050595C" w:rsidP="0050595C">
                  <w:pPr>
                    <w:rPr>
                      <w:rFonts w:cstheme="minorHAnsi"/>
                      <w:color w:val="FF0000"/>
                      <w:szCs w:val="20"/>
                    </w:rPr>
                  </w:pPr>
                  <w:r w:rsidRPr="00ED5C3A">
                    <w:rPr>
                      <w:rFonts w:cstheme="minorHAnsi"/>
                      <w:szCs w:val="20"/>
                    </w:rPr>
                    <w:t>Residential Multi-family</w:t>
                  </w:r>
                </w:p>
              </w:tc>
              <w:tc>
                <w:tcPr>
                  <w:tcW w:w="1779" w:type="pct"/>
                </w:tcPr>
                <w:p w14:paraId="3E1BA93C" w14:textId="3659D875" w:rsidR="0050595C" w:rsidRPr="00920905" w:rsidRDefault="00455BE9" w:rsidP="0050595C">
                  <w:pPr>
                    <w:rPr>
                      <w:rFonts w:cstheme="minorHAnsi"/>
                      <w:color w:val="FF0000"/>
                      <w:szCs w:val="20"/>
                    </w:rPr>
                  </w:pPr>
                  <w:r w:rsidRPr="00901BD8">
                    <w:rPr>
                      <w:rFonts w:cstheme="minorHAnsi"/>
                      <w:szCs w:val="20"/>
                    </w:rPr>
                    <w:t>SDGE:19-RES-A</w:t>
                  </w:r>
                  <w:r>
                    <w:rPr>
                      <w:rFonts w:cstheme="minorHAnsi"/>
                      <w:szCs w:val="20"/>
                    </w:rPr>
                    <w:t>ll</w:t>
                  </w:r>
                  <w:r w:rsidRPr="00901BD8">
                    <w:rPr>
                      <w:rFonts w:cstheme="minorHAnsi"/>
                      <w:szCs w:val="20"/>
                    </w:rPr>
                    <w:t>Residential-WAT_HEAT</w:t>
                  </w:r>
                </w:p>
              </w:tc>
              <w:tc>
                <w:tcPr>
                  <w:tcW w:w="1535" w:type="pct"/>
                </w:tcPr>
                <w:p w14:paraId="46382555" w14:textId="77777777" w:rsidR="0050595C" w:rsidRPr="00920905" w:rsidRDefault="0050595C" w:rsidP="0050595C">
                  <w:pPr>
                    <w:rPr>
                      <w:rFonts w:cstheme="minorHAnsi"/>
                      <w:color w:val="FF0000"/>
                      <w:szCs w:val="20"/>
                    </w:rPr>
                  </w:pPr>
                  <w:r w:rsidRPr="00ED5C3A">
                    <w:rPr>
                      <w:rFonts w:cstheme="minorHAnsi"/>
                      <w:szCs w:val="20"/>
                    </w:rPr>
                    <w:t>Residential</w:t>
                  </w:r>
                </w:p>
              </w:tc>
            </w:tr>
            <w:tr w:rsidR="0050595C" w:rsidRPr="00500C4E" w14:paraId="2E1237A8" w14:textId="77777777" w:rsidTr="00403DE3">
              <w:tc>
                <w:tcPr>
                  <w:tcW w:w="1686" w:type="pct"/>
                </w:tcPr>
                <w:p w14:paraId="71D2DBDB" w14:textId="77777777" w:rsidR="0050595C" w:rsidRPr="00920905" w:rsidRDefault="0050595C" w:rsidP="0050595C">
                  <w:pPr>
                    <w:rPr>
                      <w:rFonts w:cstheme="minorHAnsi"/>
                      <w:color w:val="FF0000"/>
                      <w:szCs w:val="20"/>
                    </w:rPr>
                  </w:pPr>
                  <w:r w:rsidRPr="00ED5C3A">
                    <w:rPr>
                      <w:rFonts w:cstheme="minorHAnsi"/>
                      <w:szCs w:val="20"/>
                    </w:rPr>
                    <w:t>Residential Single Family</w:t>
                  </w:r>
                </w:p>
              </w:tc>
              <w:tc>
                <w:tcPr>
                  <w:tcW w:w="1779" w:type="pct"/>
                </w:tcPr>
                <w:p w14:paraId="414953E0" w14:textId="3E6DD016" w:rsidR="0050595C" w:rsidRPr="00920905" w:rsidRDefault="00455BE9" w:rsidP="0050595C">
                  <w:pPr>
                    <w:rPr>
                      <w:rFonts w:cstheme="minorHAnsi"/>
                      <w:color w:val="FF0000"/>
                      <w:szCs w:val="20"/>
                    </w:rPr>
                  </w:pPr>
                  <w:r w:rsidRPr="00901BD8">
                    <w:rPr>
                      <w:rFonts w:cstheme="minorHAnsi"/>
                      <w:szCs w:val="20"/>
                    </w:rPr>
                    <w:t>SDGE:19-RES-A</w:t>
                  </w:r>
                  <w:r>
                    <w:rPr>
                      <w:rFonts w:cstheme="minorHAnsi"/>
                      <w:szCs w:val="20"/>
                    </w:rPr>
                    <w:t>ll</w:t>
                  </w:r>
                  <w:r w:rsidRPr="00901BD8">
                    <w:rPr>
                      <w:rFonts w:cstheme="minorHAnsi"/>
                      <w:szCs w:val="20"/>
                    </w:rPr>
                    <w:t>Residential-WAT_HEAT</w:t>
                  </w:r>
                </w:p>
              </w:tc>
              <w:tc>
                <w:tcPr>
                  <w:tcW w:w="1535" w:type="pct"/>
                </w:tcPr>
                <w:p w14:paraId="352380D5" w14:textId="77777777" w:rsidR="0050595C" w:rsidRPr="00920905" w:rsidRDefault="0050595C" w:rsidP="0050595C">
                  <w:pPr>
                    <w:rPr>
                      <w:rFonts w:cstheme="minorHAnsi"/>
                      <w:color w:val="FF0000"/>
                      <w:szCs w:val="20"/>
                    </w:rPr>
                  </w:pPr>
                  <w:r w:rsidRPr="00ED5C3A">
                    <w:rPr>
                      <w:rFonts w:cstheme="minorHAnsi"/>
                      <w:szCs w:val="20"/>
                    </w:rPr>
                    <w:t>Residential</w:t>
                  </w:r>
                </w:p>
              </w:tc>
            </w:tr>
          </w:tbl>
          <w:p w14:paraId="0BEDFE6D" w14:textId="77777777" w:rsidR="00E450A0" w:rsidRDefault="00E450A0" w:rsidP="00DD7DBE">
            <w:pPr>
              <w:tabs>
                <w:tab w:val="right" w:pos="6732"/>
              </w:tabs>
              <w:rPr>
                <w:rFonts w:cstheme="minorHAnsi"/>
                <w:bCs/>
                <w:sz w:val="20"/>
              </w:rPr>
            </w:pPr>
          </w:p>
        </w:tc>
      </w:tr>
      <w:tr w:rsidR="00DD7DBE" w14:paraId="6A6013A0" w14:textId="77777777" w:rsidTr="00B94F6F">
        <w:trPr>
          <w:cantSplit/>
        </w:trPr>
        <w:tc>
          <w:tcPr>
            <w:tcW w:w="9350" w:type="dxa"/>
            <w:gridSpan w:val="2"/>
            <w:vAlign w:val="center"/>
          </w:tcPr>
          <w:p w14:paraId="5ACFA0FE" w14:textId="77777777" w:rsidR="00DD7DBE" w:rsidRDefault="00DD7DBE" w:rsidP="00DD7DBE">
            <w:pPr>
              <w:tabs>
                <w:tab w:val="right" w:pos="6732"/>
              </w:tabs>
              <w:rPr>
                <w:rFonts w:cstheme="minorHAnsi"/>
                <w:bCs/>
                <w:sz w:val="20"/>
              </w:rPr>
            </w:pPr>
            <w:r>
              <w:rPr>
                <w:b/>
              </w:rPr>
              <w:lastRenderedPageBreak/>
              <w:t>Section 4</w:t>
            </w:r>
            <w:r w:rsidRPr="00244805">
              <w:rPr>
                <w:b/>
              </w:rPr>
              <w:t xml:space="preserve">. </w:t>
            </w:r>
            <w:r>
              <w:rPr>
                <w:b/>
              </w:rPr>
              <w:t>Cost</w:t>
            </w:r>
          </w:p>
        </w:tc>
      </w:tr>
      <w:tr w:rsidR="00DD7DBE" w14:paraId="14456EC3" w14:textId="77777777" w:rsidTr="00B94F6F">
        <w:trPr>
          <w:cantSplit/>
        </w:trPr>
        <w:tc>
          <w:tcPr>
            <w:tcW w:w="9350" w:type="dxa"/>
            <w:gridSpan w:val="2"/>
            <w:vAlign w:val="center"/>
          </w:tcPr>
          <w:p w14:paraId="02DDDBC9" w14:textId="77777777" w:rsidR="00DD7DBE" w:rsidRDefault="00DD7DBE" w:rsidP="00DD7DBE">
            <w:pPr>
              <w:tabs>
                <w:tab w:val="right" w:pos="6732"/>
              </w:tabs>
              <w:rPr>
                <w:rFonts w:cstheme="minorHAnsi"/>
                <w:bCs/>
                <w:sz w:val="20"/>
              </w:rPr>
            </w:pPr>
            <w:r>
              <w:rPr>
                <w:b/>
              </w:rPr>
              <w:t>Section 4.1 Base and Measure Costs</w:t>
            </w:r>
          </w:p>
        </w:tc>
      </w:tr>
      <w:tr w:rsidR="00DD7DBE" w14:paraId="4238E521" w14:textId="77777777" w:rsidTr="00F52060">
        <w:trPr>
          <w:cantSplit/>
        </w:trPr>
        <w:tc>
          <w:tcPr>
            <w:tcW w:w="1975" w:type="dxa"/>
          </w:tcPr>
          <w:p w14:paraId="46B6DFEC" w14:textId="77777777" w:rsidR="00DD7DBE" w:rsidRPr="00D91B6C" w:rsidRDefault="00DD7DBE" w:rsidP="00DD7DBE">
            <w:r w:rsidRPr="00D91B6C">
              <w:t>Base Cost</w:t>
            </w:r>
          </w:p>
        </w:tc>
        <w:tc>
          <w:tcPr>
            <w:tcW w:w="7375" w:type="dxa"/>
          </w:tcPr>
          <w:p w14:paraId="70B92A3D" w14:textId="77777777" w:rsidR="00DD7DBE" w:rsidRPr="00A854EE" w:rsidRDefault="00DD7DBE" w:rsidP="00DD7DBE">
            <w:pPr>
              <w:rPr>
                <w:sz w:val="20"/>
                <w:szCs w:val="20"/>
              </w:rPr>
            </w:pPr>
            <w:r w:rsidRPr="00A854EE">
              <w:rPr>
                <w:sz w:val="20"/>
                <w:szCs w:val="20"/>
              </w:rPr>
              <w:t>The base case is the customer’s existing equipment; therefore, the base case cost is $0.00.</w:t>
            </w:r>
          </w:p>
          <w:p w14:paraId="0A964745" w14:textId="77777777" w:rsidR="00DD7DBE" w:rsidRPr="003B7A13" w:rsidRDefault="00DD7DBE" w:rsidP="00DD7DBE">
            <w:pPr>
              <w:rPr>
                <w:highlight w:val="yellow"/>
              </w:rPr>
            </w:pPr>
          </w:p>
        </w:tc>
      </w:tr>
      <w:tr w:rsidR="00DD7DBE" w14:paraId="0727D1DE" w14:textId="77777777" w:rsidTr="00F52060">
        <w:trPr>
          <w:cantSplit/>
        </w:trPr>
        <w:tc>
          <w:tcPr>
            <w:tcW w:w="1975" w:type="dxa"/>
          </w:tcPr>
          <w:p w14:paraId="1BBAEC45" w14:textId="77777777" w:rsidR="00DD7DBE" w:rsidRPr="00D91B6C" w:rsidRDefault="00DD7DBE" w:rsidP="00DD7DBE">
            <w:r w:rsidRPr="00D91B6C">
              <w:t xml:space="preserve">Measure Cost </w:t>
            </w:r>
          </w:p>
        </w:tc>
        <w:tc>
          <w:tcPr>
            <w:tcW w:w="7375" w:type="dxa"/>
          </w:tcPr>
          <w:p w14:paraId="26D4173F" w14:textId="71AFA5F5" w:rsidR="004C6D60" w:rsidRDefault="00A02A8B" w:rsidP="00A02A8B">
            <w:pPr>
              <w:rPr>
                <w:rFonts w:cstheme="minorHAnsi"/>
                <w:sz w:val="20"/>
                <w:szCs w:val="20"/>
              </w:rPr>
            </w:pPr>
            <w:r>
              <w:rPr>
                <w:rFonts w:cstheme="minorHAnsi"/>
                <w:sz w:val="20"/>
                <w:szCs w:val="20"/>
              </w:rPr>
              <w:t xml:space="preserve">The measure costs are </w:t>
            </w:r>
            <w:r w:rsidR="00926970">
              <w:rPr>
                <w:rFonts w:cstheme="minorHAnsi"/>
                <w:sz w:val="20"/>
                <w:szCs w:val="20"/>
              </w:rPr>
              <w:t>derived from Program’s negotiated price to put the kit and its “elements” together along with shipping and packaging.  The price per kit is $14.25</w:t>
            </w:r>
          </w:p>
          <w:p w14:paraId="53951AF8" w14:textId="4127E7F9" w:rsidR="00926970" w:rsidRDefault="00926970" w:rsidP="00A02A8B">
            <w:pPr>
              <w:rPr>
                <w:rFonts w:cstheme="minorHAnsi"/>
                <w:sz w:val="20"/>
                <w:szCs w:val="20"/>
              </w:rPr>
            </w:pPr>
          </w:p>
          <w:p w14:paraId="32FB23AF" w14:textId="6837048D" w:rsidR="00926970" w:rsidRDefault="00926970" w:rsidP="00A02A8B">
            <w:pPr>
              <w:rPr>
                <w:rFonts w:cstheme="minorHAnsi"/>
                <w:sz w:val="20"/>
                <w:szCs w:val="20"/>
              </w:rPr>
            </w:pPr>
            <w:r>
              <w:rPr>
                <w:rFonts w:cstheme="minorHAnsi"/>
                <w:sz w:val="20"/>
                <w:szCs w:val="20"/>
              </w:rPr>
              <w:t>However, given that the kit is a “giveaway” to the qualified gas account customer, the costs are absorbed through Direct Implementation expenditures.  The costs listed for the implementation would be listed as zero.  To include the costs would create double costs as it would be picked up again when we report the claims.</w:t>
            </w:r>
          </w:p>
          <w:p w14:paraId="4AEC9900" w14:textId="3CF46068" w:rsidR="004C6D60" w:rsidRDefault="004C6D60" w:rsidP="00DD7DBE">
            <w:pPr>
              <w:rPr>
                <w:rFonts w:cstheme="minorHAnsi"/>
                <w:sz w:val="20"/>
                <w:szCs w:val="20"/>
              </w:rPr>
            </w:pPr>
          </w:p>
          <w:p w14:paraId="06235D43" w14:textId="77777777" w:rsidR="004C6D60" w:rsidRPr="00B7580B" w:rsidRDefault="004C6D60" w:rsidP="00DD7DBE">
            <w:pPr>
              <w:rPr>
                <w:rFonts w:cstheme="minorHAnsi"/>
                <w:sz w:val="20"/>
                <w:szCs w:val="20"/>
              </w:rPr>
            </w:pPr>
          </w:p>
          <w:p w14:paraId="3410E4D7" w14:textId="3AA9109F" w:rsidR="00DD7DBE" w:rsidRPr="003B7A13" w:rsidRDefault="00DD7DBE" w:rsidP="001B69CA">
            <w:pPr>
              <w:rPr>
                <w:highlight w:val="yellow"/>
              </w:rPr>
            </w:pPr>
          </w:p>
        </w:tc>
      </w:tr>
    </w:tbl>
    <w:p w14:paraId="1DAAE93F" w14:textId="77777777" w:rsidR="001B5D6C" w:rsidRDefault="001B5D6C" w:rsidP="00FE636E">
      <w:pPr>
        <w:spacing w:after="200" w:line="276" w:lineRule="auto"/>
      </w:pPr>
    </w:p>
    <w:p w14:paraId="40C2E72F" w14:textId="77777777"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372C7" w14:textId="77777777" w:rsidR="00314259" w:rsidRDefault="00314259" w:rsidP="00FE520B">
      <w:r>
        <w:separator/>
      </w:r>
    </w:p>
  </w:endnote>
  <w:endnote w:type="continuationSeparator" w:id="0">
    <w:p w14:paraId="2C1DB343" w14:textId="77777777" w:rsidR="00314259" w:rsidRDefault="00314259"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D84E6" w14:textId="1D9BD20A" w:rsidR="00B94F6F" w:rsidRPr="00241A1F" w:rsidRDefault="00B94F6F" w:rsidP="00241A1F">
    <w:pPr>
      <w:pStyle w:val="Footer"/>
      <w:rPr>
        <w:rFonts w:cstheme="minorHAnsi"/>
        <w:b/>
        <w:szCs w:val="22"/>
      </w:rPr>
    </w:pPr>
    <w:r>
      <w:rPr>
        <w:b/>
      </w:rPr>
      <w:t xml:space="preserve">Workpaper </w:t>
    </w:r>
    <w:r w:rsidR="00F541A3">
      <w:rPr>
        <w:b/>
      </w:rPr>
      <w:t>WPSDGEREWH1062, Revision 0</w:t>
    </w:r>
    <w:r>
      <w:rPr>
        <w:b/>
      </w:rPr>
      <w:tab/>
    </w:r>
    <w:r>
      <w:rPr>
        <w:b/>
      </w:rPr>
      <w:tab/>
    </w:r>
    <w:r w:rsidR="00F541A3">
      <w:rPr>
        <w:rFonts w:cstheme="minorHAnsi"/>
        <w:b/>
        <w:szCs w:val="22"/>
      </w:rPr>
      <w:t>December 29</w:t>
    </w:r>
    <w:r w:rsidR="002A4F95">
      <w:rPr>
        <w:rFonts w:cstheme="minorHAnsi"/>
        <w:b/>
        <w:szCs w:val="22"/>
      </w:rPr>
      <w:t xml:space="preserve">, </w:t>
    </w:r>
    <w:r>
      <w:rPr>
        <w:rFonts w:cstheme="minorHAnsi"/>
        <w:b/>
        <w:szCs w:val="22"/>
      </w:rPr>
      <w:t>2017</w:t>
    </w:r>
  </w:p>
  <w:p w14:paraId="0D4049AB" w14:textId="45C90D7F" w:rsidR="00B94F6F" w:rsidRPr="009500DC" w:rsidRDefault="00B94F6F"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A010CD">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8935E" w14:textId="77777777" w:rsidR="00314259" w:rsidRDefault="00314259" w:rsidP="00FE520B">
      <w:r>
        <w:separator/>
      </w:r>
    </w:p>
  </w:footnote>
  <w:footnote w:type="continuationSeparator" w:id="0">
    <w:p w14:paraId="6111B935" w14:textId="77777777" w:rsidR="00314259" w:rsidRDefault="00314259"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F2DF0" w14:textId="6B934378" w:rsidR="0081511D" w:rsidRDefault="00815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A2171A"/>
    <w:multiLevelType w:val="hybridMultilevel"/>
    <w:tmpl w:val="CC52F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554291"/>
    <w:multiLevelType w:val="hybridMultilevel"/>
    <w:tmpl w:val="18189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EA41AD"/>
    <w:multiLevelType w:val="hybridMultilevel"/>
    <w:tmpl w:val="79D8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9"/>
  </w:num>
  <w:num w:numId="5">
    <w:abstractNumId w:val="16"/>
  </w:num>
  <w:num w:numId="6">
    <w:abstractNumId w:val="5"/>
  </w:num>
  <w:num w:numId="7">
    <w:abstractNumId w:val="23"/>
  </w:num>
  <w:num w:numId="8">
    <w:abstractNumId w:val="19"/>
  </w:num>
  <w:num w:numId="9">
    <w:abstractNumId w:val="6"/>
  </w:num>
  <w:num w:numId="10">
    <w:abstractNumId w:val="21"/>
  </w:num>
  <w:num w:numId="11">
    <w:abstractNumId w:val="22"/>
  </w:num>
  <w:num w:numId="12">
    <w:abstractNumId w:val="14"/>
  </w:num>
  <w:num w:numId="13">
    <w:abstractNumId w:val="24"/>
  </w:num>
  <w:num w:numId="14">
    <w:abstractNumId w:val="13"/>
  </w:num>
  <w:num w:numId="15">
    <w:abstractNumId w:val="15"/>
  </w:num>
  <w:num w:numId="16">
    <w:abstractNumId w:val="18"/>
  </w:num>
  <w:num w:numId="17">
    <w:abstractNumId w:val="12"/>
  </w:num>
  <w:num w:numId="18">
    <w:abstractNumId w:val="0"/>
  </w:num>
  <w:num w:numId="19">
    <w:abstractNumId w:val="7"/>
  </w:num>
  <w:num w:numId="20">
    <w:abstractNumId w:val="17"/>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20"/>
  </w:num>
  <w:num w:numId="23">
    <w:abstractNumId w:val="10"/>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AFF"/>
    <w:rsid w:val="00023C32"/>
    <w:rsid w:val="00027709"/>
    <w:rsid w:val="00031221"/>
    <w:rsid w:val="00031BA0"/>
    <w:rsid w:val="00036A2C"/>
    <w:rsid w:val="00051762"/>
    <w:rsid w:val="00052743"/>
    <w:rsid w:val="00052CE4"/>
    <w:rsid w:val="000562B9"/>
    <w:rsid w:val="000601B1"/>
    <w:rsid w:val="00067315"/>
    <w:rsid w:val="00067AF1"/>
    <w:rsid w:val="000719BF"/>
    <w:rsid w:val="000A2B83"/>
    <w:rsid w:val="000A3A47"/>
    <w:rsid w:val="000B6542"/>
    <w:rsid w:val="000C04F4"/>
    <w:rsid w:val="000C13AE"/>
    <w:rsid w:val="000C441A"/>
    <w:rsid w:val="000D243C"/>
    <w:rsid w:val="000E19CA"/>
    <w:rsid w:val="000E2CA6"/>
    <w:rsid w:val="000E65D6"/>
    <w:rsid w:val="000F6BA3"/>
    <w:rsid w:val="000F72EF"/>
    <w:rsid w:val="001039B0"/>
    <w:rsid w:val="001046CB"/>
    <w:rsid w:val="00104DA8"/>
    <w:rsid w:val="00121B4E"/>
    <w:rsid w:val="0012271D"/>
    <w:rsid w:val="00131C78"/>
    <w:rsid w:val="00143843"/>
    <w:rsid w:val="00150257"/>
    <w:rsid w:val="001505DA"/>
    <w:rsid w:val="001519FD"/>
    <w:rsid w:val="0016189C"/>
    <w:rsid w:val="001752E5"/>
    <w:rsid w:val="00183A2F"/>
    <w:rsid w:val="00194466"/>
    <w:rsid w:val="001979FF"/>
    <w:rsid w:val="001A11C1"/>
    <w:rsid w:val="001A3ED4"/>
    <w:rsid w:val="001A4875"/>
    <w:rsid w:val="001B1C8A"/>
    <w:rsid w:val="001B5D6C"/>
    <w:rsid w:val="001B69CA"/>
    <w:rsid w:val="001C3663"/>
    <w:rsid w:val="001D0AB9"/>
    <w:rsid w:val="001D57D7"/>
    <w:rsid w:val="001D6A64"/>
    <w:rsid w:val="001F64F8"/>
    <w:rsid w:val="00200310"/>
    <w:rsid w:val="00201A3F"/>
    <w:rsid w:val="00215828"/>
    <w:rsid w:val="00231DE1"/>
    <w:rsid w:val="00235AFB"/>
    <w:rsid w:val="00241A1F"/>
    <w:rsid w:val="00244447"/>
    <w:rsid w:val="00244805"/>
    <w:rsid w:val="0026709F"/>
    <w:rsid w:val="002805E5"/>
    <w:rsid w:val="00291B2B"/>
    <w:rsid w:val="002A4F95"/>
    <w:rsid w:val="002A6D41"/>
    <w:rsid w:val="002C1030"/>
    <w:rsid w:val="002C15E6"/>
    <w:rsid w:val="002D0BD6"/>
    <w:rsid w:val="002D7B3E"/>
    <w:rsid w:val="002E0948"/>
    <w:rsid w:val="002E24BE"/>
    <w:rsid w:val="002E6F38"/>
    <w:rsid w:val="002F24CE"/>
    <w:rsid w:val="00312618"/>
    <w:rsid w:val="00314259"/>
    <w:rsid w:val="00317E0E"/>
    <w:rsid w:val="00323C28"/>
    <w:rsid w:val="0032761E"/>
    <w:rsid w:val="00333116"/>
    <w:rsid w:val="0034557D"/>
    <w:rsid w:val="00360CFA"/>
    <w:rsid w:val="00373EC5"/>
    <w:rsid w:val="0039516E"/>
    <w:rsid w:val="003A0D2B"/>
    <w:rsid w:val="003A4277"/>
    <w:rsid w:val="003A7B4E"/>
    <w:rsid w:val="003B5806"/>
    <w:rsid w:val="003B5DCF"/>
    <w:rsid w:val="003B6A2A"/>
    <w:rsid w:val="003B7A13"/>
    <w:rsid w:val="003C2EE4"/>
    <w:rsid w:val="003D1C21"/>
    <w:rsid w:val="003D5B0F"/>
    <w:rsid w:val="003E035B"/>
    <w:rsid w:val="003E0DC8"/>
    <w:rsid w:val="003E122A"/>
    <w:rsid w:val="003E6E57"/>
    <w:rsid w:val="003E6FA5"/>
    <w:rsid w:val="003F1F0D"/>
    <w:rsid w:val="00402B3D"/>
    <w:rsid w:val="0040369C"/>
    <w:rsid w:val="00404A43"/>
    <w:rsid w:val="00413EF4"/>
    <w:rsid w:val="00431763"/>
    <w:rsid w:val="004402EE"/>
    <w:rsid w:val="004452CE"/>
    <w:rsid w:val="0044686E"/>
    <w:rsid w:val="00446BE5"/>
    <w:rsid w:val="004519B4"/>
    <w:rsid w:val="00455BE9"/>
    <w:rsid w:val="00467DB3"/>
    <w:rsid w:val="00471E5C"/>
    <w:rsid w:val="004748BE"/>
    <w:rsid w:val="00486A75"/>
    <w:rsid w:val="00492365"/>
    <w:rsid w:val="004A6215"/>
    <w:rsid w:val="004C6D60"/>
    <w:rsid w:val="004D0326"/>
    <w:rsid w:val="004D5D19"/>
    <w:rsid w:val="004E13B2"/>
    <w:rsid w:val="005019B4"/>
    <w:rsid w:val="0050595C"/>
    <w:rsid w:val="00513723"/>
    <w:rsid w:val="005248E2"/>
    <w:rsid w:val="0052622F"/>
    <w:rsid w:val="005428E1"/>
    <w:rsid w:val="00543687"/>
    <w:rsid w:val="00555671"/>
    <w:rsid w:val="005613FC"/>
    <w:rsid w:val="00567FEF"/>
    <w:rsid w:val="00580664"/>
    <w:rsid w:val="0059117D"/>
    <w:rsid w:val="00591D85"/>
    <w:rsid w:val="0059663B"/>
    <w:rsid w:val="005B5614"/>
    <w:rsid w:val="005C1518"/>
    <w:rsid w:val="005D5D5A"/>
    <w:rsid w:val="005E18A1"/>
    <w:rsid w:val="00623004"/>
    <w:rsid w:val="00636490"/>
    <w:rsid w:val="006374F1"/>
    <w:rsid w:val="00650C31"/>
    <w:rsid w:val="00650F0D"/>
    <w:rsid w:val="00653C4B"/>
    <w:rsid w:val="00666CDA"/>
    <w:rsid w:val="00682E19"/>
    <w:rsid w:val="00684ABA"/>
    <w:rsid w:val="00686789"/>
    <w:rsid w:val="006875B3"/>
    <w:rsid w:val="006921A3"/>
    <w:rsid w:val="00695478"/>
    <w:rsid w:val="006970B1"/>
    <w:rsid w:val="006A1F36"/>
    <w:rsid w:val="006A2396"/>
    <w:rsid w:val="006A3E63"/>
    <w:rsid w:val="006B0D5C"/>
    <w:rsid w:val="006D03F9"/>
    <w:rsid w:val="006D0515"/>
    <w:rsid w:val="006D2B70"/>
    <w:rsid w:val="00707736"/>
    <w:rsid w:val="00711B58"/>
    <w:rsid w:val="007176CD"/>
    <w:rsid w:val="00722C9C"/>
    <w:rsid w:val="00727839"/>
    <w:rsid w:val="00745965"/>
    <w:rsid w:val="00752529"/>
    <w:rsid w:val="00762D81"/>
    <w:rsid w:val="00764A26"/>
    <w:rsid w:val="00785AC8"/>
    <w:rsid w:val="00786E32"/>
    <w:rsid w:val="00787D7C"/>
    <w:rsid w:val="00792928"/>
    <w:rsid w:val="00797B54"/>
    <w:rsid w:val="007B0C15"/>
    <w:rsid w:val="007B13F3"/>
    <w:rsid w:val="007B18FE"/>
    <w:rsid w:val="007C67FB"/>
    <w:rsid w:val="007D0FE4"/>
    <w:rsid w:val="007D1A21"/>
    <w:rsid w:val="007D1F1E"/>
    <w:rsid w:val="007D3A21"/>
    <w:rsid w:val="007D4F8E"/>
    <w:rsid w:val="007D6FF1"/>
    <w:rsid w:val="007E7E00"/>
    <w:rsid w:val="00804C1C"/>
    <w:rsid w:val="008068A6"/>
    <w:rsid w:val="008137B0"/>
    <w:rsid w:val="0081511D"/>
    <w:rsid w:val="0081521B"/>
    <w:rsid w:val="00856FA4"/>
    <w:rsid w:val="00862113"/>
    <w:rsid w:val="00862764"/>
    <w:rsid w:val="008724D6"/>
    <w:rsid w:val="008775D7"/>
    <w:rsid w:val="00884B9C"/>
    <w:rsid w:val="00895D80"/>
    <w:rsid w:val="008A1557"/>
    <w:rsid w:val="008A1D1C"/>
    <w:rsid w:val="008A4224"/>
    <w:rsid w:val="008B5184"/>
    <w:rsid w:val="008C01F7"/>
    <w:rsid w:val="008C2C8A"/>
    <w:rsid w:val="008D0B3C"/>
    <w:rsid w:val="008E0850"/>
    <w:rsid w:val="008E5CD5"/>
    <w:rsid w:val="0090016E"/>
    <w:rsid w:val="00910D54"/>
    <w:rsid w:val="00914A77"/>
    <w:rsid w:val="00925509"/>
    <w:rsid w:val="00926970"/>
    <w:rsid w:val="0093657B"/>
    <w:rsid w:val="009374BC"/>
    <w:rsid w:val="0094267E"/>
    <w:rsid w:val="00950104"/>
    <w:rsid w:val="00950249"/>
    <w:rsid w:val="00957C01"/>
    <w:rsid w:val="009618BA"/>
    <w:rsid w:val="00984534"/>
    <w:rsid w:val="00985CB7"/>
    <w:rsid w:val="00986A83"/>
    <w:rsid w:val="009C3F2D"/>
    <w:rsid w:val="009C6AE8"/>
    <w:rsid w:val="009D6409"/>
    <w:rsid w:val="009E1662"/>
    <w:rsid w:val="009E2BC3"/>
    <w:rsid w:val="009E4A0D"/>
    <w:rsid w:val="009F3770"/>
    <w:rsid w:val="00A010CD"/>
    <w:rsid w:val="00A02A8B"/>
    <w:rsid w:val="00A051D9"/>
    <w:rsid w:val="00A21710"/>
    <w:rsid w:val="00A256A5"/>
    <w:rsid w:val="00A3401B"/>
    <w:rsid w:val="00A34393"/>
    <w:rsid w:val="00A578F7"/>
    <w:rsid w:val="00A61271"/>
    <w:rsid w:val="00A70C5F"/>
    <w:rsid w:val="00A75EDC"/>
    <w:rsid w:val="00A80861"/>
    <w:rsid w:val="00A81245"/>
    <w:rsid w:val="00A854EE"/>
    <w:rsid w:val="00A90F14"/>
    <w:rsid w:val="00A9441E"/>
    <w:rsid w:val="00A96751"/>
    <w:rsid w:val="00AA43C4"/>
    <w:rsid w:val="00AB5449"/>
    <w:rsid w:val="00AC5F34"/>
    <w:rsid w:val="00AD034F"/>
    <w:rsid w:val="00AD74B2"/>
    <w:rsid w:val="00AE4353"/>
    <w:rsid w:val="00AF368D"/>
    <w:rsid w:val="00B00846"/>
    <w:rsid w:val="00B079DA"/>
    <w:rsid w:val="00B16652"/>
    <w:rsid w:val="00B26A01"/>
    <w:rsid w:val="00B26A30"/>
    <w:rsid w:val="00B471CC"/>
    <w:rsid w:val="00B47B58"/>
    <w:rsid w:val="00B521D4"/>
    <w:rsid w:val="00B57F32"/>
    <w:rsid w:val="00B6098B"/>
    <w:rsid w:val="00B61FCD"/>
    <w:rsid w:val="00B75260"/>
    <w:rsid w:val="00B7580B"/>
    <w:rsid w:val="00B7668F"/>
    <w:rsid w:val="00B90F97"/>
    <w:rsid w:val="00B9234D"/>
    <w:rsid w:val="00B94F6F"/>
    <w:rsid w:val="00B9551F"/>
    <w:rsid w:val="00BA1B6B"/>
    <w:rsid w:val="00BB2D80"/>
    <w:rsid w:val="00BC237D"/>
    <w:rsid w:val="00BC6454"/>
    <w:rsid w:val="00BD4AFD"/>
    <w:rsid w:val="00BD5433"/>
    <w:rsid w:val="00C048F4"/>
    <w:rsid w:val="00C05E32"/>
    <w:rsid w:val="00C05EA6"/>
    <w:rsid w:val="00C06B9E"/>
    <w:rsid w:val="00C11ACD"/>
    <w:rsid w:val="00C12F3B"/>
    <w:rsid w:val="00C131CB"/>
    <w:rsid w:val="00C14DCC"/>
    <w:rsid w:val="00C15F66"/>
    <w:rsid w:val="00C228B0"/>
    <w:rsid w:val="00C23CAB"/>
    <w:rsid w:val="00C414A6"/>
    <w:rsid w:val="00C44E5A"/>
    <w:rsid w:val="00C462C1"/>
    <w:rsid w:val="00C50122"/>
    <w:rsid w:val="00C52867"/>
    <w:rsid w:val="00C54AC6"/>
    <w:rsid w:val="00C5648F"/>
    <w:rsid w:val="00C6110B"/>
    <w:rsid w:val="00C62A00"/>
    <w:rsid w:val="00C64A59"/>
    <w:rsid w:val="00C7215A"/>
    <w:rsid w:val="00C75814"/>
    <w:rsid w:val="00C85CA1"/>
    <w:rsid w:val="00CA1C3F"/>
    <w:rsid w:val="00CA35A2"/>
    <w:rsid w:val="00CA48A0"/>
    <w:rsid w:val="00CB10BC"/>
    <w:rsid w:val="00CB78FF"/>
    <w:rsid w:val="00CC0FFE"/>
    <w:rsid w:val="00CD0996"/>
    <w:rsid w:val="00CD0B17"/>
    <w:rsid w:val="00CD0F98"/>
    <w:rsid w:val="00CF295D"/>
    <w:rsid w:val="00CF2ABA"/>
    <w:rsid w:val="00D02F02"/>
    <w:rsid w:val="00D204BF"/>
    <w:rsid w:val="00D4142C"/>
    <w:rsid w:val="00D42B54"/>
    <w:rsid w:val="00D60240"/>
    <w:rsid w:val="00D645DB"/>
    <w:rsid w:val="00D73600"/>
    <w:rsid w:val="00D73723"/>
    <w:rsid w:val="00DA4D9F"/>
    <w:rsid w:val="00DA5D17"/>
    <w:rsid w:val="00DB544A"/>
    <w:rsid w:val="00DB71F1"/>
    <w:rsid w:val="00DB7C6D"/>
    <w:rsid w:val="00DC42DE"/>
    <w:rsid w:val="00DC7243"/>
    <w:rsid w:val="00DD2F3D"/>
    <w:rsid w:val="00DD7DBE"/>
    <w:rsid w:val="00DE1C5D"/>
    <w:rsid w:val="00DE364E"/>
    <w:rsid w:val="00E048EA"/>
    <w:rsid w:val="00E05871"/>
    <w:rsid w:val="00E05B9C"/>
    <w:rsid w:val="00E159C8"/>
    <w:rsid w:val="00E165FC"/>
    <w:rsid w:val="00E33C12"/>
    <w:rsid w:val="00E372B8"/>
    <w:rsid w:val="00E408A9"/>
    <w:rsid w:val="00E41345"/>
    <w:rsid w:val="00E450A0"/>
    <w:rsid w:val="00E455B7"/>
    <w:rsid w:val="00E56CE7"/>
    <w:rsid w:val="00E6385A"/>
    <w:rsid w:val="00E65DD7"/>
    <w:rsid w:val="00E6631C"/>
    <w:rsid w:val="00E733C7"/>
    <w:rsid w:val="00E76853"/>
    <w:rsid w:val="00E84938"/>
    <w:rsid w:val="00E859F0"/>
    <w:rsid w:val="00EB2DBB"/>
    <w:rsid w:val="00EB319F"/>
    <w:rsid w:val="00EC34A0"/>
    <w:rsid w:val="00EC38B0"/>
    <w:rsid w:val="00EC550F"/>
    <w:rsid w:val="00ED3B34"/>
    <w:rsid w:val="00ED65C0"/>
    <w:rsid w:val="00EE38DA"/>
    <w:rsid w:val="00EE5019"/>
    <w:rsid w:val="00EE6CFE"/>
    <w:rsid w:val="00F117C6"/>
    <w:rsid w:val="00F14A21"/>
    <w:rsid w:val="00F21F76"/>
    <w:rsid w:val="00F22251"/>
    <w:rsid w:val="00F3167F"/>
    <w:rsid w:val="00F4328B"/>
    <w:rsid w:val="00F52060"/>
    <w:rsid w:val="00F541A3"/>
    <w:rsid w:val="00F55C91"/>
    <w:rsid w:val="00F77C08"/>
    <w:rsid w:val="00F855DD"/>
    <w:rsid w:val="00F915C5"/>
    <w:rsid w:val="00FA3359"/>
    <w:rsid w:val="00FB4B16"/>
    <w:rsid w:val="00FB6C42"/>
    <w:rsid w:val="00FC1793"/>
    <w:rsid w:val="00FC7066"/>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EC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unhideWhenUsed/>
    <w:rsid w:val="00DA5D17"/>
    <w:rPr>
      <w:sz w:val="20"/>
      <w:szCs w:val="20"/>
    </w:rPr>
  </w:style>
  <w:style w:type="character" w:customStyle="1" w:styleId="CommentTextChar">
    <w:name w:val="Comment Text Char"/>
    <w:basedOn w:val="DefaultParagraphFont"/>
    <w:link w:val="CommentText"/>
    <w:uiPriority w:val="99"/>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9295348">
      <w:bodyDiv w:val="1"/>
      <w:marLeft w:val="0"/>
      <w:marRight w:val="0"/>
      <w:marTop w:val="0"/>
      <w:marBottom w:val="0"/>
      <w:divBdr>
        <w:top w:val="none" w:sz="0" w:space="0" w:color="auto"/>
        <w:left w:val="none" w:sz="0" w:space="0" w:color="auto"/>
        <w:bottom w:val="none" w:sz="0" w:space="0" w:color="auto"/>
        <w:right w:val="none" w:sz="0" w:space="0" w:color="auto"/>
      </w:divBdr>
    </w:div>
    <w:div w:id="817380402">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970091211">
      <w:bodyDiv w:val="1"/>
      <w:marLeft w:val="0"/>
      <w:marRight w:val="0"/>
      <w:marTop w:val="0"/>
      <w:marBottom w:val="0"/>
      <w:divBdr>
        <w:top w:val="none" w:sz="0" w:space="0" w:color="auto"/>
        <w:left w:val="none" w:sz="0" w:space="0" w:color="auto"/>
        <w:bottom w:val="none" w:sz="0" w:space="0" w:color="auto"/>
        <w:right w:val="none" w:sz="0" w:space="0" w:color="auto"/>
      </w:divBdr>
    </w:div>
    <w:div w:id="1220282750">
      <w:bodyDiv w:val="1"/>
      <w:marLeft w:val="0"/>
      <w:marRight w:val="0"/>
      <w:marTop w:val="0"/>
      <w:marBottom w:val="0"/>
      <w:divBdr>
        <w:top w:val="none" w:sz="0" w:space="0" w:color="auto"/>
        <w:left w:val="none" w:sz="0" w:space="0" w:color="auto"/>
        <w:bottom w:val="none" w:sz="0" w:space="0" w:color="auto"/>
        <w:right w:val="none" w:sz="0" w:space="0" w:color="auto"/>
      </w:divBdr>
    </w:div>
    <w:div w:id="136682652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692802456">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tmp"/><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tm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tmp"/><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B0AFA6-C46E-49C5-A794-7E8B0F8B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2017-12-11T18:08:00Z</dcterms:created>
  <dcterms:modified xsi:type="dcterms:W3CDTF">2018-01-02T19:34:00Z</dcterms:modified>
</cp:coreProperties>
</file>