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B03D3" w14:textId="77777777"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1B69CA" w:rsidRPr="001B69CA">
        <w:t>WPSDGEREWH1012</w:t>
      </w:r>
    </w:p>
    <w:p w14:paraId="5D6E8F44" w14:textId="55012FC5"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1B69CA">
        <w:rPr>
          <w:rStyle w:val="CaptionChar"/>
          <w:b/>
          <w:bCs w:val="0"/>
        </w:rPr>
        <w:t>2</w:t>
      </w:r>
      <w:r w:rsidR="000369C7">
        <w:rPr>
          <w:rStyle w:val="CaptionChar"/>
          <w:b/>
          <w:bCs w:val="0"/>
        </w:rPr>
        <w:t>.1</w:t>
      </w:r>
    </w:p>
    <w:bookmarkEnd w:id="0"/>
    <w:p w14:paraId="757B06D5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0BC1FF23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2C65889B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4E366033" w14:textId="77777777" w:rsidR="00F117C6" w:rsidRPr="00500C4E" w:rsidRDefault="00F117C6" w:rsidP="00F117C6">
      <w:pPr>
        <w:rPr>
          <w:rFonts w:cstheme="minorHAnsi"/>
        </w:rPr>
      </w:pPr>
    </w:p>
    <w:p w14:paraId="17155FB8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2A05CB7E" w14:textId="77777777" w:rsidR="00F117C6" w:rsidRPr="00500C4E" w:rsidRDefault="00F117C6" w:rsidP="00F117C6">
      <w:pPr>
        <w:rPr>
          <w:rFonts w:cstheme="minorHAnsi"/>
        </w:rPr>
      </w:pPr>
    </w:p>
    <w:p w14:paraId="3B5C7CB6" w14:textId="77777777" w:rsidR="00F117C6" w:rsidRPr="00500C4E" w:rsidRDefault="00F117C6" w:rsidP="00F117C6">
      <w:pPr>
        <w:rPr>
          <w:rFonts w:cstheme="minorHAnsi"/>
        </w:rPr>
      </w:pPr>
    </w:p>
    <w:p w14:paraId="66292715" w14:textId="77777777" w:rsidR="00F117C6" w:rsidRPr="00500C4E" w:rsidRDefault="00F117C6" w:rsidP="00F117C6">
      <w:pPr>
        <w:rPr>
          <w:rFonts w:cstheme="minorHAnsi"/>
        </w:rPr>
      </w:pPr>
    </w:p>
    <w:p w14:paraId="53CD5015" w14:textId="77777777" w:rsidR="00F117C6" w:rsidRPr="00500C4E" w:rsidRDefault="00F117C6" w:rsidP="00F117C6">
      <w:pPr>
        <w:rPr>
          <w:rFonts w:cstheme="minorHAnsi"/>
        </w:rPr>
      </w:pPr>
    </w:p>
    <w:p w14:paraId="06860E59" w14:textId="77777777" w:rsidR="00F117C6" w:rsidRPr="00500C4E" w:rsidRDefault="00F117C6" w:rsidP="00F117C6">
      <w:pPr>
        <w:rPr>
          <w:rFonts w:cstheme="minorHAnsi"/>
        </w:rPr>
      </w:pPr>
    </w:p>
    <w:p w14:paraId="5FE12234" w14:textId="77777777" w:rsidR="001B69CA" w:rsidRDefault="001B69CA" w:rsidP="001B69CA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Faucet Aerators for Bathroom/Kitchen Sinks in Residential Buildings</w:t>
      </w:r>
    </w:p>
    <w:p w14:paraId="5AEA15B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15095E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B93992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8667B8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E9CC8B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FCD3846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EF4B1D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C56775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7C2D2B5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BE436D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D18C3B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A19868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04A6EE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328CDAC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0B0BAE2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76FE66B6" w14:textId="1ADAFD85" w:rsidR="00E372B8" w:rsidRDefault="00E41345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AB5449">
        <w:rPr>
          <w:rFonts w:cstheme="minorHAnsi"/>
          <w:b/>
          <w:sz w:val="28"/>
          <w:szCs w:val="28"/>
        </w:rPr>
        <w:t xml:space="preserve"> </w:t>
      </w:r>
      <w:r w:rsidR="000369C7">
        <w:rPr>
          <w:rFonts w:cstheme="minorHAnsi"/>
          <w:b/>
          <w:sz w:val="28"/>
          <w:szCs w:val="28"/>
        </w:rPr>
        <w:t>28, 2018</w:t>
      </w:r>
    </w:p>
    <w:p w14:paraId="18B74290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49815E43" w14:textId="77777777" w:rsidR="00486A75" w:rsidRPr="00DB7C6D" w:rsidRDefault="00486A75" w:rsidP="00486A75">
      <w:pPr>
        <w:rPr>
          <w:rFonts w:cstheme="minorHAnsi"/>
          <w:i/>
          <w:sz w:val="36"/>
          <w:szCs w:val="36"/>
        </w:rPr>
      </w:pPr>
      <w:r w:rsidRPr="00DB7C6D">
        <w:rPr>
          <w:rFonts w:cstheme="minorHAnsi"/>
          <w:b/>
          <w:sz w:val="36"/>
          <w:szCs w:val="36"/>
        </w:rPr>
        <w:lastRenderedPageBreak/>
        <w:t xml:space="preserve">SDG&amp;E Faucet Aerator </w:t>
      </w:r>
      <w:r w:rsidR="00DB7C6D" w:rsidRPr="00DB7C6D">
        <w:rPr>
          <w:rFonts w:cstheme="minorHAnsi"/>
          <w:b/>
          <w:sz w:val="36"/>
          <w:szCs w:val="36"/>
        </w:rPr>
        <w:t>for Bathroom/Kitchen Sinks in Residential Buildings</w:t>
      </w:r>
    </w:p>
    <w:p w14:paraId="030A02EA" w14:textId="77777777" w:rsidR="00413EF4" w:rsidRDefault="00413EF4" w:rsidP="00413EF4">
      <w:pPr>
        <w:pStyle w:val="Heading2"/>
      </w:pPr>
      <w:r>
        <w:t>Introduction</w:t>
      </w:r>
    </w:p>
    <w:p w14:paraId="18B79A44" w14:textId="77777777" w:rsidR="000369C7" w:rsidRDefault="000369C7" w:rsidP="000369C7">
      <w:pPr>
        <w:jc w:val="both"/>
        <w:rPr>
          <w:rFonts w:cs="Arial"/>
          <w:sz w:val="20"/>
          <w:szCs w:val="20"/>
        </w:rPr>
      </w:pPr>
      <w:r w:rsidRPr="001519FD">
        <w:rPr>
          <w:rFonts w:cs="Arial"/>
          <w:sz w:val="20"/>
          <w:szCs w:val="20"/>
        </w:rPr>
        <w:t xml:space="preserve">This short form workpaper documents </w:t>
      </w:r>
      <w:r>
        <w:rPr>
          <w:rFonts w:cs="Arial"/>
          <w:sz w:val="20"/>
          <w:szCs w:val="20"/>
        </w:rPr>
        <w:t>the supplemental update and creation of new implementation IDs to help alleviate post processing with SDG&amp;E’s internal reporting systems by separating implementations that have certain NTGR and GSIA values for a specific building type.</w:t>
      </w:r>
    </w:p>
    <w:p w14:paraId="56A5EBE8" w14:textId="77777777" w:rsidR="000369C7" w:rsidRDefault="000369C7" w:rsidP="000369C7">
      <w:pPr>
        <w:jc w:val="both"/>
        <w:rPr>
          <w:rFonts w:cs="Arial"/>
          <w:sz w:val="20"/>
          <w:szCs w:val="20"/>
        </w:rPr>
      </w:pPr>
    </w:p>
    <w:p w14:paraId="7616CC19" w14:textId="36580EE1" w:rsidR="00B94F6F" w:rsidRPr="00804C1C" w:rsidRDefault="000369C7" w:rsidP="000369C7">
      <w:pPr>
        <w:rPr>
          <w:sz w:val="20"/>
          <w:szCs w:val="20"/>
        </w:rPr>
      </w:pPr>
      <w:r>
        <w:rPr>
          <w:rFonts w:cs="Arial"/>
          <w:sz w:val="20"/>
          <w:szCs w:val="20"/>
        </w:rPr>
        <w:t>This supplemental workpaper also includes the new Measure Application Types and Delivery Types starting 1/1/19, which are included in the supplemental implementation ex ante table.  The Energy Impacts, Measure, and Measure Cost values and tables were not adjusted and do not trigger a new revision to this workpaper ID.</w:t>
      </w:r>
    </w:p>
    <w:p w14:paraId="63A0C601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66"/>
        <w:gridCol w:w="1754"/>
        <w:gridCol w:w="5806"/>
      </w:tblGrid>
      <w:tr w:rsidR="00B57F32" w:rsidRPr="00500C4E" w14:paraId="041D3188" w14:textId="77777777" w:rsidTr="00C131C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29D8F5FF" w14:textId="77777777" w:rsidR="00B57F32" w:rsidRPr="000E2B6B" w:rsidRDefault="00B57F32" w:rsidP="00B94F6F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0362051E" w14:textId="77777777" w:rsidR="00B57F32" w:rsidRPr="000E2B6B" w:rsidRDefault="00B57F32" w:rsidP="00B94F6F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8" w:type="pct"/>
            <w:shd w:val="clear" w:color="auto" w:fill="D9D9D9" w:themeFill="background1" w:themeFillShade="D9"/>
          </w:tcPr>
          <w:p w14:paraId="626AFC54" w14:textId="77777777" w:rsidR="00B57F32" w:rsidRPr="000E2B6B" w:rsidRDefault="00B57F32" w:rsidP="00B94F6F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5" w:type="pct"/>
            <w:shd w:val="clear" w:color="auto" w:fill="D9D9D9" w:themeFill="background1" w:themeFillShade="D9"/>
          </w:tcPr>
          <w:p w14:paraId="3D5F17B4" w14:textId="77777777" w:rsidR="00B57F32" w:rsidRPr="000E2B6B" w:rsidRDefault="00B57F32" w:rsidP="00B94F6F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1B69CA" w:rsidRPr="00500C4E" w14:paraId="6146FF66" w14:textId="77777777" w:rsidTr="00C131CB">
        <w:trPr>
          <w:trHeight w:val="20"/>
        </w:trPr>
        <w:tc>
          <w:tcPr>
            <w:tcW w:w="280" w:type="pct"/>
          </w:tcPr>
          <w:p w14:paraId="6F01D96A" w14:textId="77777777" w:rsidR="001B69CA" w:rsidRDefault="001B69CA" w:rsidP="001B69CA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34FE9B63" w14:textId="77777777" w:rsidR="001B69CA" w:rsidRDefault="001B69CA" w:rsidP="001B69C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06/18/2012</w:t>
            </w:r>
          </w:p>
        </w:tc>
        <w:tc>
          <w:tcPr>
            <w:tcW w:w="938" w:type="pct"/>
          </w:tcPr>
          <w:p w14:paraId="269C03C0" w14:textId="77777777" w:rsidR="001B69CA" w:rsidRDefault="001B69CA" w:rsidP="001B69CA">
            <w:pPr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Chan Paek, SCG</w:t>
            </w:r>
          </w:p>
        </w:tc>
        <w:tc>
          <w:tcPr>
            <w:tcW w:w="3105" w:type="pct"/>
          </w:tcPr>
          <w:p w14:paraId="4A48ADF9" w14:textId="77777777" w:rsidR="001B69CA" w:rsidRDefault="001B69CA" w:rsidP="001B69C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Original Workpaper</w:t>
            </w:r>
          </w:p>
        </w:tc>
      </w:tr>
      <w:tr w:rsidR="001B69CA" w:rsidRPr="00500C4E" w14:paraId="55AEA51E" w14:textId="77777777" w:rsidTr="00C131CB">
        <w:trPr>
          <w:trHeight w:val="20"/>
        </w:trPr>
        <w:tc>
          <w:tcPr>
            <w:tcW w:w="280" w:type="pct"/>
          </w:tcPr>
          <w:p w14:paraId="7BC0D301" w14:textId="77777777" w:rsidR="001B69CA" w:rsidRDefault="001B69CA" w:rsidP="001B69CA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0.1</w:t>
            </w:r>
          </w:p>
        </w:tc>
        <w:tc>
          <w:tcPr>
            <w:tcW w:w="677" w:type="pct"/>
          </w:tcPr>
          <w:p w14:paraId="2F6BBD3C" w14:textId="77777777" w:rsidR="001B69CA" w:rsidRDefault="001B69CA" w:rsidP="001B69C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06/27/2012</w:t>
            </w:r>
          </w:p>
        </w:tc>
        <w:tc>
          <w:tcPr>
            <w:tcW w:w="938" w:type="pct"/>
          </w:tcPr>
          <w:p w14:paraId="5347619D" w14:textId="77777777" w:rsidR="001B69CA" w:rsidRDefault="001B69CA" w:rsidP="001B69CA">
            <w:pPr>
              <w:ind w:left="6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Peter Ford (SDGE)</w:t>
            </w:r>
          </w:p>
        </w:tc>
        <w:tc>
          <w:tcPr>
            <w:tcW w:w="3105" w:type="pct"/>
          </w:tcPr>
          <w:p w14:paraId="7478B46D" w14:textId="77777777" w:rsidR="001B69CA" w:rsidRDefault="001B69CA" w:rsidP="001B69CA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Adopted SCG Workpaper</w:t>
            </w:r>
          </w:p>
        </w:tc>
      </w:tr>
      <w:tr w:rsidR="001B69CA" w:rsidRPr="00500C4E" w14:paraId="486144A3" w14:textId="77777777" w:rsidTr="00C131CB">
        <w:trPr>
          <w:trHeight w:val="20"/>
        </w:trPr>
        <w:tc>
          <w:tcPr>
            <w:tcW w:w="280" w:type="pct"/>
          </w:tcPr>
          <w:p w14:paraId="280162EA" w14:textId="77777777" w:rsidR="001B69CA" w:rsidRDefault="001B69CA" w:rsidP="001B69CA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583C7DE1" w14:textId="77777777" w:rsidR="001B69CA" w:rsidRDefault="001B69CA" w:rsidP="001B69CA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01/30/2014</w:t>
            </w:r>
          </w:p>
          <w:p w14:paraId="23B5F689" w14:textId="77777777" w:rsidR="001B69CA" w:rsidRDefault="001B69CA" w:rsidP="001B69CA">
            <w:pPr>
              <w:jc w:val="center"/>
              <w:rPr>
                <w:rFonts w:cstheme="minorHAnsi"/>
                <w:szCs w:val="20"/>
              </w:rPr>
            </w:pPr>
          </w:p>
          <w:p w14:paraId="16BF986D" w14:textId="77777777" w:rsidR="001B69CA" w:rsidRDefault="001B69CA" w:rsidP="001B69CA">
            <w:pPr>
              <w:jc w:val="center"/>
              <w:rPr>
                <w:rFonts w:cstheme="minorHAnsi"/>
                <w:szCs w:val="20"/>
              </w:rPr>
            </w:pPr>
          </w:p>
          <w:p w14:paraId="4F4738FB" w14:textId="77777777" w:rsidR="001B69CA" w:rsidRDefault="001B69CA" w:rsidP="001B69CA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06/19/2014</w:t>
            </w:r>
          </w:p>
        </w:tc>
        <w:tc>
          <w:tcPr>
            <w:tcW w:w="938" w:type="pct"/>
          </w:tcPr>
          <w:p w14:paraId="7A61D58A" w14:textId="77777777" w:rsidR="001B69CA" w:rsidRDefault="001B69CA" w:rsidP="001B69CA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Kyle Dunn/MWE2</w:t>
            </w:r>
          </w:p>
          <w:p w14:paraId="1649FF9A" w14:textId="77777777" w:rsidR="001B69CA" w:rsidRDefault="001B69CA" w:rsidP="001B69CA">
            <w:pPr>
              <w:rPr>
                <w:rFonts w:cstheme="minorHAnsi"/>
                <w:szCs w:val="20"/>
              </w:rPr>
            </w:pPr>
          </w:p>
          <w:p w14:paraId="2FDF8326" w14:textId="77777777" w:rsidR="001B69CA" w:rsidRDefault="001B69CA" w:rsidP="001B69CA">
            <w:pPr>
              <w:rPr>
                <w:rFonts w:cstheme="minorHAnsi"/>
                <w:szCs w:val="20"/>
              </w:rPr>
            </w:pPr>
          </w:p>
          <w:p w14:paraId="2CB7183B" w14:textId="77777777" w:rsidR="001B69CA" w:rsidRDefault="001B69CA" w:rsidP="001B69CA">
            <w:pPr>
              <w:rPr>
                <w:rFonts w:cstheme="minorHAnsi"/>
                <w:szCs w:val="20"/>
              </w:rPr>
            </w:pPr>
            <w:proofErr w:type="spellStart"/>
            <w:r>
              <w:rPr>
                <w:rFonts w:cstheme="minorHAnsi"/>
                <w:szCs w:val="20"/>
              </w:rPr>
              <w:t>Judelson</w:t>
            </w:r>
            <w:proofErr w:type="spellEnd"/>
            <w:r>
              <w:rPr>
                <w:rFonts w:cstheme="minorHAnsi"/>
                <w:szCs w:val="20"/>
              </w:rPr>
              <w:t xml:space="preserve"> Enriquez / RMS</w:t>
            </w:r>
          </w:p>
        </w:tc>
        <w:tc>
          <w:tcPr>
            <w:tcW w:w="3105" w:type="pct"/>
          </w:tcPr>
          <w:p w14:paraId="07295798" w14:textId="77777777" w:rsidR="001B69CA" w:rsidRDefault="001B69CA" w:rsidP="001B69CA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Incorporates revisions per Energy Division Workpaper Disposition for Water Fixtures dated 2/22/2013</w:t>
            </w:r>
          </w:p>
          <w:p w14:paraId="5812129F" w14:textId="77777777" w:rsidR="001B69CA" w:rsidRDefault="001B69CA" w:rsidP="001B69CA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Revised calculation template to include Mark M.’s additional columns and remove CZ cost factors.</w:t>
            </w:r>
          </w:p>
        </w:tc>
      </w:tr>
      <w:tr w:rsidR="001B69CA" w:rsidRPr="00500C4E" w14:paraId="7D9E1107" w14:textId="77777777" w:rsidTr="00C131CB">
        <w:trPr>
          <w:trHeight w:val="20"/>
        </w:trPr>
        <w:tc>
          <w:tcPr>
            <w:tcW w:w="280" w:type="pct"/>
          </w:tcPr>
          <w:p w14:paraId="56930A1D" w14:textId="77777777" w:rsidR="001B69CA" w:rsidRPr="00F2079F" w:rsidRDefault="001B69CA" w:rsidP="008C2C8A">
            <w:pPr>
              <w:jc w:val="center"/>
            </w:pPr>
            <w:r>
              <w:t>2</w:t>
            </w:r>
          </w:p>
        </w:tc>
        <w:tc>
          <w:tcPr>
            <w:tcW w:w="677" w:type="pct"/>
          </w:tcPr>
          <w:p w14:paraId="61F7DFC3" w14:textId="2E31F908" w:rsidR="001B69CA" w:rsidRDefault="00E41345" w:rsidP="00B94F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12/6</w:t>
            </w:r>
            <w:r w:rsidR="001B69CA">
              <w:rPr>
                <w:szCs w:val="20"/>
              </w:rPr>
              <w:t>/17</w:t>
            </w:r>
          </w:p>
        </w:tc>
        <w:tc>
          <w:tcPr>
            <w:tcW w:w="938" w:type="pct"/>
          </w:tcPr>
          <w:p w14:paraId="7D5024E3" w14:textId="77777777" w:rsidR="001B69CA" w:rsidRDefault="001B69CA" w:rsidP="00B94F6F">
            <w:pPr>
              <w:rPr>
                <w:szCs w:val="20"/>
              </w:rPr>
            </w:pPr>
            <w:r>
              <w:rPr>
                <w:rFonts w:cstheme="minorHAnsi"/>
                <w:szCs w:val="20"/>
              </w:rPr>
              <w:t>Keith Valenzuela/SDGE Contractor</w:t>
            </w:r>
          </w:p>
        </w:tc>
        <w:tc>
          <w:tcPr>
            <w:tcW w:w="3105" w:type="pct"/>
          </w:tcPr>
          <w:p w14:paraId="06A40BA2" w14:textId="77777777" w:rsidR="001B69CA" w:rsidRPr="00486A75" w:rsidRDefault="001B69CA" w:rsidP="001B69C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Adopted </w:t>
            </w:r>
            <w:r>
              <w:t xml:space="preserve">SCE workpaper </w:t>
            </w:r>
            <w:r w:rsidRPr="00486A75">
              <w:t>SCE17WP004.0 Faucet Aerator and Low Flow Showerhead</w:t>
            </w:r>
          </w:p>
          <w:p w14:paraId="5E5F005E" w14:textId="77777777" w:rsidR="001B69CA" w:rsidRPr="006A478E" w:rsidRDefault="001B69CA" w:rsidP="001B69CA">
            <w:pPr>
              <w:rPr>
                <w:bCs/>
                <w:szCs w:val="20"/>
              </w:rPr>
            </w:pPr>
          </w:p>
        </w:tc>
      </w:tr>
      <w:tr w:rsidR="000369C7" w:rsidRPr="00500C4E" w14:paraId="26085070" w14:textId="77777777" w:rsidTr="00C131CB">
        <w:trPr>
          <w:trHeight w:val="20"/>
        </w:trPr>
        <w:tc>
          <w:tcPr>
            <w:tcW w:w="280" w:type="pct"/>
          </w:tcPr>
          <w:p w14:paraId="2E6F589D" w14:textId="64CB8AED" w:rsidR="000369C7" w:rsidRDefault="000369C7" w:rsidP="008C2C8A">
            <w:pPr>
              <w:jc w:val="center"/>
            </w:pPr>
            <w:r>
              <w:t>2.1</w:t>
            </w:r>
          </w:p>
        </w:tc>
        <w:tc>
          <w:tcPr>
            <w:tcW w:w="677" w:type="pct"/>
          </w:tcPr>
          <w:p w14:paraId="00A757C1" w14:textId="60EC3BDF" w:rsidR="000369C7" w:rsidRDefault="000369C7" w:rsidP="00B94F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12/28/18</w:t>
            </w:r>
          </w:p>
        </w:tc>
        <w:tc>
          <w:tcPr>
            <w:tcW w:w="938" w:type="pct"/>
          </w:tcPr>
          <w:p w14:paraId="2EDE3CFD" w14:textId="4489F5A9" w:rsidR="000369C7" w:rsidRDefault="000369C7" w:rsidP="00B94F6F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Kelvin Valenzuela/SDGE</w:t>
            </w:r>
          </w:p>
        </w:tc>
        <w:tc>
          <w:tcPr>
            <w:tcW w:w="3105" w:type="pct"/>
          </w:tcPr>
          <w:p w14:paraId="19B66C01" w14:textId="77777777" w:rsidR="000369C7" w:rsidRDefault="000369C7" w:rsidP="001B69C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-Updated existing and created new implementation IDs</w:t>
            </w:r>
          </w:p>
          <w:p w14:paraId="1ED68064" w14:textId="6E9EA127" w:rsidR="000369C7" w:rsidRDefault="000369C7" w:rsidP="001B69C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-Added </w:t>
            </w:r>
            <w:proofErr w:type="gramStart"/>
            <w:r>
              <w:rPr>
                <w:bCs/>
                <w:szCs w:val="20"/>
              </w:rPr>
              <w:t>new</w:t>
            </w:r>
            <w:proofErr w:type="gramEnd"/>
            <w:r>
              <w:rPr>
                <w:bCs/>
                <w:szCs w:val="20"/>
              </w:rPr>
              <w:t xml:space="preserve"> Measure Application Types and Delivery Type for 1/1/19.</w:t>
            </w:r>
          </w:p>
        </w:tc>
      </w:tr>
    </w:tbl>
    <w:p w14:paraId="3400358D" w14:textId="77777777" w:rsidR="00DB71F1" w:rsidRDefault="00DB71F1" w:rsidP="00413EF4"/>
    <w:p w14:paraId="07132D61" w14:textId="77777777" w:rsidR="00DB71F1" w:rsidRDefault="00DB71F1">
      <w:pPr>
        <w:spacing w:after="200" w:line="276" w:lineRule="auto"/>
      </w:pPr>
      <w:r>
        <w:br w:type="page"/>
      </w:r>
    </w:p>
    <w:p w14:paraId="05C09CD6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494D72DE" w14:textId="77777777" w:rsidR="00EE6CFE" w:rsidRPr="00EE6CFE" w:rsidRDefault="00EE6CFE" w:rsidP="0081521B"/>
    <w:p w14:paraId="3B3C802C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r w:rsidR="009124F6">
        <w:fldChar w:fldCharType="begin"/>
      </w:r>
      <w:r w:rsidR="009124F6">
        <w:instrText xml:space="preserve"> SEQ Table \* ARABIC </w:instrText>
      </w:r>
      <w:r w:rsidR="009124F6">
        <w:fldChar w:fldCharType="separate"/>
      </w:r>
      <w:r w:rsidR="00C6110B">
        <w:rPr>
          <w:noProof/>
        </w:rPr>
        <w:t>1</w:t>
      </w:r>
      <w:r w:rsidR="009124F6">
        <w:rPr>
          <w:noProof/>
        </w:rPr>
        <w:fldChar w:fldCharType="end"/>
      </w:r>
      <w:r>
        <w:t>: Measure Summary Table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5"/>
        <w:gridCol w:w="7375"/>
      </w:tblGrid>
      <w:tr w:rsidR="00DB71F1" w14:paraId="35EDC789" w14:textId="77777777" w:rsidTr="00F52060">
        <w:trPr>
          <w:cantSplit/>
          <w:tblHeader/>
        </w:trPr>
        <w:tc>
          <w:tcPr>
            <w:tcW w:w="1975" w:type="dxa"/>
          </w:tcPr>
          <w:p w14:paraId="1B0DE371" w14:textId="77777777" w:rsidR="00DB71F1" w:rsidRPr="00D86243" w:rsidRDefault="00DB71F1" w:rsidP="00B94F6F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375" w:type="dxa"/>
          </w:tcPr>
          <w:p w14:paraId="7EDB1627" w14:textId="77777777" w:rsidR="00DB71F1" w:rsidRPr="00D86243" w:rsidRDefault="00DB71F1" w:rsidP="00B94F6F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00BBAF21" w14:textId="77777777" w:rsidTr="00F52060">
        <w:trPr>
          <w:cantSplit/>
        </w:trPr>
        <w:tc>
          <w:tcPr>
            <w:tcW w:w="1975" w:type="dxa"/>
            <w:vAlign w:val="center"/>
          </w:tcPr>
          <w:p w14:paraId="7E0CA5DD" w14:textId="77777777" w:rsidR="00DB71F1" w:rsidRPr="001D77F7" w:rsidRDefault="00DB71F1" w:rsidP="00B94F6F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375" w:type="dxa"/>
          </w:tcPr>
          <w:p w14:paraId="69B598E6" w14:textId="77777777" w:rsidR="009A1478" w:rsidRDefault="00486A75" w:rsidP="009A1478">
            <w:pPr>
              <w:jc w:val="both"/>
              <w:rPr>
                <w:rFonts w:cs="Arial"/>
                <w:sz w:val="20"/>
                <w:szCs w:val="20"/>
              </w:rPr>
            </w:pPr>
            <w:bookmarkStart w:id="1" w:name="_Hlk533769784"/>
            <w:r w:rsidRPr="001519FD">
              <w:rPr>
                <w:rFonts w:cs="Arial"/>
                <w:sz w:val="20"/>
                <w:szCs w:val="20"/>
              </w:rPr>
              <w:t xml:space="preserve">This short form workpaper documents </w:t>
            </w:r>
            <w:r w:rsidR="009A1478">
              <w:rPr>
                <w:rFonts w:cs="Arial"/>
                <w:sz w:val="20"/>
                <w:szCs w:val="20"/>
              </w:rPr>
              <w:t>the supplemental update and creation of new implementation IDs to help alleviate post processing with SDG&amp;E’s internal reporting systems by separating implementations that have certain NTGR and GSIA values for a specific building type.</w:t>
            </w:r>
          </w:p>
          <w:p w14:paraId="7F1AFFF0" w14:textId="77777777" w:rsidR="009A1478" w:rsidRDefault="009A1478" w:rsidP="009A1478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7F0F1593" w14:textId="43F56E27" w:rsidR="00DB71F1" w:rsidRPr="00D86243" w:rsidRDefault="009A1478" w:rsidP="009A1478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This supplemental workpaper also includes the new Measure Application Types and Delivery Types starting 1/1/19, which are included in the supplemental implementation ex ante table.  The Energy Impacts, Measure, and Measure Cost values and tables were not adjusted</w:t>
            </w:r>
            <w:r w:rsidR="000369C7">
              <w:rPr>
                <w:rFonts w:cs="Arial"/>
                <w:sz w:val="20"/>
                <w:szCs w:val="20"/>
              </w:rPr>
              <w:t xml:space="preserve"> and do not trigger a new revision to this workpaper ID.</w:t>
            </w:r>
            <w:bookmarkEnd w:id="1"/>
            <w:r w:rsidR="00C93876">
              <w:rPr>
                <w:rFonts w:cs="Arial"/>
                <w:sz w:val="20"/>
                <w:szCs w:val="20"/>
              </w:rPr>
              <w:t xml:space="preserve">  Only table adjusted is the implementation table which is provided in the submitted ex ante tables.</w:t>
            </w:r>
          </w:p>
        </w:tc>
      </w:tr>
      <w:tr w:rsidR="00AF368D" w14:paraId="413F19CE" w14:textId="77777777" w:rsidTr="00B94F6F">
        <w:trPr>
          <w:cantSplit/>
        </w:trPr>
        <w:tc>
          <w:tcPr>
            <w:tcW w:w="9350" w:type="dxa"/>
            <w:gridSpan w:val="2"/>
            <w:vAlign w:val="center"/>
          </w:tcPr>
          <w:p w14:paraId="3B3A28E1" w14:textId="77777777" w:rsidR="00AF368D" w:rsidRPr="00241A1F" w:rsidRDefault="00AF368D" w:rsidP="00AF368D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1.1 Measure &amp; Baseline Data</w:t>
            </w:r>
          </w:p>
        </w:tc>
      </w:tr>
      <w:tr w:rsidR="00DB71F1" w14:paraId="617AD332" w14:textId="77777777" w:rsidTr="00F52060">
        <w:trPr>
          <w:cantSplit/>
        </w:trPr>
        <w:tc>
          <w:tcPr>
            <w:tcW w:w="1975" w:type="dxa"/>
            <w:vAlign w:val="center"/>
          </w:tcPr>
          <w:p w14:paraId="2CCDBF84" w14:textId="77777777" w:rsidR="00DB71F1" w:rsidRPr="001D77F7" w:rsidRDefault="00DB71F1" w:rsidP="00B94F6F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375" w:type="dxa"/>
          </w:tcPr>
          <w:p w14:paraId="6C38EFF6" w14:textId="6B4A9844" w:rsidR="001519FD" w:rsidRPr="001519FD" w:rsidRDefault="009A1478" w:rsidP="001519FD">
            <w:pPr>
              <w:tabs>
                <w:tab w:val="num" w:pos="360"/>
              </w:tabs>
              <w:spacing w:before="40" w:after="4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 Change</w:t>
            </w:r>
          </w:p>
          <w:p w14:paraId="5F5A955E" w14:textId="77777777" w:rsidR="001519FD" w:rsidRPr="001519FD" w:rsidRDefault="001519FD" w:rsidP="001519FD">
            <w:pPr>
              <w:tabs>
                <w:tab w:val="num" w:pos="360"/>
              </w:tabs>
              <w:spacing w:before="40" w:after="40"/>
              <w:rPr>
                <w:rFonts w:cstheme="minorHAnsi"/>
                <w:sz w:val="20"/>
                <w:szCs w:val="20"/>
              </w:rPr>
            </w:pPr>
          </w:p>
          <w:p w14:paraId="312131A8" w14:textId="77777777" w:rsidR="00DB71F1" w:rsidRPr="00D4142C" w:rsidRDefault="00DB71F1" w:rsidP="00D4142C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1B01E028" w14:textId="77777777" w:rsidTr="00F52060">
        <w:trPr>
          <w:cantSplit/>
        </w:trPr>
        <w:tc>
          <w:tcPr>
            <w:tcW w:w="1975" w:type="dxa"/>
          </w:tcPr>
          <w:p w14:paraId="400504D9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375" w:type="dxa"/>
          </w:tcPr>
          <w:p w14:paraId="3460B4C3" w14:textId="77777777" w:rsidR="002A6D41" w:rsidRDefault="002A6D41" w:rsidP="002A6D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Faucet Aerator Measures:</w:t>
            </w:r>
          </w:p>
          <w:p w14:paraId="7D0360A6" w14:textId="30B5D020" w:rsidR="002A6D41" w:rsidRDefault="002A6D41" w:rsidP="002A6D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464090</w:t>
            </w:r>
            <w:r w:rsidR="00EB68B4">
              <w:rPr>
                <w:rFonts w:cs="Arial"/>
                <w:sz w:val="20"/>
                <w:szCs w:val="20"/>
              </w:rPr>
              <w:t xml:space="preserve"> </w:t>
            </w:r>
            <w:r w:rsidR="00EB68B4" w:rsidRPr="00EB68B4">
              <w:rPr>
                <w:rFonts w:cs="Arial"/>
                <w:sz w:val="20"/>
                <w:szCs w:val="20"/>
              </w:rPr>
              <w:t>–</w:t>
            </w:r>
            <w:r w:rsidRPr="00023AFF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Lavatory</w:t>
            </w:r>
            <w:r w:rsidRPr="002A6D41">
              <w:rPr>
                <w:rFonts w:cs="Arial"/>
                <w:sz w:val="20"/>
                <w:szCs w:val="20"/>
              </w:rPr>
              <w:t xml:space="preserve"> Faucet Aerator</w:t>
            </w:r>
            <w:r w:rsidRPr="002A6D41" w:rsidDel="002A6D41">
              <w:rPr>
                <w:rFonts w:cs="Arial"/>
                <w:sz w:val="20"/>
                <w:szCs w:val="20"/>
              </w:rPr>
              <w:t xml:space="preserve"> </w:t>
            </w:r>
            <w:r w:rsidR="000369C7">
              <w:rPr>
                <w:rFonts w:cs="Arial"/>
                <w:sz w:val="20"/>
                <w:szCs w:val="20"/>
              </w:rPr>
              <w:t>(</w:t>
            </w:r>
            <w:proofErr w:type="spellStart"/>
            <w:r w:rsidR="000369C7">
              <w:rPr>
                <w:rFonts w:cs="Arial"/>
                <w:sz w:val="20"/>
                <w:szCs w:val="20"/>
              </w:rPr>
              <w:t>SFm</w:t>
            </w:r>
            <w:proofErr w:type="spellEnd"/>
            <w:r w:rsidR="000369C7">
              <w:rPr>
                <w:rFonts w:cs="Arial"/>
                <w:sz w:val="20"/>
                <w:szCs w:val="20"/>
              </w:rPr>
              <w:t xml:space="preserve"> and DMo Use Only)</w:t>
            </w:r>
          </w:p>
          <w:p w14:paraId="35EA18D4" w14:textId="0038DE19" w:rsidR="000369C7" w:rsidRDefault="000369C7" w:rsidP="002A6D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465968 – Lavatory Faucet Aerator (MF Use Only)</w:t>
            </w:r>
          </w:p>
          <w:p w14:paraId="059FA8E9" w14:textId="77777777" w:rsidR="002A6D41" w:rsidRDefault="002A6D41" w:rsidP="002A6D41">
            <w:pPr>
              <w:rPr>
                <w:rFonts w:cs="Arial"/>
                <w:sz w:val="20"/>
                <w:szCs w:val="20"/>
              </w:rPr>
            </w:pPr>
          </w:p>
          <w:p w14:paraId="591F95A3" w14:textId="77777777" w:rsidR="002A6D41" w:rsidRDefault="002A6D41" w:rsidP="002A6D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Kitchen Faucet Aerator Measure:</w:t>
            </w:r>
          </w:p>
          <w:p w14:paraId="2BBC6163" w14:textId="224CE9F2" w:rsidR="002A6D41" w:rsidRDefault="002A6D41" w:rsidP="002A6D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421014</w:t>
            </w:r>
            <w:r w:rsidR="000369C7">
              <w:rPr>
                <w:rFonts w:cs="Arial"/>
                <w:sz w:val="20"/>
                <w:szCs w:val="20"/>
              </w:rPr>
              <w:t xml:space="preserve"> </w:t>
            </w:r>
            <w:r w:rsidR="00EB68B4" w:rsidRPr="00EB68B4">
              <w:rPr>
                <w:rFonts w:cs="Arial"/>
                <w:sz w:val="20"/>
                <w:szCs w:val="20"/>
              </w:rPr>
              <w:t>–</w:t>
            </w:r>
            <w:r w:rsidRPr="00023AFF">
              <w:rPr>
                <w:rFonts w:cs="Arial"/>
                <w:sz w:val="20"/>
                <w:szCs w:val="20"/>
              </w:rPr>
              <w:t xml:space="preserve"> </w:t>
            </w:r>
            <w:r w:rsidRPr="002A6D41">
              <w:rPr>
                <w:rFonts w:cs="Arial"/>
                <w:sz w:val="20"/>
                <w:szCs w:val="20"/>
              </w:rPr>
              <w:t>Kitchen Faucet Aerator</w:t>
            </w:r>
            <w:r w:rsidRPr="002A6D41" w:rsidDel="002A6D41">
              <w:rPr>
                <w:rFonts w:cs="Arial"/>
                <w:sz w:val="20"/>
                <w:szCs w:val="20"/>
              </w:rPr>
              <w:t xml:space="preserve"> </w:t>
            </w:r>
            <w:r w:rsidR="000369C7">
              <w:rPr>
                <w:rFonts w:cs="Arial"/>
                <w:sz w:val="20"/>
                <w:szCs w:val="20"/>
              </w:rPr>
              <w:t>(</w:t>
            </w:r>
            <w:proofErr w:type="spellStart"/>
            <w:r w:rsidR="000369C7">
              <w:rPr>
                <w:rFonts w:cs="Arial"/>
                <w:sz w:val="20"/>
                <w:szCs w:val="20"/>
              </w:rPr>
              <w:t>SFm</w:t>
            </w:r>
            <w:proofErr w:type="spellEnd"/>
            <w:r w:rsidR="000369C7">
              <w:rPr>
                <w:rFonts w:cs="Arial"/>
                <w:sz w:val="20"/>
                <w:szCs w:val="20"/>
              </w:rPr>
              <w:t xml:space="preserve"> and DMo Use Only)</w:t>
            </w:r>
          </w:p>
          <w:p w14:paraId="21062B72" w14:textId="66353FD6" w:rsidR="000369C7" w:rsidRDefault="000369C7" w:rsidP="002A6D4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465967 – Kitchen Faucet Aerator (MF Use Only) </w:t>
            </w:r>
          </w:p>
          <w:p w14:paraId="43584B64" w14:textId="77777777" w:rsidR="00623004" w:rsidRDefault="00623004" w:rsidP="00623004">
            <w:pPr>
              <w:rPr>
                <w:rFonts w:cs="Arial"/>
                <w:sz w:val="20"/>
                <w:szCs w:val="20"/>
              </w:rPr>
            </w:pPr>
          </w:p>
          <w:p w14:paraId="2D511791" w14:textId="77777777" w:rsidR="008775D7" w:rsidRPr="00E733C7" w:rsidRDefault="008775D7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5FDB365D" w14:textId="77777777" w:rsidTr="00F52060">
        <w:trPr>
          <w:cantSplit/>
        </w:trPr>
        <w:tc>
          <w:tcPr>
            <w:tcW w:w="1975" w:type="dxa"/>
          </w:tcPr>
          <w:p w14:paraId="32012723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375" w:type="dxa"/>
          </w:tcPr>
          <w:p w14:paraId="1FE2EE43" w14:textId="52FF2D2A" w:rsidR="000E65D6" w:rsidRPr="00653C4B" w:rsidRDefault="009A1478" w:rsidP="005C1518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</w:t>
            </w:r>
          </w:p>
        </w:tc>
      </w:tr>
      <w:tr w:rsidR="00E84938" w14:paraId="0437F240" w14:textId="77777777" w:rsidTr="00F52060">
        <w:trPr>
          <w:cantSplit/>
        </w:trPr>
        <w:tc>
          <w:tcPr>
            <w:tcW w:w="1975" w:type="dxa"/>
          </w:tcPr>
          <w:p w14:paraId="77C16633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375" w:type="dxa"/>
          </w:tcPr>
          <w:p w14:paraId="3C219B2D" w14:textId="08BA3F52" w:rsidR="00C50122" w:rsidRPr="00C50122" w:rsidRDefault="009A1478" w:rsidP="00C50122">
            <w:pPr>
              <w:pStyle w:val="Reminders"/>
              <w:rPr>
                <w:rFonts w:asciiTheme="minorHAnsi" w:hAnsiTheme="minorHAnsi" w:cstheme="minorHAnsi"/>
                <w:i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>No Change</w:t>
            </w:r>
          </w:p>
          <w:p w14:paraId="704AE4C9" w14:textId="77777777" w:rsidR="00AF368D" w:rsidRPr="00555671" w:rsidRDefault="00AF368D" w:rsidP="001D6A64">
            <w:pPr>
              <w:jc w:val="both"/>
              <w:rPr>
                <w:sz w:val="20"/>
                <w:szCs w:val="20"/>
              </w:rPr>
            </w:pPr>
          </w:p>
        </w:tc>
      </w:tr>
      <w:tr w:rsidR="00AF368D" w14:paraId="6F4CF8CA" w14:textId="77777777" w:rsidTr="00B94F6F">
        <w:trPr>
          <w:cantSplit/>
        </w:trPr>
        <w:tc>
          <w:tcPr>
            <w:tcW w:w="9350" w:type="dxa"/>
            <w:gridSpan w:val="2"/>
          </w:tcPr>
          <w:p w14:paraId="71554535" w14:textId="77777777" w:rsidR="00AF368D" w:rsidRPr="00D86243" w:rsidRDefault="00AF368D" w:rsidP="00B94F6F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DB71F1" w14:paraId="6223F974" w14:textId="77777777" w:rsidTr="00F52060">
        <w:trPr>
          <w:cantSplit/>
        </w:trPr>
        <w:tc>
          <w:tcPr>
            <w:tcW w:w="1975" w:type="dxa"/>
            <w:vAlign w:val="center"/>
          </w:tcPr>
          <w:p w14:paraId="76F14501" w14:textId="77777777" w:rsidR="00DB71F1" w:rsidRPr="00822B6F" w:rsidRDefault="00DB71F1" w:rsidP="00B94F6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375" w:type="dxa"/>
          </w:tcPr>
          <w:p w14:paraId="20F13FA9" w14:textId="2E2C9B7D" w:rsidR="00CF2ABA" w:rsidRPr="00F52060" w:rsidRDefault="00693207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Retrofit Add-O</w:t>
            </w:r>
            <w:r w:rsidR="00F52060" w:rsidRPr="00F52060">
              <w:rPr>
                <w:sz w:val="20"/>
                <w:szCs w:val="20"/>
              </w:rPr>
              <w:t>n (REA)</w:t>
            </w:r>
            <w:r>
              <w:rPr>
                <w:sz w:val="20"/>
                <w:szCs w:val="20"/>
              </w:rPr>
              <w:t>/Add-</w:t>
            </w:r>
            <w:r w:rsidR="009A1478">
              <w:rPr>
                <w:sz w:val="20"/>
                <w:szCs w:val="20"/>
              </w:rPr>
              <w:t>On Equipment (AOE)</w:t>
            </w:r>
          </w:p>
        </w:tc>
      </w:tr>
      <w:tr w:rsidR="00DB71F1" w14:paraId="2C016997" w14:textId="77777777" w:rsidTr="00F52060">
        <w:trPr>
          <w:cantSplit/>
        </w:trPr>
        <w:tc>
          <w:tcPr>
            <w:tcW w:w="1975" w:type="dxa"/>
            <w:vAlign w:val="center"/>
          </w:tcPr>
          <w:p w14:paraId="1925C6C9" w14:textId="77777777" w:rsidR="00DB71F1" w:rsidRPr="00822B6F" w:rsidRDefault="00DB71F1" w:rsidP="00B94F6F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7375" w:type="dxa"/>
          </w:tcPr>
          <w:p w14:paraId="057EAD1E" w14:textId="77777777" w:rsidR="009124F6" w:rsidRPr="009124F6" w:rsidRDefault="009124F6" w:rsidP="009124F6">
            <w:pPr>
              <w:rPr>
                <w:rFonts w:cs="Arial"/>
                <w:sz w:val="20"/>
                <w:szCs w:val="20"/>
              </w:rPr>
            </w:pPr>
            <w:proofErr w:type="spellStart"/>
            <w:r w:rsidRPr="009124F6">
              <w:rPr>
                <w:rFonts w:cs="Arial"/>
                <w:sz w:val="20"/>
                <w:szCs w:val="20"/>
              </w:rPr>
              <w:t>PreRebDown</w:t>
            </w:r>
            <w:proofErr w:type="spellEnd"/>
            <w:r w:rsidRPr="009124F6">
              <w:rPr>
                <w:rFonts w:cs="Arial"/>
                <w:sz w:val="20"/>
                <w:szCs w:val="20"/>
              </w:rPr>
              <w:t>:  1/1/18 – 12/31/18</w:t>
            </w:r>
          </w:p>
          <w:p w14:paraId="67C410D8" w14:textId="77777777" w:rsidR="009124F6" w:rsidRPr="009124F6" w:rsidRDefault="009124F6" w:rsidP="009124F6">
            <w:pPr>
              <w:rPr>
                <w:rFonts w:cs="Arial"/>
                <w:sz w:val="20"/>
                <w:szCs w:val="20"/>
              </w:rPr>
            </w:pPr>
            <w:proofErr w:type="spellStart"/>
            <w:r w:rsidRPr="009124F6">
              <w:rPr>
                <w:rFonts w:cs="Arial"/>
                <w:sz w:val="20"/>
                <w:szCs w:val="20"/>
              </w:rPr>
              <w:t>DnDeemed</w:t>
            </w:r>
            <w:proofErr w:type="spellEnd"/>
            <w:r w:rsidRPr="009124F6">
              <w:rPr>
                <w:rFonts w:cs="Arial"/>
                <w:sz w:val="20"/>
                <w:szCs w:val="20"/>
              </w:rPr>
              <w:t>:  1/1/19 – no expiry yet</w:t>
            </w:r>
          </w:p>
          <w:p w14:paraId="67C70A1B" w14:textId="36CBE530" w:rsidR="009124F6" w:rsidRPr="009124F6" w:rsidRDefault="009124F6" w:rsidP="009124F6">
            <w:pPr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DirInstall</w:t>
            </w:r>
            <w:proofErr w:type="spellEnd"/>
            <w:r w:rsidRPr="009124F6">
              <w:rPr>
                <w:rFonts w:cs="Arial"/>
                <w:sz w:val="20"/>
                <w:szCs w:val="20"/>
              </w:rPr>
              <w:t>:  1/1/18 – 12/31/18</w:t>
            </w:r>
          </w:p>
          <w:p w14:paraId="42D173D1" w14:textId="5C032054" w:rsidR="002A6D41" w:rsidRDefault="009124F6" w:rsidP="009124F6">
            <w:pPr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DnDeemDI</w:t>
            </w:r>
            <w:proofErr w:type="spellEnd"/>
            <w:r w:rsidRPr="009124F6">
              <w:rPr>
                <w:rFonts w:cs="Arial"/>
                <w:sz w:val="20"/>
                <w:szCs w:val="20"/>
              </w:rPr>
              <w:t>:  1/1/19 – no expiry yet</w:t>
            </w:r>
            <w:bookmarkStart w:id="2" w:name="_GoBack"/>
            <w:bookmarkEnd w:id="2"/>
          </w:p>
          <w:p w14:paraId="1F4AADB5" w14:textId="77777777" w:rsidR="00F21F76" w:rsidRDefault="00F21F76" w:rsidP="00F21F76">
            <w:pPr>
              <w:rPr>
                <w:rFonts w:cs="Arial"/>
                <w:sz w:val="20"/>
                <w:szCs w:val="20"/>
              </w:rPr>
            </w:pPr>
          </w:p>
          <w:p w14:paraId="0EF6C572" w14:textId="77777777" w:rsidR="00B9551F" w:rsidRPr="00FE636E" w:rsidRDefault="00B9551F" w:rsidP="00FE636E">
            <w:pPr>
              <w:rPr>
                <w:rFonts w:cs="Arial"/>
                <w:sz w:val="20"/>
                <w:szCs w:val="20"/>
              </w:rPr>
            </w:pPr>
          </w:p>
        </w:tc>
      </w:tr>
      <w:tr w:rsidR="00DD2F3D" w14:paraId="25FD1CFC" w14:textId="77777777" w:rsidTr="00B94F6F">
        <w:trPr>
          <w:cantSplit/>
        </w:trPr>
        <w:tc>
          <w:tcPr>
            <w:tcW w:w="9350" w:type="dxa"/>
            <w:gridSpan w:val="2"/>
          </w:tcPr>
          <w:p w14:paraId="4D3C8668" w14:textId="77777777" w:rsidR="00DD2F3D" w:rsidRDefault="00DD2F3D" w:rsidP="00B94F6F">
            <w:r w:rsidRPr="001D77F7">
              <w:rPr>
                <w:b/>
              </w:rPr>
              <w:t>1.4.1 DEER Data</w:t>
            </w:r>
          </w:p>
        </w:tc>
      </w:tr>
      <w:tr w:rsidR="00DD7DBE" w14:paraId="75B4C212" w14:textId="77777777" w:rsidTr="00F52060">
        <w:trPr>
          <w:cantSplit/>
        </w:trPr>
        <w:tc>
          <w:tcPr>
            <w:tcW w:w="1975" w:type="dxa"/>
            <w:vAlign w:val="center"/>
          </w:tcPr>
          <w:p w14:paraId="7A4DBF91" w14:textId="77777777" w:rsidR="00DD7DBE" w:rsidRPr="00822B6F" w:rsidRDefault="00DD7DBE" w:rsidP="00DD7DB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7375" w:type="dxa"/>
          </w:tcPr>
          <w:p w14:paraId="6F9657D7" w14:textId="4E3E7E9E" w:rsidR="00E450A0" w:rsidRPr="009A1478" w:rsidRDefault="009A1478" w:rsidP="009A1478">
            <w:pPr>
              <w:pStyle w:val="NoSpacing"/>
              <w:rPr>
                <w:rFonts w:cs="Arial"/>
                <w:color w:val="FF0000"/>
                <w:sz w:val="20"/>
                <w:szCs w:val="20"/>
              </w:rPr>
            </w:pPr>
            <w:r w:rsidRPr="009A1478">
              <w:rPr>
                <w:sz w:val="20"/>
                <w:szCs w:val="20"/>
              </w:rPr>
              <w:t>No Change</w:t>
            </w:r>
          </w:p>
        </w:tc>
      </w:tr>
      <w:tr w:rsidR="00DD7DBE" w14:paraId="37914677" w14:textId="77777777" w:rsidTr="00AF368D">
        <w:trPr>
          <w:cantSplit/>
          <w:trHeight w:val="845"/>
        </w:trPr>
        <w:tc>
          <w:tcPr>
            <w:tcW w:w="1975" w:type="dxa"/>
            <w:vAlign w:val="center"/>
          </w:tcPr>
          <w:p w14:paraId="32862D31" w14:textId="77777777" w:rsidR="00DD7DBE" w:rsidRPr="00822B6F" w:rsidRDefault="00DD7DBE" w:rsidP="00DD7DB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7375" w:type="dxa"/>
          </w:tcPr>
          <w:p w14:paraId="3F6F9AC5" w14:textId="6BA74BE1" w:rsidR="00DD7DBE" w:rsidRPr="00D86243" w:rsidRDefault="00CF7675" w:rsidP="00DD7D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</w:t>
            </w:r>
          </w:p>
        </w:tc>
      </w:tr>
      <w:tr w:rsidR="00DD7DBE" w14:paraId="2076DB7F" w14:textId="77777777" w:rsidTr="00AF368D">
        <w:trPr>
          <w:cantSplit/>
          <w:trHeight w:val="458"/>
        </w:trPr>
        <w:tc>
          <w:tcPr>
            <w:tcW w:w="9350" w:type="dxa"/>
            <w:gridSpan w:val="2"/>
            <w:vAlign w:val="center"/>
          </w:tcPr>
          <w:p w14:paraId="5B492755" w14:textId="77777777" w:rsidR="00DD7DBE" w:rsidRPr="00241A1F" w:rsidRDefault="00DD7DBE" w:rsidP="00DD7DBE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2. Calculation Methodology</w:t>
            </w:r>
          </w:p>
        </w:tc>
      </w:tr>
      <w:tr w:rsidR="00DD7DBE" w14:paraId="5826AE37" w14:textId="77777777" w:rsidTr="00F52060">
        <w:trPr>
          <w:cantSplit/>
        </w:trPr>
        <w:tc>
          <w:tcPr>
            <w:tcW w:w="1975" w:type="dxa"/>
            <w:vAlign w:val="center"/>
          </w:tcPr>
          <w:p w14:paraId="0ACF5508" w14:textId="77777777" w:rsidR="00DD7DBE" w:rsidRDefault="00DD7DBE" w:rsidP="00DD7DBE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375" w:type="dxa"/>
          </w:tcPr>
          <w:p w14:paraId="5606A64D" w14:textId="794904AF" w:rsidR="007B0C15" w:rsidRPr="006970B1" w:rsidRDefault="00CF7675" w:rsidP="0050595C">
            <w:pPr>
              <w:pStyle w:val="NoSpacing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 Change</w:t>
            </w:r>
          </w:p>
        </w:tc>
      </w:tr>
      <w:tr w:rsidR="00DD7DBE" w14:paraId="2A78DE70" w14:textId="77777777" w:rsidTr="00B94F6F">
        <w:trPr>
          <w:cantSplit/>
        </w:trPr>
        <w:tc>
          <w:tcPr>
            <w:tcW w:w="9350" w:type="dxa"/>
            <w:gridSpan w:val="2"/>
            <w:vAlign w:val="center"/>
          </w:tcPr>
          <w:p w14:paraId="5EF65071" w14:textId="77777777" w:rsidR="00DD7DBE" w:rsidRPr="00476F40" w:rsidRDefault="00DD7DBE" w:rsidP="00DD7DB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lastRenderedPageBreak/>
              <w:t>Section 3. Load Shapes</w:t>
            </w:r>
          </w:p>
        </w:tc>
      </w:tr>
      <w:tr w:rsidR="00DD7DBE" w14:paraId="44465FA2" w14:textId="77777777" w:rsidTr="00F52060">
        <w:trPr>
          <w:cantSplit/>
        </w:trPr>
        <w:tc>
          <w:tcPr>
            <w:tcW w:w="1975" w:type="dxa"/>
            <w:vAlign w:val="center"/>
          </w:tcPr>
          <w:p w14:paraId="79FA2AED" w14:textId="77777777" w:rsidR="00DD7DBE" w:rsidRPr="00DD2F3D" w:rsidRDefault="00DD7DBE" w:rsidP="00DD7DBE">
            <w:r>
              <w:t>Load Shape</w:t>
            </w:r>
          </w:p>
        </w:tc>
        <w:tc>
          <w:tcPr>
            <w:tcW w:w="7375" w:type="dxa"/>
          </w:tcPr>
          <w:p w14:paraId="0BEDFE6D" w14:textId="52B296C2" w:rsidR="00E450A0" w:rsidRDefault="00CF7675" w:rsidP="00DD7DBE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No Change</w:t>
            </w:r>
          </w:p>
        </w:tc>
      </w:tr>
      <w:tr w:rsidR="00DD7DBE" w14:paraId="6A6013A0" w14:textId="77777777" w:rsidTr="00B94F6F">
        <w:trPr>
          <w:cantSplit/>
        </w:trPr>
        <w:tc>
          <w:tcPr>
            <w:tcW w:w="9350" w:type="dxa"/>
            <w:gridSpan w:val="2"/>
            <w:vAlign w:val="center"/>
          </w:tcPr>
          <w:p w14:paraId="5ACFA0FE" w14:textId="77777777" w:rsidR="00DD7DBE" w:rsidRDefault="00DD7DBE" w:rsidP="00DD7DBE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DD7DBE" w14:paraId="14456EC3" w14:textId="77777777" w:rsidTr="00B94F6F">
        <w:trPr>
          <w:cantSplit/>
        </w:trPr>
        <w:tc>
          <w:tcPr>
            <w:tcW w:w="9350" w:type="dxa"/>
            <w:gridSpan w:val="2"/>
            <w:vAlign w:val="center"/>
          </w:tcPr>
          <w:p w14:paraId="02DDDBC9" w14:textId="77777777" w:rsidR="00DD7DBE" w:rsidRDefault="00DD7DBE" w:rsidP="00DD7DBE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4.1 Base and Measure Costs</w:t>
            </w:r>
          </w:p>
        </w:tc>
      </w:tr>
      <w:tr w:rsidR="00DD7DBE" w14:paraId="4238E521" w14:textId="77777777" w:rsidTr="00F52060">
        <w:trPr>
          <w:cantSplit/>
        </w:trPr>
        <w:tc>
          <w:tcPr>
            <w:tcW w:w="1975" w:type="dxa"/>
          </w:tcPr>
          <w:p w14:paraId="46B6DFEC" w14:textId="77777777" w:rsidR="00DD7DBE" w:rsidRPr="00D91B6C" w:rsidRDefault="00DD7DBE" w:rsidP="00DD7DBE">
            <w:r w:rsidRPr="00D91B6C">
              <w:t>Base Cost</w:t>
            </w:r>
          </w:p>
        </w:tc>
        <w:tc>
          <w:tcPr>
            <w:tcW w:w="7375" w:type="dxa"/>
          </w:tcPr>
          <w:p w14:paraId="70B92A3D" w14:textId="0D76B917" w:rsidR="00DD7DBE" w:rsidRPr="00A854EE" w:rsidRDefault="00CF7675" w:rsidP="00DD7D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Change</w:t>
            </w:r>
          </w:p>
          <w:p w14:paraId="0A964745" w14:textId="77777777" w:rsidR="00DD7DBE" w:rsidRPr="003B7A13" w:rsidRDefault="00DD7DBE" w:rsidP="00DD7DBE">
            <w:pPr>
              <w:rPr>
                <w:highlight w:val="yellow"/>
              </w:rPr>
            </w:pPr>
          </w:p>
        </w:tc>
      </w:tr>
      <w:tr w:rsidR="00DD7DBE" w14:paraId="0727D1DE" w14:textId="77777777" w:rsidTr="00F52060">
        <w:trPr>
          <w:cantSplit/>
        </w:trPr>
        <w:tc>
          <w:tcPr>
            <w:tcW w:w="1975" w:type="dxa"/>
          </w:tcPr>
          <w:p w14:paraId="1BBAEC45" w14:textId="77777777" w:rsidR="00DD7DBE" w:rsidRPr="00D91B6C" w:rsidRDefault="00DD7DBE" w:rsidP="00DD7DBE">
            <w:r w:rsidRPr="00D91B6C">
              <w:t xml:space="preserve">Measure Cost </w:t>
            </w:r>
          </w:p>
        </w:tc>
        <w:tc>
          <w:tcPr>
            <w:tcW w:w="7375" w:type="dxa"/>
          </w:tcPr>
          <w:p w14:paraId="57C1D68E" w14:textId="77CAFC17" w:rsidR="00DD7DBE" w:rsidRPr="00B7580B" w:rsidRDefault="00CF7675" w:rsidP="00DD7DB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 Change</w:t>
            </w:r>
          </w:p>
          <w:p w14:paraId="4250E292" w14:textId="77777777" w:rsidR="00DD7DBE" w:rsidRPr="00B7580B" w:rsidRDefault="00DD7DBE" w:rsidP="00DD7DBE">
            <w:pPr>
              <w:rPr>
                <w:rFonts w:cstheme="minorHAnsi"/>
                <w:sz w:val="20"/>
                <w:szCs w:val="20"/>
              </w:rPr>
            </w:pPr>
          </w:p>
          <w:p w14:paraId="3410E4D7" w14:textId="77777777" w:rsidR="00DD7DBE" w:rsidRPr="003B7A13" w:rsidRDefault="00DD7DBE" w:rsidP="001B69CA">
            <w:pPr>
              <w:rPr>
                <w:highlight w:val="yellow"/>
              </w:rPr>
            </w:pPr>
          </w:p>
        </w:tc>
      </w:tr>
    </w:tbl>
    <w:p w14:paraId="1DAAE93F" w14:textId="77777777" w:rsidR="001B5D6C" w:rsidRDefault="001B5D6C" w:rsidP="00FE636E">
      <w:pPr>
        <w:spacing w:after="200" w:line="276" w:lineRule="auto"/>
      </w:pPr>
    </w:p>
    <w:p w14:paraId="40C2E72F" w14:textId="77777777"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246C7" w14:textId="77777777" w:rsidR="00C05EA6" w:rsidRDefault="00C05EA6" w:rsidP="00FE520B">
      <w:r>
        <w:separator/>
      </w:r>
    </w:p>
  </w:endnote>
  <w:endnote w:type="continuationSeparator" w:id="0">
    <w:p w14:paraId="5884B405" w14:textId="77777777" w:rsidR="00C05EA6" w:rsidRDefault="00C05EA6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D84E6" w14:textId="1E8894CD" w:rsidR="00B94F6F" w:rsidRPr="00241A1F" w:rsidRDefault="00B94F6F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CB78FF">
      <w:rPr>
        <w:b/>
      </w:rPr>
      <w:t>WPSDGEREWH1012, Revision 2</w:t>
    </w:r>
    <w:r w:rsidR="009822E8">
      <w:rPr>
        <w:b/>
      </w:rPr>
      <w:t>.1</w:t>
    </w:r>
    <w:r>
      <w:rPr>
        <w:b/>
      </w:rPr>
      <w:tab/>
    </w:r>
    <w:r>
      <w:rPr>
        <w:b/>
      </w:rPr>
      <w:tab/>
    </w:r>
    <w:r w:rsidR="009822E8">
      <w:rPr>
        <w:rFonts w:cstheme="minorHAnsi"/>
        <w:b/>
        <w:szCs w:val="22"/>
      </w:rPr>
      <w:t>December 28</w:t>
    </w:r>
    <w:r w:rsidR="002A4F95">
      <w:rPr>
        <w:rFonts w:cstheme="minorHAnsi"/>
        <w:b/>
        <w:szCs w:val="22"/>
      </w:rPr>
      <w:t xml:space="preserve">, </w:t>
    </w:r>
    <w:r w:rsidR="009822E8">
      <w:rPr>
        <w:rFonts w:cstheme="minorHAnsi"/>
        <w:b/>
        <w:szCs w:val="22"/>
      </w:rPr>
      <w:t>2018</w:t>
    </w:r>
  </w:p>
  <w:p w14:paraId="0D4049AB" w14:textId="3A248D82" w:rsidR="00B94F6F" w:rsidRPr="009500DC" w:rsidRDefault="00B94F6F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Pr="00C7215A">
      <w:rPr>
        <w:b/>
      </w:rPr>
      <w:fldChar w:fldCharType="begin"/>
    </w:r>
    <w:r w:rsidRPr="00C7215A">
      <w:rPr>
        <w:b/>
      </w:rPr>
      <w:instrText xml:space="preserve"> PAGE   \* MERGEFORMAT </w:instrText>
    </w:r>
    <w:r w:rsidRPr="00C7215A">
      <w:rPr>
        <w:b/>
      </w:rPr>
      <w:fldChar w:fldCharType="separate"/>
    </w:r>
    <w:r w:rsidR="00C939C2">
      <w:rPr>
        <w:b/>
        <w:noProof/>
      </w:rPr>
      <w:t>6</w:t>
    </w:r>
    <w:r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93480" w14:textId="77777777" w:rsidR="00C05EA6" w:rsidRDefault="00C05EA6" w:rsidP="00FE520B">
      <w:r>
        <w:separator/>
      </w:r>
    </w:p>
  </w:footnote>
  <w:footnote w:type="continuationSeparator" w:id="0">
    <w:p w14:paraId="692833C9" w14:textId="77777777" w:rsidR="00C05EA6" w:rsidRDefault="00C05EA6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A2171A"/>
    <w:multiLevelType w:val="hybridMultilevel"/>
    <w:tmpl w:val="CC52F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54291"/>
    <w:multiLevelType w:val="hybridMultilevel"/>
    <w:tmpl w:val="18189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EA41AD"/>
    <w:multiLevelType w:val="hybridMultilevel"/>
    <w:tmpl w:val="79D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6"/>
  </w:num>
  <w:num w:numId="6">
    <w:abstractNumId w:val="5"/>
  </w:num>
  <w:num w:numId="7">
    <w:abstractNumId w:val="23"/>
  </w:num>
  <w:num w:numId="8">
    <w:abstractNumId w:val="19"/>
  </w:num>
  <w:num w:numId="9">
    <w:abstractNumId w:val="6"/>
  </w:num>
  <w:num w:numId="10">
    <w:abstractNumId w:val="21"/>
  </w:num>
  <w:num w:numId="11">
    <w:abstractNumId w:val="22"/>
  </w:num>
  <w:num w:numId="12">
    <w:abstractNumId w:val="14"/>
  </w:num>
  <w:num w:numId="13">
    <w:abstractNumId w:val="24"/>
  </w:num>
  <w:num w:numId="14">
    <w:abstractNumId w:val="13"/>
  </w:num>
  <w:num w:numId="15">
    <w:abstractNumId w:val="15"/>
  </w:num>
  <w:num w:numId="16">
    <w:abstractNumId w:val="18"/>
  </w:num>
  <w:num w:numId="17">
    <w:abstractNumId w:val="12"/>
  </w:num>
  <w:num w:numId="18">
    <w:abstractNumId w:val="0"/>
  </w:num>
  <w:num w:numId="19">
    <w:abstractNumId w:val="7"/>
  </w:num>
  <w:num w:numId="20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</w:num>
  <w:num w:numId="22">
    <w:abstractNumId w:val="20"/>
  </w:num>
  <w:num w:numId="23">
    <w:abstractNumId w:val="10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4D4E"/>
    <w:rsid w:val="0000540F"/>
    <w:rsid w:val="00023AFF"/>
    <w:rsid w:val="00023C32"/>
    <w:rsid w:val="00027709"/>
    <w:rsid w:val="00031221"/>
    <w:rsid w:val="00031BA0"/>
    <w:rsid w:val="000369C7"/>
    <w:rsid w:val="00036A2C"/>
    <w:rsid w:val="00051762"/>
    <w:rsid w:val="00052743"/>
    <w:rsid w:val="00052CE4"/>
    <w:rsid w:val="000562B9"/>
    <w:rsid w:val="000601B1"/>
    <w:rsid w:val="00067315"/>
    <w:rsid w:val="00067AF1"/>
    <w:rsid w:val="000719BF"/>
    <w:rsid w:val="000A2B83"/>
    <w:rsid w:val="000A3A47"/>
    <w:rsid w:val="000B6542"/>
    <w:rsid w:val="000C04F4"/>
    <w:rsid w:val="000C13AE"/>
    <w:rsid w:val="000C441A"/>
    <w:rsid w:val="000D243C"/>
    <w:rsid w:val="000E19CA"/>
    <w:rsid w:val="000E2CA6"/>
    <w:rsid w:val="000E65D6"/>
    <w:rsid w:val="000F6BA3"/>
    <w:rsid w:val="000F72EF"/>
    <w:rsid w:val="001039B0"/>
    <w:rsid w:val="001046CB"/>
    <w:rsid w:val="00104DA8"/>
    <w:rsid w:val="00121B4E"/>
    <w:rsid w:val="0012271D"/>
    <w:rsid w:val="00131C78"/>
    <w:rsid w:val="00143843"/>
    <w:rsid w:val="001505DA"/>
    <w:rsid w:val="001519FD"/>
    <w:rsid w:val="0016189C"/>
    <w:rsid w:val="001752E5"/>
    <w:rsid w:val="00183A2F"/>
    <w:rsid w:val="00194466"/>
    <w:rsid w:val="001979FF"/>
    <w:rsid w:val="001A11C1"/>
    <w:rsid w:val="001A3ED4"/>
    <w:rsid w:val="001A4875"/>
    <w:rsid w:val="001B1C8A"/>
    <w:rsid w:val="001B5D6C"/>
    <w:rsid w:val="001B69CA"/>
    <w:rsid w:val="001C3663"/>
    <w:rsid w:val="001D0AB9"/>
    <w:rsid w:val="001D57D7"/>
    <w:rsid w:val="001D6A64"/>
    <w:rsid w:val="001F64F8"/>
    <w:rsid w:val="00200310"/>
    <w:rsid w:val="00201A3F"/>
    <w:rsid w:val="00215828"/>
    <w:rsid w:val="00231DE1"/>
    <w:rsid w:val="00235AFB"/>
    <w:rsid w:val="00241A1F"/>
    <w:rsid w:val="00244447"/>
    <w:rsid w:val="00244805"/>
    <w:rsid w:val="0026709F"/>
    <w:rsid w:val="002805E5"/>
    <w:rsid w:val="00291B2B"/>
    <w:rsid w:val="002A4F95"/>
    <w:rsid w:val="002A6D41"/>
    <w:rsid w:val="002C1030"/>
    <w:rsid w:val="002C15E6"/>
    <w:rsid w:val="002D0BD6"/>
    <w:rsid w:val="002D7B3E"/>
    <w:rsid w:val="002E0948"/>
    <w:rsid w:val="002E24BE"/>
    <w:rsid w:val="002F24CE"/>
    <w:rsid w:val="00312618"/>
    <w:rsid w:val="00317E0E"/>
    <w:rsid w:val="00323C28"/>
    <w:rsid w:val="0032761E"/>
    <w:rsid w:val="00333116"/>
    <w:rsid w:val="0034557D"/>
    <w:rsid w:val="00360CFA"/>
    <w:rsid w:val="00373EC5"/>
    <w:rsid w:val="0039516E"/>
    <w:rsid w:val="003A0D2B"/>
    <w:rsid w:val="003A4277"/>
    <w:rsid w:val="003A7B4E"/>
    <w:rsid w:val="003B5806"/>
    <w:rsid w:val="003B5DCF"/>
    <w:rsid w:val="003B6A2A"/>
    <w:rsid w:val="003B7A13"/>
    <w:rsid w:val="003C2EE4"/>
    <w:rsid w:val="003D1C21"/>
    <w:rsid w:val="003D5B0F"/>
    <w:rsid w:val="003E035B"/>
    <w:rsid w:val="003E0DC8"/>
    <w:rsid w:val="003E122A"/>
    <w:rsid w:val="003E6E57"/>
    <w:rsid w:val="003E6FA5"/>
    <w:rsid w:val="003F1F0D"/>
    <w:rsid w:val="00402B3D"/>
    <w:rsid w:val="0040369C"/>
    <w:rsid w:val="00404A43"/>
    <w:rsid w:val="00413EF4"/>
    <w:rsid w:val="00431763"/>
    <w:rsid w:val="004402EE"/>
    <w:rsid w:val="004452CE"/>
    <w:rsid w:val="0044686E"/>
    <w:rsid w:val="00446BE5"/>
    <w:rsid w:val="004519B4"/>
    <w:rsid w:val="00467DB3"/>
    <w:rsid w:val="004748BE"/>
    <w:rsid w:val="00486A75"/>
    <w:rsid w:val="00492365"/>
    <w:rsid w:val="004A6215"/>
    <w:rsid w:val="004D0326"/>
    <w:rsid w:val="004D5D19"/>
    <w:rsid w:val="004E13B2"/>
    <w:rsid w:val="005019B4"/>
    <w:rsid w:val="0050595C"/>
    <w:rsid w:val="00513723"/>
    <w:rsid w:val="005248E2"/>
    <w:rsid w:val="0052622F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B5614"/>
    <w:rsid w:val="005C1518"/>
    <w:rsid w:val="005D5D5A"/>
    <w:rsid w:val="005E18A1"/>
    <w:rsid w:val="00623004"/>
    <w:rsid w:val="00636490"/>
    <w:rsid w:val="006374F1"/>
    <w:rsid w:val="00650C31"/>
    <w:rsid w:val="00650F0D"/>
    <w:rsid w:val="00653C4B"/>
    <w:rsid w:val="00666CDA"/>
    <w:rsid w:val="00682E19"/>
    <w:rsid w:val="00684ABA"/>
    <w:rsid w:val="00686789"/>
    <w:rsid w:val="006875B3"/>
    <w:rsid w:val="006921A3"/>
    <w:rsid w:val="00693207"/>
    <w:rsid w:val="00695478"/>
    <w:rsid w:val="006970B1"/>
    <w:rsid w:val="006A1F36"/>
    <w:rsid w:val="006A2396"/>
    <w:rsid w:val="006A3E63"/>
    <w:rsid w:val="006B0D5C"/>
    <w:rsid w:val="006D03F9"/>
    <w:rsid w:val="006D0515"/>
    <w:rsid w:val="006D2B70"/>
    <w:rsid w:val="00707736"/>
    <w:rsid w:val="00711B58"/>
    <w:rsid w:val="007176CD"/>
    <w:rsid w:val="00722C9C"/>
    <w:rsid w:val="00727839"/>
    <w:rsid w:val="00752529"/>
    <w:rsid w:val="00762D81"/>
    <w:rsid w:val="00764A26"/>
    <w:rsid w:val="00785AC8"/>
    <w:rsid w:val="00786E32"/>
    <w:rsid w:val="00787D7C"/>
    <w:rsid w:val="00792928"/>
    <w:rsid w:val="00797B54"/>
    <w:rsid w:val="007B0C15"/>
    <w:rsid w:val="007B18FE"/>
    <w:rsid w:val="007C67FB"/>
    <w:rsid w:val="007D0FE4"/>
    <w:rsid w:val="007D1A21"/>
    <w:rsid w:val="007D1F1E"/>
    <w:rsid w:val="007D3A21"/>
    <w:rsid w:val="007D4F8E"/>
    <w:rsid w:val="007D6FF1"/>
    <w:rsid w:val="007E7E00"/>
    <w:rsid w:val="00804C1C"/>
    <w:rsid w:val="008068A6"/>
    <w:rsid w:val="008137B0"/>
    <w:rsid w:val="0081511D"/>
    <w:rsid w:val="0081521B"/>
    <w:rsid w:val="00856FA4"/>
    <w:rsid w:val="00862113"/>
    <w:rsid w:val="00862764"/>
    <w:rsid w:val="008724D6"/>
    <w:rsid w:val="008775D7"/>
    <w:rsid w:val="00884B9C"/>
    <w:rsid w:val="00895D80"/>
    <w:rsid w:val="008A1557"/>
    <w:rsid w:val="008A1D1C"/>
    <w:rsid w:val="008A4224"/>
    <w:rsid w:val="008B5184"/>
    <w:rsid w:val="008C01F7"/>
    <w:rsid w:val="008C2C8A"/>
    <w:rsid w:val="008D0B3C"/>
    <w:rsid w:val="008E0850"/>
    <w:rsid w:val="008E5CD5"/>
    <w:rsid w:val="0090016E"/>
    <w:rsid w:val="00910D54"/>
    <w:rsid w:val="009124F6"/>
    <w:rsid w:val="00925509"/>
    <w:rsid w:val="0093657B"/>
    <w:rsid w:val="009374BC"/>
    <w:rsid w:val="0094267E"/>
    <w:rsid w:val="00950104"/>
    <w:rsid w:val="00950249"/>
    <w:rsid w:val="00957C01"/>
    <w:rsid w:val="009618BA"/>
    <w:rsid w:val="009822E8"/>
    <w:rsid w:val="00984534"/>
    <w:rsid w:val="00985CB7"/>
    <w:rsid w:val="00986A83"/>
    <w:rsid w:val="009A1478"/>
    <w:rsid w:val="009C3F2D"/>
    <w:rsid w:val="009C6AE8"/>
    <w:rsid w:val="009E1662"/>
    <w:rsid w:val="009E2BC3"/>
    <w:rsid w:val="009E4A0D"/>
    <w:rsid w:val="009F3770"/>
    <w:rsid w:val="00A051D9"/>
    <w:rsid w:val="00A21710"/>
    <w:rsid w:val="00A256A5"/>
    <w:rsid w:val="00A3401B"/>
    <w:rsid w:val="00A34393"/>
    <w:rsid w:val="00A578F7"/>
    <w:rsid w:val="00A61271"/>
    <w:rsid w:val="00A70C5F"/>
    <w:rsid w:val="00A75EDC"/>
    <w:rsid w:val="00A80861"/>
    <w:rsid w:val="00A854EE"/>
    <w:rsid w:val="00A90F14"/>
    <w:rsid w:val="00A9441E"/>
    <w:rsid w:val="00A96751"/>
    <w:rsid w:val="00AA43C4"/>
    <w:rsid w:val="00AB5449"/>
    <w:rsid w:val="00AD034F"/>
    <w:rsid w:val="00AD74B2"/>
    <w:rsid w:val="00AE4353"/>
    <w:rsid w:val="00AF368D"/>
    <w:rsid w:val="00B00846"/>
    <w:rsid w:val="00B079DA"/>
    <w:rsid w:val="00B16652"/>
    <w:rsid w:val="00B26A01"/>
    <w:rsid w:val="00B26A30"/>
    <w:rsid w:val="00B471CC"/>
    <w:rsid w:val="00B47B58"/>
    <w:rsid w:val="00B521D4"/>
    <w:rsid w:val="00B57F32"/>
    <w:rsid w:val="00B6098B"/>
    <w:rsid w:val="00B61FCD"/>
    <w:rsid w:val="00B75260"/>
    <w:rsid w:val="00B7580B"/>
    <w:rsid w:val="00B7668F"/>
    <w:rsid w:val="00B90F97"/>
    <w:rsid w:val="00B9234D"/>
    <w:rsid w:val="00B94F6F"/>
    <w:rsid w:val="00B9551F"/>
    <w:rsid w:val="00BA1B6B"/>
    <w:rsid w:val="00BB2D80"/>
    <w:rsid w:val="00BC237D"/>
    <w:rsid w:val="00BC6454"/>
    <w:rsid w:val="00BD4AFD"/>
    <w:rsid w:val="00BD5433"/>
    <w:rsid w:val="00C048F4"/>
    <w:rsid w:val="00C05E32"/>
    <w:rsid w:val="00C05EA6"/>
    <w:rsid w:val="00C06B9E"/>
    <w:rsid w:val="00C11ACD"/>
    <w:rsid w:val="00C12F3B"/>
    <w:rsid w:val="00C131CB"/>
    <w:rsid w:val="00C14DCC"/>
    <w:rsid w:val="00C15F66"/>
    <w:rsid w:val="00C228B0"/>
    <w:rsid w:val="00C23CAB"/>
    <w:rsid w:val="00C414A6"/>
    <w:rsid w:val="00C44E5A"/>
    <w:rsid w:val="00C462C1"/>
    <w:rsid w:val="00C50122"/>
    <w:rsid w:val="00C52867"/>
    <w:rsid w:val="00C54AC6"/>
    <w:rsid w:val="00C5648F"/>
    <w:rsid w:val="00C6110B"/>
    <w:rsid w:val="00C62A00"/>
    <w:rsid w:val="00C64A59"/>
    <w:rsid w:val="00C7215A"/>
    <w:rsid w:val="00C75814"/>
    <w:rsid w:val="00C85CA1"/>
    <w:rsid w:val="00C93876"/>
    <w:rsid w:val="00C939C2"/>
    <w:rsid w:val="00CA1C3F"/>
    <w:rsid w:val="00CA35A2"/>
    <w:rsid w:val="00CA48A0"/>
    <w:rsid w:val="00CB10BC"/>
    <w:rsid w:val="00CB78FF"/>
    <w:rsid w:val="00CC0FFE"/>
    <w:rsid w:val="00CD0996"/>
    <w:rsid w:val="00CD0B17"/>
    <w:rsid w:val="00CD0F98"/>
    <w:rsid w:val="00CF295D"/>
    <w:rsid w:val="00CF2ABA"/>
    <w:rsid w:val="00CF7675"/>
    <w:rsid w:val="00D02F02"/>
    <w:rsid w:val="00D204BF"/>
    <w:rsid w:val="00D4142C"/>
    <w:rsid w:val="00D42B54"/>
    <w:rsid w:val="00D60240"/>
    <w:rsid w:val="00D645DB"/>
    <w:rsid w:val="00D73600"/>
    <w:rsid w:val="00D73723"/>
    <w:rsid w:val="00DA4D9F"/>
    <w:rsid w:val="00DA5D17"/>
    <w:rsid w:val="00DB544A"/>
    <w:rsid w:val="00DB71F1"/>
    <w:rsid w:val="00DB7C6D"/>
    <w:rsid w:val="00DC42DE"/>
    <w:rsid w:val="00DC7243"/>
    <w:rsid w:val="00DD2F3D"/>
    <w:rsid w:val="00DD7DBE"/>
    <w:rsid w:val="00DE1C5D"/>
    <w:rsid w:val="00DE364E"/>
    <w:rsid w:val="00E048EA"/>
    <w:rsid w:val="00E05871"/>
    <w:rsid w:val="00E05B9C"/>
    <w:rsid w:val="00E159C8"/>
    <w:rsid w:val="00E165FC"/>
    <w:rsid w:val="00E33C12"/>
    <w:rsid w:val="00E372B8"/>
    <w:rsid w:val="00E408A9"/>
    <w:rsid w:val="00E41345"/>
    <w:rsid w:val="00E450A0"/>
    <w:rsid w:val="00E455B7"/>
    <w:rsid w:val="00E56CE7"/>
    <w:rsid w:val="00E6385A"/>
    <w:rsid w:val="00E65DD7"/>
    <w:rsid w:val="00E6631C"/>
    <w:rsid w:val="00E733C7"/>
    <w:rsid w:val="00E76853"/>
    <w:rsid w:val="00E84938"/>
    <w:rsid w:val="00E859F0"/>
    <w:rsid w:val="00EB2DBB"/>
    <w:rsid w:val="00EB68B4"/>
    <w:rsid w:val="00EC34A0"/>
    <w:rsid w:val="00EC38B0"/>
    <w:rsid w:val="00EC550F"/>
    <w:rsid w:val="00ED3B34"/>
    <w:rsid w:val="00ED65C0"/>
    <w:rsid w:val="00EE38DA"/>
    <w:rsid w:val="00EE5019"/>
    <w:rsid w:val="00EE6CFE"/>
    <w:rsid w:val="00F117C6"/>
    <w:rsid w:val="00F14A21"/>
    <w:rsid w:val="00F21F76"/>
    <w:rsid w:val="00F22251"/>
    <w:rsid w:val="00F3167F"/>
    <w:rsid w:val="00F4328B"/>
    <w:rsid w:val="00F52060"/>
    <w:rsid w:val="00F77C08"/>
    <w:rsid w:val="00F855DD"/>
    <w:rsid w:val="00F915C5"/>
    <w:rsid w:val="00FA3359"/>
    <w:rsid w:val="00FB4B16"/>
    <w:rsid w:val="00FB6C42"/>
    <w:rsid w:val="00FC1793"/>
    <w:rsid w:val="00FC7066"/>
    <w:rsid w:val="00FD0565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EC50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5DB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571DEC-F362-45BD-8BC9-45EBD108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2018-12-28T22:04:00Z</dcterms:created>
  <dcterms:modified xsi:type="dcterms:W3CDTF">2018-12-31T19:03:00Z</dcterms:modified>
</cp:coreProperties>
</file>