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D00817" w:rsidRPr="00022849">
        <w:t>WPSDGEREWH002</w:t>
      </w:r>
      <w:r w:rsidR="00D00817">
        <w:t>4</w:t>
      </w:r>
    </w:p>
    <w:p w:rsidR="00E6385A" w:rsidRPr="00500C4E" w:rsidRDefault="00E6385A" w:rsidP="00F117C6">
      <w:pPr>
        <w:pStyle w:val="WPnumber"/>
      </w:pPr>
      <w:r>
        <w:tab/>
      </w:r>
      <w:r w:rsidR="000E19CA">
        <w:rPr>
          <w:rStyle w:val="CaptionChar"/>
          <w:b/>
          <w:bCs w:val="0"/>
        </w:rPr>
        <w:t xml:space="preserve">Revision </w:t>
      </w:r>
      <w:r w:rsidR="00D00817">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22849" w:rsidRPr="00EB34FC" w:rsidRDefault="00022849" w:rsidP="00022849">
      <w:pPr>
        <w:rPr>
          <w:rFonts w:cstheme="minorHAnsi"/>
          <w:b/>
          <w:sz w:val="72"/>
          <w:szCs w:val="72"/>
        </w:rPr>
      </w:pPr>
      <w:r>
        <w:rPr>
          <w:rFonts w:cstheme="minorHAnsi"/>
          <w:b/>
          <w:sz w:val="72"/>
          <w:szCs w:val="72"/>
        </w:rPr>
        <w:t>Storage Tank Water Heaters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022849" w:rsidRDefault="00022849" w:rsidP="000E19CA">
      <w:pPr>
        <w:jc w:val="right"/>
        <w:rPr>
          <w:rFonts w:cstheme="minorHAnsi"/>
          <w:b/>
          <w:sz w:val="28"/>
          <w:szCs w:val="28"/>
        </w:rPr>
      </w:pPr>
    </w:p>
    <w:p w:rsidR="00022849" w:rsidRDefault="00022849" w:rsidP="000E19CA">
      <w:pPr>
        <w:jc w:val="right"/>
        <w:rPr>
          <w:rFonts w:cstheme="minorHAnsi"/>
          <w:b/>
          <w:sz w:val="28"/>
          <w:szCs w:val="28"/>
        </w:rPr>
      </w:pPr>
    </w:p>
    <w:p w:rsidR="00022849" w:rsidRDefault="00022849" w:rsidP="000E19CA">
      <w:pPr>
        <w:jc w:val="right"/>
        <w:rPr>
          <w:rFonts w:cstheme="minorHAnsi"/>
          <w:b/>
          <w:sz w:val="28"/>
          <w:szCs w:val="28"/>
        </w:rPr>
      </w:pPr>
    </w:p>
    <w:p w:rsidR="00022849" w:rsidRDefault="00022849" w:rsidP="00A92029">
      <w:pPr>
        <w:jc w:val="center"/>
        <w:rPr>
          <w:rFonts w:cstheme="minorHAnsi"/>
          <w:b/>
          <w:sz w:val="28"/>
          <w:szCs w:val="28"/>
        </w:rPr>
      </w:pPr>
    </w:p>
    <w:p w:rsidR="00022849" w:rsidRDefault="00022849" w:rsidP="000E19CA">
      <w:pPr>
        <w:jc w:val="right"/>
        <w:rPr>
          <w:rFonts w:cstheme="minorHAnsi"/>
          <w:b/>
          <w:sz w:val="28"/>
          <w:szCs w:val="28"/>
        </w:rPr>
      </w:pPr>
    </w:p>
    <w:p w:rsidR="00022849" w:rsidRDefault="00022849" w:rsidP="00022849">
      <w:pPr>
        <w:jc w:val="right"/>
        <w:rPr>
          <w:rFonts w:cstheme="minorHAnsi"/>
          <w:b/>
          <w:sz w:val="28"/>
          <w:szCs w:val="28"/>
        </w:rPr>
      </w:pPr>
      <w:r>
        <w:rPr>
          <w:rFonts w:cstheme="minorHAnsi"/>
          <w:b/>
          <w:sz w:val="28"/>
          <w:szCs w:val="28"/>
        </w:rPr>
        <w:t>December 28, 2017</w:t>
      </w:r>
    </w:p>
    <w:p w:rsidR="00E372B8" w:rsidRPr="000F72EF" w:rsidRDefault="00E372B8" w:rsidP="00D64150">
      <w:pPr>
        <w:jc w:val="center"/>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413EF4" w:rsidRPr="00C227A7" w:rsidRDefault="00413EF4" w:rsidP="00413EF4">
      <w:pPr>
        <w:pStyle w:val="Heading2"/>
        <w:rPr>
          <w:rFonts w:asciiTheme="minorHAnsi" w:hAnsiTheme="minorHAnsi" w:cstheme="minorHAnsi"/>
          <w:sz w:val="22"/>
          <w:szCs w:val="22"/>
        </w:rPr>
      </w:pPr>
      <w:r w:rsidRPr="00C227A7">
        <w:rPr>
          <w:rFonts w:asciiTheme="minorHAnsi" w:hAnsiTheme="minorHAnsi" w:cstheme="minorHAnsi"/>
          <w:sz w:val="22"/>
          <w:szCs w:val="22"/>
        </w:rPr>
        <w:lastRenderedPageBreak/>
        <w:t>Introduction</w:t>
      </w:r>
    </w:p>
    <w:p w:rsidR="00413EF4" w:rsidRPr="00C227A7" w:rsidRDefault="00413EF4" w:rsidP="00C06B9E">
      <w:pPr>
        <w:rPr>
          <w:rFonts w:cstheme="minorHAnsi"/>
          <w:szCs w:val="22"/>
        </w:rPr>
      </w:pPr>
      <w:r w:rsidRPr="00C227A7">
        <w:rPr>
          <w:rFonts w:cstheme="minorHAnsi"/>
          <w:szCs w:val="22"/>
        </w:rPr>
        <w:t xml:space="preserve">This short form workpaper documents the </w:t>
      </w:r>
      <w:r w:rsidR="00C414A6" w:rsidRPr="00C227A7">
        <w:rPr>
          <w:rFonts w:cstheme="minorHAnsi"/>
          <w:szCs w:val="22"/>
        </w:rPr>
        <w:t>ex-ante</w:t>
      </w:r>
      <w:r w:rsidR="00C06B9E" w:rsidRPr="00C227A7">
        <w:rPr>
          <w:rFonts w:cstheme="minorHAnsi"/>
          <w:szCs w:val="22"/>
        </w:rPr>
        <w:t xml:space="preserve"> load impact and cost-effectiveness </w:t>
      </w:r>
      <w:r w:rsidRPr="00C227A7">
        <w:rPr>
          <w:rFonts w:cstheme="minorHAnsi"/>
          <w:szCs w:val="22"/>
        </w:rPr>
        <w:t xml:space="preserve">values </w:t>
      </w:r>
      <w:r w:rsidR="00C06B9E" w:rsidRPr="00C227A7">
        <w:rPr>
          <w:rFonts w:cstheme="minorHAnsi"/>
          <w:szCs w:val="22"/>
        </w:rPr>
        <w:t xml:space="preserve">used for </w:t>
      </w:r>
      <w:r w:rsidR="00022849" w:rsidRPr="00C227A7">
        <w:rPr>
          <w:rFonts w:cstheme="minorHAnsi"/>
          <w:szCs w:val="22"/>
        </w:rPr>
        <w:t>Natural Gas Storage Tank Water Heaters</w:t>
      </w:r>
      <w:r w:rsidR="00C06B9E" w:rsidRPr="00C227A7">
        <w:rPr>
          <w:rFonts w:cstheme="minorHAnsi"/>
          <w:szCs w:val="22"/>
        </w:rPr>
        <w:t xml:space="preserve">. </w:t>
      </w:r>
    </w:p>
    <w:p w:rsidR="00413EF4" w:rsidRPr="00A92029" w:rsidRDefault="00413EF4" w:rsidP="00413EF4">
      <w:pPr>
        <w:rPr>
          <w:rFonts w:cstheme="minorHAnsi"/>
          <w:sz w:val="20"/>
          <w:szCs w:val="20"/>
        </w:rPr>
      </w:pPr>
    </w:p>
    <w:p w:rsidR="00DB71F1" w:rsidRPr="00A92029" w:rsidRDefault="00B57F32" w:rsidP="00EC63CA">
      <w:pPr>
        <w:pStyle w:val="Heading2"/>
        <w:rPr>
          <w:rFonts w:asciiTheme="minorHAnsi" w:hAnsiTheme="minorHAnsi" w:cstheme="minorHAnsi"/>
          <w:sz w:val="20"/>
          <w:szCs w:val="20"/>
        </w:rPr>
      </w:pPr>
      <w:r w:rsidRPr="00A92029">
        <w:rPr>
          <w:rFonts w:asciiTheme="minorHAnsi" w:hAnsiTheme="minorHAnsi" w:cstheme="minorHAnsi"/>
          <w:sz w:val="20"/>
          <w:szCs w:val="20"/>
        </w:rPr>
        <w:t xml:space="preserve">Document Revision History </w:t>
      </w:r>
    </w:p>
    <w:tbl>
      <w:tblPr>
        <w:tblStyle w:val="TableGrid"/>
        <w:tblW w:w="0" w:type="auto"/>
        <w:tblLook w:val="04A0" w:firstRow="1" w:lastRow="0" w:firstColumn="1" w:lastColumn="0" w:noHBand="0" w:noVBand="1"/>
      </w:tblPr>
      <w:tblGrid>
        <w:gridCol w:w="1164"/>
        <w:gridCol w:w="1182"/>
        <w:gridCol w:w="2599"/>
        <w:gridCol w:w="4405"/>
      </w:tblGrid>
      <w:tr w:rsidR="00984E48" w:rsidRPr="00A92029" w:rsidTr="00EC63CA">
        <w:tc>
          <w:tcPr>
            <w:tcW w:w="1164"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Revision #</w:t>
            </w:r>
          </w:p>
        </w:tc>
        <w:tc>
          <w:tcPr>
            <w:tcW w:w="1182"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MM/DD/YY</w:t>
            </w:r>
          </w:p>
        </w:tc>
        <w:tc>
          <w:tcPr>
            <w:tcW w:w="2599"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Author/Affiliation</w:t>
            </w:r>
          </w:p>
        </w:tc>
        <w:tc>
          <w:tcPr>
            <w:tcW w:w="4405"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Summary of Changes</w:t>
            </w:r>
          </w:p>
        </w:tc>
      </w:tr>
      <w:tr w:rsidR="00984E48" w:rsidRPr="00A92029" w:rsidTr="00984E48">
        <w:tc>
          <w:tcPr>
            <w:tcW w:w="1164" w:type="dxa"/>
          </w:tcPr>
          <w:p w:rsidR="00984E48" w:rsidRPr="00A92029" w:rsidRDefault="00984E48" w:rsidP="00984E48">
            <w:pPr>
              <w:jc w:val="center"/>
              <w:rPr>
                <w:rFonts w:cstheme="minorHAnsi"/>
                <w:sz w:val="20"/>
                <w:szCs w:val="20"/>
              </w:rPr>
            </w:pPr>
            <w:r w:rsidRPr="00A92029">
              <w:rPr>
                <w:rFonts w:cstheme="minorHAnsi"/>
                <w:sz w:val="20"/>
                <w:szCs w:val="20"/>
              </w:rPr>
              <w:t>0</w:t>
            </w:r>
          </w:p>
        </w:tc>
        <w:tc>
          <w:tcPr>
            <w:tcW w:w="1182" w:type="dxa"/>
          </w:tcPr>
          <w:p w:rsidR="00984E48" w:rsidRPr="00A92029" w:rsidRDefault="00984E48" w:rsidP="00984E48">
            <w:pPr>
              <w:jc w:val="center"/>
              <w:rPr>
                <w:rFonts w:cstheme="minorHAnsi"/>
                <w:sz w:val="20"/>
                <w:szCs w:val="20"/>
              </w:rPr>
            </w:pPr>
            <w:r w:rsidRPr="00A92029">
              <w:rPr>
                <w:rFonts w:cstheme="minorHAnsi"/>
                <w:sz w:val="20"/>
                <w:szCs w:val="20"/>
              </w:rPr>
              <w:t>03/20/2014</w:t>
            </w:r>
          </w:p>
        </w:tc>
        <w:tc>
          <w:tcPr>
            <w:tcW w:w="2599" w:type="dxa"/>
          </w:tcPr>
          <w:p w:rsidR="00984E48" w:rsidRPr="00A92029" w:rsidRDefault="00984E48" w:rsidP="00984E48">
            <w:pPr>
              <w:rPr>
                <w:rFonts w:cstheme="minorHAnsi"/>
                <w:sz w:val="20"/>
                <w:szCs w:val="20"/>
              </w:rPr>
            </w:pPr>
            <w:r w:rsidRPr="00A92029">
              <w:rPr>
                <w:rFonts w:cstheme="minorHAnsi"/>
                <w:sz w:val="20"/>
                <w:szCs w:val="20"/>
              </w:rPr>
              <w:t>Kyle Dunn (MWE2)</w:t>
            </w:r>
          </w:p>
        </w:tc>
        <w:tc>
          <w:tcPr>
            <w:tcW w:w="4405" w:type="dxa"/>
          </w:tcPr>
          <w:p w:rsidR="00984E48" w:rsidRPr="00A92029" w:rsidRDefault="00984E48" w:rsidP="00984E48">
            <w:pPr>
              <w:pStyle w:val="ListParagraph"/>
              <w:numPr>
                <w:ilvl w:val="0"/>
                <w:numId w:val="17"/>
              </w:numPr>
              <w:rPr>
                <w:rFonts w:cstheme="minorHAnsi"/>
                <w:sz w:val="20"/>
                <w:szCs w:val="20"/>
              </w:rPr>
            </w:pPr>
            <w:r w:rsidRPr="00A92029">
              <w:rPr>
                <w:rFonts w:cstheme="minorHAnsi"/>
                <w:sz w:val="20"/>
                <w:szCs w:val="20"/>
              </w:rPr>
              <w:t>Original Workpaper for release</w:t>
            </w:r>
          </w:p>
        </w:tc>
      </w:tr>
      <w:tr w:rsidR="00984E48" w:rsidRPr="00A92029" w:rsidTr="00984E48">
        <w:tc>
          <w:tcPr>
            <w:tcW w:w="1164" w:type="dxa"/>
          </w:tcPr>
          <w:p w:rsidR="00984E48" w:rsidRPr="00A92029" w:rsidRDefault="00984E48" w:rsidP="00984E48">
            <w:pPr>
              <w:jc w:val="center"/>
              <w:rPr>
                <w:rFonts w:cstheme="minorHAnsi"/>
                <w:sz w:val="20"/>
                <w:szCs w:val="20"/>
              </w:rPr>
            </w:pPr>
            <w:r w:rsidRPr="00A92029">
              <w:rPr>
                <w:rFonts w:cstheme="minorHAnsi"/>
                <w:sz w:val="20"/>
                <w:szCs w:val="20"/>
              </w:rPr>
              <w:t>1</w:t>
            </w:r>
          </w:p>
        </w:tc>
        <w:tc>
          <w:tcPr>
            <w:tcW w:w="1182" w:type="dxa"/>
          </w:tcPr>
          <w:p w:rsidR="00984E48" w:rsidRPr="00A92029" w:rsidRDefault="00281CA2" w:rsidP="00984E48">
            <w:pPr>
              <w:jc w:val="center"/>
              <w:rPr>
                <w:rFonts w:cstheme="minorHAnsi"/>
                <w:sz w:val="20"/>
                <w:szCs w:val="20"/>
              </w:rPr>
            </w:pPr>
            <w:r w:rsidRPr="00A92029">
              <w:rPr>
                <w:rFonts w:cstheme="minorHAnsi"/>
                <w:sz w:val="20"/>
                <w:szCs w:val="20"/>
              </w:rPr>
              <w:t>12/28</w:t>
            </w:r>
            <w:r w:rsidR="00984E48" w:rsidRPr="00A92029">
              <w:rPr>
                <w:rFonts w:cstheme="minorHAnsi"/>
                <w:sz w:val="20"/>
                <w:szCs w:val="20"/>
              </w:rPr>
              <w:t>/2017</w:t>
            </w:r>
          </w:p>
        </w:tc>
        <w:tc>
          <w:tcPr>
            <w:tcW w:w="2599" w:type="dxa"/>
          </w:tcPr>
          <w:p w:rsidR="00984E48" w:rsidRPr="00A92029" w:rsidRDefault="00984E48" w:rsidP="00984E48">
            <w:pPr>
              <w:rPr>
                <w:rFonts w:cstheme="minorHAnsi"/>
                <w:sz w:val="20"/>
                <w:szCs w:val="20"/>
              </w:rPr>
            </w:pPr>
            <w:r w:rsidRPr="00A92029">
              <w:rPr>
                <w:rFonts w:cstheme="minorHAnsi"/>
                <w:sz w:val="20"/>
                <w:szCs w:val="20"/>
              </w:rPr>
              <w:t>Joshua Williams (SDGE)</w:t>
            </w:r>
          </w:p>
        </w:tc>
        <w:tc>
          <w:tcPr>
            <w:tcW w:w="4405" w:type="dxa"/>
          </w:tcPr>
          <w:p w:rsidR="00D00817" w:rsidRPr="00A92029" w:rsidRDefault="00D00817" w:rsidP="00984E48">
            <w:pPr>
              <w:pStyle w:val="ListParagraph"/>
              <w:numPr>
                <w:ilvl w:val="0"/>
                <w:numId w:val="17"/>
              </w:numPr>
              <w:rPr>
                <w:rFonts w:cstheme="minorHAnsi"/>
                <w:sz w:val="20"/>
                <w:szCs w:val="20"/>
              </w:rPr>
            </w:pPr>
            <w:r w:rsidRPr="00A92029">
              <w:rPr>
                <w:rFonts w:cstheme="minorHAnsi"/>
                <w:sz w:val="20"/>
                <w:szCs w:val="20"/>
              </w:rPr>
              <w:t>Created new workpaper ID for latest workpaper update.  WPSDGEWH0024 Rev 0</w:t>
            </w:r>
          </w:p>
          <w:p w:rsidR="00984E48" w:rsidRPr="00A92029" w:rsidRDefault="00EC63CA" w:rsidP="00984E48">
            <w:pPr>
              <w:pStyle w:val="ListParagraph"/>
              <w:numPr>
                <w:ilvl w:val="0"/>
                <w:numId w:val="17"/>
              </w:numPr>
              <w:rPr>
                <w:rFonts w:cstheme="minorHAnsi"/>
                <w:sz w:val="20"/>
                <w:szCs w:val="20"/>
              </w:rPr>
            </w:pPr>
            <w:r w:rsidRPr="00A92029">
              <w:rPr>
                <w:rFonts w:cstheme="minorHAnsi"/>
                <w:sz w:val="20"/>
                <w:szCs w:val="20"/>
              </w:rPr>
              <w:t>SDG&amp;E establishes this Short Form Work Paper to coincided with the DEER 2017 update fo</w:t>
            </w:r>
            <w:r w:rsidR="00984E48" w:rsidRPr="00A92029">
              <w:rPr>
                <w:rFonts w:cstheme="minorHAnsi"/>
                <w:sz w:val="20"/>
                <w:szCs w:val="20"/>
              </w:rPr>
              <w:t>r Residential - Storage Tank Water Heaters.</w:t>
            </w:r>
          </w:p>
          <w:p w:rsidR="00EC63CA" w:rsidRPr="00A92029" w:rsidRDefault="00EC63CA" w:rsidP="00984E48">
            <w:pPr>
              <w:pStyle w:val="ListParagraph"/>
              <w:numPr>
                <w:ilvl w:val="0"/>
                <w:numId w:val="17"/>
              </w:numPr>
              <w:rPr>
                <w:rFonts w:cstheme="minorHAnsi"/>
                <w:sz w:val="20"/>
                <w:szCs w:val="20"/>
              </w:rPr>
            </w:pPr>
            <w:r w:rsidRPr="00A92029">
              <w:rPr>
                <w:rFonts w:cstheme="minorHAnsi"/>
                <w:sz w:val="20"/>
                <w:szCs w:val="20"/>
              </w:rPr>
              <w:t>All measures values included in this workpaper are taken directly from the DEER 2017 READI Tool or were created using the READI Tool.</w:t>
            </w:r>
          </w:p>
          <w:p w:rsidR="00984E48" w:rsidRPr="00A92029" w:rsidRDefault="00984E48" w:rsidP="00984E48">
            <w:pPr>
              <w:pStyle w:val="ListParagraph"/>
              <w:numPr>
                <w:ilvl w:val="0"/>
                <w:numId w:val="17"/>
              </w:numPr>
              <w:rPr>
                <w:rFonts w:cstheme="minorHAnsi"/>
                <w:sz w:val="20"/>
                <w:szCs w:val="20"/>
              </w:rPr>
            </w:pPr>
            <w:r w:rsidRPr="00A92029">
              <w:rPr>
                <w:rFonts w:cstheme="minorHAnsi"/>
                <w:sz w:val="20"/>
                <w:szCs w:val="20"/>
              </w:rPr>
              <w:t>The 2017 Database for Energy Efficient Resources (DEER2017) v2.4.7 [3] data include: gas energy savings, measure cost, equipment useful life, and net-to-gross for this measure.</w:t>
            </w:r>
          </w:p>
          <w:p w:rsidR="00984E48" w:rsidRPr="00A92029" w:rsidRDefault="00984E48" w:rsidP="00EC63CA">
            <w:pPr>
              <w:pStyle w:val="ListParagraph"/>
              <w:ind w:left="360"/>
              <w:rPr>
                <w:rFonts w:cstheme="minorHAnsi"/>
                <w:sz w:val="20"/>
                <w:szCs w:val="20"/>
              </w:rPr>
            </w:pPr>
          </w:p>
        </w:tc>
      </w:tr>
    </w:tbl>
    <w:p w:rsidR="00DB71F1" w:rsidRPr="00A92029" w:rsidRDefault="00DB71F1" w:rsidP="00A92029">
      <w:pPr>
        <w:spacing w:after="200" w:line="276" w:lineRule="auto"/>
        <w:rPr>
          <w:rFonts w:cstheme="minorHAnsi"/>
          <w:sz w:val="20"/>
          <w:szCs w:val="20"/>
        </w:rPr>
      </w:pPr>
      <w:r w:rsidRPr="00A92029">
        <w:rPr>
          <w:rFonts w:cstheme="minorHAnsi"/>
          <w:sz w:val="20"/>
          <w:szCs w:val="20"/>
        </w:rPr>
        <w:br w:type="page"/>
      </w:r>
    </w:p>
    <w:tbl>
      <w:tblPr>
        <w:tblStyle w:val="TableGrid"/>
        <w:tblW w:w="0" w:type="auto"/>
        <w:tblLook w:val="04A0" w:firstRow="1" w:lastRow="0" w:firstColumn="1" w:lastColumn="0" w:noHBand="0" w:noVBand="1"/>
      </w:tblPr>
      <w:tblGrid>
        <w:gridCol w:w="2401"/>
        <w:gridCol w:w="6949"/>
      </w:tblGrid>
      <w:tr w:rsidR="00DB71F1" w:rsidRPr="00A92029" w:rsidTr="00FB6ADB">
        <w:trPr>
          <w:cantSplit/>
          <w:tblHeader/>
        </w:trPr>
        <w:tc>
          <w:tcPr>
            <w:tcW w:w="2401" w:type="dxa"/>
          </w:tcPr>
          <w:p w:rsidR="00DB71F1" w:rsidRPr="00A92029" w:rsidRDefault="00DB71F1" w:rsidP="00393EC8">
            <w:pPr>
              <w:jc w:val="center"/>
              <w:rPr>
                <w:rFonts w:cstheme="minorHAnsi"/>
                <w:b/>
                <w:sz w:val="20"/>
                <w:szCs w:val="20"/>
              </w:rPr>
            </w:pPr>
            <w:r w:rsidRPr="00A92029">
              <w:rPr>
                <w:rFonts w:cstheme="minorHAnsi"/>
                <w:b/>
                <w:sz w:val="20"/>
                <w:szCs w:val="20"/>
              </w:rPr>
              <w:lastRenderedPageBreak/>
              <w:t>Section</w:t>
            </w:r>
          </w:p>
        </w:tc>
        <w:tc>
          <w:tcPr>
            <w:tcW w:w="6949" w:type="dxa"/>
          </w:tcPr>
          <w:p w:rsidR="00DB71F1" w:rsidRPr="00A92029" w:rsidRDefault="00DB71F1" w:rsidP="00393EC8">
            <w:pPr>
              <w:jc w:val="center"/>
              <w:rPr>
                <w:rFonts w:cstheme="minorHAnsi"/>
                <w:b/>
                <w:sz w:val="20"/>
                <w:szCs w:val="20"/>
              </w:rPr>
            </w:pPr>
            <w:r w:rsidRPr="00A92029">
              <w:rPr>
                <w:rFonts w:cstheme="minorHAnsi"/>
                <w:b/>
                <w:sz w:val="20"/>
                <w:szCs w:val="20"/>
              </w:rPr>
              <w:t>Value</w:t>
            </w:r>
          </w:p>
        </w:tc>
      </w:tr>
      <w:tr w:rsidR="00DB71F1" w:rsidRPr="00A92029" w:rsidTr="00FB6ADB">
        <w:trPr>
          <w:cantSplit/>
        </w:trPr>
        <w:tc>
          <w:tcPr>
            <w:tcW w:w="2401" w:type="dxa"/>
            <w:vAlign w:val="center"/>
          </w:tcPr>
          <w:p w:rsidR="00DB71F1" w:rsidRPr="00A92029" w:rsidRDefault="00DB71F1" w:rsidP="00393EC8">
            <w:pPr>
              <w:rPr>
                <w:rFonts w:cstheme="minorHAnsi"/>
                <w:b/>
                <w:sz w:val="20"/>
                <w:szCs w:val="20"/>
              </w:rPr>
            </w:pPr>
            <w:r w:rsidRPr="00A92029">
              <w:rPr>
                <w:rFonts w:cstheme="minorHAnsi"/>
                <w:b/>
                <w:sz w:val="20"/>
                <w:szCs w:val="20"/>
              </w:rPr>
              <w:t>Summary &amp; Purpose</w:t>
            </w:r>
          </w:p>
        </w:tc>
        <w:tc>
          <w:tcPr>
            <w:tcW w:w="6949" w:type="dxa"/>
          </w:tcPr>
          <w:p w:rsidR="00D64150" w:rsidRPr="00A92029" w:rsidRDefault="00D64150" w:rsidP="003F3AA6">
            <w:pPr>
              <w:rPr>
                <w:rFonts w:cstheme="minorHAnsi"/>
                <w:sz w:val="20"/>
                <w:szCs w:val="20"/>
              </w:rPr>
            </w:pPr>
            <w:r w:rsidRPr="00A92029">
              <w:rPr>
                <w:rFonts w:cstheme="minorHAnsi"/>
                <w:sz w:val="20"/>
                <w:szCs w:val="20"/>
              </w:rPr>
              <w:t>The measure creates the opportunity for energy savings by installing high efficiency natural gas storage water heaters in residential households and commercial buildings.  This workpaper covers the energy savings through installations of natural gas storage water heaters with storage capacities of 40 gallons, 50 gallons.</w:t>
            </w:r>
          </w:p>
          <w:p w:rsidR="00DB71F1" w:rsidRPr="00A92029" w:rsidRDefault="00DB71F1" w:rsidP="0023444F">
            <w:pPr>
              <w:rPr>
                <w:rFonts w:cstheme="minorHAnsi"/>
                <w:sz w:val="20"/>
                <w:szCs w:val="20"/>
              </w:rPr>
            </w:pPr>
          </w:p>
        </w:tc>
      </w:tr>
      <w:tr w:rsidR="00B42D64" w:rsidRPr="00A92029" w:rsidTr="00FB6ADB">
        <w:trPr>
          <w:cantSplit/>
        </w:trPr>
        <w:tc>
          <w:tcPr>
            <w:tcW w:w="2401" w:type="dxa"/>
            <w:vAlign w:val="center"/>
          </w:tcPr>
          <w:p w:rsidR="00B42D64" w:rsidRPr="00A92029" w:rsidRDefault="00B42D64" w:rsidP="00B42D64">
            <w:pPr>
              <w:rPr>
                <w:rFonts w:cstheme="minorHAnsi"/>
                <w:b/>
                <w:sz w:val="20"/>
                <w:szCs w:val="20"/>
              </w:rPr>
            </w:pPr>
            <w:r w:rsidRPr="00A92029">
              <w:rPr>
                <w:rFonts w:cstheme="minorHAnsi"/>
                <w:b/>
                <w:sz w:val="20"/>
                <w:szCs w:val="20"/>
              </w:rPr>
              <w:t>1.1 Measure &amp; Baseline Data</w:t>
            </w:r>
          </w:p>
        </w:tc>
        <w:tc>
          <w:tcPr>
            <w:tcW w:w="6949" w:type="dxa"/>
          </w:tcPr>
          <w:p w:rsidR="00D64150" w:rsidRPr="00A92029" w:rsidRDefault="00D64150" w:rsidP="00197371">
            <w:pPr>
              <w:pStyle w:val="Caption"/>
              <w:jc w:val="center"/>
              <w:rPr>
                <w:rFonts w:cstheme="minorHAnsi"/>
                <w:sz w:val="20"/>
                <w:szCs w:val="20"/>
              </w:rPr>
            </w:pPr>
          </w:p>
          <w:tbl>
            <w:tblPr>
              <w:tblStyle w:val="TableGrid"/>
              <w:tblW w:w="5000" w:type="pct"/>
              <w:tblLook w:val="04A0" w:firstRow="1" w:lastRow="0" w:firstColumn="1" w:lastColumn="0" w:noHBand="0" w:noVBand="1"/>
            </w:tblPr>
            <w:tblGrid>
              <w:gridCol w:w="3412"/>
              <w:gridCol w:w="1552"/>
              <w:gridCol w:w="1759"/>
            </w:tblGrid>
            <w:tr w:rsidR="00197371" w:rsidRPr="00A92029" w:rsidTr="00FB6ADB">
              <w:trPr>
                <w:trHeight w:val="251"/>
              </w:trPr>
              <w:tc>
                <w:tcPr>
                  <w:tcW w:w="5000" w:type="pct"/>
                  <w:gridSpan w:val="3"/>
                  <w:shd w:val="clear" w:color="auto" w:fill="BFBFBF" w:themeFill="background1" w:themeFillShade="BF"/>
                </w:tcPr>
                <w:p w:rsidR="00197371" w:rsidRPr="00A92029" w:rsidRDefault="00197371" w:rsidP="00197371">
                  <w:pPr>
                    <w:jc w:val="center"/>
                    <w:rPr>
                      <w:rFonts w:cstheme="minorHAnsi"/>
                      <w:sz w:val="20"/>
                      <w:szCs w:val="20"/>
                    </w:rPr>
                  </w:pPr>
                  <w:bookmarkStart w:id="1" w:name="_Hlk502241189"/>
                  <w:r w:rsidRPr="00A92029">
                    <w:rPr>
                      <w:rFonts w:cstheme="minorHAnsi"/>
                      <w:sz w:val="20"/>
                      <w:szCs w:val="20"/>
                    </w:rPr>
                    <w:t>Baseline Measure Characteristics</w:t>
                  </w:r>
                </w:p>
              </w:tc>
            </w:tr>
            <w:tr w:rsidR="00197371" w:rsidRPr="00A92029" w:rsidTr="00FB6ADB">
              <w:trPr>
                <w:trHeight w:val="251"/>
              </w:trPr>
              <w:tc>
                <w:tcPr>
                  <w:tcW w:w="2538" w:type="pct"/>
                </w:tcPr>
                <w:p w:rsidR="00197371" w:rsidRPr="00A92029" w:rsidRDefault="00197371" w:rsidP="00197371">
                  <w:pPr>
                    <w:jc w:val="center"/>
                    <w:rPr>
                      <w:rFonts w:cstheme="minorHAnsi"/>
                      <w:sz w:val="20"/>
                      <w:szCs w:val="20"/>
                    </w:rPr>
                  </w:pPr>
                  <w:r w:rsidRPr="00A92029">
                    <w:rPr>
                      <w:rFonts w:cstheme="minorHAnsi"/>
                      <w:sz w:val="20"/>
                      <w:szCs w:val="20"/>
                    </w:rPr>
                    <w:t xml:space="preserve"> DEER Measure ID</w:t>
                  </w:r>
                </w:p>
              </w:tc>
              <w:tc>
                <w:tcPr>
                  <w:tcW w:w="1154" w:type="pct"/>
                </w:tcPr>
                <w:p w:rsidR="00197371" w:rsidRPr="00A92029" w:rsidRDefault="00197371" w:rsidP="00197371">
                  <w:pPr>
                    <w:jc w:val="center"/>
                    <w:rPr>
                      <w:rFonts w:cstheme="minorHAnsi"/>
                      <w:sz w:val="20"/>
                      <w:szCs w:val="20"/>
                    </w:rPr>
                  </w:pPr>
                  <w:r w:rsidRPr="00A92029">
                    <w:rPr>
                      <w:rFonts w:cstheme="minorHAnsi"/>
                      <w:sz w:val="20"/>
                      <w:szCs w:val="20"/>
                    </w:rPr>
                    <w:t>Delivery Type</w:t>
                  </w:r>
                </w:p>
              </w:tc>
              <w:tc>
                <w:tcPr>
                  <w:tcW w:w="1308" w:type="pct"/>
                </w:tcPr>
                <w:p w:rsidR="00197371" w:rsidRPr="00A92029" w:rsidRDefault="00197371" w:rsidP="00197371">
                  <w:pPr>
                    <w:jc w:val="center"/>
                    <w:rPr>
                      <w:rFonts w:cstheme="minorHAnsi"/>
                      <w:sz w:val="20"/>
                      <w:szCs w:val="20"/>
                    </w:rPr>
                  </w:pPr>
                  <w:r w:rsidRPr="00A92029">
                    <w:rPr>
                      <w:rFonts w:cstheme="minorHAnsi"/>
                      <w:sz w:val="20"/>
                      <w:szCs w:val="20"/>
                    </w:rPr>
                    <w:t>Version-Source</w:t>
                  </w:r>
                </w:p>
              </w:tc>
            </w:tr>
            <w:tr w:rsidR="00197371" w:rsidRPr="00A92029" w:rsidTr="00FB6ADB">
              <w:tc>
                <w:tcPr>
                  <w:tcW w:w="2538" w:type="pct"/>
                  <w:vAlign w:val="bottom"/>
                </w:tcPr>
                <w:p w:rsidR="00197371" w:rsidRPr="00A92029" w:rsidRDefault="00197371" w:rsidP="00197371">
                  <w:pPr>
                    <w:jc w:val="center"/>
                    <w:rPr>
                      <w:rFonts w:cstheme="minorHAnsi"/>
                      <w:sz w:val="20"/>
                      <w:szCs w:val="20"/>
                    </w:rPr>
                  </w:pPr>
                  <w:r w:rsidRPr="00A92029">
                    <w:rPr>
                      <w:rFonts w:cstheme="minorHAnsi"/>
                      <w:sz w:val="20"/>
                      <w:szCs w:val="20"/>
                    </w:rPr>
                    <w:t>Natural Gas W/H 40Gal EF (0.62)</w:t>
                  </w:r>
                </w:p>
              </w:tc>
              <w:tc>
                <w:tcPr>
                  <w:tcW w:w="1154" w:type="pct"/>
                  <w:vAlign w:val="center"/>
                </w:tcPr>
                <w:p w:rsidR="00197371" w:rsidRPr="00A92029" w:rsidRDefault="00197371" w:rsidP="00197371">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1308" w:type="pct"/>
                </w:tcPr>
                <w:p w:rsidR="00197371" w:rsidRPr="00A92029" w:rsidRDefault="00197371" w:rsidP="00197371">
                  <w:pPr>
                    <w:jc w:val="center"/>
                    <w:rPr>
                      <w:rFonts w:cstheme="minorHAnsi"/>
                      <w:sz w:val="20"/>
                      <w:szCs w:val="20"/>
                    </w:rPr>
                  </w:pPr>
                  <w:r w:rsidRPr="00A92029">
                    <w:rPr>
                      <w:rFonts w:cstheme="minorHAnsi"/>
                      <w:sz w:val="20"/>
                      <w:szCs w:val="20"/>
                    </w:rPr>
                    <w:t>DEER2017</w:t>
                  </w:r>
                </w:p>
              </w:tc>
            </w:tr>
            <w:tr w:rsidR="00197371" w:rsidRPr="00A92029" w:rsidTr="00FB6ADB">
              <w:tc>
                <w:tcPr>
                  <w:tcW w:w="2538" w:type="pct"/>
                  <w:vAlign w:val="bottom"/>
                </w:tcPr>
                <w:p w:rsidR="00197371" w:rsidRPr="00A92029" w:rsidRDefault="00197371" w:rsidP="00197371">
                  <w:pPr>
                    <w:jc w:val="center"/>
                    <w:rPr>
                      <w:rFonts w:cstheme="minorHAnsi"/>
                      <w:sz w:val="20"/>
                      <w:szCs w:val="20"/>
                    </w:rPr>
                  </w:pPr>
                  <w:r w:rsidRPr="00A92029">
                    <w:rPr>
                      <w:rFonts w:cstheme="minorHAnsi"/>
                      <w:sz w:val="20"/>
                      <w:szCs w:val="20"/>
                    </w:rPr>
                    <w:t>Natural Gas W/H 50 Gal EF (0.60)</w:t>
                  </w:r>
                </w:p>
              </w:tc>
              <w:tc>
                <w:tcPr>
                  <w:tcW w:w="1154" w:type="pct"/>
                  <w:vAlign w:val="center"/>
                </w:tcPr>
                <w:p w:rsidR="00197371" w:rsidRPr="00A92029" w:rsidRDefault="00197371" w:rsidP="00197371">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1308" w:type="pct"/>
                </w:tcPr>
                <w:p w:rsidR="00197371" w:rsidRPr="00A92029" w:rsidRDefault="00197371" w:rsidP="00197371">
                  <w:pPr>
                    <w:jc w:val="center"/>
                    <w:rPr>
                      <w:rFonts w:cstheme="minorHAnsi"/>
                      <w:sz w:val="20"/>
                      <w:szCs w:val="20"/>
                    </w:rPr>
                  </w:pPr>
                  <w:r w:rsidRPr="00A92029">
                    <w:rPr>
                      <w:rFonts w:cstheme="minorHAnsi"/>
                      <w:sz w:val="20"/>
                      <w:szCs w:val="20"/>
                    </w:rPr>
                    <w:t>DEER2017</w:t>
                  </w:r>
                </w:p>
              </w:tc>
            </w:tr>
            <w:bookmarkEnd w:id="1"/>
          </w:tbl>
          <w:p w:rsidR="00B42D64" w:rsidRPr="00A92029" w:rsidRDefault="00B42D64" w:rsidP="00D64150">
            <w:pPr>
              <w:rPr>
                <w:rFonts w:cstheme="minorHAnsi"/>
                <w:sz w:val="20"/>
                <w:szCs w:val="20"/>
              </w:rPr>
            </w:pPr>
          </w:p>
          <w:p w:rsidR="00025747" w:rsidRPr="00A92029" w:rsidRDefault="00025747" w:rsidP="00D64150">
            <w:pPr>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rPr>
                <w:rFonts w:cstheme="minorHAnsi"/>
                <w:b/>
                <w:sz w:val="20"/>
                <w:szCs w:val="20"/>
              </w:rPr>
            </w:pPr>
            <w:r w:rsidRPr="00A92029">
              <w:rPr>
                <w:rFonts w:cstheme="minorHAnsi"/>
                <w:b/>
                <w:sz w:val="20"/>
                <w:szCs w:val="20"/>
              </w:rPr>
              <w:t xml:space="preserve">1.2 Technical Description </w:t>
            </w:r>
          </w:p>
        </w:tc>
        <w:tc>
          <w:tcPr>
            <w:tcW w:w="6949" w:type="dxa"/>
          </w:tcPr>
          <w:p w:rsidR="00523326" w:rsidRPr="00A92029" w:rsidRDefault="00523326" w:rsidP="00523326">
            <w:pPr>
              <w:pStyle w:val="Caption"/>
              <w:jc w:val="center"/>
              <w:rPr>
                <w:rFonts w:cstheme="minorHAnsi"/>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t>Measures</w:t>
            </w:r>
          </w:p>
        </w:tc>
        <w:tc>
          <w:tcPr>
            <w:tcW w:w="6949" w:type="dxa"/>
          </w:tcPr>
          <w:p w:rsidR="00523326" w:rsidRPr="00A92029" w:rsidRDefault="00523326" w:rsidP="00523326">
            <w:pPr>
              <w:rPr>
                <w:rFonts w:cstheme="minorHAnsi"/>
                <w:sz w:val="20"/>
                <w:szCs w:val="20"/>
              </w:rPr>
            </w:pPr>
            <w:r w:rsidRPr="00A92029">
              <w:rPr>
                <w:rFonts w:cstheme="minorHAnsi"/>
                <w:sz w:val="20"/>
                <w:szCs w:val="20"/>
              </w:rPr>
              <w:t>Energy Savings for the measures included in this workpaper are taken directly from the DEER 2017 READI Tool or were created using the READI Tool. The DEER 2017 update does not have savings for 40 Gallon Water Heaters, with an Energy Factor(EF) of (0.67). SDG&amp;E elects to take a conservative approach and utili</w:t>
            </w:r>
            <w:r w:rsidR="00C227A7">
              <w:rPr>
                <w:rFonts w:cstheme="minorHAnsi"/>
                <w:sz w:val="20"/>
                <w:szCs w:val="20"/>
              </w:rPr>
              <w:t>zed DEER Measure savings for an</w:t>
            </w:r>
            <w:r w:rsidRPr="00A92029">
              <w:rPr>
                <w:rFonts w:cstheme="minorHAnsi"/>
                <w:sz w:val="20"/>
                <w:szCs w:val="20"/>
              </w:rPr>
              <w:t xml:space="preserve"> EF of (0.65). </w:t>
            </w:r>
          </w:p>
          <w:p w:rsidR="00523326" w:rsidRPr="00A92029" w:rsidRDefault="00523326" w:rsidP="00523326">
            <w:pPr>
              <w:rPr>
                <w:rFonts w:cstheme="minorHAnsi"/>
                <w:sz w:val="20"/>
                <w:szCs w:val="20"/>
              </w:rPr>
            </w:pPr>
          </w:p>
          <w:tbl>
            <w:tblPr>
              <w:tblStyle w:val="TableGrid"/>
              <w:tblW w:w="5000" w:type="pct"/>
              <w:jc w:val="center"/>
              <w:tblLook w:val="04A0" w:firstRow="1" w:lastRow="0" w:firstColumn="1" w:lastColumn="0" w:noHBand="0" w:noVBand="1"/>
            </w:tblPr>
            <w:tblGrid>
              <w:gridCol w:w="1562"/>
              <w:gridCol w:w="1338"/>
              <w:gridCol w:w="1495"/>
              <w:gridCol w:w="1279"/>
              <w:gridCol w:w="1049"/>
            </w:tblGrid>
            <w:tr w:rsidR="00523326" w:rsidRPr="00A92029" w:rsidTr="00FB6ADB">
              <w:trPr>
                <w:trHeight w:val="251"/>
                <w:jc w:val="center"/>
              </w:trPr>
              <w:tc>
                <w:tcPr>
                  <w:tcW w:w="5000" w:type="pct"/>
                  <w:gridSpan w:val="5"/>
                  <w:shd w:val="clear" w:color="auto" w:fill="BFBFBF" w:themeFill="background1" w:themeFillShade="BF"/>
                  <w:vAlign w:val="center"/>
                </w:tcPr>
                <w:p w:rsidR="00523326" w:rsidRPr="00A92029" w:rsidRDefault="00523326" w:rsidP="00523326">
                  <w:pPr>
                    <w:jc w:val="center"/>
                    <w:rPr>
                      <w:rFonts w:cstheme="minorHAnsi"/>
                      <w:sz w:val="20"/>
                      <w:szCs w:val="20"/>
                    </w:rPr>
                  </w:pPr>
                  <w:r w:rsidRPr="00A92029">
                    <w:rPr>
                      <w:rFonts w:cstheme="minorHAnsi"/>
                      <w:sz w:val="20"/>
                      <w:szCs w:val="20"/>
                    </w:rPr>
                    <w:t xml:space="preserve">Measure Characteristics </w:t>
                  </w:r>
                </w:p>
              </w:tc>
            </w:tr>
            <w:tr w:rsidR="00523326" w:rsidRPr="00A92029" w:rsidTr="00FB6ADB">
              <w:trPr>
                <w:trHeight w:val="251"/>
                <w:jc w:val="center"/>
              </w:trPr>
              <w:tc>
                <w:tcPr>
                  <w:tcW w:w="1162" w:type="pct"/>
                  <w:vAlign w:val="center"/>
                </w:tcPr>
                <w:p w:rsidR="00523326" w:rsidRPr="00A92029" w:rsidRDefault="00523326" w:rsidP="00523326">
                  <w:pPr>
                    <w:jc w:val="center"/>
                    <w:rPr>
                      <w:rFonts w:cstheme="minorHAnsi"/>
                      <w:b/>
                      <w:sz w:val="20"/>
                      <w:szCs w:val="20"/>
                    </w:rPr>
                  </w:pPr>
                  <w:r w:rsidRPr="00A92029">
                    <w:rPr>
                      <w:rFonts w:cstheme="minorHAnsi"/>
                      <w:b/>
                      <w:sz w:val="20"/>
                      <w:szCs w:val="20"/>
                    </w:rPr>
                    <w:t>Implementation ID.</w:t>
                  </w:r>
                </w:p>
              </w:tc>
              <w:tc>
                <w:tcPr>
                  <w:tcW w:w="995" w:type="pct"/>
                  <w:vAlign w:val="center"/>
                </w:tcPr>
                <w:p w:rsidR="00523326" w:rsidRPr="00A92029" w:rsidRDefault="00523326" w:rsidP="00523326">
                  <w:pPr>
                    <w:jc w:val="center"/>
                    <w:rPr>
                      <w:rFonts w:cstheme="minorHAnsi"/>
                      <w:b/>
                      <w:sz w:val="20"/>
                      <w:szCs w:val="20"/>
                    </w:rPr>
                  </w:pPr>
                  <w:r w:rsidRPr="00A92029">
                    <w:rPr>
                      <w:rFonts w:cstheme="minorHAnsi"/>
                      <w:b/>
                      <w:sz w:val="20"/>
                      <w:szCs w:val="20"/>
                    </w:rPr>
                    <w:t>Measure Description</w:t>
                  </w:r>
                </w:p>
              </w:tc>
              <w:tc>
                <w:tcPr>
                  <w:tcW w:w="1112" w:type="pct"/>
                  <w:vAlign w:val="center"/>
                </w:tcPr>
                <w:p w:rsidR="00523326" w:rsidRPr="00A92029" w:rsidRDefault="00523326" w:rsidP="00523326">
                  <w:pPr>
                    <w:jc w:val="center"/>
                    <w:rPr>
                      <w:rFonts w:cstheme="minorHAnsi"/>
                      <w:b/>
                      <w:sz w:val="20"/>
                      <w:szCs w:val="20"/>
                    </w:rPr>
                  </w:pPr>
                  <w:r w:rsidRPr="00A92029">
                    <w:rPr>
                      <w:rFonts w:cstheme="minorHAnsi"/>
                      <w:b/>
                      <w:sz w:val="20"/>
                      <w:szCs w:val="20"/>
                    </w:rPr>
                    <w:t>DEER Measure ID</w:t>
                  </w:r>
                </w:p>
              </w:tc>
              <w:tc>
                <w:tcPr>
                  <w:tcW w:w="951" w:type="pct"/>
                  <w:vAlign w:val="center"/>
                </w:tcPr>
                <w:p w:rsidR="00523326" w:rsidRPr="00A92029" w:rsidRDefault="00523326" w:rsidP="00523326">
                  <w:pPr>
                    <w:jc w:val="center"/>
                    <w:rPr>
                      <w:rFonts w:cstheme="minorHAnsi"/>
                      <w:b/>
                      <w:sz w:val="20"/>
                      <w:szCs w:val="20"/>
                    </w:rPr>
                  </w:pPr>
                  <w:r w:rsidRPr="00A92029">
                    <w:rPr>
                      <w:rFonts w:cstheme="minorHAnsi"/>
                      <w:b/>
                      <w:sz w:val="20"/>
                      <w:szCs w:val="20"/>
                    </w:rPr>
                    <w:t>Delivery Type</w:t>
                  </w:r>
                </w:p>
              </w:tc>
              <w:tc>
                <w:tcPr>
                  <w:tcW w:w="780" w:type="pct"/>
                  <w:vAlign w:val="center"/>
                </w:tcPr>
                <w:p w:rsidR="00523326" w:rsidRPr="00A92029" w:rsidRDefault="00523326" w:rsidP="00523326">
                  <w:pPr>
                    <w:jc w:val="center"/>
                    <w:rPr>
                      <w:rFonts w:cstheme="minorHAnsi"/>
                      <w:b/>
                      <w:sz w:val="20"/>
                      <w:szCs w:val="20"/>
                    </w:rPr>
                  </w:pPr>
                  <w:r w:rsidRPr="00A92029">
                    <w:rPr>
                      <w:rFonts w:cstheme="minorHAnsi"/>
                      <w:b/>
                      <w:sz w:val="20"/>
                      <w:szCs w:val="20"/>
                    </w:rPr>
                    <w:t>Version-Source</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462497</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40Gal EF (0.67-0.69)</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RG-WtrHt-SmlStrg-Gas-lte75kBtuh-40G-0p65EF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462498</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40 Gal EF (0.70)</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RG-WtrHt-SmlStrg-Gas-lte75kBtuh-40G-0p70EF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464273</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40 Gal EF (0.82)</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RG-WtrHt-SmlStrg-Gas-lte75kBtuh-40G-0p82EF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462500</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50 Gal EF (0.67-0.69)</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RG-WtrHt-SmlStrg-Gas-lte75kBtuh-50G-0p67EF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462501</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50 Gal EF (0.70)</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RG-WtrHt-SmlStrg-Gas-lte75kBtuh-50G-0p70EF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r w:rsidR="00523326" w:rsidRPr="00A92029" w:rsidTr="00FB6ADB">
              <w:trPr>
                <w:jc w:val="center"/>
              </w:trPr>
              <w:tc>
                <w:tcPr>
                  <w:tcW w:w="1162" w:type="pct"/>
                  <w:vAlign w:val="center"/>
                </w:tcPr>
                <w:p w:rsidR="00523326" w:rsidRPr="00A92029" w:rsidRDefault="00523326" w:rsidP="00523326">
                  <w:pPr>
                    <w:jc w:val="center"/>
                    <w:rPr>
                      <w:rFonts w:cstheme="minorHAnsi"/>
                      <w:sz w:val="20"/>
                      <w:szCs w:val="20"/>
                    </w:rPr>
                  </w:pPr>
                  <w:r w:rsidRPr="00A92029">
                    <w:rPr>
                      <w:rFonts w:cstheme="minorHAnsi"/>
                      <w:sz w:val="20"/>
                      <w:szCs w:val="20"/>
                    </w:rPr>
                    <w:t>464274</w:t>
                  </w:r>
                </w:p>
              </w:tc>
              <w:tc>
                <w:tcPr>
                  <w:tcW w:w="995" w:type="pct"/>
                  <w:vAlign w:val="center"/>
                </w:tcPr>
                <w:p w:rsidR="00523326" w:rsidRPr="00A92029" w:rsidRDefault="00523326" w:rsidP="00523326">
                  <w:pPr>
                    <w:rPr>
                      <w:rFonts w:cstheme="minorHAnsi"/>
                      <w:sz w:val="20"/>
                      <w:szCs w:val="20"/>
                    </w:rPr>
                  </w:pPr>
                  <w:r w:rsidRPr="00A92029">
                    <w:rPr>
                      <w:rFonts w:cstheme="minorHAnsi"/>
                      <w:sz w:val="20"/>
                      <w:szCs w:val="20"/>
                    </w:rPr>
                    <w:t>Natural Gas W/H 50 Gal EF (0.82)</w:t>
                  </w:r>
                </w:p>
              </w:tc>
              <w:tc>
                <w:tcPr>
                  <w:tcW w:w="1112" w:type="pct"/>
                  <w:vAlign w:val="center"/>
                </w:tcPr>
                <w:p w:rsidR="00523326" w:rsidRPr="00A92029" w:rsidRDefault="00523326" w:rsidP="00523326">
                  <w:pPr>
                    <w:rPr>
                      <w:rFonts w:cstheme="minorHAnsi"/>
                      <w:color w:val="000000"/>
                      <w:sz w:val="20"/>
                      <w:szCs w:val="20"/>
                    </w:rPr>
                  </w:pPr>
                  <w:r w:rsidRPr="00A92029">
                    <w:rPr>
                      <w:rFonts w:cstheme="minorHAnsi"/>
                      <w:color w:val="000000"/>
                      <w:sz w:val="20"/>
                      <w:szCs w:val="20"/>
                    </w:rPr>
                    <w:t>RG-WtrHt-SmlStrg-Gas-lte75kBtuh-50G-0p82EF</w:t>
                  </w:r>
                </w:p>
              </w:tc>
              <w:tc>
                <w:tcPr>
                  <w:tcW w:w="951" w:type="pct"/>
                  <w:vAlign w:val="center"/>
                </w:tcPr>
                <w:p w:rsidR="00523326" w:rsidRPr="00A92029" w:rsidRDefault="00523326"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p>
              </w:tc>
              <w:tc>
                <w:tcPr>
                  <w:tcW w:w="780" w:type="pct"/>
                  <w:vAlign w:val="center"/>
                </w:tcPr>
                <w:p w:rsidR="00523326" w:rsidRPr="00A92029" w:rsidRDefault="00523326" w:rsidP="00523326">
                  <w:pPr>
                    <w:jc w:val="center"/>
                    <w:rPr>
                      <w:rFonts w:cstheme="minorHAnsi"/>
                      <w:sz w:val="20"/>
                      <w:szCs w:val="20"/>
                    </w:rPr>
                  </w:pPr>
                  <w:r w:rsidRPr="00A92029">
                    <w:rPr>
                      <w:rFonts w:cstheme="minorHAnsi"/>
                      <w:sz w:val="20"/>
                      <w:szCs w:val="20"/>
                    </w:rPr>
                    <w:t>DEER2017</w:t>
                  </w:r>
                </w:p>
              </w:tc>
            </w:tr>
          </w:tbl>
          <w:p w:rsidR="00523326" w:rsidRPr="00A92029" w:rsidRDefault="00523326" w:rsidP="00523326">
            <w:pPr>
              <w:rPr>
                <w:rFonts w:cstheme="minorHAnsi"/>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lastRenderedPageBreak/>
              <w:t>Code for All Measures</w:t>
            </w:r>
          </w:p>
        </w:tc>
        <w:tc>
          <w:tcPr>
            <w:tcW w:w="6949" w:type="dxa"/>
          </w:tcPr>
          <w:p w:rsidR="00523326" w:rsidRPr="00A92029" w:rsidRDefault="00523326" w:rsidP="00523326">
            <w:pPr>
              <w:rPr>
                <w:rFonts w:cstheme="minorHAnsi"/>
                <w:sz w:val="20"/>
                <w:szCs w:val="20"/>
              </w:rPr>
            </w:pPr>
          </w:p>
          <w:tbl>
            <w:tblPr>
              <w:tblStyle w:val="TableGrid"/>
              <w:tblW w:w="5000" w:type="pct"/>
              <w:tblLook w:val="04A0" w:firstRow="1" w:lastRow="0" w:firstColumn="1" w:lastColumn="0" w:noHBand="0" w:noVBand="1"/>
            </w:tblPr>
            <w:tblGrid>
              <w:gridCol w:w="3335"/>
              <w:gridCol w:w="3388"/>
            </w:tblGrid>
            <w:tr w:rsidR="00523326" w:rsidRPr="00A92029" w:rsidTr="008B6864">
              <w:trPr>
                <w:trHeight w:val="269"/>
              </w:trPr>
              <w:tc>
                <w:tcPr>
                  <w:tcW w:w="5000" w:type="pct"/>
                  <w:gridSpan w:val="2"/>
                  <w:shd w:val="clear" w:color="auto" w:fill="BFBFBF" w:themeFill="background1" w:themeFillShade="BF"/>
                </w:tcPr>
                <w:p w:rsidR="00523326" w:rsidRPr="00A92029" w:rsidRDefault="00523326" w:rsidP="00523326">
                  <w:pPr>
                    <w:jc w:val="center"/>
                    <w:rPr>
                      <w:rFonts w:cstheme="minorHAnsi"/>
                      <w:sz w:val="20"/>
                      <w:szCs w:val="20"/>
                    </w:rPr>
                  </w:pPr>
                  <w:r w:rsidRPr="00A92029">
                    <w:rPr>
                      <w:rFonts w:cstheme="minorHAnsi"/>
                      <w:sz w:val="20"/>
                      <w:szCs w:val="20"/>
                    </w:rPr>
                    <w:t>Code Summary</w:t>
                  </w:r>
                </w:p>
              </w:tc>
            </w:tr>
            <w:tr w:rsidR="008B6864" w:rsidRPr="00A92029" w:rsidTr="008B6864">
              <w:trPr>
                <w:trHeight w:val="259"/>
              </w:trPr>
              <w:tc>
                <w:tcPr>
                  <w:tcW w:w="2480" w:type="pct"/>
                </w:tcPr>
                <w:p w:rsidR="008B6864" w:rsidRPr="00A92029" w:rsidRDefault="008B6864" w:rsidP="00523326">
                  <w:pPr>
                    <w:jc w:val="center"/>
                    <w:rPr>
                      <w:rFonts w:cstheme="minorHAnsi"/>
                      <w:sz w:val="20"/>
                      <w:szCs w:val="20"/>
                    </w:rPr>
                  </w:pPr>
                  <w:r w:rsidRPr="00A92029">
                    <w:rPr>
                      <w:rFonts w:cstheme="minorHAnsi"/>
                      <w:sz w:val="20"/>
                      <w:szCs w:val="20"/>
                    </w:rPr>
                    <w:t>Code</w:t>
                  </w:r>
                </w:p>
              </w:tc>
              <w:tc>
                <w:tcPr>
                  <w:tcW w:w="2520" w:type="pct"/>
                </w:tcPr>
                <w:p w:rsidR="008B6864" w:rsidRPr="00A92029" w:rsidRDefault="008B6864" w:rsidP="00523326">
                  <w:pPr>
                    <w:jc w:val="center"/>
                    <w:rPr>
                      <w:rFonts w:cstheme="minorHAnsi"/>
                      <w:sz w:val="20"/>
                      <w:szCs w:val="20"/>
                    </w:rPr>
                  </w:pPr>
                  <w:r w:rsidRPr="00A92029">
                    <w:rPr>
                      <w:rFonts w:cstheme="minorHAnsi"/>
                      <w:sz w:val="20"/>
                      <w:szCs w:val="20"/>
                    </w:rPr>
                    <w:t>Effective Dates</w:t>
                  </w:r>
                </w:p>
              </w:tc>
            </w:tr>
            <w:tr w:rsidR="008B6864" w:rsidRPr="00A92029" w:rsidTr="008B6864">
              <w:trPr>
                <w:trHeight w:val="269"/>
              </w:trPr>
              <w:tc>
                <w:tcPr>
                  <w:tcW w:w="2480" w:type="pct"/>
                  <w:vAlign w:val="center"/>
                </w:tcPr>
                <w:p w:rsidR="008B6864" w:rsidRPr="00A92029" w:rsidRDefault="008B6864" w:rsidP="00523326">
                  <w:pPr>
                    <w:jc w:val="center"/>
                    <w:rPr>
                      <w:rFonts w:cstheme="minorHAnsi"/>
                      <w:sz w:val="20"/>
                      <w:szCs w:val="20"/>
                    </w:rPr>
                  </w:pPr>
                  <w:r w:rsidRPr="00A92029">
                    <w:rPr>
                      <w:rFonts w:cstheme="minorHAnsi"/>
                      <w:sz w:val="20"/>
                      <w:szCs w:val="20"/>
                    </w:rPr>
                    <w:t>DOE Regulations</w:t>
                  </w:r>
                </w:p>
              </w:tc>
              <w:tc>
                <w:tcPr>
                  <w:tcW w:w="2520" w:type="pct"/>
                  <w:vAlign w:val="center"/>
                </w:tcPr>
                <w:p w:rsidR="008B6864" w:rsidRPr="00A92029" w:rsidRDefault="008B6864" w:rsidP="00523326">
                  <w:pPr>
                    <w:jc w:val="center"/>
                    <w:rPr>
                      <w:rFonts w:cstheme="minorHAnsi"/>
                      <w:sz w:val="20"/>
                      <w:szCs w:val="20"/>
                    </w:rPr>
                  </w:pPr>
                  <w:r w:rsidRPr="00A92029">
                    <w:rPr>
                      <w:rFonts w:cstheme="minorHAnsi"/>
                      <w:sz w:val="20"/>
                      <w:szCs w:val="20"/>
                    </w:rPr>
                    <w:t>January 20, 2004</w:t>
                  </w:r>
                </w:p>
              </w:tc>
            </w:tr>
            <w:tr w:rsidR="008B6864" w:rsidRPr="00A92029" w:rsidTr="008B6864">
              <w:trPr>
                <w:trHeight w:val="269"/>
              </w:trPr>
              <w:tc>
                <w:tcPr>
                  <w:tcW w:w="2480" w:type="pct"/>
                  <w:vAlign w:val="center"/>
                </w:tcPr>
                <w:p w:rsidR="008B6864" w:rsidRPr="00A92029" w:rsidRDefault="008B6864" w:rsidP="00523326">
                  <w:pPr>
                    <w:jc w:val="center"/>
                    <w:rPr>
                      <w:rFonts w:cstheme="minorHAnsi"/>
                      <w:sz w:val="20"/>
                      <w:szCs w:val="20"/>
                    </w:rPr>
                  </w:pPr>
                  <w:r>
                    <w:rPr>
                      <w:rFonts w:cstheme="minorHAnsi"/>
                      <w:sz w:val="20"/>
                      <w:szCs w:val="20"/>
                    </w:rPr>
                    <w:t>Title 20 (2015</w:t>
                  </w:r>
                  <w:r w:rsidRPr="00A92029">
                    <w:rPr>
                      <w:rFonts w:cstheme="minorHAnsi"/>
                      <w:sz w:val="20"/>
                      <w:szCs w:val="20"/>
                    </w:rPr>
                    <w:t>)</w:t>
                  </w:r>
                </w:p>
              </w:tc>
              <w:tc>
                <w:tcPr>
                  <w:tcW w:w="2520" w:type="pct"/>
                  <w:vAlign w:val="center"/>
                </w:tcPr>
                <w:p w:rsidR="008B6864" w:rsidRPr="00A92029" w:rsidRDefault="008B6864" w:rsidP="00523326">
                  <w:pPr>
                    <w:jc w:val="center"/>
                    <w:rPr>
                      <w:rFonts w:cstheme="minorHAnsi"/>
                      <w:sz w:val="20"/>
                      <w:szCs w:val="20"/>
                    </w:rPr>
                  </w:pPr>
                  <w:r>
                    <w:rPr>
                      <w:rFonts w:cstheme="minorHAnsi"/>
                      <w:sz w:val="20"/>
                      <w:szCs w:val="20"/>
                    </w:rPr>
                    <w:t>April 16, 2015</w:t>
                  </w:r>
                </w:p>
              </w:tc>
            </w:tr>
          </w:tbl>
          <w:p w:rsidR="00523326" w:rsidRDefault="00523326" w:rsidP="00523326">
            <w:pPr>
              <w:keepNext/>
              <w:spacing w:before="240" w:after="60"/>
              <w:outlineLvl w:val="2"/>
              <w:rPr>
                <w:rFonts w:cstheme="minorHAnsi"/>
                <w:sz w:val="20"/>
                <w:szCs w:val="20"/>
              </w:rPr>
            </w:pPr>
            <w:r w:rsidRPr="00A92029">
              <w:rPr>
                <w:rFonts w:cstheme="minorHAnsi"/>
                <w:b/>
                <w:bCs/>
                <w:i/>
                <w:sz w:val="20"/>
                <w:szCs w:val="20"/>
              </w:rPr>
              <w:t>Department of Energy:</w:t>
            </w:r>
            <w:r w:rsidRPr="00A92029">
              <w:rPr>
                <w:rFonts w:cstheme="minorHAnsi"/>
                <w:b/>
                <w:bCs/>
                <w:sz w:val="20"/>
                <w:szCs w:val="20"/>
              </w:rPr>
              <w:t xml:space="preserve">  </w:t>
            </w:r>
            <w:r w:rsidRPr="00A92029">
              <w:rPr>
                <w:rFonts w:cstheme="minorHAnsi"/>
                <w:sz w:val="20"/>
                <w:szCs w:val="20"/>
              </w:rPr>
              <w:t xml:space="preserve">Current federal regulations require that all small gas storage water heaters (&lt;75 </w:t>
            </w:r>
            <w:proofErr w:type="spellStart"/>
            <w:r w:rsidRPr="00A92029">
              <w:rPr>
                <w:rFonts w:cstheme="minorHAnsi"/>
                <w:sz w:val="20"/>
                <w:szCs w:val="20"/>
              </w:rPr>
              <w:t>kBtu</w:t>
            </w:r>
            <w:proofErr w:type="spellEnd"/>
            <w:r w:rsidRPr="00A92029">
              <w:rPr>
                <w:rFonts w:cstheme="minorHAnsi"/>
                <w:sz w:val="20"/>
                <w:szCs w:val="20"/>
              </w:rPr>
              <w:t xml:space="preserve">/h) meet the minimum energy factor requirements calculated as 0.67- (0.0019 x Rated Storage Volume in gallons), and small electric storage water heaters meet the minimum requirements calculated as (0.97 – (0.00132 x Rated Storage Volume in gallons). </w:t>
            </w:r>
          </w:p>
          <w:p w:rsidR="00863848" w:rsidRPr="00A92029" w:rsidRDefault="00863848" w:rsidP="00523326">
            <w:pPr>
              <w:keepNext/>
              <w:spacing w:before="240" w:after="60"/>
              <w:outlineLvl w:val="2"/>
              <w:rPr>
                <w:rFonts w:cstheme="minorHAnsi"/>
                <w:sz w:val="20"/>
                <w:szCs w:val="20"/>
              </w:rPr>
            </w:pPr>
            <w:r>
              <w:rPr>
                <w:rFonts w:cstheme="minorHAnsi"/>
                <w:sz w:val="20"/>
                <w:szCs w:val="20"/>
              </w:rPr>
              <w:t>*Note:  UEF standards will be applied once UEF calculator has been reviewed and approved by Commission Staff.  Once approved, SDG&amp;E will update this workpaper to account for their conversion.</w:t>
            </w:r>
            <w:bookmarkStart w:id="2" w:name="_GoBack"/>
            <w:bookmarkEnd w:id="2"/>
          </w:p>
          <w:p w:rsidR="00523326" w:rsidRPr="00A92029" w:rsidRDefault="00523326" w:rsidP="00523326">
            <w:pPr>
              <w:pStyle w:val="Reminders"/>
              <w:rPr>
                <w:rFonts w:asciiTheme="minorHAnsi" w:hAnsiTheme="minorHAnsi" w:cstheme="minorHAnsi"/>
                <w:i w:val="0"/>
                <w:color w:val="auto"/>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b/>
                <w:sz w:val="20"/>
                <w:szCs w:val="20"/>
              </w:rPr>
            </w:pPr>
            <w:r w:rsidRPr="00A92029">
              <w:rPr>
                <w:rFonts w:cstheme="minorHAnsi"/>
                <w:sz w:val="20"/>
                <w:szCs w:val="20"/>
              </w:rPr>
              <w:t>Requirements</w:t>
            </w:r>
          </w:p>
        </w:tc>
        <w:tc>
          <w:tcPr>
            <w:tcW w:w="6949" w:type="dxa"/>
          </w:tcPr>
          <w:p w:rsidR="00523326" w:rsidRPr="00A92029" w:rsidRDefault="00523326" w:rsidP="00523326">
            <w:pPr>
              <w:rPr>
                <w:rFonts w:cstheme="minorHAnsi"/>
                <w:b/>
                <w:i/>
                <w:sz w:val="20"/>
                <w:szCs w:val="20"/>
              </w:rPr>
            </w:pPr>
            <w:r w:rsidRPr="00A92029">
              <w:rPr>
                <w:rFonts w:cstheme="minorHAnsi"/>
                <w:b/>
                <w:i/>
                <w:sz w:val="20"/>
                <w:szCs w:val="20"/>
              </w:rPr>
              <w:t>Terms and Conditions</w:t>
            </w:r>
          </w:p>
          <w:p w:rsidR="00523326" w:rsidRPr="00A92029" w:rsidRDefault="00523326" w:rsidP="00523326">
            <w:pPr>
              <w:pStyle w:val="ListParagraph"/>
              <w:numPr>
                <w:ilvl w:val="0"/>
                <w:numId w:val="19"/>
              </w:numPr>
              <w:rPr>
                <w:rFonts w:cstheme="minorHAnsi"/>
                <w:sz w:val="20"/>
                <w:szCs w:val="20"/>
              </w:rPr>
            </w:pPr>
            <w:r w:rsidRPr="00A92029">
              <w:rPr>
                <w:rFonts w:cstheme="minorHAnsi"/>
                <w:sz w:val="20"/>
                <w:szCs w:val="20"/>
              </w:rPr>
              <w:t>Efficient natural gas storage water heaters must have an Energy Factor (EF) of 0.67 or greater to qualify for the $100 rebate. Look for the EF rating on the water heater specification sheet or on the packaging box; it does not always appear on the water heater label itself. This rebate is limited to natural gas storage water heaters that are 30 gallons or greater. If qualifying product is replacing an existing unit, the existing unit must be natural gas. [2]</w:t>
            </w:r>
          </w:p>
          <w:p w:rsidR="00523326" w:rsidRPr="00A92029" w:rsidRDefault="00523326" w:rsidP="00523326">
            <w:pPr>
              <w:rPr>
                <w:rFonts w:cstheme="minorHAnsi"/>
                <w:sz w:val="20"/>
                <w:szCs w:val="20"/>
              </w:rPr>
            </w:pPr>
          </w:p>
          <w:p w:rsidR="00523326" w:rsidRPr="00A92029" w:rsidRDefault="00523326" w:rsidP="00523326">
            <w:pPr>
              <w:rPr>
                <w:rFonts w:cstheme="minorHAnsi"/>
                <w:b/>
                <w:i/>
                <w:sz w:val="20"/>
                <w:szCs w:val="20"/>
              </w:rPr>
            </w:pPr>
            <w:r w:rsidRPr="00A92029">
              <w:rPr>
                <w:rFonts w:cstheme="minorHAnsi"/>
                <w:b/>
                <w:i/>
                <w:sz w:val="20"/>
                <w:szCs w:val="20"/>
              </w:rPr>
              <w:t xml:space="preserve">Market Applicability </w:t>
            </w:r>
          </w:p>
          <w:p w:rsidR="00523326" w:rsidRPr="00A92029" w:rsidRDefault="00523326" w:rsidP="00523326">
            <w:pPr>
              <w:pStyle w:val="ListParagraph"/>
              <w:numPr>
                <w:ilvl w:val="0"/>
                <w:numId w:val="19"/>
              </w:numPr>
              <w:rPr>
                <w:rFonts w:cstheme="minorHAnsi"/>
                <w:sz w:val="20"/>
                <w:szCs w:val="20"/>
              </w:rPr>
            </w:pPr>
            <w:r w:rsidRPr="00A92029">
              <w:rPr>
                <w:rFonts w:cstheme="minorHAnsi"/>
                <w:sz w:val="20"/>
                <w:szCs w:val="20"/>
              </w:rPr>
              <w:t>This measure is applicable to single-family, multi-family, and double-wide mobile home residential building types. The most significant barrier to water heater retrofit is the existing nature of water heater replacement. Two-thirds of consumers replace their water heaters due to the sudden failure of their existing water heater. When a water heater suddenly fails, most consumers purchase replacements that are the cheapest and most readily available model that are also easy to install. These prevailing attitudes do not encourage consumers to make the extra effort to find more advanced, energy-efficient technologies that are now available on the market [1]</w:t>
            </w:r>
          </w:p>
          <w:p w:rsidR="00523326" w:rsidRPr="00A92029" w:rsidRDefault="00523326" w:rsidP="00523326">
            <w:pPr>
              <w:ind w:left="720"/>
              <w:rPr>
                <w:rFonts w:cstheme="minorHAnsi"/>
                <w:sz w:val="20"/>
                <w:szCs w:val="20"/>
              </w:rPr>
            </w:pPr>
          </w:p>
          <w:p w:rsidR="00523326" w:rsidRPr="00A92029" w:rsidRDefault="00523326" w:rsidP="00523326">
            <w:pPr>
              <w:ind w:left="720"/>
              <w:rPr>
                <w:rFonts w:cstheme="minorHAnsi"/>
                <w:sz w:val="20"/>
                <w:szCs w:val="20"/>
              </w:rPr>
            </w:pPr>
          </w:p>
        </w:tc>
      </w:tr>
      <w:tr w:rsidR="00523326" w:rsidRPr="00A92029" w:rsidTr="00EE1FFD">
        <w:trPr>
          <w:cantSplit/>
          <w:trHeight w:val="629"/>
        </w:trPr>
        <w:tc>
          <w:tcPr>
            <w:tcW w:w="2401" w:type="dxa"/>
          </w:tcPr>
          <w:p w:rsidR="00523326" w:rsidRPr="00A92029" w:rsidRDefault="00523326" w:rsidP="00523326">
            <w:pPr>
              <w:rPr>
                <w:rFonts w:cstheme="minorHAnsi"/>
                <w:b/>
                <w:sz w:val="20"/>
                <w:szCs w:val="20"/>
              </w:rPr>
            </w:pPr>
            <w:r w:rsidRPr="00A92029">
              <w:rPr>
                <w:rFonts w:cstheme="minorHAnsi"/>
                <w:b/>
                <w:sz w:val="20"/>
                <w:szCs w:val="20"/>
              </w:rPr>
              <w:t>1.3 Installation Type and Delivery Mechanisms</w:t>
            </w:r>
          </w:p>
        </w:tc>
        <w:tc>
          <w:tcPr>
            <w:tcW w:w="6949" w:type="dxa"/>
          </w:tcPr>
          <w:p w:rsidR="00523326" w:rsidRPr="00A92029" w:rsidRDefault="00523326" w:rsidP="00523326">
            <w:pPr>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t>Installation Type</w:t>
            </w:r>
          </w:p>
        </w:tc>
        <w:tc>
          <w:tcPr>
            <w:tcW w:w="6949" w:type="dxa"/>
          </w:tcPr>
          <w:p w:rsidR="00523326" w:rsidRPr="00A92029" w:rsidRDefault="00EE1FFD" w:rsidP="00EE1FFD">
            <w:pPr>
              <w:pStyle w:val="ListParagraph"/>
              <w:numPr>
                <w:ilvl w:val="0"/>
                <w:numId w:val="20"/>
              </w:numPr>
              <w:rPr>
                <w:rFonts w:cstheme="minorHAnsi"/>
                <w:sz w:val="20"/>
                <w:szCs w:val="20"/>
              </w:rPr>
            </w:pPr>
            <w:r w:rsidRPr="00A92029">
              <w:rPr>
                <w:rFonts w:cstheme="minorHAnsi"/>
                <w:sz w:val="20"/>
                <w:szCs w:val="20"/>
              </w:rPr>
              <w:t>Replace on burnout (ROB)</w:t>
            </w: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t>Delivery Mechanisms</w:t>
            </w:r>
          </w:p>
        </w:tc>
        <w:tc>
          <w:tcPr>
            <w:tcW w:w="6949" w:type="dxa"/>
          </w:tcPr>
          <w:p w:rsidR="00523326" w:rsidRPr="00A92029" w:rsidRDefault="00523326" w:rsidP="00EE1FFD">
            <w:pPr>
              <w:pStyle w:val="ListParagraph"/>
              <w:numPr>
                <w:ilvl w:val="0"/>
                <w:numId w:val="7"/>
              </w:numPr>
              <w:rPr>
                <w:rFonts w:cstheme="minorHAnsi"/>
                <w:sz w:val="20"/>
                <w:szCs w:val="20"/>
              </w:rPr>
            </w:pPr>
            <w:r w:rsidRPr="00A92029">
              <w:rPr>
                <w:rFonts w:cstheme="minorHAnsi"/>
                <w:sz w:val="20"/>
                <w:szCs w:val="20"/>
              </w:rPr>
              <w:t>Downstream Rebate – Deemed Rebate</w:t>
            </w:r>
          </w:p>
        </w:tc>
      </w:tr>
      <w:tr w:rsidR="00523326" w:rsidRPr="00A92029" w:rsidTr="00FB6ADB">
        <w:trPr>
          <w:cantSplit/>
        </w:trPr>
        <w:tc>
          <w:tcPr>
            <w:tcW w:w="2401" w:type="dxa"/>
          </w:tcPr>
          <w:p w:rsidR="00523326" w:rsidRPr="00A92029" w:rsidRDefault="00523326" w:rsidP="00523326">
            <w:pPr>
              <w:rPr>
                <w:rFonts w:cstheme="minorHAnsi"/>
                <w:b/>
                <w:sz w:val="20"/>
                <w:szCs w:val="20"/>
              </w:rPr>
            </w:pPr>
            <w:r w:rsidRPr="00A92029">
              <w:rPr>
                <w:rFonts w:cstheme="minorHAnsi"/>
                <w:b/>
                <w:sz w:val="20"/>
                <w:szCs w:val="20"/>
              </w:rPr>
              <w:t>1.4.1 DEER Data</w:t>
            </w:r>
          </w:p>
        </w:tc>
        <w:tc>
          <w:tcPr>
            <w:tcW w:w="6949" w:type="dxa"/>
          </w:tcPr>
          <w:p w:rsidR="00523326" w:rsidRPr="00A92029" w:rsidRDefault="00523326" w:rsidP="00523326">
            <w:pPr>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lastRenderedPageBreak/>
              <w:t>Net-to-Gross Ratio</w:t>
            </w:r>
          </w:p>
        </w:tc>
        <w:tc>
          <w:tcPr>
            <w:tcW w:w="6949" w:type="dxa"/>
          </w:tcPr>
          <w:p w:rsidR="00EE1FFD" w:rsidRPr="00A92029" w:rsidRDefault="00EE1FFD">
            <w:pPr>
              <w:rPr>
                <w:rFonts w:cstheme="minorHAnsi"/>
                <w:sz w:val="20"/>
                <w:szCs w:val="20"/>
              </w:rPr>
            </w:pPr>
          </w:p>
          <w:tbl>
            <w:tblPr>
              <w:tblStyle w:val="TableGrid"/>
              <w:tblW w:w="0" w:type="auto"/>
              <w:tblLook w:val="04A0" w:firstRow="1" w:lastRow="0" w:firstColumn="1" w:lastColumn="0" w:noHBand="0" w:noVBand="1"/>
            </w:tblPr>
            <w:tblGrid>
              <w:gridCol w:w="1190"/>
              <w:gridCol w:w="1518"/>
              <w:gridCol w:w="843"/>
              <w:gridCol w:w="1081"/>
              <w:gridCol w:w="1417"/>
              <w:gridCol w:w="674"/>
            </w:tblGrid>
            <w:tr w:rsidR="00EE1FFD" w:rsidRPr="00A92029" w:rsidTr="00EE1FFD">
              <w:tc>
                <w:tcPr>
                  <w:tcW w:w="0" w:type="auto"/>
                  <w:gridSpan w:val="6"/>
                  <w:shd w:val="clear" w:color="auto" w:fill="BFBFBF" w:themeFill="background1" w:themeFillShade="BF"/>
                  <w:vAlign w:val="center"/>
                </w:tcPr>
                <w:p w:rsidR="00EE1FFD" w:rsidRPr="00A92029" w:rsidRDefault="00EE1FFD" w:rsidP="00EE1FFD">
                  <w:pPr>
                    <w:jc w:val="center"/>
                    <w:rPr>
                      <w:rFonts w:cstheme="minorHAnsi"/>
                      <w:sz w:val="20"/>
                      <w:szCs w:val="20"/>
                    </w:rPr>
                  </w:pPr>
                  <w:r w:rsidRPr="00A92029">
                    <w:rPr>
                      <w:rFonts w:cstheme="minorHAnsi"/>
                      <w:sz w:val="20"/>
                      <w:szCs w:val="20"/>
                    </w:rPr>
                    <w:t>Net-to-Gross Ratio</w:t>
                  </w:r>
                </w:p>
              </w:tc>
            </w:tr>
            <w:tr w:rsidR="00EE1FFD" w:rsidRPr="00A92029" w:rsidTr="00EE1FFD">
              <w:tc>
                <w:tcPr>
                  <w:tcW w:w="0" w:type="auto"/>
                  <w:vAlign w:val="center"/>
                </w:tcPr>
                <w:p w:rsidR="00EE1FFD" w:rsidRPr="00A92029" w:rsidRDefault="00EE1FFD" w:rsidP="00EE1FFD">
                  <w:pPr>
                    <w:jc w:val="center"/>
                    <w:rPr>
                      <w:rFonts w:cstheme="minorHAnsi"/>
                      <w:b/>
                      <w:sz w:val="20"/>
                      <w:szCs w:val="20"/>
                    </w:rPr>
                  </w:pPr>
                  <w:r w:rsidRPr="00A92029">
                    <w:rPr>
                      <w:rFonts w:cstheme="minorHAnsi"/>
                      <w:b/>
                      <w:sz w:val="20"/>
                      <w:szCs w:val="20"/>
                    </w:rPr>
                    <w:t>NTGR_ID*</w:t>
                  </w:r>
                </w:p>
              </w:tc>
              <w:tc>
                <w:tcPr>
                  <w:tcW w:w="0" w:type="auto"/>
                  <w:vAlign w:val="center"/>
                </w:tcPr>
                <w:p w:rsidR="00EE1FFD" w:rsidRPr="00A92029" w:rsidRDefault="00EE1FFD" w:rsidP="00EE1FFD">
                  <w:pPr>
                    <w:jc w:val="center"/>
                    <w:rPr>
                      <w:rFonts w:cstheme="minorHAnsi"/>
                      <w:b/>
                      <w:sz w:val="20"/>
                      <w:szCs w:val="20"/>
                    </w:rPr>
                  </w:pPr>
                  <w:r w:rsidRPr="00A92029">
                    <w:rPr>
                      <w:rFonts w:cstheme="minorHAnsi"/>
                      <w:b/>
                      <w:sz w:val="20"/>
                      <w:szCs w:val="20"/>
                    </w:rPr>
                    <w:t>Description*</w:t>
                  </w:r>
                </w:p>
              </w:tc>
              <w:tc>
                <w:tcPr>
                  <w:tcW w:w="0" w:type="auto"/>
                  <w:vAlign w:val="center"/>
                </w:tcPr>
                <w:p w:rsidR="00EE1FFD" w:rsidRPr="00A92029" w:rsidRDefault="00EE1FFD" w:rsidP="00EE1FFD">
                  <w:pPr>
                    <w:jc w:val="center"/>
                    <w:rPr>
                      <w:rFonts w:cstheme="minorHAnsi"/>
                      <w:b/>
                      <w:sz w:val="20"/>
                      <w:szCs w:val="20"/>
                    </w:rPr>
                  </w:pPr>
                  <w:r w:rsidRPr="00A92029">
                    <w:rPr>
                      <w:rFonts w:cstheme="minorHAnsi"/>
                      <w:b/>
                      <w:sz w:val="20"/>
                      <w:szCs w:val="20"/>
                    </w:rPr>
                    <w:t>Sector*</w:t>
                  </w:r>
                </w:p>
              </w:tc>
              <w:tc>
                <w:tcPr>
                  <w:tcW w:w="0" w:type="auto"/>
                  <w:vAlign w:val="center"/>
                </w:tcPr>
                <w:p w:rsidR="00EE1FFD" w:rsidRPr="00A92029" w:rsidRDefault="00EE1FFD" w:rsidP="00EE1FFD">
                  <w:pPr>
                    <w:jc w:val="center"/>
                    <w:rPr>
                      <w:rFonts w:cstheme="minorHAnsi"/>
                      <w:b/>
                      <w:sz w:val="20"/>
                      <w:szCs w:val="20"/>
                    </w:rPr>
                  </w:pPr>
                  <w:proofErr w:type="spellStart"/>
                  <w:r w:rsidRPr="00A92029">
                    <w:rPr>
                      <w:rFonts w:cstheme="minorHAnsi"/>
                      <w:b/>
                      <w:sz w:val="20"/>
                      <w:szCs w:val="20"/>
                    </w:rPr>
                    <w:t>BldgType</w:t>
                  </w:r>
                  <w:proofErr w:type="spellEnd"/>
                  <w:r w:rsidRPr="00A92029">
                    <w:rPr>
                      <w:rFonts w:cstheme="minorHAnsi"/>
                      <w:b/>
                      <w:sz w:val="20"/>
                      <w:szCs w:val="20"/>
                    </w:rPr>
                    <w:t>*</w:t>
                  </w:r>
                </w:p>
              </w:tc>
              <w:tc>
                <w:tcPr>
                  <w:tcW w:w="0" w:type="auto"/>
                  <w:vAlign w:val="center"/>
                </w:tcPr>
                <w:p w:rsidR="00EE1FFD" w:rsidRPr="00A92029" w:rsidRDefault="00EE1FFD" w:rsidP="00EE1FFD">
                  <w:pPr>
                    <w:jc w:val="center"/>
                    <w:rPr>
                      <w:rFonts w:cstheme="minorHAnsi"/>
                      <w:b/>
                      <w:sz w:val="20"/>
                      <w:szCs w:val="20"/>
                    </w:rPr>
                  </w:pPr>
                  <w:proofErr w:type="spellStart"/>
                  <w:r w:rsidRPr="00A92029">
                    <w:rPr>
                      <w:rFonts w:cstheme="minorHAnsi"/>
                      <w:b/>
                      <w:sz w:val="20"/>
                      <w:szCs w:val="20"/>
                    </w:rPr>
                    <w:t>ProgDelivID</w:t>
                  </w:r>
                  <w:proofErr w:type="spellEnd"/>
                </w:p>
              </w:tc>
              <w:tc>
                <w:tcPr>
                  <w:tcW w:w="0" w:type="auto"/>
                  <w:vAlign w:val="center"/>
                </w:tcPr>
                <w:p w:rsidR="00EE1FFD" w:rsidRPr="00A92029" w:rsidRDefault="00EE1FFD" w:rsidP="00EE1FFD">
                  <w:pPr>
                    <w:jc w:val="center"/>
                    <w:rPr>
                      <w:rFonts w:cstheme="minorHAnsi"/>
                      <w:b/>
                      <w:sz w:val="20"/>
                      <w:szCs w:val="20"/>
                    </w:rPr>
                  </w:pPr>
                  <w:r w:rsidRPr="00A92029">
                    <w:rPr>
                      <w:rFonts w:cstheme="minorHAnsi"/>
                      <w:b/>
                      <w:sz w:val="20"/>
                      <w:szCs w:val="20"/>
                    </w:rPr>
                    <w:t>NTG*</w:t>
                  </w:r>
                </w:p>
              </w:tc>
            </w:tr>
            <w:tr w:rsidR="00EE1FFD" w:rsidRPr="00A92029" w:rsidTr="00EE1FFD">
              <w:tc>
                <w:tcPr>
                  <w:tcW w:w="0" w:type="auto"/>
                  <w:vAlign w:val="center"/>
                </w:tcPr>
                <w:p w:rsidR="00EE1FFD" w:rsidRPr="00A92029" w:rsidRDefault="00EE1FFD" w:rsidP="00EE1FFD">
                  <w:pPr>
                    <w:rPr>
                      <w:rFonts w:cstheme="minorHAnsi"/>
                      <w:sz w:val="20"/>
                      <w:szCs w:val="20"/>
                    </w:rPr>
                  </w:pPr>
                  <w:r w:rsidRPr="00A92029">
                    <w:rPr>
                      <w:rFonts w:cstheme="minorHAnsi"/>
                      <w:sz w:val="20"/>
                      <w:szCs w:val="20"/>
                    </w:rPr>
                    <w:t>RES-DEFAULT&gt;2</w:t>
                  </w:r>
                </w:p>
              </w:tc>
              <w:tc>
                <w:tcPr>
                  <w:tcW w:w="0" w:type="auto"/>
                  <w:vAlign w:val="center"/>
                </w:tcPr>
                <w:p w:rsidR="00EE1FFD" w:rsidRPr="00A92029" w:rsidRDefault="00EE1FFD" w:rsidP="00EE1FFD">
                  <w:pPr>
                    <w:jc w:val="center"/>
                    <w:rPr>
                      <w:rFonts w:cstheme="minorHAnsi"/>
                      <w:sz w:val="20"/>
                      <w:szCs w:val="20"/>
                    </w:rPr>
                  </w:pPr>
                  <w:r w:rsidRPr="00A92029">
                    <w:rPr>
                      <w:rFonts w:cstheme="minorHAnsi"/>
                      <w:sz w:val="20"/>
                      <w:szCs w:val="20"/>
                    </w:rPr>
                    <w:t>Natural Gas Storage Water Heaters &gt;=0.65 EF</w:t>
                  </w:r>
                </w:p>
              </w:tc>
              <w:tc>
                <w:tcPr>
                  <w:tcW w:w="0" w:type="auto"/>
                  <w:vAlign w:val="center"/>
                </w:tcPr>
                <w:p w:rsidR="00EE1FFD" w:rsidRPr="00A92029" w:rsidRDefault="00EE1FFD" w:rsidP="00EE1FFD">
                  <w:pPr>
                    <w:jc w:val="center"/>
                    <w:rPr>
                      <w:rFonts w:cstheme="minorHAnsi"/>
                      <w:sz w:val="20"/>
                      <w:szCs w:val="20"/>
                    </w:rPr>
                  </w:pPr>
                  <w:r w:rsidRPr="00A92029">
                    <w:rPr>
                      <w:rFonts w:cstheme="minorHAnsi"/>
                      <w:sz w:val="20"/>
                      <w:szCs w:val="20"/>
                    </w:rPr>
                    <w:t>Res</w:t>
                  </w:r>
                </w:p>
              </w:tc>
              <w:tc>
                <w:tcPr>
                  <w:tcW w:w="0" w:type="auto"/>
                  <w:vAlign w:val="center"/>
                </w:tcPr>
                <w:p w:rsidR="00EE1FFD" w:rsidRPr="00A92029" w:rsidRDefault="00EE1FFD" w:rsidP="00EE1FFD">
                  <w:pPr>
                    <w:jc w:val="center"/>
                    <w:rPr>
                      <w:rFonts w:cstheme="minorHAnsi"/>
                      <w:sz w:val="20"/>
                      <w:szCs w:val="20"/>
                    </w:rPr>
                  </w:pPr>
                  <w:r w:rsidRPr="00A92029">
                    <w:rPr>
                      <w:rFonts w:cstheme="minorHAnsi"/>
                      <w:sz w:val="20"/>
                      <w:szCs w:val="20"/>
                    </w:rPr>
                    <w:t>Any</w:t>
                  </w:r>
                </w:p>
              </w:tc>
              <w:tc>
                <w:tcPr>
                  <w:tcW w:w="0" w:type="auto"/>
                  <w:vAlign w:val="center"/>
                </w:tcPr>
                <w:p w:rsidR="00EE1FFD" w:rsidRPr="00A92029" w:rsidRDefault="00EE1FFD" w:rsidP="00EE1FFD">
                  <w:pPr>
                    <w:jc w:val="center"/>
                    <w:rPr>
                      <w:rFonts w:cstheme="minorHAnsi"/>
                      <w:sz w:val="20"/>
                      <w:szCs w:val="20"/>
                    </w:rPr>
                  </w:pPr>
                  <w:r w:rsidRPr="00A92029">
                    <w:rPr>
                      <w:rFonts w:cstheme="minorHAnsi"/>
                      <w:sz w:val="20"/>
                      <w:szCs w:val="20"/>
                    </w:rPr>
                    <w:t>Downstream Prescriptive Rebate</w:t>
                  </w:r>
                </w:p>
              </w:tc>
              <w:tc>
                <w:tcPr>
                  <w:tcW w:w="0" w:type="auto"/>
                  <w:vAlign w:val="center"/>
                </w:tcPr>
                <w:p w:rsidR="00EE1FFD" w:rsidRPr="00A92029" w:rsidRDefault="00EE1FFD" w:rsidP="00EE1FFD">
                  <w:pPr>
                    <w:jc w:val="center"/>
                    <w:rPr>
                      <w:rFonts w:cstheme="minorHAnsi"/>
                      <w:sz w:val="20"/>
                      <w:szCs w:val="20"/>
                    </w:rPr>
                  </w:pPr>
                  <w:r w:rsidRPr="00A92029">
                    <w:rPr>
                      <w:rFonts w:cstheme="minorHAnsi"/>
                      <w:sz w:val="20"/>
                      <w:szCs w:val="20"/>
                    </w:rPr>
                    <w:t>0.55</w:t>
                  </w:r>
                </w:p>
              </w:tc>
            </w:tr>
          </w:tbl>
          <w:p w:rsidR="00523326" w:rsidRPr="00A92029" w:rsidRDefault="00523326" w:rsidP="00523326">
            <w:pPr>
              <w:tabs>
                <w:tab w:val="right" w:pos="6732"/>
              </w:tabs>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t>GSIA</w:t>
            </w:r>
          </w:p>
        </w:tc>
        <w:tc>
          <w:tcPr>
            <w:tcW w:w="6949" w:type="dxa"/>
          </w:tcPr>
          <w:p w:rsidR="003E39EC" w:rsidRPr="00A92029" w:rsidRDefault="003E39EC">
            <w:pPr>
              <w:rPr>
                <w:rFonts w:cstheme="minorHAnsi"/>
                <w:sz w:val="20"/>
                <w:szCs w:val="20"/>
              </w:rPr>
            </w:pPr>
          </w:p>
          <w:tbl>
            <w:tblPr>
              <w:tblStyle w:val="TableGrid"/>
              <w:tblW w:w="5000" w:type="pct"/>
              <w:tblLook w:val="04A0" w:firstRow="1" w:lastRow="0" w:firstColumn="1" w:lastColumn="0" w:noHBand="0" w:noVBand="1"/>
            </w:tblPr>
            <w:tblGrid>
              <w:gridCol w:w="1041"/>
              <w:gridCol w:w="1367"/>
              <w:gridCol w:w="808"/>
              <w:gridCol w:w="1060"/>
              <w:gridCol w:w="1283"/>
              <w:gridCol w:w="1164"/>
            </w:tblGrid>
            <w:tr w:rsidR="00523326" w:rsidRPr="00A92029" w:rsidTr="003E39EC">
              <w:tc>
                <w:tcPr>
                  <w:tcW w:w="774" w:type="pct"/>
                </w:tcPr>
                <w:p w:rsidR="00523326" w:rsidRPr="00A92029" w:rsidRDefault="00523326" w:rsidP="00523326">
                  <w:pPr>
                    <w:tabs>
                      <w:tab w:val="right" w:pos="6732"/>
                    </w:tabs>
                    <w:rPr>
                      <w:rFonts w:cstheme="minorHAnsi"/>
                      <w:b/>
                      <w:sz w:val="20"/>
                      <w:szCs w:val="20"/>
                    </w:rPr>
                  </w:pPr>
                  <w:r w:rsidRPr="00A92029">
                    <w:rPr>
                      <w:rFonts w:cstheme="minorHAnsi"/>
                      <w:b/>
                      <w:sz w:val="20"/>
                      <w:szCs w:val="20"/>
                    </w:rPr>
                    <w:t>GSIA</w:t>
                  </w:r>
                </w:p>
              </w:tc>
              <w:tc>
                <w:tcPr>
                  <w:tcW w:w="1017" w:type="pct"/>
                </w:tcPr>
                <w:p w:rsidR="00523326" w:rsidRPr="00A92029" w:rsidRDefault="00523326" w:rsidP="00523326">
                  <w:pPr>
                    <w:tabs>
                      <w:tab w:val="right" w:pos="6732"/>
                    </w:tabs>
                    <w:rPr>
                      <w:rFonts w:cstheme="minorHAnsi"/>
                      <w:b/>
                      <w:sz w:val="20"/>
                      <w:szCs w:val="20"/>
                    </w:rPr>
                  </w:pPr>
                  <w:r w:rsidRPr="00A92029">
                    <w:rPr>
                      <w:rFonts w:cstheme="minorHAnsi"/>
                      <w:b/>
                      <w:sz w:val="20"/>
                      <w:szCs w:val="20"/>
                    </w:rPr>
                    <w:t>Description</w:t>
                  </w:r>
                </w:p>
              </w:tc>
              <w:tc>
                <w:tcPr>
                  <w:tcW w:w="601" w:type="pct"/>
                </w:tcPr>
                <w:p w:rsidR="00523326" w:rsidRPr="00A92029" w:rsidRDefault="00523326" w:rsidP="00523326">
                  <w:pPr>
                    <w:tabs>
                      <w:tab w:val="right" w:pos="6732"/>
                    </w:tabs>
                    <w:rPr>
                      <w:rFonts w:cstheme="minorHAnsi"/>
                      <w:b/>
                      <w:sz w:val="20"/>
                      <w:szCs w:val="20"/>
                    </w:rPr>
                  </w:pPr>
                  <w:r w:rsidRPr="00A92029">
                    <w:rPr>
                      <w:rFonts w:cstheme="minorHAnsi"/>
                      <w:b/>
                      <w:sz w:val="20"/>
                      <w:szCs w:val="20"/>
                    </w:rPr>
                    <w:t>Sector</w:t>
                  </w:r>
                </w:p>
              </w:tc>
              <w:tc>
                <w:tcPr>
                  <w:tcW w:w="788" w:type="pct"/>
                </w:tcPr>
                <w:p w:rsidR="00523326" w:rsidRPr="00A92029" w:rsidRDefault="00523326" w:rsidP="00523326">
                  <w:pPr>
                    <w:tabs>
                      <w:tab w:val="right" w:pos="6732"/>
                    </w:tabs>
                    <w:rPr>
                      <w:rFonts w:cstheme="minorHAnsi"/>
                      <w:b/>
                      <w:sz w:val="20"/>
                      <w:szCs w:val="20"/>
                    </w:rPr>
                  </w:pPr>
                  <w:proofErr w:type="spellStart"/>
                  <w:r w:rsidRPr="00A92029">
                    <w:rPr>
                      <w:rFonts w:cstheme="minorHAnsi"/>
                      <w:b/>
                      <w:sz w:val="20"/>
                      <w:szCs w:val="20"/>
                    </w:rPr>
                    <w:t>BldgType</w:t>
                  </w:r>
                  <w:proofErr w:type="spellEnd"/>
                </w:p>
              </w:tc>
              <w:tc>
                <w:tcPr>
                  <w:tcW w:w="954" w:type="pct"/>
                </w:tcPr>
                <w:p w:rsidR="00523326" w:rsidRPr="00A92029" w:rsidRDefault="00523326" w:rsidP="00523326">
                  <w:pPr>
                    <w:tabs>
                      <w:tab w:val="right" w:pos="6732"/>
                    </w:tabs>
                    <w:rPr>
                      <w:rFonts w:cstheme="minorHAnsi"/>
                      <w:b/>
                      <w:sz w:val="20"/>
                      <w:szCs w:val="20"/>
                    </w:rPr>
                  </w:pPr>
                  <w:proofErr w:type="spellStart"/>
                  <w:r w:rsidRPr="00A92029">
                    <w:rPr>
                      <w:rFonts w:cstheme="minorHAnsi"/>
                      <w:b/>
                      <w:sz w:val="20"/>
                      <w:szCs w:val="20"/>
                    </w:rPr>
                    <w:t>ProgDelivID</w:t>
                  </w:r>
                  <w:proofErr w:type="spellEnd"/>
                </w:p>
              </w:tc>
              <w:tc>
                <w:tcPr>
                  <w:tcW w:w="866" w:type="pct"/>
                </w:tcPr>
                <w:p w:rsidR="00523326" w:rsidRPr="00A92029" w:rsidRDefault="00523326" w:rsidP="00523326">
                  <w:pPr>
                    <w:tabs>
                      <w:tab w:val="right" w:pos="6732"/>
                    </w:tabs>
                    <w:rPr>
                      <w:rFonts w:cstheme="minorHAnsi"/>
                      <w:b/>
                      <w:sz w:val="20"/>
                      <w:szCs w:val="20"/>
                    </w:rPr>
                  </w:pPr>
                  <w:proofErr w:type="spellStart"/>
                  <w:r w:rsidRPr="00A92029">
                    <w:rPr>
                      <w:rFonts w:cstheme="minorHAnsi"/>
                      <w:b/>
                      <w:sz w:val="20"/>
                      <w:szCs w:val="20"/>
                    </w:rPr>
                    <w:t>GSIAValue</w:t>
                  </w:r>
                  <w:proofErr w:type="spellEnd"/>
                </w:p>
              </w:tc>
            </w:tr>
            <w:tr w:rsidR="00523326" w:rsidRPr="00A92029" w:rsidTr="003E39EC">
              <w:tc>
                <w:tcPr>
                  <w:tcW w:w="774" w:type="pct"/>
                </w:tcPr>
                <w:p w:rsidR="00523326" w:rsidRPr="00A92029" w:rsidRDefault="00523326" w:rsidP="00523326">
                  <w:pPr>
                    <w:tabs>
                      <w:tab w:val="right" w:pos="6732"/>
                    </w:tabs>
                    <w:rPr>
                      <w:rFonts w:cstheme="minorHAnsi"/>
                      <w:sz w:val="20"/>
                      <w:szCs w:val="20"/>
                    </w:rPr>
                  </w:pPr>
                  <w:r w:rsidRPr="00A92029">
                    <w:rPr>
                      <w:rFonts w:cstheme="minorHAnsi"/>
                      <w:sz w:val="20"/>
                      <w:szCs w:val="20"/>
                    </w:rPr>
                    <w:t>Def-GSIA</w:t>
                  </w:r>
                </w:p>
              </w:tc>
              <w:tc>
                <w:tcPr>
                  <w:tcW w:w="1017" w:type="pct"/>
                </w:tcPr>
                <w:p w:rsidR="00523326" w:rsidRPr="00A92029" w:rsidRDefault="00523326" w:rsidP="00523326">
                  <w:pPr>
                    <w:tabs>
                      <w:tab w:val="right" w:pos="6732"/>
                    </w:tabs>
                    <w:rPr>
                      <w:rFonts w:cstheme="minorHAnsi"/>
                      <w:sz w:val="20"/>
                      <w:szCs w:val="20"/>
                    </w:rPr>
                  </w:pPr>
                  <w:r w:rsidRPr="00A92029">
                    <w:rPr>
                      <w:rFonts w:cstheme="minorHAnsi"/>
                      <w:sz w:val="20"/>
                      <w:szCs w:val="20"/>
                    </w:rPr>
                    <w:t>Default GSIA</w:t>
                  </w:r>
                </w:p>
              </w:tc>
              <w:tc>
                <w:tcPr>
                  <w:tcW w:w="601" w:type="pct"/>
                </w:tcPr>
                <w:p w:rsidR="00523326" w:rsidRPr="00A92029" w:rsidRDefault="00523326" w:rsidP="00523326">
                  <w:pPr>
                    <w:tabs>
                      <w:tab w:val="right" w:pos="6732"/>
                    </w:tabs>
                    <w:rPr>
                      <w:rFonts w:cstheme="minorHAnsi"/>
                      <w:sz w:val="20"/>
                      <w:szCs w:val="20"/>
                    </w:rPr>
                  </w:pPr>
                  <w:r w:rsidRPr="00A92029">
                    <w:rPr>
                      <w:rFonts w:cstheme="minorHAnsi"/>
                      <w:sz w:val="20"/>
                      <w:szCs w:val="20"/>
                    </w:rPr>
                    <w:t>Any</w:t>
                  </w:r>
                </w:p>
              </w:tc>
              <w:tc>
                <w:tcPr>
                  <w:tcW w:w="788" w:type="pct"/>
                </w:tcPr>
                <w:p w:rsidR="00523326" w:rsidRPr="00A92029" w:rsidRDefault="00523326" w:rsidP="00523326">
                  <w:pPr>
                    <w:tabs>
                      <w:tab w:val="right" w:pos="6732"/>
                    </w:tabs>
                    <w:rPr>
                      <w:rFonts w:cstheme="minorHAnsi"/>
                      <w:sz w:val="20"/>
                      <w:szCs w:val="20"/>
                    </w:rPr>
                  </w:pPr>
                  <w:r w:rsidRPr="00A92029">
                    <w:rPr>
                      <w:rFonts w:cstheme="minorHAnsi"/>
                      <w:sz w:val="20"/>
                      <w:szCs w:val="20"/>
                    </w:rPr>
                    <w:t>Any</w:t>
                  </w:r>
                </w:p>
              </w:tc>
              <w:tc>
                <w:tcPr>
                  <w:tcW w:w="954" w:type="pct"/>
                </w:tcPr>
                <w:p w:rsidR="00523326" w:rsidRPr="00A92029" w:rsidRDefault="00523326" w:rsidP="00523326">
                  <w:pPr>
                    <w:tabs>
                      <w:tab w:val="right" w:pos="6732"/>
                    </w:tabs>
                    <w:rPr>
                      <w:rFonts w:cstheme="minorHAnsi"/>
                      <w:sz w:val="20"/>
                      <w:szCs w:val="20"/>
                    </w:rPr>
                  </w:pPr>
                  <w:r w:rsidRPr="00A92029">
                    <w:rPr>
                      <w:rFonts w:cstheme="minorHAnsi"/>
                      <w:sz w:val="20"/>
                      <w:szCs w:val="20"/>
                    </w:rPr>
                    <w:t>Any</w:t>
                  </w:r>
                </w:p>
              </w:tc>
              <w:tc>
                <w:tcPr>
                  <w:tcW w:w="866" w:type="pct"/>
                </w:tcPr>
                <w:p w:rsidR="00523326" w:rsidRPr="00A92029" w:rsidRDefault="00523326" w:rsidP="00523326">
                  <w:pPr>
                    <w:tabs>
                      <w:tab w:val="right" w:pos="6732"/>
                    </w:tabs>
                    <w:rPr>
                      <w:rFonts w:cstheme="minorHAnsi"/>
                      <w:sz w:val="20"/>
                      <w:szCs w:val="20"/>
                    </w:rPr>
                  </w:pPr>
                  <w:r w:rsidRPr="00A92029">
                    <w:rPr>
                      <w:rFonts w:cstheme="minorHAnsi"/>
                      <w:sz w:val="20"/>
                      <w:szCs w:val="20"/>
                    </w:rPr>
                    <w:t>1</w:t>
                  </w:r>
                </w:p>
              </w:tc>
            </w:tr>
          </w:tbl>
          <w:p w:rsidR="00523326" w:rsidRPr="00A92029" w:rsidRDefault="00523326" w:rsidP="00523326">
            <w:pPr>
              <w:tabs>
                <w:tab w:val="right" w:pos="6732"/>
              </w:tabs>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t>Effective and Remaining Useful Life</w:t>
            </w:r>
          </w:p>
        </w:tc>
        <w:tc>
          <w:tcPr>
            <w:tcW w:w="6949" w:type="dxa"/>
          </w:tcPr>
          <w:p w:rsidR="003E39EC" w:rsidRPr="00A92029" w:rsidRDefault="003E39EC">
            <w:pPr>
              <w:rPr>
                <w:rFonts w:cstheme="minorHAnsi"/>
                <w:sz w:val="20"/>
                <w:szCs w:val="20"/>
              </w:rPr>
            </w:pPr>
          </w:p>
          <w:tbl>
            <w:tblPr>
              <w:tblStyle w:val="TableGrid"/>
              <w:tblW w:w="0" w:type="auto"/>
              <w:tblLook w:val="04A0" w:firstRow="1" w:lastRow="0" w:firstColumn="1" w:lastColumn="0" w:noHBand="0" w:noVBand="1"/>
            </w:tblPr>
            <w:tblGrid>
              <w:gridCol w:w="1113"/>
              <w:gridCol w:w="1316"/>
              <w:gridCol w:w="2113"/>
              <w:gridCol w:w="1102"/>
              <w:gridCol w:w="1079"/>
            </w:tblGrid>
            <w:tr w:rsidR="003E39EC" w:rsidRPr="00A92029" w:rsidTr="003E39EC">
              <w:tc>
                <w:tcPr>
                  <w:tcW w:w="0" w:type="auto"/>
                  <w:vAlign w:val="center"/>
                </w:tcPr>
                <w:p w:rsidR="003E39EC" w:rsidRPr="00A92029" w:rsidRDefault="003E39EC" w:rsidP="003E39EC">
                  <w:pPr>
                    <w:jc w:val="center"/>
                    <w:rPr>
                      <w:rFonts w:cstheme="minorHAnsi"/>
                      <w:b/>
                      <w:sz w:val="20"/>
                      <w:szCs w:val="20"/>
                    </w:rPr>
                  </w:pPr>
                  <w:r w:rsidRPr="00A92029">
                    <w:rPr>
                      <w:rFonts w:cstheme="minorHAnsi"/>
                      <w:b/>
                      <w:sz w:val="20"/>
                      <w:szCs w:val="20"/>
                    </w:rPr>
                    <w:t>Market</w:t>
                  </w:r>
                </w:p>
              </w:tc>
              <w:tc>
                <w:tcPr>
                  <w:tcW w:w="0" w:type="auto"/>
                  <w:vAlign w:val="center"/>
                </w:tcPr>
                <w:p w:rsidR="003E39EC" w:rsidRPr="00A92029" w:rsidRDefault="003E39EC" w:rsidP="003E39EC">
                  <w:pPr>
                    <w:jc w:val="center"/>
                    <w:rPr>
                      <w:rFonts w:cstheme="minorHAnsi"/>
                      <w:b/>
                      <w:sz w:val="20"/>
                      <w:szCs w:val="20"/>
                    </w:rPr>
                  </w:pPr>
                  <w:proofErr w:type="spellStart"/>
                  <w:r w:rsidRPr="00A92029">
                    <w:rPr>
                      <w:rFonts w:cstheme="minorHAnsi"/>
                      <w:b/>
                      <w:sz w:val="20"/>
                      <w:szCs w:val="20"/>
                    </w:rPr>
                    <w:t>Enduse</w:t>
                  </w:r>
                  <w:proofErr w:type="spellEnd"/>
                </w:p>
              </w:tc>
              <w:tc>
                <w:tcPr>
                  <w:tcW w:w="2080" w:type="dxa"/>
                  <w:vAlign w:val="center"/>
                </w:tcPr>
                <w:p w:rsidR="003E39EC" w:rsidRPr="00A92029" w:rsidRDefault="003E39EC" w:rsidP="003E39EC">
                  <w:pPr>
                    <w:jc w:val="center"/>
                    <w:rPr>
                      <w:rFonts w:cstheme="minorHAnsi"/>
                      <w:b/>
                      <w:sz w:val="20"/>
                      <w:szCs w:val="20"/>
                    </w:rPr>
                  </w:pPr>
                  <w:r w:rsidRPr="00A92029">
                    <w:rPr>
                      <w:rFonts w:cstheme="minorHAnsi"/>
                      <w:b/>
                      <w:sz w:val="20"/>
                      <w:szCs w:val="20"/>
                    </w:rPr>
                    <w:t>Measure</w:t>
                  </w:r>
                </w:p>
              </w:tc>
              <w:tc>
                <w:tcPr>
                  <w:tcW w:w="1102" w:type="dxa"/>
                  <w:vAlign w:val="center"/>
                </w:tcPr>
                <w:p w:rsidR="003E39EC" w:rsidRPr="00A92029" w:rsidRDefault="003E39EC" w:rsidP="003E39EC">
                  <w:pPr>
                    <w:jc w:val="center"/>
                    <w:rPr>
                      <w:rFonts w:cstheme="minorHAnsi"/>
                      <w:b/>
                      <w:sz w:val="20"/>
                      <w:szCs w:val="20"/>
                    </w:rPr>
                  </w:pPr>
                  <w:r w:rsidRPr="00A92029">
                    <w:rPr>
                      <w:rFonts w:cstheme="minorHAnsi"/>
                      <w:b/>
                      <w:sz w:val="20"/>
                      <w:szCs w:val="20"/>
                    </w:rPr>
                    <w:t>EUL (Years)</w:t>
                  </w:r>
                </w:p>
              </w:tc>
              <w:tc>
                <w:tcPr>
                  <w:tcW w:w="0" w:type="auto"/>
                  <w:vAlign w:val="center"/>
                </w:tcPr>
                <w:p w:rsidR="003E39EC" w:rsidRPr="00A92029" w:rsidRDefault="003E39EC" w:rsidP="003E39EC">
                  <w:pPr>
                    <w:jc w:val="center"/>
                    <w:rPr>
                      <w:rFonts w:cstheme="minorHAnsi"/>
                      <w:b/>
                      <w:sz w:val="20"/>
                      <w:szCs w:val="20"/>
                    </w:rPr>
                  </w:pPr>
                  <w:r w:rsidRPr="00A92029">
                    <w:rPr>
                      <w:rFonts w:cstheme="minorHAnsi"/>
                      <w:b/>
                      <w:sz w:val="20"/>
                      <w:szCs w:val="20"/>
                    </w:rPr>
                    <w:t>RUL (Years)</w:t>
                  </w:r>
                </w:p>
              </w:tc>
            </w:tr>
            <w:tr w:rsidR="003E39EC" w:rsidRPr="00A92029" w:rsidTr="003E39EC">
              <w:tc>
                <w:tcPr>
                  <w:tcW w:w="0" w:type="auto"/>
                </w:tcPr>
                <w:p w:rsidR="003E39EC" w:rsidRPr="00A92029" w:rsidRDefault="003E39EC" w:rsidP="003E39EC">
                  <w:pPr>
                    <w:rPr>
                      <w:rFonts w:cstheme="minorHAnsi"/>
                      <w:sz w:val="20"/>
                      <w:szCs w:val="20"/>
                    </w:rPr>
                  </w:pPr>
                  <w:r w:rsidRPr="00A92029">
                    <w:rPr>
                      <w:rFonts w:cstheme="minorHAnsi"/>
                      <w:sz w:val="20"/>
                      <w:szCs w:val="20"/>
                    </w:rPr>
                    <w:t>Residential</w:t>
                  </w:r>
                </w:p>
              </w:tc>
              <w:tc>
                <w:tcPr>
                  <w:tcW w:w="0" w:type="auto"/>
                </w:tcPr>
                <w:p w:rsidR="003E39EC" w:rsidRPr="00A92029" w:rsidRDefault="003E39EC" w:rsidP="003E39EC">
                  <w:pPr>
                    <w:rPr>
                      <w:rFonts w:cstheme="minorHAnsi"/>
                      <w:sz w:val="20"/>
                      <w:szCs w:val="20"/>
                    </w:rPr>
                  </w:pPr>
                  <w:proofErr w:type="spellStart"/>
                  <w:r w:rsidRPr="00A92029">
                    <w:rPr>
                      <w:rFonts w:cstheme="minorHAnsi"/>
                      <w:sz w:val="20"/>
                      <w:szCs w:val="20"/>
                    </w:rPr>
                    <w:t>WaterHtg_eq</w:t>
                  </w:r>
                  <w:proofErr w:type="spellEnd"/>
                </w:p>
              </w:tc>
              <w:tc>
                <w:tcPr>
                  <w:tcW w:w="0" w:type="auto"/>
                </w:tcPr>
                <w:p w:rsidR="003E39EC" w:rsidRPr="00A92029" w:rsidRDefault="003E39EC" w:rsidP="003E39EC">
                  <w:pPr>
                    <w:rPr>
                      <w:rFonts w:cstheme="minorHAnsi"/>
                      <w:sz w:val="20"/>
                      <w:szCs w:val="20"/>
                    </w:rPr>
                  </w:pPr>
                  <w:proofErr w:type="spellStart"/>
                  <w:r w:rsidRPr="00A92029">
                    <w:rPr>
                      <w:rFonts w:cstheme="minorHAnsi"/>
                      <w:sz w:val="20"/>
                      <w:szCs w:val="20"/>
                    </w:rPr>
                    <w:t>WtrHt</w:t>
                  </w:r>
                  <w:proofErr w:type="spellEnd"/>
                  <w:r w:rsidRPr="00A92029">
                    <w:rPr>
                      <w:rFonts w:cstheme="minorHAnsi"/>
                      <w:sz w:val="20"/>
                      <w:szCs w:val="20"/>
                    </w:rPr>
                    <w:t>-</w:t>
                  </w:r>
                  <w:proofErr w:type="spellStart"/>
                  <w:r w:rsidRPr="00A92029">
                    <w:rPr>
                      <w:rFonts w:cstheme="minorHAnsi"/>
                      <w:sz w:val="20"/>
                      <w:szCs w:val="20"/>
                    </w:rPr>
                    <w:t>SmlStrg</w:t>
                  </w:r>
                  <w:proofErr w:type="spellEnd"/>
                  <w:r w:rsidRPr="00A92029">
                    <w:rPr>
                      <w:rFonts w:cstheme="minorHAnsi"/>
                      <w:sz w:val="20"/>
                      <w:szCs w:val="20"/>
                    </w:rPr>
                    <w:t>-Gas-Res</w:t>
                  </w:r>
                </w:p>
              </w:tc>
              <w:tc>
                <w:tcPr>
                  <w:tcW w:w="0" w:type="auto"/>
                  <w:vAlign w:val="center"/>
                </w:tcPr>
                <w:p w:rsidR="003E39EC" w:rsidRPr="00A92029" w:rsidRDefault="003E39EC" w:rsidP="003E39EC">
                  <w:pPr>
                    <w:jc w:val="center"/>
                    <w:rPr>
                      <w:rFonts w:cstheme="minorHAnsi"/>
                      <w:sz w:val="20"/>
                      <w:szCs w:val="20"/>
                    </w:rPr>
                  </w:pPr>
                  <w:r w:rsidRPr="00A92029">
                    <w:rPr>
                      <w:rFonts w:cstheme="minorHAnsi"/>
                      <w:sz w:val="20"/>
                      <w:szCs w:val="20"/>
                    </w:rPr>
                    <w:t>11</w:t>
                  </w:r>
                </w:p>
              </w:tc>
              <w:tc>
                <w:tcPr>
                  <w:tcW w:w="0" w:type="auto"/>
                  <w:vAlign w:val="center"/>
                </w:tcPr>
                <w:p w:rsidR="003E39EC" w:rsidRPr="00A92029" w:rsidRDefault="003E39EC" w:rsidP="003E39EC">
                  <w:pPr>
                    <w:jc w:val="center"/>
                    <w:rPr>
                      <w:rFonts w:cstheme="minorHAnsi"/>
                      <w:sz w:val="20"/>
                      <w:szCs w:val="20"/>
                    </w:rPr>
                  </w:pPr>
                  <w:r w:rsidRPr="00A92029">
                    <w:rPr>
                      <w:rFonts w:cstheme="minorHAnsi"/>
                      <w:sz w:val="20"/>
                      <w:szCs w:val="20"/>
                    </w:rPr>
                    <w:t>3.3</w:t>
                  </w:r>
                </w:p>
              </w:tc>
            </w:tr>
          </w:tbl>
          <w:p w:rsidR="00523326" w:rsidRPr="00A92029" w:rsidRDefault="00523326" w:rsidP="00523326">
            <w:pPr>
              <w:tabs>
                <w:tab w:val="right" w:pos="6732"/>
              </w:tabs>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rPr>
                <w:rFonts w:cstheme="minorHAnsi"/>
                <w:b/>
                <w:sz w:val="20"/>
                <w:szCs w:val="20"/>
              </w:rPr>
            </w:pPr>
            <w:r w:rsidRPr="00A92029">
              <w:rPr>
                <w:rFonts w:cstheme="minorHAnsi"/>
                <w:b/>
                <w:sz w:val="20"/>
                <w:szCs w:val="20"/>
              </w:rPr>
              <w:t>Section 2. Calculation Methodology</w:t>
            </w:r>
          </w:p>
        </w:tc>
        <w:tc>
          <w:tcPr>
            <w:tcW w:w="6949" w:type="dxa"/>
            <w:vAlign w:val="center"/>
          </w:tcPr>
          <w:p w:rsidR="00523326" w:rsidRPr="00A92029" w:rsidRDefault="00523326" w:rsidP="00523326">
            <w:pPr>
              <w:pStyle w:val="ListParagraph"/>
              <w:ind w:left="360"/>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jc w:val="right"/>
              <w:rPr>
                <w:rFonts w:cstheme="minorHAnsi"/>
                <w:sz w:val="20"/>
                <w:szCs w:val="20"/>
              </w:rPr>
            </w:pPr>
            <w:r w:rsidRPr="00A92029">
              <w:rPr>
                <w:rFonts w:cstheme="minorHAnsi"/>
                <w:sz w:val="20"/>
                <w:szCs w:val="20"/>
              </w:rPr>
              <w:t>Energy Savings/Peak Demand Reduction – All Measures</w:t>
            </w:r>
          </w:p>
        </w:tc>
        <w:tc>
          <w:tcPr>
            <w:tcW w:w="6949" w:type="dxa"/>
          </w:tcPr>
          <w:p w:rsidR="00523326" w:rsidRPr="00A92029" w:rsidRDefault="003E39EC" w:rsidP="00523326">
            <w:pPr>
              <w:tabs>
                <w:tab w:val="right" w:pos="6732"/>
              </w:tabs>
              <w:rPr>
                <w:rFonts w:cstheme="minorHAnsi"/>
                <w:sz w:val="20"/>
                <w:szCs w:val="20"/>
              </w:rPr>
            </w:pPr>
            <w:r w:rsidRPr="00A92029">
              <w:rPr>
                <w:rFonts w:cstheme="minorHAnsi"/>
                <w:sz w:val="20"/>
                <w:szCs w:val="20"/>
              </w:rPr>
              <w:t xml:space="preserve">Energy Savings for the measures included in this workpaper are taken directly from the DEER 2017 READI Tool or were created using the READI Tool. These results have not been modified and are included on the embedded calculation spreadsheet. </w:t>
            </w:r>
          </w:p>
          <w:p w:rsidR="00523326" w:rsidRPr="00A92029" w:rsidRDefault="00523326" w:rsidP="00523326">
            <w:pPr>
              <w:tabs>
                <w:tab w:val="right" w:pos="6732"/>
              </w:tabs>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rPr>
                <w:rFonts w:cstheme="minorHAnsi"/>
                <w:b/>
                <w:sz w:val="20"/>
                <w:szCs w:val="20"/>
              </w:rPr>
            </w:pPr>
            <w:r w:rsidRPr="00A92029">
              <w:rPr>
                <w:rFonts w:cstheme="minorHAnsi"/>
                <w:b/>
                <w:sz w:val="20"/>
                <w:szCs w:val="20"/>
              </w:rPr>
              <w:t>Section 3. Load Shapes</w:t>
            </w:r>
          </w:p>
        </w:tc>
        <w:tc>
          <w:tcPr>
            <w:tcW w:w="6949" w:type="dxa"/>
          </w:tcPr>
          <w:p w:rsidR="00523326" w:rsidRPr="00A92029" w:rsidRDefault="003E39EC" w:rsidP="00523326">
            <w:pPr>
              <w:tabs>
                <w:tab w:val="right" w:pos="6732"/>
              </w:tabs>
              <w:rPr>
                <w:rFonts w:cstheme="minorHAnsi"/>
                <w:sz w:val="20"/>
                <w:szCs w:val="20"/>
              </w:rPr>
            </w:pPr>
            <w:r w:rsidRPr="00A92029">
              <w:rPr>
                <w:rFonts w:cstheme="minorHAnsi"/>
                <w:sz w:val="20"/>
                <w:szCs w:val="20"/>
              </w:rPr>
              <w:t xml:space="preserve">The difference between the base case load shape and the measure load shape would be the most appropriate load shape; however, only end-use profiles are available.  </w:t>
            </w:r>
          </w:p>
        </w:tc>
      </w:tr>
      <w:tr w:rsidR="00523326" w:rsidRPr="00A92029" w:rsidTr="00FB6ADB">
        <w:trPr>
          <w:cantSplit/>
        </w:trPr>
        <w:tc>
          <w:tcPr>
            <w:tcW w:w="2401" w:type="dxa"/>
            <w:vAlign w:val="center"/>
          </w:tcPr>
          <w:p w:rsidR="00523326" w:rsidRPr="00A92029" w:rsidRDefault="00523326" w:rsidP="00523326">
            <w:pPr>
              <w:rPr>
                <w:rFonts w:cstheme="minorHAnsi"/>
                <w:b/>
                <w:sz w:val="20"/>
                <w:szCs w:val="20"/>
              </w:rPr>
            </w:pPr>
            <w:r w:rsidRPr="00A92029">
              <w:rPr>
                <w:rFonts w:cstheme="minorHAnsi"/>
                <w:b/>
                <w:sz w:val="20"/>
                <w:szCs w:val="20"/>
              </w:rPr>
              <w:t>Section 4. Costs</w:t>
            </w:r>
          </w:p>
        </w:tc>
        <w:tc>
          <w:tcPr>
            <w:tcW w:w="6949" w:type="dxa"/>
          </w:tcPr>
          <w:p w:rsidR="00523326" w:rsidRPr="00A92029" w:rsidRDefault="00523326" w:rsidP="00523326">
            <w:pPr>
              <w:rPr>
                <w:rFonts w:cstheme="minorHAnsi"/>
                <w:sz w:val="20"/>
                <w:szCs w:val="20"/>
              </w:rPr>
            </w:pPr>
          </w:p>
        </w:tc>
      </w:tr>
      <w:tr w:rsidR="00523326" w:rsidRPr="00A92029" w:rsidTr="00FB6ADB">
        <w:trPr>
          <w:cantSplit/>
        </w:trPr>
        <w:tc>
          <w:tcPr>
            <w:tcW w:w="2401" w:type="dxa"/>
          </w:tcPr>
          <w:p w:rsidR="00523326" w:rsidRPr="00A92029" w:rsidRDefault="00523326" w:rsidP="00523326">
            <w:pPr>
              <w:rPr>
                <w:rFonts w:cstheme="minorHAnsi"/>
                <w:b/>
                <w:sz w:val="20"/>
                <w:szCs w:val="20"/>
              </w:rPr>
            </w:pPr>
            <w:r w:rsidRPr="00A92029">
              <w:rPr>
                <w:rFonts w:cstheme="minorHAnsi"/>
                <w:b/>
                <w:sz w:val="20"/>
                <w:szCs w:val="20"/>
              </w:rPr>
              <w:t>Section 4.1 Modeled Costs</w:t>
            </w:r>
          </w:p>
        </w:tc>
        <w:tc>
          <w:tcPr>
            <w:tcW w:w="6949" w:type="dxa"/>
          </w:tcPr>
          <w:p w:rsidR="003E39EC" w:rsidRPr="00A92029" w:rsidRDefault="003E39EC" w:rsidP="003E39EC">
            <w:pPr>
              <w:rPr>
                <w:rFonts w:cstheme="minorHAnsi"/>
                <w:sz w:val="20"/>
                <w:szCs w:val="20"/>
              </w:rPr>
            </w:pPr>
            <w:r w:rsidRPr="00A92029">
              <w:rPr>
                <w:rFonts w:cstheme="minorHAnsi"/>
                <w:sz w:val="20"/>
                <w:szCs w:val="20"/>
              </w:rPr>
              <w:t>Cost calculations adopted from DEER2016 (</w:t>
            </w:r>
            <w:r w:rsidR="00A42616" w:rsidRPr="00A92029">
              <w:rPr>
                <w:rFonts w:cstheme="minorHAnsi"/>
                <w:sz w:val="20"/>
                <w:szCs w:val="20"/>
              </w:rPr>
              <w:t>*Note:</w:t>
            </w:r>
            <w:r w:rsidRPr="00A92029">
              <w:rPr>
                <w:rFonts w:cstheme="minorHAnsi"/>
                <w:sz w:val="20"/>
                <w:szCs w:val="20"/>
              </w:rPr>
              <w:t xml:space="preserve"> There are no DEER 2017 cost updates). The DEER2016 update does not have cost for 50 Gallon Water Heaters, with an Energy Factor(EF) of (0.</w:t>
            </w:r>
            <w:r w:rsidR="002515D2" w:rsidRPr="00A92029">
              <w:rPr>
                <w:rFonts w:cstheme="minorHAnsi"/>
                <w:sz w:val="20"/>
                <w:szCs w:val="20"/>
              </w:rPr>
              <w:t>82</w:t>
            </w:r>
            <w:r w:rsidRPr="00A92029">
              <w:rPr>
                <w:rFonts w:cstheme="minorHAnsi"/>
                <w:sz w:val="20"/>
                <w:szCs w:val="20"/>
              </w:rPr>
              <w:t xml:space="preserve">). SDG&amp;E elects to take a conservative approach and utilized DEER Measure </w:t>
            </w:r>
            <w:r w:rsidR="002515D2" w:rsidRPr="00A92029">
              <w:rPr>
                <w:rFonts w:cstheme="minorHAnsi"/>
                <w:sz w:val="20"/>
                <w:szCs w:val="20"/>
              </w:rPr>
              <w:t>cost</w:t>
            </w:r>
            <w:r w:rsidRPr="00A92029">
              <w:rPr>
                <w:rFonts w:cstheme="minorHAnsi"/>
                <w:sz w:val="20"/>
                <w:szCs w:val="20"/>
              </w:rPr>
              <w:t xml:space="preserve"> for and EF of (0</w:t>
            </w:r>
            <w:r w:rsidR="00CE3B4A">
              <w:rPr>
                <w:rFonts w:cstheme="minorHAnsi"/>
                <w:sz w:val="20"/>
                <w:szCs w:val="20"/>
              </w:rPr>
              <w:t>.82</w:t>
            </w:r>
            <w:r w:rsidRPr="00A92029">
              <w:rPr>
                <w:rFonts w:cstheme="minorHAnsi"/>
                <w:sz w:val="20"/>
                <w:szCs w:val="20"/>
              </w:rPr>
              <w:t>)</w:t>
            </w:r>
            <w:r w:rsidR="00CE3B4A">
              <w:rPr>
                <w:rFonts w:cstheme="minorHAnsi"/>
                <w:sz w:val="20"/>
                <w:szCs w:val="20"/>
              </w:rPr>
              <w:t xml:space="preserve"> from a 40 gallon</w:t>
            </w:r>
            <w:r w:rsidRPr="00A92029">
              <w:rPr>
                <w:rFonts w:cstheme="minorHAnsi"/>
                <w:sz w:val="20"/>
                <w:szCs w:val="20"/>
              </w:rPr>
              <w:t>.</w:t>
            </w:r>
            <w:r w:rsidR="00CE3B4A">
              <w:rPr>
                <w:rFonts w:cstheme="minorHAnsi"/>
                <w:sz w:val="20"/>
                <w:szCs w:val="20"/>
              </w:rPr>
              <w:t xml:space="preserve">  The costs although from a </w:t>
            </w:r>
            <w:proofErr w:type="gramStart"/>
            <w:r w:rsidR="00CE3B4A">
              <w:rPr>
                <w:rFonts w:cstheme="minorHAnsi"/>
                <w:sz w:val="20"/>
                <w:szCs w:val="20"/>
              </w:rPr>
              <w:t>40 gallon</w:t>
            </w:r>
            <w:proofErr w:type="gramEnd"/>
            <w:r w:rsidR="00CE3B4A">
              <w:rPr>
                <w:rFonts w:cstheme="minorHAnsi"/>
                <w:sz w:val="20"/>
                <w:szCs w:val="20"/>
              </w:rPr>
              <w:t xml:space="preserve"> heater, has higher costs that accounts for the extra material (i.e. insulation), which is more reflective for the 50 gallon with the same EF.</w:t>
            </w:r>
          </w:p>
          <w:p w:rsidR="00523326" w:rsidRPr="00A92029" w:rsidRDefault="00523326" w:rsidP="00523326">
            <w:pPr>
              <w:rPr>
                <w:rFonts w:cstheme="minorHAnsi"/>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t>Base Cost –</w:t>
            </w:r>
          </w:p>
        </w:tc>
        <w:tc>
          <w:tcPr>
            <w:tcW w:w="6949" w:type="dxa"/>
          </w:tcPr>
          <w:p w:rsidR="002515D2" w:rsidRPr="00A92029" w:rsidRDefault="002515D2">
            <w:pPr>
              <w:rPr>
                <w:rFonts w:cstheme="minorHAnsi"/>
                <w:sz w:val="20"/>
                <w:szCs w:val="20"/>
              </w:rPr>
            </w:pPr>
          </w:p>
          <w:tbl>
            <w:tblPr>
              <w:tblStyle w:val="TableGrid"/>
              <w:tblW w:w="5000" w:type="pct"/>
              <w:tblLook w:val="04A0" w:firstRow="1" w:lastRow="0" w:firstColumn="1" w:lastColumn="0" w:noHBand="0" w:noVBand="1"/>
            </w:tblPr>
            <w:tblGrid>
              <w:gridCol w:w="4627"/>
              <w:gridCol w:w="2096"/>
            </w:tblGrid>
            <w:tr w:rsidR="002515D2" w:rsidRPr="00A92029" w:rsidTr="002515D2">
              <w:trPr>
                <w:trHeight w:val="251"/>
              </w:trPr>
              <w:tc>
                <w:tcPr>
                  <w:tcW w:w="5000" w:type="pct"/>
                  <w:gridSpan w:val="2"/>
                  <w:shd w:val="clear" w:color="auto" w:fill="BFBFBF" w:themeFill="background1" w:themeFillShade="BF"/>
                </w:tcPr>
                <w:p w:rsidR="002515D2" w:rsidRPr="00A92029" w:rsidRDefault="002515D2" w:rsidP="002515D2">
                  <w:pPr>
                    <w:jc w:val="center"/>
                    <w:rPr>
                      <w:rFonts w:cstheme="minorHAnsi"/>
                      <w:sz w:val="20"/>
                      <w:szCs w:val="20"/>
                    </w:rPr>
                  </w:pPr>
                  <w:r w:rsidRPr="00A92029">
                    <w:rPr>
                      <w:rFonts w:cstheme="minorHAnsi"/>
                      <w:sz w:val="20"/>
                      <w:szCs w:val="20"/>
                    </w:rPr>
                    <w:t>Base Cost</w:t>
                  </w:r>
                </w:p>
              </w:tc>
            </w:tr>
            <w:tr w:rsidR="002515D2" w:rsidRPr="00A92029" w:rsidTr="002515D2">
              <w:trPr>
                <w:trHeight w:val="251"/>
              </w:trPr>
              <w:tc>
                <w:tcPr>
                  <w:tcW w:w="3441" w:type="pct"/>
                </w:tcPr>
                <w:p w:rsidR="002515D2" w:rsidRPr="00A92029" w:rsidRDefault="00984E48" w:rsidP="002515D2">
                  <w:pPr>
                    <w:jc w:val="center"/>
                    <w:rPr>
                      <w:rFonts w:cstheme="minorHAnsi"/>
                      <w:b/>
                      <w:sz w:val="20"/>
                      <w:szCs w:val="20"/>
                    </w:rPr>
                  </w:pPr>
                  <w:r w:rsidRPr="00A92029">
                    <w:rPr>
                      <w:rFonts w:cstheme="minorHAnsi"/>
                      <w:b/>
                      <w:sz w:val="20"/>
                      <w:szCs w:val="20"/>
                    </w:rPr>
                    <w:t>Base</w:t>
                  </w:r>
                  <w:r w:rsidR="002515D2" w:rsidRPr="00A92029">
                    <w:rPr>
                      <w:rFonts w:cstheme="minorHAnsi"/>
                      <w:b/>
                      <w:sz w:val="20"/>
                      <w:szCs w:val="20"/>
                    </w:rPr>
                    <w:t xml:space="preserve"> Measure Cost ID</w:t>
                  </w:r>
                </w:p>
              </w:tc>
              <w:tc>
                <w:tcPr>
                  <w:tcW w:w="1559" w:type="pct"/>
                </w:tcPr>
                <w:p w:rsidR="002515D2" w:rsidRPr="00A92029" w:rsidRDefault="002515D2" w:rsidP="002515D2">
                  <w:pPr>
                    <w:jc w:val="center"/>
                    <w:rPr>
                      <w:rFonts w:cstheme="minorHAnsi"/>
                      <w:b/>
                      <w:sz w:val="20"/>
                      <w:szCs w:val="20"/>
                    </w:rPr>
                  </w:pPr>
                  <w:r w:rsidRPr="00A92029">
                    <w:rPr>
                      <w:rFonts w:cstheme="minorHAnsi"/>
                      <w:b/>
                      <w:sz w:val="20"/>
                      <w:szCs w:val="20"/>
                    </w:rPr>
                    <w:t>Base Equipment Cost</w:t>
                  </w:r>
                </w:p>
              </w:tc>
            </w:tr>
            <w:tr w:rsidR="002515D2" w:rsidRPr="00A92029" w:rsidTr="002515D2">
              <w:tc>
                <w:tcPr>
                  <w:tcW w:w="3441" w:type="pct"/>
                  <w:vAlign w:val="bottom"/>
                </w:tcPr>
                <w:p w:rsidR="002515D2" w:rsidRPr="00A92029" w:rsidRDefault="002515D2" w:rsidP="002515D2">
                  <w:pPr>
                    <w:jc w:val="center"/>
                    <w:rPr>
                      <w:rFonts w:cstheme="minorHAnsi"/>
                      <w:sz w:val="20"/>
                      <w:szCs w:val="20"/>
                    </w:rPr>
                  </w:pPr>
                  <w:r w:rsidRPr="00A92029">
                    <w:rPr>
                      <w:rFonts w:cstheme="minorHAnsi"/>
                      <w:sz w:val="20"/>
                      <w:szCs w:val="20"/>
                    </w:rPr>
                    <w:t>Stor_EF-Gas-040gal-0.62EF</w:t>
                  </w:r>
                </w:p>
              </w:tc>
              <w:tc>
                <w:tcPr>
                  <w:tcW w:w="1559" w:type="pct"/>
                  <w:vAlign w:val="center"/>
                </w:tcPr>
                <w:p w:rsidR="002515D2" w:rsidRPr="00A92029" w:rsidRDefault="002515D2" w:rsidP="002515D2">
                  <w:pPr>
                    <w:jc w:val="center"/>
                    <w:rPr>
                      <w:rFonts w:cstheme="minorHAnsi"/>
                      <w:color w:val="000000"/>
                      <w:sz w:val="20"/>
                      <w:szCs w:val="20"/>
                    </w:rPr>
                  </w:pPr>
                  <w:r w:rsidRPr="00A92029">
                    <w:rPr>
                      <w:rFonts w:cstheme="minorHAnsi"/>
                      <w:color w:val="000000"/>
                      <w:sz w:val="20"/>
                      <w:szCs w:val="20"/>
                    </w:rPr>
                    <w:t>$646.00</w:t>
                  </w:r>
                </w:p>
              </w:tc>
            </w:tr>
            <w:tr w:rsidR="002515D2" w:rsidRPr="00A92029" w:rsidTr="002515D2">
              <w:tc>
                <w:tcPr>
                  <w:tcW w:w="3441" w:type="pct"/>
                  <w:vAlign w:val="bottom"/>
                </w:tcPr>
                <w:p w:rsidR="002515D2" w:rsidRPr="00A92029" w:rsidRDefault="002515D2" w:rsidP="002515D2">
                  <w:pPr>
                    <w:jc w:val="center"/>
                    <w:rPr>
                      <w:rFonts w:cstheme="minorHAnsi"/>
                      <w:sz w:val="20"/>
                      <w:szCs w:val="20"/>
                    </w:rPr>
                  </w:pPr>
                  <w:r w:rsidRPr="00A92029">
                    <w:rPr>
                      <w:rFonts w:cstheme="minorHAnsi"/>
                      <w:sz w:val="20"/>
                      <w:szCs w:val="20"/>
                    </w:rPr>
                    <w:t>Stor_EF-Gas-050gal-0.600EF</w:t>
                  </w:r>
                </w:p>
              </w:tc>
              <w:tc>
                <w:tcPr>
                  <w:tcW w:w="1559" w:type="pct"/>
                  <w:vAlign w:val="center"/>
                </w:tcPr>
                <w:p w:rsidR="002515D2" w:rsidRPr="00A92029" w:rsidRDefault="002515D2" w:rsidP="002515D2">
                  <w:pPr>
                    <w:jc w:val="center"/>
                    <w:rPr>
                      <w:rFonts w:cstheme="minorHAnsi"/>
                      <w:color w:val="000000"/>
                      <w:sz w:val="20"/>
                      <w:szCs w:val="20"/>
                    </w:rPr>
                  </w:pPr>
                  <w:r w:rsidRPr="00A92029">
                    <w:rPr>
                      <w:rFonts w:cstheme="minorHAnsi"/>
                      <w:color w:val="000000"/>
                      <w:sz w:val="20"/>
                      <w:szCs w:val="20"/>
                    </w:rPr>
                    <w:t>$696.00</w:t>
                  </w:r>
                </w:p>
              </w:tc>
            </w:tr>
          </w:tbl>
          <w:p w:rsidR="00523326" w:rsidRPr="00A92029" w:rsidRDefault="00523326" w:rsidP="00523326">
            <w:pPr>
              <w:rPr>
                <w:rFonts w:cstheme="minorHAnsi"/>
                <w:color w:val="FF0000"/>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lastRenderedPageBreak/>
              <w:t>Measure Cost –</w:t>
            </w:r>
          </w:p>
        </w:tc>
        <w:tc>
          <w:tcPr>
            <w:tcW w:w="6949" w:type="dxa"/>
          </w:tcPr>
          <w:tbl>
            <w:tblPr>
              <w:tblStyle w:val="TableGrid"/>
              <w:tblW w:w="0" w:type="auto"/>
              <w:tblLook w:val="04A0" w:firstRow="1" w:lastRow="0" w:firstColumn="1" w:lastColumn="0" w:noHBand="0" w:noVBand="1"/>
            </w:tblPr>
            <w:tblGrid>
              <w:gridCol w:w="1562"/>
              <w:gridCol w:w="1695"/>
              <w:gridCol w:w="1653"/>
              <w:gridCol w:w="1813"/>
            </w:tblGrid>
            <w:tr w:rsidR="00A92029" w:rsidRPr="00A92029" w:rsidTr="00655C0E">
              <w:tc>
                <w:tcPr>
                  <w:tcW w:w="6723" w:type="dxa"/>
                  <w:gridSpan w:val="4"/>
                  <w:shd w:val="clear" w:color="auto" w:fill="BFBFBF" w:themeFill="background1" w:themeFillShade="BF"/>
                </w:tcPr>
                <w:p w:rsidR="00A92029" w:rsidRPr="00A92029" w:rsidRDefault="00A92029" w:rsidP="00984E48">
                  <w:pPr>
                    <w:tabs>
                      <w:tab w:val="right" w:pos="6732"/>
                    </w:tabs>
                    <w:jc w:val="center"/>
                    <w:rPr>
                      <w:rFonts w:cstheme="minorHAnsi"/>
                      <w:sz w:val="20"/>
                      <w:szCs w:val="20"/>
                    </w:rPr>
                  </w:pPr>
                  <w:r w:rsidRPr="00A92029">
                    <w:rPr>
                      <w:rFonts w:cstheme="minorHAnsi"/>
                      <w:sz w:val="20"/>
                      <w:szCs w:val="20"/>
                    </w:rPr>
                    <w:t>Measure Cost</w:t>
                  </w:r>
                </w:p>
              </w:tc>
            </w:tr>
            <w:tr w:rsidR="00A92029" w:rsidRPr="00A92029" w:rsidTr="00A92029">
              <w:tc>
                <w:tcPr>
                  <w:tcW w:w="1562" w:type="dxa"/>
                </w:tcPr>
                <w:p w:rsidR="00A92029" w:rsidRPr="00A92029" w:rsidRDefault="00A92029" w:rsidP="00523326">
                  <w:pPr>
                    <w:tabs>
                      <w:tab w:val="right" w:pos="6732"/>
                    </w:tabs>
                    <w:rPr>
                      <w:rFonts w:cstheme="minorHAnsi"/>
                      <w:b/>
                      <w:sz w:val="20"/>
                      <w:szCs w:val="20"/>
                    </w:rPr>
                  </w:pPr>
                  <w:r w:rsidRPr="00A92029">
                    <w:rPr>
                      <w:rFonts w:cstheme="minorHAnsi"/>
                      <w:b/>
                      <w:sz w:val="20"/>
                      <w:szCs w:val="20"/>
                    </w:rPr>
                    <w:t>Implementation ID</w:t>
                  </w:r>
                </w:p>
              </w:tc>
              <w:tc>
                <w:tcPr>
                  <w:tcW w:w="1695" w:type="dxa"/>
                </w:tcPr>
                <w:p w:rsidR="00A92029" w:rsidRPr="00A92029" w:rsidRDefault="00A92029" w:rsidP="00523326">
                  <w:pPr>
                    <w:tabs>
                      <w:tab w:val="right" w:pos="6732"/>
                    </w:tabs>
                    <w:rPr>
                      <w:rFonts w:cstheme="minorHAnsi"/>
                      <w:b/>
                      <w:sz w:val="20"/>
                      <w:szCs w:val="20"/>
                    </w:rPr>
                  </w:pPr>
                  <w:r w:rsidRPr="00A92029">
                    <w:rPr>
                      <w:rFonts w:cstheme="minorHAnsi"/>
                      <w:b/>
                      <w:sz w:val="20"/>
                      <w:szCs w:val="20"/>
                    </w:rPr>
                    <w:t>Measure Name</w:t>
                  </w:r>
                </w:p>
              </w:tc>
              <w:tc>
                <w:tcPr>
                  <w:tcW w:w="1653" w:type="dxa"/>
                </w:tcPr>
                <w:p w:rsidR="00A92029" w:rsidRPr="00A92029" w:rsidRDefault="00A92029" w:rsidP="00523326">
                  <w:pPr>
                    <w:tabs>
                      <w:tab w:val="right" w:pos="6732"/>
                    </w:tabs>
                    <w:rPr>
                      <w:rFonts w:cstheme="minorHAnsi"/>
                      <w:b/>
                      <w:sz w:val="20"/>
                      <w:szCs w:val="20"/>
                    </w:rPr>
                  </w:pPr>
                  <w:r w:rsidRPr="00A92029">
                    <w:rPr>
                      <w:rFonts w:cstheme="minorHAnsi"/>
                      <w:b/>
                      <w:sz w:val="20"/>
                      <w:szCs w:val="20"/>
                    </w:rPr>
                    <w:t>Measure Cost ID</w:t>
                  </w:r>
                </w:p>
              </w:tc>
              <w:tc>
                <w:tcPr>
                  <w:tcW w:w="1813" w:type="dxa"/>
                </w:tcPr>
                <w:p w:rsidR="00A92029" w:rsidRPr="00A92029" w:rsidRDefault="00A92029" w:rsidP="00523326">
                  <w:pPr>
                    <w:tabs>
                      <w:tab w:val="right" w:pos="6732"/>
                    </w:tabs>
                    <w:rPr>
                      <w:rFonts w:cstheme="minorHAnsi"/>
                      <w:b/>
                      <w:sz w:val="20"/>
                      <w:szCs w:val="20"/>
                    </w:rPr>
                  </w:pPr>
                  <w:r w:rsidRPr="00A92029">
                    <w:rPr>
                      <w:rFonts w:cstheme="minorHAnsi"/>
                      <w:b/>
                      <w:sz w:val="20"/>
                      <w:szCs w:val="20"/>
                    </w:rPr>
                    <w:t>Measure Equipment Cost</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462497</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40Gal EF (0.67-0.69)</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Stor_EF-Gas-040gal-0.67EF</w:t>
                  </w:r>
                </w:p>
              </w:tc>
              <w:tc>
                <w:tcPr>
                  <w:tcW w:w="1813" w:type="dxa"/>
                  <w:vAlign w:val="center"/>
                </w:tcPr>
                <w:p w:rsidR="00A92029" w:rsidRPr="00A92029" w:rsidRDefault="00A92029" w:rsidP="00A92029">
                  <w:pPr>
                    <w:jc w:val="center"/>
                    <w:rPr>
                      <w:rFonts w:cstheme="minorHAnsi"/>
                      <w:sz w:val="20"/>
                      <w:szCs w:val="20"/>
                    </w:rPr>
                  </w:pPr>
                  <w:r w:rsidRPr="00A92029">
                    <w:rPr>
                      <w:rFonts w:cstheme="minorHAnsi"/>
                      <w:sz w:val="20"/>
                      <w:szCs w:val="20"/>
                    </w:rPr>
                    <w:t>$780.00</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462498</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40 Gal EF (0.70)</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Stor_EF-Gas-040gal-0.70EF</w:t>
                  </w:r>
                </w:p>
              </w:tc>
              <w:tc>
                <w:tcPr>
                  <w:tcW w:w="1813" w:type="dxa"/>
                  <w:vAlign w:val="center"/>
                </w:tcPr>
                <w:p w:rsidR="00A92029" w:rsidRPr="00A92029" w:rsidRDefault="00A92029" w:rsidP="00A92029">
                  <w:pPr>
                    <w:jc w:val="center"/>
                    <w:rPr>
                      <w:rFonts w:cstheme="minorHAnsi"/>
                      <w:sz w:val="20"/>
                      <w:szCs w:val="20"/>
                    </w:rPr>
                  </w:pPr>
                  <w:r w:rsidRPr="00A92029">
                    <w:rPr>
                      <w:rFonts w:cstheme="minorHAnsi"/>
                      <w:sz w:val="20"/>
                      <w:szCs w:val="20"/>
                    </w:rPr>
                    <w:t>$860.00</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464273</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40 Gal EF (0.82)</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Stor_EF-Gas-040gal-0.82EF</w:t>
                  </w:r>
                </w:p>
              </w:tc>
              <w:tc>
                <w:tcPr>
                  <w:tcW w:w="1813" w:type="dxa"/>
                  <w:vAlign w:val="center"/>
                </w:tcPr>
                <w:p w:rsidR="00A92029" w:rsidRPr="00A92029" w:rsidRDefault="00A92029" w:rsidP="00A92029">
                  <w:pPr>
                    <w:jc w:val="center"/>
                    <w:rPr>
                      <w:rFonts w:cstheme="minorHAnsi"/>
                      <w:sz w:val="20"/>
                      <w:szCs w:val="20"/>
                    </w:rPr>
                  </w:pPr>
                  <w:r w:rsidRPr="00A92029">
                    <w:rPr>
                      <w:rFonts w:cstheme="minorHAnsi"/>
                      <w:sz w:val="20"/>
                      <w:szCs w:val="20"/>
                    </w:rPr>
                    <w:t>$1726.00</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462500</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50 Gal EF (0.67-0.69)</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Stor_EF-Gas-050gal-0.67EF</w:t>
                  </w:r>
                </w:p>
              </w:tc>
              <w:tc>
                <w:tcPr>
                  <w:tcW w:w="1813" w:type="dxa"/>
                  <w:vAlign w:val="center"/>
                </w:tcPr>
                <w:p w:rsidR="00A92029" w:rsidRPr="00A92029" w:rsidRDefault="00A92029" w:rsidP="00A92029">
                  <w:pPr>
                    <w:jc w:val="center"/>
                    <w:rPr>
                      <w:rFonts w:cstheme="minorHAnsi"/>
                      <w:sz w:val="20"/>
                      <w:szCs w:val="20"/>
                    </w:rPr>
                  </w:pPr>
                  <w:r w:rsidRPr="00A92029">
                    <w:rPr>
                      <w:rFonts w:cstheme="minorHAnsi"/>
                      <w:sz w:val="20"/>
                      <w:szCs w:val="20"/>
                    </w:rPr>
                    <w:t>$884.00</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462501</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50 Gal EF (0.70)</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Stor_EF-Gas-050gal-0.70EF</w:t>
                  </w:r>
                </w:p>
              </w:tc>
              <w:tc>
                <w:tcPr>
                  <w:tcW w:w="1813" w:type="dxa"/>
                  <w:vAlign w:val="center"/>
                </w:tcPr>
                <w:p w:rsidR="00A92029" w:rsidRPr="00A92029" w:rsidRDefault="00A92029" w:rsidP="00A92029">
                  <w:pPr>
                    <w:jc w:val="center"/>
                    <w:rPr>
                      <w:rFonts w:cstheme="minorHAnsi"/>
                      <w:sz w:val="20"/>
                      <w:szCs w:val="20"/>
                    </w:rPr>
                  </w:pPr>
                  <w:r w:rsidRPr="00A92029">
                    <w:rPr>
                      <w:rFonts w:cstheme="minorHAnsi"/>
                      <w:sz w:val="20"/>
                      <w:szCs w:val="20"/>
                    </w:rPr>
                    <w:t>$964.00</w:t>
                  </w:r>
                </w:p>
              </w:tc>
            </w:tr>
            <w:tr w:rsidR="00A92029" w:rsidRPr="00A92029" w:rsidTr="00A92029">
              <w:tc>
                <w:tcPr>
                  <w:tcW w:w="1562" w:type="dxa"/>
                  <w:vAlign w:val="center"/>
                </w:tcPr>
                <w:p w:rsidR="00A92029" w:rsidRPr="00A92029" w:rsidRDefault="00A92029" w:rsidP="00A92029">
                  <w:pPr>
                    <w:jc w:val="center"/>
                    <w:rPr>
                      <w:rFonts w:cstheme="minorHAnsi"/>
                      <w:sz w:val="20"/>
                      <w:szCs w:val="20"/>
                    </w:rPr>
                  </w:pPr>
                  <w:r w:rsidRPr="00A92029">
                    <w:rPr>
                      <w:rFonts w:cstheme="minorHAnsi"/>
                      <w:sz w:val="20"/>
                      <w:szCs w:val="20"/>
                    </w:rPr>
                    <w:t>464274</w:t>
                  </w:r>
                </w:p>
              </w:tc>
              <w:tc>
                <w:tcPr>
                  <w:tcW w:w="1695" w:type="dxa"/>
                  <w:vAlign w:val="bottom"/>
                </w:tcPr>
                <w:p w:rsidR="00A92029" w:rsidRPr="00A92029" w:rsidRDefault="00A92029" w:rsidP="00A92029">
                  <w:pPr>
                    <w:rPr>
                      <w:rFonts w:cstheme="minorHAnsi"/>
                      <w:sz w:val="20"/>
                      <w:szCs w:val="20"/>
                    </w:rPr>
                  </w:pPr>
                  <w:r w:rsidRPr="00A92029">
                    <w:rPr>
                      <w:rFonts w:cstheme="minorHAnsi"/>
                      <w:sz w:val="20"/>
                      <w:szCs w:val="20"/>
                    </w:rPr>
                    <w:t>Natural Gas W/H 50 Gal EF (0.82)</w:t>
                  </w:r>
                </w:p>
              </w:tc>
              <w:tc>
                <w:tcPr>
                  <w:tcW w:w="1653" w:type="dxa"/>
                </w:tcPr>
                <w:p w:rsidR="00A92029" w:rsidRPr="00A92029" w:rsidRDefault="00A92029" w:rsidP="00A92029">
                  <w:pPr>
                    <w:tabs>
                      <w:tab w:val="right" w:pos="6732"/>
                    </w:tabs>
                    <w:rPr>
                      <w:rFonts w:cstheme="minorHAnsi"/>
                      <w:sz w:val="20"/>
                      <w:szCs w:val="20"/>
                    </w:rPr>
                  </w:pPr>
                  <w:r w:rsidRPr="00A92029">
                    <w:rPr>
                      <w:rFonts w:cstheme="minorHAnsi"/>
                      <w:sz w:val="20"/>
                      <w:szCs w:val="20"/>
                    </w:rPr>
                    <w:t>Stor_EF-Gas-</w:t>
                  </w:r>
                  <w:r w:rsidR="00CE3B4A" w:rsidRPr="00CE3B4A">
                    <w:rPr>
                      <w:rFonts w:cstheme="minorHAnsi"/>
                      <w:sz w:val="20"/>
                      <w:szCs w:val="20"/>
                    </w:rPr>
                    <w:t>040gal-0.82EF</w:t>
                  </w:r>
                </w:p>
              </w:tc>
              <w:tc>
                <w:tcPr>
                  <w:tcW w:w="1813" w:type="dxa"/>
                  <w:vAlign w:val="center"/>
                </w:tcPr>
                <w:p w:rsidR="00A92029" w:rsidRPr="00A92029" w:rsidRDefault="00CE3B4A" w:rsidP="00A92029">
                  <w:pPr>
                    <w:jc w:val="center"/>
                    <w:rPr>
                      <w:rFonts w:cstheme="minorHAnsi"/>
                      <w:sz w:val="20"/>
                      <w:szCs w:val="20"/>
                    </w:rPr>
                  </w:pPr>
                  <w:r>
                    <w:rPr>
                      <w:rFonts w:cstheme="minorHAnsi"/>
                      <w:sz w:val="20"/>
                      <w:szCs w:val="20"/>
                    </w:rPr>
                    <w:t>$1726.00</w:t>
                  </w:r>
                </w:p>
              </w:tc>
            </w:tr>
          </w:tbl>
          <w:p w:rsidR="00523326" w:rsidRPr="00A92029" w:rsidRDefault="00523326" w:rsidP="00523326">
            <w:pPr>
              <w:tabs>
                <w:tab w:val="right" w:pos="6732"/>
              </w:tabs>
              <w:rPr>
                <w:rFonts w:cstheme="minorHAnsi"/>
                <w:sz w:val="20"/>
                <w:szCs w:val="20"/>
              </w:rPr>
            </w:pPr>
          </w:p>
          <w:p w:rsidR="00523326" w:rsidRPr="00A92029" w:rsidRDefault="00523326" w:rsidP="00523326">
            <w:pPr>
              <w:tabs>
                <w:tab w:val="right" w:pos="6732"/>
              </w:tabs>
              <w:rPr>
                <w:rFonts w:cstheme="minorHAnsi"/>
                <w:sz w:val="20"/>
                <w:szCs w:val="20"/>
              </w:rPr>
            </w:pPr>
            <w:r w:rsidRPr="00A92029">
              <w:rPr>
                <w:rFonts w:cstheme="minorHAnsi"/>
                <w:sz w:val="20"/>
                <w:szCs w:val="20"/>
              </w:rPr>
              <w:tab/>
            </w:r>
          </w:p>
        </w:tc>
      </w:tr>
    </w:tbl>
    <w:p w:rsidR="00787D7C" w:rsidRDefault="00787D7C">
      <w:pPr>
        <w:spacing w:after="200" w:line="276" w:lineRule="auto"/>
      </w:pPr>
    </w:p>
    <w:p w:rsidR="00A20C34" w:rsidRPr="0059117D" w:rsidRDefault="00A20C34" w:rsidP="0059117D"/>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311" w:rsidRDefault="00896311" w:rsidP="00FE520B">
      <w:r>
        <w:separator/>
      </w:r>
    </w:p>
  </w:endnote>
  <w:endnote w:type="continuationSeparator" w:id="0">
    <w:p w:rsidR="00896311" w:rsidRDefault="0089631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E00" w:rsidRPr="00241A1F" w:rsidRDefault="00D64150" w:rsidP="00241A1F">
    <w:pPr>
      <w:pStyle w:val="Footer"/>
      <w:rPr>
        <w:rFonts w:cstheme="minorHAnsi"/>
        <w:b/>
        <w:szCs w:val="22"/>
      </w:rPr>
    </w:pPr>
    <w:r>
      <w:rPr>
        <w:rFonts w:cstheme="minorHAnsi"/>
        <w:b/>
        <w:sz w:val="20"/>
        <w:szCs w:val="20"/>
      </w:rPr>
      <w:t>WPSDGEREWH002</w:t>
    </w:r>
    <w:r w:rsidR="00D00817">
      <w:rPr>
        <w:rFonts w:cstheme="minorHAnsi"/>
        <w:b/>
        <w:sz w:val="20"/>
        <w:szCs w:val="20"/>
      </w:rPr>
      <w:t>4</w:t>
    </w:r>
    <w:r w:rsidRPr="009500DC">
      <w:rPr>
        <w:rFonts w:cstheme="minorHAnsi"/>
        <w:b/>
        <w:sz w:val="20"/>
        <w:szCs w:val="20"/>
      </w:rPr>
      <w:t xml:space="preserve"> Revision </w:t>
    </w:r>
    <w:r w:rsidR="00D00817">
      <w:rPr>
        <w:rFonts w:cstheme="minorHAnsi"/>
        <w:b/>
        <w:sz w:val="20"/>
        <w:szCs w:val="20"/>
      </w:rPr>
      <w:t>0</w:t>
    </w:r>
    <w:r w:rsidR="00E372B8">
      <w:rPr>
        <w:b/>
      </w:rPr>
      <w:tab/>
    </w:r>
    <w:r w:rsidR="00E372B8">
      <w:rPr>
        <w:b/>
      </w:rPr>
      <w:tab/>
    </w:r>
    <w:r w:rsidR="00022849" w:rsidRPr="00022849">
      <w:rPr>
        <w:b/>
      </w:rPr>
      <w:t>December 28, 2017</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311" w:rsidRDefault="00896311" w:rsidP="00FE520B">
      <w:r>
        <w:separator/>
      </w:r>
    </w:p>
  </w:footnote>
  <w:footnote w:type="continuationSeparator" w:id="0">
    <w:p w:rsidR="00896311" w:rsidRDefault="00896311"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C3F9D"/>
    <w:multiLevelType w:val="hybridMultilevel"/>
    <w:tmpl w:val="7576B32E"/>
    <w:lvl w:ilvl="0" w:tplc="A9BC10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7977FE"/>
    <w:multiLevelType w:val="hybridMultilevel"/>
    <w:tmpl w:val="57361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D7F7BB4"/>
    <w:multiLevelType w:val="hybridMultilevel"/>
    <w:tmpl w:val="7FDA7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B7A445E"/>
    <w:multiLevelType w:val="hybridMultilevel"/>
    <w:tmpl w:val="16AC4530"/>
    <w:lvl w:ilvl="0" w:tplc="A9BC106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8"/>
  </w:num>
  <w:num w:numId="5">
    <w:abstractNumId w:val="10"/>
  </w:num>
  <w:num w:numId="6">
    <w:abstractNumId w:val="4"/>
  </w:num>
  <w:num w:numId="7">
    <w:abstractNumId w:val="17"/>
  </w:num>
  <w:num w:numId="8">
    <w:abstractNumId w:val="12"/>
  </w:num>
  <w:num w:numId="9">
    <w:abstractNumId w:val="5"/>
  </w:num>
  <w:num w:numId="10">
    <w:abstractNumId w:val="13"/>
  </w:num>
  <w:num w:numId="11">
    <w:abstractNumId w:val="19"/>
  </w:num>
  <w:num w:numId="12">
    <w:abstractNumId w:val="9"/>
  </w:num>
  <w:num w:numId="13">
    <w:abstractNumId w:val="11"/>
  </w:num>
  <w:num w:numId="14">
    <w:abstractNumId w:val="18"/>
  </w:num>
  <w:num w:numId="15">
    <w:abstractNumId w:val="0"/>
  </w:num>
  <w:num w:numId="16">
    <w:abstractNumId w:val="14"/>
  </w:num>
  <w:num w:numId="17">
    <w:abstractNumId w:val="15"/>
  </w:num>
  <w:num w:numId="18">
    <w:abstractNumId w:val="16"/>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2DCC"/>
    <w:rsid w:val="00004D4E"/>
    <w:rsid w:val="00022849"/>
    <w:rsid w:val="00023C32"/>
    <w:rsid w:val="00025747"/>
    <w:rsid w:val="00031BA0"/>
    <w:rsid w:val="000425A3"/>
    <w:rsid w:val="00052743"/>
    <w:rsid w:val="00052CE4"/>
    <w:rsid w:val="000C014D"/>
    <w:rsid w:val="000C13AE"/>
    <w:rsid w:val="000E19CA"/>
    <w:rsid w:val="000E5A40"/>
    <w:rsid w:val="000F72EF"/>
    <w:rsid w:val="00103A51"/>
    <w:rsid w:val="00194466"/>
    <w:rsid w:val="00197371"/>
    <w:rsid w:val="001A13A4"/>
    <w:rsid w:val="001A4875"/>
    <w:rsid w:val="001B1C8A"/>
    <w:rsid w:val="001C3663"/>
    <w:rsid w:val="001D0AB9"/>
    <w:rsid w:val="001D57D7"/>
    <w:rsid w:val="001E14E1"/>
    <w:rsid w:val="002146D1"/>
    <w:rsid w:val="00215828"/>
    <w:rsid w:val="00222120"/>
    <w:rsid w:val="0023444F"/>
    <w:rsid w:val="00241A1F"/>
    <w:rsid w:val="002515D2"/>
    <w:rsid w:val="00281CA2"/>
    <w:rsid w:val="00291820"/>
    <w:rsid w:val="00291B2B"/>
    <w:rsid w:val="002941E7"/>
    <w:rsid w:val="00297481"/>
    <w:rsid w:val="002C4FFF"/>
    <w:rsid w:val="002E0948"/>
    <w:rsid w:val="00305F25"/>
    <w:rsid w:val="00334D19"/>
    <w:rsid w:val="00353DCB"/>
    <w:rsid w:val="00354501"/>
    <w:rsid w:val="00360CFA"/>
    <w:rsid w:val="00364865"/>
    <w:rsid w:val="00365A0D"/>
    <w:rsid w:val="00365A8F"/>
    <w:rsid w:val="003A0D2B"/>
    <w:rsid w:val="003A7B4E"/>
    <w:rsid w:val="003B5DCF"/>
    <w:rsid w:val="003C038E"/>
    <w:rsid w:val="003C2EE4"/>
    <w:rsid w:val="003C6175"/>
    <w:rsid w:val="003D1C21"/>
    <w:rsid w:val="003E0DC8"/>
    <w:rsid w:val="003E122A"/>
    <w:rsid w:val="003E39EC"/>
    <w:rsid w:val="003E6E57"/>
    <w:rsid w:val="003E6FA5"/>
    <w:rsid w:val="003E6FD6"/>
    <w:rsid w:val="003F3AA6"/>
    <w:rsid w:val="00401B64"/>
    <w:rsid w:val="0040500F"/>
    <w:rsid w:val="00413EF4"/>
    <w:rsid w:val="004252CE"/>
    <w:rsid w:val="00435A01"/>
    <w:rsid w:val="0044253D"/>
    <w:rsid w:val="0044686E"/>
    <w:rsid w:val="00467DB3"/>
    <w:rsid w:val="00484D18"/>
    <w:rsid w:val="004A6215"/>
    <w:rsid w:val="004B4E5C"/>
    <w:rsid w:val="004C35E4"/>
    <w:rsid w:val="004D0326"/>
    <w:rsid w:val="004D5D19"/>
    <w:rsid w:val="00523326"/>
    <w:rsid w:val="005428E1"/>
    <w:rsid w:val="005545ED"/>
    <w:rsid w:val="0059117D"/>
    <w:rsid w:val="005A1665"/>
    <w:rsid w:val="005B5614"/>
    <w:rsid w:val="00636490"/>
    <w:rsid w:val="00650C31"/>
    <w:rsid w:val="00684ABA"/>
    <w:rsid w:val="006B0D5C"/>
    <w:rsid w:val="006D54BA"/>
    <w:rsid w:val="00727839"/>
    <w:rsid w:val="0078390B"/>
    <w:rsid w:val="00785AC8"/>
    <w:rsid w:val="00787D7C"/>
    <w:rsid w:val="00792928"/>
    <w:rsid w:val="00797B54"/>
    <w:rsid w:val="007B314A"/>
    <w:rsid w:val="007B623E"/>
    <w:rsid w:val="007D1F1E"/>
    <w:rsid w:val="007D3432"/>
    <w:rsid w:val="007D3A21"/>
    <w:rsid w:val="007F3C14"/>
    <w:rsid w:val="0081521B"/>
    <w:rsid w:val="00856FA4"/>
    <w:rsid w:val="00862113"/>
    <w:rsid w:val="00863848"/>
    <w:rsid w:val="008724D6"/>
    <w:rsid w:val="008775D7"/>
    <w:rsid w:val="00884B9C"/>
    <w:rsid w:val="00896311"/>
    <w:rsid w:val="00896FA7"/>
    <w:rsid w:val="008A1557"/>
    <w:rsid w:val="008A1D1C"/>
    <w:rsid w:val="008A4224"/>
    <w:rsid w:val="008B6864"/>
    <w:rsid w:val="00910D54"/>
    <w:rsid w:val="00950249"/>
    <w:rsid w:val="00957C01"/>
    <w:rsid w:val="00984E48"/>
    <w:rsid w:val="0099350E"/>
    <w:rsid w:val="009C3F2D"/>
    <w:rsid w:val="00A051D9"/>
    <w:rsid w:val="00A20C34"/>
    <w:rsid w:val="00A42616"/>
    <w:rsid w:val="00A6097F"/>
    <w:rsid w:val="00A61271"/>
    <w:rsid w:val="00A64BA3"/>
    <w:rsid w:val="00A75EDC"/>
    <w:rsid w:val="00A81E07"/>
    <w:rsid w:val="00A92029"/>
    <w:rsid w:val="00B33D20"/>
    <w:rsid w:val="00B42D64"/>
    <w:rsid w:val="00B46CC8"/>
    <w:rsid w:val="00B47B58"/>
    <w:rsid w:val="00B57F32"/>
    <w:rsid w:val="00B61FCD"/>
    <w:rsid w:val="00B75260"/>
    <w:rsid w:val="00B91BFF"/>
    <w:rsid w:val="00B9234D"/>
    <w:rsid w:val="00BD0DF3"/>
    <w:rsid w:val="00BF4FF9"/>
    <w:rsid w:val="00C048F4"/>
    <w:rsid w:val="00C06B9E"/>
    <w:rsid w:val="00C15F66"/>
    <w:rsid w:val="00C179D8"/>
    <w:rsid w:val="00C227A7"/>
    <w:rsid w:val="00C32FF9"/>
    <w:rsid w:val="00C414A6"/>
    <w:rsid w:val="00C44E5A"/>
    <w:rsid w:val="00C54AC6"/>
    <w:rsid w:val="00CB56F3"/>
    <w:rsid w:val="00CE3B4A"/>
    <w:rsid w:val="00CF2ABA"/>
    <w:rsid w:val="00D00817"/>
    <w:rsid w:val="00D319A5"/>
    <w:rsid w:val="00D43F26"/>
    <w:rsid w:val="00D60240"/>
    <w:rsid w:val="00D64150"/>
    <w:rsid w:val="00D73723"/>
    <w:rsid w:val="00DB71F1"/>
    <w:rsid w:val="00DC4E59"/>
    <w:rsid w:val="00DC7243"/>
    <w:rsid w:val="00DE1C5D"/>
    <w:rsid w:val="00DF0107"/>
    <w:rsid w:val="00E048EA"/>
    <w:rsid w:val="00E165FC"/>
    <w:rsid w:val="00E33CA3"/>
    <w:rsid w:val="00E372B8"/>
    <w:rsid w:val="00E55946"/>
    <w:rsid w:val="00E5644D"/>
    <w:rsid w:val="00E56CE7"/>
    <w:rsid w:val="00E60781"/>
    <w:rsid w:val="00E6385A"/>
    <w:rsid w:val="00E6631C"/>
    <w:rsid w:val="00E733C7"/>
    <w:rsid w:val="00E84938"/>
    <w:rsid w:val="00EC3B31"/>
    <w:rsid w:val="00EC63CA"/>
    <w:rsid w:val="00EC6CB8"/>
    <w:rsid w:val="00ED3B34"/>
    <w:rsid w:val="00EE1FFD"/>
    <w:rsid w:val="00EE38DA"/>
    <w:rsid w:val="00EE4484"/>
    <w:rsid w:val="00EE6CFE"/>
    <w:rsid w:val="00EF2711"/>
    <w:rsid w:val="00F117C6"/>
    <w:rsid w:val="00F13F45"/>
    <w:rsid w:val="00F31D17"/>
    <w:rsid w:val="00F72E1B"/>
    <w:rsid w:val="00F77C08"/>
    <w:rsid w:val="00F855DD"/>
    <w:rsid w:val="00FB6ADB"/>
    <w:rsid w:val="00FD7937"/>
    <w:rsid w:val="00FE520B"/>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55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table" w:styleId="TableContemporary">
    <w:name w:val="Table Contemporary"/>
    <w:basedOn w:val="TableNormal"/>
    <w:rsid w:val="0002284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554348-2B9E-4996-A3BE-1CFC8BA1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2017-12-29T01:45:00Z</dcterms:created>
  <dcterms:modified xsi:type="dcterms:W3CDTF">2018-01-03T02:25:00Z</dcterms:modified>
</cp:coreProperties>
</file>