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7B6" w:rsidRPr="00500C4E" w:rsidRDefault="00E6385A" w:rsidP="007927B6">
      <w:pPr>
        <w:pStyle w:val="WPnumber"/>
      </w:pPr>
      <w:bookmarkStart w:id="0" w:name="_Toc153189647"/>
      <w:r>
        <w:t xml:space="preserve">Short Form </w:t>
      </w:r>
      <w:r w:rsidR="00F117C6" w:rsidRPr="00500C4E">
        <w:t>Work Paper</w:t>
      </w:r>
      <w:r>
        <w:t xml:space="preserve"> </w:t>
      </w:r>
      <w:r w:rsidR="007927B6">
        <w:t>WPSDGEREWH0023</w:t>
      </w:r>
    </w:p>
    <w:p w:rsidR="00E6385A" w:rsidRPr="00500C4E" w:rsidRDefault="00E6385A" w:rsidP="00F117C6">
      <w:pPr>
        <w:pStyle w:val="WPnumber"/>
      </w:pPr>
      <w:r>
        <w:tab/>
      </w:r>
      <w:r w:rsidR="000E19CA">
        <w:rPr>
          <w:rStyle w:val="CaptionChar"/>
          <w:b/>
          <w:bCs w:val="0"/>
        </w:rPr>
        <w:t xml:space="preserve">Revision </w:t>
      </w:r>
      <w:r w:rsidR="007927B6">
        <w:rPr>
          <w:rStyle w:val="CaptionChar"/>
          <w:b/>
          <w:bCs w:val="0"/>
        </w:rPr>
        <w:t>0</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7927B6" w:rsidRPr="007927B6" w:rsidRDefault="007927B6" w:rsidP="007927B6">
      <w:pPr>
        <w:ind w:right="-720"/>
        <w:rPr>
          <w:rFonts w:ascii="Arial" w:hAnsi="Arial" w:cs="Arial"/>
          <w:b/>
          <w:sz w:val="72"/>
          <w:szCs w:val="72"/>
        </w:rPr>
      </w:pPr>
      <w:bookmarkStart w:id="1" w:name="_Hlk497719268"/>
      <w:r w:rsidRPr="007927B6">
        <w:rPr>
          <w:rFonts w:ascii="Arial" w:hAnsi="Arial" w:cs="Arial"/>
          <w:b/>
          <w:sz w:val="72"/>
          <w:szCs w:val="72"/>
        </w:rPr>
        <w:t xml:space="preserve">Central </w:t>
      </w:r>
      <w:r w:rsidR="00515AD9">
        <w:rPr>
          <w:rFonts w:ascii="Arial" w:hAnsi="Arial" w:cs="Arial"/>
          <w:b/>
          <w:sz w:val="72"/>
          <w:szCs w:val="72"/>
        </w:rPr>
        <w:t>Storage Water Heaters for Multifamily Residential Applications</w:t>
      </w:r>
    </w:p>
    <w:bookmarkEnd w:id="1"/>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8806EF" w:rsidP="00241A1F">
      <w:pPr>
        <w:jc w:val="right"/>
        <w:rPr>
          <w:rFonts w:cstheme="minorHAnsi"/>
          <w:b/>
          <w:sz w:val="28"/>
          <w:szCs w:val="28"/>
        </w:rPr>
      </w:pPr>
      <w:r>
        <w:rPr>
          <w:rFonts w:cstheme="minorHAnsi"/>
          <w:b/>
          <w:sz w:val="28"/>
          <w:szCs w:val="28"/>
        </w:rPr>
        <w:t>November</w:t>
      </w:r>
      <w:r w:rsidR="003E6E57">
        <w:rPr>
          <w:rFonts w:cstheme="minorHAnsi"/>
          <w:b/>
          <w:sz w:val="28"/>
          <w:szCs w:val="28"/>
        </w:rPr>
        <w:t xml:space="preserve"> </w:t>
      </w:r>
      <w:r>
        <w:rPr>
          <w:rFonts w:cstheme="minorHAnsi"/>
          <w:b/>
          <w:sz w:val="28"/>
          <w:szCs w:val="28"/>
        </w:rPr>
        <w:t>8</w:t>
      </w:r>
      <w:r w:rsidR="00C75814">
        <w:rPr>
          <w:rFonts w:cstheme="minorHAnsi"/>
          <w:b/>
          <w:sz w:val="28"/>
          <w:szCs w:val="28"/>
        </w:rPr>
        <w:t>, 2017</w:t>
      </w:r>
    </w:p>
    <w:p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8D74B6" w:rsidRPr="008D74B6">
        <w:t>Central Storage Water Heaters for Multifamily Residential Applications</w:t>
      </w:r>
    </w:p>
    <w:p w:rsidR="00413EF4" w:rsidRDefault="00413EF4" w:rsidP="00413EF4">
      <w:pPr>
        <w:pStyle w:val="Heading2"/>
      </w:pPr>
      <w:r>
        <w:t>Introduction</w:t>
      </w:r>
    </w:p>
    <w:p w:rsidR="005E18A1" w:rsidRDefault="00C23CAB" w:rsidP="00555671">
      <w:pPr>
        <w:jc w:val="both"/>
      </w:pPr>
      <w:r>
        <w:t>Thi</w:t>
      </w:r>
      <w:r w:rsidR="00AE4353">
        <w:t>s short form workpaper</w:t>
      </w:r>
      <w:r>
        <w:t xml:space="preserve"> (</w:t>
      </w:r>
      <w:r w:rsidR="008E5CD5">
        <w:t>WP</w:t>
      </w:r>
      <w:r w:rsidR="00C75814">
        <w:t>)</w:t>
      </w:r>
      <w:r w:rsidR="00AE4353">
        <w:t xml:space="preserve"> documents</w:t>
      </w:r>
      <w:r w:rsidR="004B6B1C">
        <w:t xml:space="preserve"> the values adopted from </w:t>
      </w:r>
      <w:r w:rsidR="008D74B6">
        <w:t>SCG</w:t>
      </w:r>
      <w:r>
        <w:t xml:space="preserve">’s </w:t>
      </w:r>
      <w:r w:rsidR="008E5CD5">
        <w:t>WP</w:t>
      </w:r>
      <w:r w:rsidR="004B6B1C">
        <w:t>s</w:t>
      </w:r>
      <w:r>
        <w:t xml:space="preserve"> entitled “</w:t>
      </w:r>
      <w:r w:rsidR="008D74B6" w:rsidRPr="008D74B6">
        <w:t>Central Storage Water Heaters for Multifamily Residential Applications</w:t>
      </w:r>
      <w:r w:rsidR="008D74B6">
        <w:t xml:space="preserve">” </w:t>
      </w:r>
      <w:r w:rsidR="005E18A1">
        <w:t>(</w:t>
      </w:r>
      <w:r w:rsidR="008D74B6">
        <w:t>WPSCGREWH130613A-Rev01_CentralStorageWH_MFRes</w:t>
      </w:r>
      <w:r w:rsidR="004B6B1C" w:rsidRPr="004B6B1C">
        <w:t>.docx</w:t>
      </w:r>
      <w:r w:rsidR="006875B3">
        <w:t>)</w:t>
      </w:r>
      <w:r w:rsidR="008D74B6">
        <w:t>.</w:t>
      </w:r>
      <w:r w:rsidR="005E18A1">
        <w:t xml:space="preserve"> SDG&amp;E </w:t>
      </w:r>
      <w:r w:rsidR="00555671">
        <w:t>a</w:t>
      </w:r>
      <w:r w:rsidR="005E18A1">
        <w:t>d</w:t>
      </w:r>
      <w:r w:rsidR="00555671">
        <w:t>op</w:t>
      </w:r>
      <w:r w:rsidR="005E18A1">
        <w:t xml:space="preserve">ts </w:t>
      </w:r>
      <w:r w:rsidR="00EC34A0">
        <w:t>all</w:t>
      </w:r>
      <w:r w:rsidR="008806EF">
        <w:t xml:space="preserve"> the values</w:t>
      </w:r>
      <w:r w:rsidR="005E18A1">
        <w:t xml:space="preserve">, with </w:t>
      </w:r>
      <w:r w:rsidR="001046CB">
        <w:t>the following exception</w:t>
      </w:r>
      <w:r w:rsidR="005E18A1">
        <w:t>:</w:t>
      </w:r>
    </w:p>
    <w:p w:rsidR="005E18A1" w:rsidRDefault="005E18A1" w:rsidP="00555671">
      <w:pPr>
        <w:jc w:val="both"/>
      </w:pPr>
    </w:p>
    <w:p w:rsidR="00555671" w:rsidRDefault="00555671" w:rsidP="008C01F7">
      <w:pPr>
        <w:pStyle w:val="ListParagraph"/>
        <w:numPr>
          <w:ilvl w:val="0"/>
          <w:numId w:val="18"/>
        </w:numPr>
        <w:jc w:val="both"/>
      </w:pPr>
      <w:r>
        <w:t>SDG</w:t>
      </w:r>
      <w:r w:rsidR="005E18A1">
        <w:t xml:space="preserve">&amp;E </w:t>
      </w:r>
      <w:r w:rsidR="008D74B6">
        <w:t>references only climate zones that are within its territory (CZs 6, 7, 8, 10, 14, 15)</w:t>
      </w:r>
    </w:p>
    <w:p w:rsidR="003F371A" w:rsidRDefault="003F371A" w:rsidP="008C01F7">
      <w:pPr>
        <w:pStyle w:val="ListParagraph"/>
        <w:numPr>
          <w:ilvl w:val="0"/>
          <w:numId w:val="18"/>
        </w:numPr>
        <w:jc w:val="both"/>
      </w:pPr>
      <w:r>
        <w:t>SDG&amp;E will offer both Downstream Rebate and Direct Install</w:t>
      </w:r>
      <w:bookmarkStart w:id="2" w:name="_GoBack"/>
      <w:bookmarkEnd w:id="2"/>
    </w:p>
    <w:p w:rsidR="008C01F7" w:rsidRDefault="008C01F7" w:rsidP="009B3354">
      <w:pPr>
        <w:pStyle w:val="ListParagraph"/>
        <w:ind w:left="1080"/>
        <w:jc w:val="both"/>
      </w:pPr>
    </w:p>
    <w:p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rsidTr="00C131CB">
        <w:trPr>
          <w:trHeight w:val="20"/>
        </w:trPr>
        <w:tc>
          <w:tcPr>
            <w:tcW w:w="280" w:type="pct"/>
            <w:shd w:val="clear" w:color="auto" w:fill="D9D9D9" w:themeFill="background1" w:themeFillShade="D9"/>
          </w:tcPr>
          <w:p w:rsidR="00B57F32" w:rsidRPr="000E2B6B" w:rsidRDefault="00B57F32" w:rsidP="009B3354">
            <w:pPr>
              <w:rPr>
                <w:rStyle w:val="Strong"/>
                <w:bCs w:val="0"/>
              </w:rPr>
            </w:pPr>
            <w:r w:rsidRPr="000E2B6B">
              <w:rPr>
                <w:rStyle w:val="Strong"/>
              </w:rPr>
              <w:t>Rev</w:t>
            </w:r>
          </w:p>
        </w:tc>
        <w:tc>
          <w:tcPr>
            <w:tcW w:w="677" w:type="pct"/>
            <w:shd w:val="clear" w:color="auto" w:fill="D9D9D9" w:themeFill="background1" w:themeFillShade="D9"/>
          </w:tcPr>
          <w:p w:rsidR="00B57F32" w:rsidRPr="000E2B6B" w:rsidRDefault="00B57F32" w:rsidP="009B3354">
            <w:pPr>
              <w:rPr>
                <w:rStyle w:val="Strong"/>
                <w:bCs w:val="0"/>
              </w:rPr>
            </w:pPr>
            <w:r w:rsidRPr="000E2B6B">
              <w:rPr>
                <w:rStyle w:val="Strong"/>
              </w:rPr>
              <w:t>Date</w:t>
            </w:r>
          </w:p>
        </w:tc>
        <w:tc>
          <w:tcPr>
            <w:tcW w:w="938" w:type="pct"/>
            <w:shd w:val="clear" w:color="auto" w:fill="D9D9D9" w:themeFill="background1" w:themeFillShade="D9"/>
          </w:tcPr>
          <w:p w:rsidR="00B57F32" w:rsidRPr="000E2B6B" w:rsidRDefault="00B57F32" w:rsidP="009B3354">
            <w:pPr>
              <w:rPr>
                <w:rStyle w:val="Strong"/>
                <w:bCs w:val="0"/>
              </w:rPr>
            </w:pPr>
            <w:r w:rsidRPr="000E2B6B">
              <w:rPr>
                <w:rStyle w:val="Strong"/>
              </w:rPr>
              <w:t>Author</w:t>
            </w:r>
          </w:p>
        </w:tc>
        <w:tc>
          <w:tcPr>
            <w:tcW w:w="3105" w:type="pct"/>
            <w:shd w:val="clear" w:color="auto" w:fill="D9D9D9" w:themeFill="background1" w:themeFillShade="D9"/>
          </w:tcPr>
          <w:p w:rsidR="00B57F32" w:rsidRPr="000E2B6B" w:rsidRDefault="00B57F32" w:rsidP="009B3354">
            <w:pPr>
              <w:rPr>
                <w:rStyle w:val="Strong"/>
                <w:bCs w:val="0"/>
              </w:rPr>
            </w:pPr>
            <w:r w:rsidRPr="000E2B6B">
              <w:rPr>
                <w:rStyle w:val="Strong"/>
              </w:rPr>
              <w:t>Summary of Changes</w:t>
            </w:r>
          </w:p>
        </w:tc>
      </w:tr>
      <w:tr w:rsidR="00884B9C" w:rsidRPr="00500C4E" w:rsidTr="00C131CB">
        <w:trPr>
          <w:trHeight w:val="20"/>
        </w:trPr>
        <w:tc>
          <w:tcPr>
            <w:tcW w:w="280" w:type="pct"/>
          </w:tcPr>
          <w:p w:rsidR="00884B9C" w:rsidRPr="000E2B6B" w:rsidRDefault="00762D81">
            <w:pPr>
              <w:jc w:val="center"/>
              <w:rPr>
                <w:rFonts w:cstheme="minorHAnsi"/>
                <w:szCs w:val="20"/>
              </w:rPr>
            </w:pPr>
            <w:r>
              <w:t>0</w:t>
            </w:r>
          </w:p>
        </w:tc>
        <w:tc>
          <w:tcPr>
            <w:tcW w:w="677" w:type="pct"/>
          </w:tcPr>
          <w:p w:rsidR="00884B9C" w:rsidRPr="000E2B6B" w:rsidRDefault="00A05AEF" w:rsidP="009B3354">
            <w:pPr>
              <w:jc w:val="center"/>
              <w:rPr>
                <w:rFonts w:cstheme="minorHAnsi"/>
                <w:szCs w:val="20"/>
              </w:rPr>
            </w:pPr>
            <w:r>
              <w:rPr>
                <w:szCs w:val="20"/>
              </w:rPr>
              <w:t>10/23/2017</w:t>
            </w:r>
          </w:p>
        </w:tc>
        <w:tc>
          <w:tcPr>
            <w:tcW w:w="938" w:type="pct"/>
          </w:tcPr>
          <w:p w:rsidR="00884B9C" w:rsidRPr="000E2B6B" w:rsidRDefault="00A05AEF" w:rsidP="009B3354">
            <w:pPr>
              <w:rPr>
                <w:rFonts w:cstheme="minorHAnsi"/>
                <w:szCs w:val="20"/>
              </w:rPr>
            </w:pPr>
            <w:r>
              <w:rPr>
                <w:rFonts w:cstheme="minorHAnsi"/>
                <w:szCs w:val="20"/>
              </w:rPr>
              <w:t>Kelvin Valenzuela/SDGE</w:t>
            </w:r>
          </w:p>
        </w:tc>
        <w:tc>
          <w:tcPr>
            <w:tcW w:w="3105" w:type="pct"/>
          </w:tcPr>
          <w:p w:rsidR="00C131CB" w:rsidRPr="00C131CB" w:rsidRDefault="008D74B6" w:rsidP="00C131CB">
            <w:pPr>
              <w:numPr>
                <w:ilvl w:val="0"/>
                <w:numId w:val="17"/>
              </w:numPr>
              <w:rPr>
                <w:bCs/>
                <w:szCs w:val="20"/>
              </w:rPr>
            </w:pPr>
            <w:r>
              <w:rPr>
                <w:bCs/>
                <w:szCs w:val="20"/>
              </w:rPr>
              <w:t>Adapted SCG’s workpaper WPSCGREHW130613A Rev 1</w:t>
            </w:r>
          </w:p>
          <w:p w:rsidR="00884B9C" w:rsidRPr="005734A4" w:rsidRDefault="008D74B6" w:rsidP="00A05AEF">
            <w:pPr>
              <w:numPr>
                <w:ilvl w:val="0"/>
                <w:numId w:val="17"/>
              </w:numPr>
              <w:rPr>
                <w:rFonts w:cstheme="minorHAnsi"/>
                <w:szCs w:val="20"/>
              </w:rPr>
            </w:pPr>
            <w:r>
              <w:rPr>
                <w:bCs/>
                <w:szCs w:val="20"/>
              </w:rPr>
              <w:t>CZs 6, 7, 8, 10, 14, 15 were referenced for SDG&amp;E</w:t>
            </w:r>
          </w:p>
        </w:tc>
      </w:tr>
      <w:tr w:rsidR="00884B9C" w:rsidRPr="00500C4E" w:rsidTr="00C131CB">
        <w:trPr>
          <w:trHeight w:val="20"/>
        </w:trPr>
        <w:tc>
          <w:tcPr>
            <w:tcW w:w="280" w:type="pct"/>
          </w:tcPr>
          <w:p w:rsidR="00884B9C" w:rsidRPr="000E2B6B" w:rsidRDefault="00884B9C">
            <w:pPr>
              <w:jc w:val="center"/>
              <w:rPr>
                <w:rStyle w:val="Strong"/>
                <w:b w:val="0"/>
              </w:rPr>
            </w:pPr>
          </w:p>
        </w:tc>
        <w:tc>
          <w:tcPr>
            <w:tcW w:w="677" w:type="pct"/>
          </w:tcPr>
          <w:p w:rsidR="00884B9C" w:rsidRPr="000E2B6B" w:rsidRDefault="00884B9C" w:rsidP="009B3354">
            <w:pPr>
              <w:jc w:val="center"/>
              <w:rPr>
                <w:rStyle w:val="Strong"/>
                <w:b w:val="0"/>
              </w:rPr>
            </w:pPr>
          </w:p>
        </w:tc>
        <w:tc>
          <w:tcPr>
            <w:tcW w:w="938" w:type="pct"/>
          </w:tcPr>
          <w:p w:rsidR="00884B9C" w:rsidRPr="000E2B6B" w:rsidRDefault="00884B9C" w:rsidP="009B3354">
            <w:pPr>
              <w:rPr>
                <w:rStyle w:val="Strong"/>
                <w:b w:val="0"/>
              </w:rPr>
            </w:pPr>
          </w:p>
        </w:tc>
        <w:tc>
          <w:tcPr>
            <w:tcW w:w="3105" w:type="pct"/>
          </w:tcPr>
          <w:p w:rsidR="00762D81" w:rsidRPr="00762D81" w:rsidRDefault="00762D81" w:rsidP="00762D81">
            <w:pPr>
              <w:rPr>
                <w:rStyle w:val="Strong"/>
                <w:b w:val="0"/>
                <w:szCs w:val="20"/>
              </w:rPr>
            </w:pPr>
          </w:p>
        </w:tc>
      </w:tr>
      <w:tr w:rsidR="00DB544A" w:rsidRPr="00500C4E" w:rsidTr="00C131CB">
        <w:trPr>
          <w:trHeight w:val="20"/>
        </w:trPr>
        <w:tc>
          <w:tcPr>
            <w:tcW w:w="280" w:type="pct"/>
          </w:tcPr>
          <w:p w:rsidR="00DB544A" w:rsidRPr="00F2079F" w:rsidRDefault="00DB544A" w:rsidP="008C2C8A">
            <w:pPr>
              <w:jc w:val="center"/>
            </w:pPr>
          </w:p>
        </w:tc>
        <w:tc>
          <w:tcPr>
            <w:tcW w:w="677" w:type="pct"/>
          </w:tcPr>
          <w:p w:rsidR="00DB544A" w:rsidRDefault="00DB544A" w:rsidP="009B3354">
            <w:pPr>
              <w:jc w:val="center"/>
              <w:rPr>
                <w:szCs w:val="20"/>
              </w:rPr>
            </w:pPr>
          </w:p>
        </w:tc>
        <w:tc>
          <w:tcPr>
            <w:tcW w:w="938" w:type="pct"/>
          </w:tcPr>
          <w:p w:rsidR="00DB544A" w:rsidRDefault="00DB544A" w:rsidP="009B3354">
            <w:pPr>
              <w:rPr>
                <w:szCs w:val="20"/>
              </w:rPr>
            </w:pPr>
          </w:p>
        </w:tc>
        <w:tc>
          <w:tcPr>
            <w:tcW w:w="3105" w:type="pct"/>
          </w:tcPr>
          <w:p w:rsidR="00762D81" w:rsidRPr="006A478E" w:rsidRDefault="00762D81" w:rsidP="00C131CB">
            <w:pPr>
              <w:rPr>
                <w:bCs/>
                <w:szCs w:val="20"/>
              </w:rPr>
            </w:pP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r w:rsidR="003F371A">
        <w:fldChar w:fldCharType="begin"/>
      </w:r>
      <w:r w:rsidR="003F371A">
        <w:instrText xml:space="preserve"> SEQ Table \* ARABIC </w:instrText>
      </w:r>
      <w:r w:rsidR="003F371A">
        <w:fldChar w:fldCharType="separate"/>
      </w:r>
      <w:r w:rsidR="000719BF">
        <w:rPr>
          <w:noProof/>
        </w:rPr>
        <w:t>1</w:t>
      </w:r>
      <w:r w:rsidR="003F371A">
        <w:rPr>
          <w:noProof/>
        </w:rPr>
        <w:fldChar w:fldCharType="end"/>
      </w:r>
      <w:r>
        <w:t>: Measure Summary Table</w:t>
      </w:r>
    </w:p>
    <w:tbl>
      <w:tblPr>
        <w:tblStyle w:val="TableGrid"/>
        <w:tblW w:w="0" w:type="auto"/>
        <w:tblLook w:val="04A0" w:firstRow="1" w:lastRow="0" w:firstColumn="1" w:lastColumn="0" w:noHBand="0" w:noVBand="1"/>
      </w:tblPr>
      <w:tblGrid>
        <w:gridCol w:w="1262"/>
        <w:gridCol w:w="8088"/>
      </w:tblGrid>
      <w:tr w:rsidR="00DB71F1" w:rsidTr="00BD4AFD">
        <w:trPr>
          <w:cantSplit/>
          <w:tblHeader/>
        </w:trPr>
        <w:tc>
          <w:tcPr>
            <w:tcW w:w="1222" w:type="dxa"/>
          </w:tcPr>
          <w:p w:rsidR="00DB71F1" w:rsidRPr="00D86243" w:rsidRDefault="00DB71F1" w:rsidP="009B3354">
            <w:pPr>
              <w:jc w:val="center"/>
              <w:rPr>
                <w:b/>
              </w:rPr>
            </w:pPr>
            <w:r w:rsidRPr="00D86243">
              <w:rPr>
                <w:b/>
              </w:rPr>
              <w:t>Section</w:t>
            </w:r>
          </w:p>
        </w:tc>
        <w:tc>
          <w:tcPr>
            <w:tcW w:w="8128" w:type="dxa"/>
          </w:tcPr>
          <w:p w:rsidR="00DB71F1" w:rsidRPr="00D86243" w:rsidRDefault="00DB71F1" w:rsidP="009B3354">
            <w:pPr>
              <w:jc w:val="center"/>
              <w:rPr>
                <w:b/>
              </w:rPr>
            </w:pPr>
            <w:r w:rsidRPr="00D86243">
              <w:rPr>
                <w:b/>
              </w:rPr>
              <w:t>Value</w:t>
            </w:r>
          </w:p>
        </w:tc>
      </w:tr>
      <w:tr w:rsidR="00DB71F1" w:rsidTr="00BD4AFD">
        <w:trPr>
          <w:cantSplit/>
        </w:trPr>
        <w:tc>
          <w:tcPr>
            <w:tcW w:w="1222" w:type="dxa"/>
            <w:vAlign w:val="center"/>
          </w:tcPr>
          <w:p w:rsidR="00DB71F1" w:rsidRPr="001D77F7" w:rsidRDefault="00DB71F1" w:rsidP="009B3354">
            <w:pPr>
              <w:rPr>
                <w:b/>
              </w:rPr>
            </w:pPr>
            <w:r>
              <w:rPr>
                <w:b/>
              </w:rPr>
              <w:t>Summary &amp; Purpose</w:t>
            </w:r>
          </w:p>
        </w:tc>
        <w:tc>
          <w:tcPr>
            <w:tcW w:w="8128" w:type="dxa"/>
          </w:tcPr>
          <w:p w:rsidR="00DB71F1" w:rsidRPr="00D86243" w:rsidRDefault="00DB71F1" w:rsidP="00555671">
            <w:pPr>
              <w:jc w:val="both"/>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Pr="00241A1F">
              <w:rPr>
                <w:rFonts w:cs="Arial"/>
                <w:sz w:val="20"/>
                <w:szCs w:val="20"/>
              </w:rPr>
              <w:t xml:space="preserve"> and cost-effectiveness values for </w:t>
            </w:r>
            <w:r w:rsidR="00A05AEF">
              <w:rPr>
                <w:rFonts w:cs="Arial"/>
                <w:sz w:val="20"/>
                <w:szCs w:val="20"/>
              </w:rPr>
              <w:t>Central Boilers in the multifamily space</w:t>
            </w:r>
            <w:r w:rsidRPr="00241A1F">
              <w:rPr>
                <w:rFonts w:cs="Arial"/>
                <w:sz w:val="20"/>
                <w:szCs w:val="20"/>
              </w:rPr>
              <w:t xml:space="preserve">. </w:t>
            </w:r>
            <w:r w:rsidR="00C228B0">
              <w:rPr>
                <w:rFonts w:cs="Arial"/>
                <w:sz w:val="20"/>
                <w:szCs w:val="20"/>
              </w:rPr>
              <w:t>The base energy consumption</w:t>
            </w:r>
            <w:r w:rsidR="00067315">
              <w:rPr>
                <w:rFonts w:cs="Arial"/>
                <w:sz w:val="20"/>
                <w:szCs w:val="20"/>
              </w:rPr>
              <w:t xml:space="preserve"> and </w:t>
            </w:r>
            <w:r w:rsidR="00C228B0">
              <w:rPr>
                <w:rFonts w:cs="Arial"/>
                <w:sz w:val="20"/>
                <w:szCs w:val="20"/>
              </w:rPr>
              <w:t>measure energy consumption</w:t>
            </w:r>
            <w:r w:rsidR="00067315" w:rsidRPr="00555671">
              <w:rPr>
                <w:rFonts w:cs="Arial"/>
                <w:sz w:val="20"/>
                <w:szCs w:val="20"/>
              </w:rPr>
              <w:t xml:space="preserve"> values</w:t>
            </w:r>
            <w:r w:rsidR="00C228B0">
              <w:rPr>
                <w:rFonts w:cs="Arial"/>
                <w:sz w:val="20"/>
                <w:szCs w:val="20"/>
              </w:rPr>
              <w:t xml:space="preserve"> are fr</w:t>
            </w:r>
            <w:r w:rsidR="008D74B6">
              <w:rPr>
                <w:rFonts w:cs="Arial"/>
                <w:sz w:val="20"/>
                <w:szCs w:val="20"/>
              </w:rPr>
              <w:t>om SCG</w:t>
            </w:r>
            <w:r w:rsidR="00A05AEF">
              <w:rPr>
                <w:rFonts w:cs="Arial"/>
                <w:sz w:val="20"/>
                <w:szCs w:val="20"/>
              </w:rPr>
              <w:t>’s</w:t>
            </w:r>
            <w:r w:rsidR="00E33C12">
              <w:rPr>
                <w:rFonts w:cs="Arial"/>
                <w:sz w:val="20"/>
                <w:szCs w:val="20"/>
              </w:rPr>
              <w:t xml:space="preserve"> workpaper, </w:t>
            </w:r>
            <w:r w:rsidR="008D74B6">
              <w:rPr>
                <w:rFonts w:cs="Arial"/>
                <w:sz w:val="20"/>
                <w:szCs w:val="20"/>
              </w:rPr>
              <w:t>WPSCGREWH130613A, Rev 1</w:t>
            </w:r>
            <w:r w:rsidR="00895D80">
              <w:rPr>
                <w:rFonts w:cs="Arial"/>
                <w:sz w:val="20"/>
                <w:szCs w:val="20"/>
              </w:rPr>
              <w:t>.</w:t>
            </w:r>
          </w:p>
        </w:tc>
      </w:tr>
      <w:tr w:rsidR="00DB71F1" w:rsidTr="00BD4AFD">
        <w:trPr>
          <w:cantSplit/>
        </w:trPr>
        <w:tc>
          <w:tcPr>
            <w:tcW w:w="1222" w:type="dxa"/>
            <w:vAlign w:val="center"/>
          </w:tcPr>
          <w:p w:rsidR="00DB71F1" w:rsidRPr="001D77F7" w:rsidRDefault="00DB71F1" w:rsidP="009B3354">
            <w:pPr>
              <w:rPr>
                <w:b/>
              </w:rPr>
            </w:pPr>
            <w:r w:rsidRPr="001D77F7">
              <w:rPr>
                <w:b/>
              </w:rPr>
              <w:t>1.1 Measure &amp; Baseline Data</w:t>
            </w:r>
          </w:p>
        </w:tc>
        <w:tc>
          <w:tcPr>
            <w:tcW w:w="8128" w:type="dxa"/>
          </w:tcPr>
          <w:p w:rsidR="008C2C8A" w:rsidRPr="00555671" w:rsidRDefault="00EE6CFE" w:rsidP="001D57D7">
            <w:pPr>
              <w:rPr>
                <w:rFonts w:cs="Arial"/>
                <w:sz w:val="20"/>
                <w:szCs w:val="20"/>
              </w:rPr>
            </w:pPr>
            <w:r w:rsidRPr="00555671">
              <w:rPr>
                <w:rFonts w:cs="Arial"/>
                <w:sz w:val="20"/>
                <w:szCs w:val="20"/>
              </w:rPr>
              <w:t xml:space="preserve">Measure: </w:t>
            </w:r>
          </w:p>
          <w:p w:rsidR="006D2B70" w:rsidRDefault="001458E6" w:rsidP="00C131CB">
            <w:pPr>
              <w:rPr>
                <w:rFonts w:cs="Arial"/>
                <w:sz w:val="20"/>
                <w:szCs w:val="20"/>
              </w:rPr>
            </w:pPr>
            <w:r>
              <w:rPr>
                <w:rFonts w:cs="Arial"/>
                <w:sz w:val="20"/>
                <w:szCs w:val="20"/>
              </w:rPr>
              <w:t>464042</w:t>
            </w:r>
            <w:r w:rsidR="00E159C8" w:rsidRPr="00555671">
              <w:rPr>
                <w:rFonts w:cs="Arial"/>
                <w:sz w:val="20"/>
                <w:szCs w:val="20"/>
              </w:rPr>
              <w:t xml:space="preserve"> </w:t>
            </w:r>
            <w:r w:rsidR="00711B58">
              <w:rPr>
                <w:rFonts w:cs="Arial"/>
                <w:sz w:val="20"/>
                <w:szCs w:val="20"/>
              </w:rPr>
              <w:t>–</w:t>
            </w:r>
            <w:r w:rsidR="00E159C8" w:rsidRPr="00555671">
              <w:rPr>
                <w:rFonts w:cs="Arial"/>
                <w:sz w:val="20"/>
                <w:szCs w:val="20"/>
              </w:rPr>
              <w:t xml:space="preserve"> </w:t>
            </w:r>
            <w:r>
              <w:rPr>
                <w:rFonts w:cs="Arial"/>
                <w:sz w:val="20"/>
                <w:szCs w:val="20"/>
              </w:rPr>
              <w:t>Domestic Hot Water Boiler TE = 84% and input rating &gt; 75 MBtuh</w:t>
            </w:r>
          </w:p>
          <w:p w:rsidR="001458E6" w:rsidRDefault="001458E6" w:rsidP="00C131CB">
            <w:pPr>
              <w:rPr>
                <w:rFonts w:cs="Arial"/>
                <w:sz w:val="20"/>
                <w:szCs w:val="20"/>
              </w:rPr>
            </w:pPr>
            <w:r>
              <w:rPr>
                <w:rFonts w:cs="Arial"/>
                <w:sz w:val="20"/>
                <w:szCs w:val="20"/>
              </w:rPr>
              <w:t>464043</w:t>
            </w:r>
            <w:r w:rsidRPr="001458E6">
              <w:rPr>
                <w:rFonts w:cs="Arial"/>
                <w:sz w:val="20"/>
                <w:szCs w:val="20"/>
              </w:rPr>
              <w:t xml:space="preserve"> – D</w:t>
            </w:r>
            <w:r>
              <w:rPr>
                <w:rFonts w:cs="Arial"/>
                <w:sz w:val="20"/>
                <w:szCs w:val="20"/>
              </w:rPr>
              <w:t>omestic Hot Water Boiler TE = 90</w:t>
            </w:r>
            <w:r w:rsidRPr="001458E6">
              <w:rPr>
                <w:rFonts w:cs="Arial"/>
                <w:sz w:val="20"/>
                <w:szCs w:val="20"/>
              </w:rPr>
              <w:t>% and input rating &gt; 75 MBtuh</w:t>
            </w:r>
          </w:p>
          <w:p w:rsidR="00C131CB" w:rsidRPr="00241A1F" w:rsidRDefault="00C131CB" w:rsidP="00992548">
            <w:pPr>
              <w:rPr>
                <w:rFonts w:cs="Arial"/>
                <w:sz w:val="20"/>
                <w:szCs w:val="20"/>
              </w:rPr>
            </w:pPr>
          </w:p>
        </w:tc>
      </w:tr>
      <w:tr w:rsidR="00DB71F1" w:rsidTr="00BD4AFD">
        <w:trPr>
          <w:cantSplit/>
        </w:trPr>
        <w:tc>
          <w:tcPr>
            <w:tcW w:w="1222" w:type="dxa"/>
            <w:vAlign w:val="center"/>
          </w:tcPr>
          <w:p w:rsidR="00DB71F1" w:rsidRPr="001D77F7" w:rsidRDefault="00DB71F1" w:rsidP="009B3354">
            <w:pPr>
              <w:rPr>
                <w:b/>
              </w:rPr>
            </w:pPr>
            <w:r w:rsidRPr="001D77F7">
              <w:rPr>
                <w:b/>
              </w:rPr>
              <w:t xml:space="preserve">1.2 Technical Description </w:t>
            </w:r>
          </w:p>
        </w:tc>
        <w:tc>
          <w:tcPr>
            <w:tcW w:w="8128" w:type="dxa"/>
          </w:tcPr>
          <w:p w:rsidR="009F0CF0" w:rsidRPr="009F0CF0" w:rsidRDefault="009F0CF0" w:rsidP="009F0CF0">
            <w:pPr>
              <w:rPr>
                <w:rFonts w:cs="Arial"/>
                <w:sz w:val="20"/>
                <w:szCs w:val="20"/>
              </w:rPr>
            </w:pPr>
            <w:r w:rsidRPr="009F0CF0">
              <w:rPr>
                <w:rFonts w:cs="Arial"/>
                <w:sz w:val="20"/>
                <w:szCs w:val="20"/>
              </w:rPr>
              <w:t xml:space="preserve">A typical gas-fired storage water heater is a large vertical insulated tank with a gas burner located under the tank.  When hot water is drawn from the tank, cold water flows into the bottom of the tank.  When the water temperature in the tank gets too low, a thermostat sensing the water temperature (often called an aquastat) calls for heat from the burner.  When the water temperature in the tank reaches the set point, the thermostat turns off the burner.  The burner may be ignited by an electronic spark ignition, glow plug, or, in some models, by a standing pilot light.  </w:t>
            </w:r>
          </w:p>
          <w:p w:rsidR="009F0CF0" w:rsidRPr="009F0CF0" w:rsidRDefault="009F0CF0" w:rsidP="009F0CF0">
            <w:pPr>
              <w:rPr>
                <w:rFonts w:cs="Arial"/>
                <w:sz w:val="20"/>
                <w:szCs w:val="20"/>
              </w:rPr>
            </w:pPr>
          </w:p>
          <w:p w:rsidR="009F0CF0" w:rsidRDefault="009F0CF0" w:rsidP="009F0CF0">
            <w:pPr>
              <w:rPr>
                <w:rFonts w:cs="Arial"/>
                <w:sz w:val="20"/>
                <w:szCs w:val="20"/>
              </w:rPr>
            </w:pPr>
            <w:r w:rsidRPr="009F0CF0">
              <w:rPr>
                <w:rFonts w:cs="Arial"/>
                <w:sz w:val="20"/>
                <w:szCs w:val="20"/>
              </w:rPr>
              <w:t xml:space="preserve">The rated input for a natural gas fueled storage water heater for this multifamily residential measure must exceed 75,000 Btuh (75 kBtuh).  Qualifying storage water heaters must also have a storage tank that holds at least 80 gallons of water. This measure will have two tiers of incentive: Tier 1 is for large natural gas non-condensing storage water heaters and Tier 2 is for large natural gas condensing storage water heaters.  Tier 2 water heaters will often require flu modifications.  These modifications may increase or decrease installation costs.  Tier 2 systems also receive higher rebates than Tier 1 systems. Relative to standard models, energy efficient units typically have features such as no standing pilot light, larger heat exchange surfaces, additional tank insulation, and the capability to condense moisture in the flue gas.  </w:t>
            </w:r>
          </w:p>
          <w:p w:rsidR="009F0CF0" w:rsidRPr="009F0CF0" w:rsidRDefault="009F0CF0" w:rsidP="009F0CF0">
            <w:pPr>
              <w:rPr>
                <w:rFonts w:cs="Arial"/>
                <w:sz w:val="20"/>
                <w:szCs w:val="20"/>
              </w:rPr>
            </w:pPr>
          </w:p>
          <w:p w:rsidR="009F0CF0" w:rsidRPr="009F0CF0" w:rsidRDefault="009F0CF0" w:rsidP="009F0CF0">
            <w:pPr>
              <w:rPr>
                <w:rFonts w:cs="Arial"/>
                <w:sz w:val="20"/>
                <w:szCs w:val="20"/>
              </w:rPr>
            </w:pPr>
            <w:r w:rsidRPr="009F0CF0">
              <w:rPr>
                <w:rFonts w:cs="Arial"/>
                <w:sz w:val="20"/>
                <w:szCs w:val="20"/>
              </w:rPr>
              <w:t xml:space="preserve">The test method for measuring storage water heater thermal efficiency (TE) is ANSI Z21.10.3-1998 §2.9,  as referenced in the California Title 20 standard.   A parameter for determining the thermal efficiency and energy consumption of water heaters is the cold water temperature at the inlet to the storage water heater. The nominal ANSI standard temperature of the supply water entering the water heater is 70 </w:t>
            </w:r>
            <w:r w:rsidRPr="009F0CF0">
              <w:rPr>
                <w:rFonts w:cs="Arial"/>
                <w:sz w:val="20"/>
                <w:szCs w:val="20"/>
              </w:rPr>
              <w:t xml:space="preserve">F. The actual inlet water temperature in California varies with climate zone and season, so adjustment factors were created based on ground temperature data for each climate zone to account for varying water heater consumption due to inlet water temperature. More information regarding these adjustment factors are included in Section 2.02. The California Title 20 standard defines a minimum TE of 80% for the baseline large storage water heaters. The qualifying measure efficiencies for large storage water heaters are the following with an emission limit of 14ng/J or 20 ppm NOx @3% O2 dry:  </w:t>
            </w:r>
          </w:p>
          <w:p w:rsidR="009F0CF0" w:rsidRPr="009F0CF0" w:rsidRDefault="009F0CF0" w:rsidP="009F0CF0">
            <w:pPr>
              <w:rPr>
                <w:rFonts w:cs="Arial"/>
                <w:sz w:val="20"/>
                <w:szCs w:val="20"/>
              </w:rPr>
            </w:pPr>
          </w:p>
          <w:p w:rsidR="009F0CF0" w:rsidRPr="009F0CF0" w:rsidRDefault="009F0CF0" w:rsidP="009F0CF0">
            <w:pPr>
              <w:rPr>
                <w:rFonts w:cs="Arial"/>
                <w:sz w:val="20"/>
                <w:szCs w:val="20"/>
              </w:rPr>
            </w:pPr>
            <w:r w:rsidRPr="009F0CF0">
              <w:rPr>
                <w:rFonts w:cs="Arial"/>
                <w:sz w:val="20"/>
                <w:szCs w:val="20"/>
              </w:rPr>
              <w:t>1.</w:t>
            </w:r>
            <w:r w:rsidRPr="009F0CF0">
              <w:rPr>
                <w:rFonts w:cs="Arial"/>
                <w:sz w:val="20"/>
                <w:szCs w:val="20"/>
              </w:rPr>
              <w:tab/>
              <w:t xml:space="preserve">Minimum TE of 83% for Tier 1 (non-condensing) large storage water heaters.  </w:t>
            </w:r>
          </w:p>
          <w:p w:rsidR="00DB71F1" w:rsidRPr="00241A1F" w:rsidRDefault="009F0CF0" w:rsidP="009F0CF0">
            <w:pPr>
              <w:rPr>
                <w:rFonts w:cs="Arial"/>
                <w:sz w:val="20"/>
                <w:szCs w:val="20"/>
              </w:rPr>
            </w:pPr>
            <w:r w:rsidRPr="009F0CF0">
              <w:rPr>
                <w:rFonts w:cs="Arial"/>
                <w:sz w:val="20"/>
                <w:szCs w:val="20"/>
              </w:rPr>
              <w:t>2.</w:t>
            </w:r>
            <w:r w:rsidRPr="009F0CF0">
              <w:rPr>
                <w:rFonts w:cs="Arial"/>
                <w:sz w:val="20"/>
                <w:szCs w:val="20"/>
              </w:rPr>
              <w:tab/>
              <w:t xml:space="preserve">Minimum TE of 90% for Tier 2 (condensing) large storage water heaters.  </w:t>
            </w:r>
          </w:p>
        </w:tc>
      </w:tr>
      <w:tr w:rsidR="008775D7" w:rsidRPr="008775D7" w:rsidTr="00BD4AFD">
        <w:trPr>
          <w:cantSplit/>
        </w:trPr>
        <w:tc>
          <w:tcPr>
            <w:tcW w:w="1222" w:type="dxa"/>
          </w:tcPr>
          <w:p w:rsidR="008775D7" w:rsidRPr="00241A1F" w:rsidRDefault="008775D7" w:rsidP="00241A1F">
            <w:pPr>
              <w:jc w:val="right"/>
              <w:rPr>
                <w:sz w:val="20"/>
                <w:szCs w:val="20"/>
              </w:rPr>
            </w:pPr>
            <w:r w:rsidRPr="00241A1F">
              <w:rPr>
                <w:sz w:val="20"/>
                <w:szCs w:val="20"/>
              </w:rPr>
              <w:t>Measures</w:t>
            </w:r>
          </w:p>
        </w:tc>
        <w:tc>
          <w:tcPr>
            <w:tcW w:w="8128" w:type="dxa"/>
          </w:tcPr>
          <w:p w:rsidR="008775D7" w:rsidRPr="00E733C7" w:rsidRDefault="008D0B3C">
            <w:pPr>
              <w:rPr>
                <w:rFonts w:cs="Arial"/>
                <w:sz w:val="20"/>
                <w:szCs w:val="20"/>
              </w:rPr>
            </w:pPr>
            <w:r>
              <w:rPr>
                <w:rFonts w:cs="Arial"/>
                <w:sz w:val="20"/>
                <w:szCs w:val="20"/>
              </w:rPr>
              <w:t>See Requirements</w:t>
            </w:r>
          </w:p>
        </w:tc>
      </w:tr>
      <w:tr w:rsidR="008775D7" w:rsidRPr="008775D7" w:rsidTr="00BD4AFD">
        <w:trPr>
          <w:cantSplit/>
        </w:trPr>
        <w:tc>
          <w:tcPr>
            <w:tcW w:w="1222" w:type="dxa"/>
          </w:tcPr>
          <w:p w:rsidR="008775D7" w:rsidRPr="00653C4B" w:rsidRDefault="008775D7" w:rsidP="00241A1F">
            <w:pPr>
              <w:jc w:val="right"/>
              <w:rPr>
                <w:sz w:val="20"/>
                <w:szCs w:val="20"/>
              </w:rPr>
            </w:pPr>
            <w:r w:rsidRPr="00653C4B">
              <w:rPr>
                <w:sz w:val="20"/>
                <w:szCs w:val="20"/>
              </w:rPr>
              <w:lastRenderedPageBreak/>
              <w:t>Code for All Measures</w:t>
            </w:r>
          </w:p>
        </w:tc>
        <w:tc>
          <w:tcPr>
            <w:tcW w:w="8128" w:type="dxa"/>
          </w:tcPr>
          <w:p w:rsidR="009554D7" w:rsidRDefault="009554D7" w:rsidP="000B6542">
            <w:pPr>
              <w:jc w:val="both"/>
              <w:rPr>
                <w:rFonts w:cs="Arial"/>
                <w:bCs/>
                <w:sz w:val="20"/>
                <w:szCs w:val="20"/>
              </w:rPr>
            </w:pPr>
            <w:r w:rsidRPr="009554D7">
              <w:rPr>
                <w:rFonts w:cs="Arial"/>
                <w:bCs/>
                <w:sz w:val="20"/>
                <w:szCs w:val="20"/>
              </w:rPr>
              <w:t>Large storage water heaters for multifamily residential applicatio</w:t>
            </w:r>
            <w:r w:rsidR="001026F6">
              <w:rPr>
                <w:rFonts w:cs="Arial"/>
                <w:bCs/>
                <w:sz w:val="20"/>
                <w:szCs w:val="20"/>
              </w:rPr>
              <w:t>ns are not specified in the 2014</w:t>
            </w:r>
            <w:r w:rsidRPr="009554D7">
              <w:rPr>
                <w:rFonts w:cs="Arial"/>
                <w:bCs/>
                <w:sz w:val="20"/>
                <w:szCs w:val="20"/>
              </w:rPr>
              <w:t xml:space="preserve"> Database for Energy-Efficiency Resources (DEER201</w:t>
            </w:r>
            <w:r w:rsidR="001026F6">
              <w:rPr>
                <w:rFonts w:cs="Arial"/>
                <w:bCs/>
                <w:sz w:val="20"/>
                <w:szCs w:val="20"/>
              </w:rPr>
              <w:t>4</w:t>
            </w:r>
            <w:r w:rsidRPr="009554D7">
              <w:rPr>
                <w:rFonts w:cs="Arial"/>
                <w:bCs/>
                <w:sz w:val="20"/>
                <w:szCs w:val="20"/>
              </w:rPr>
              <w:t>) Update for 2014 Codes.   Table 1 lists the baseline and measure efficiencies for commercial storage wat</w:t>
            </w:r>
            <w:r w:rsidR="001026F6">
              <w:rPr>
                <w:rFonts w:cs="Arial"/>
                <w:bCs/>
                <w:sz w:val="20"/>
                <w:szCs w:val="20"/>
              </w:rPr>
              <w:t>er heaters found in the DEER2014</w:t>
            </w:r>
            <w:r w:rsidRPr="009554D7">
              <w:rPr>
                <w:rFonts w:cs="Arial"/>
                <w:bCs/>
                <w:sz w:val="20"/>
                <w:szCs w:val="20"/>
              </w:rPr>
              <w:t xml:space="preserve">.  This workpaper uses commercial storage water heaters because they are typically found in multifamily buildings. All of these storage water heaters have standby losses of 0.56% per hour.  Standby losses are expressed as a percentage of the energy stored in the hot water relative to the average ambient air temperature.  The minimum baseline DEER efficiencies listed in Table 1 were applied to the baseline large storage water heaters for multifamily residential applications.  The minimum qualifying DEER measure efficiencies listed in Table 1 were applied to the Tier 1 and Tier 2 large storage water heater measures for multifamily residential applications.  </w:t>
            </w:r>
          </w:p>
          <w:p w:rsidR="009554D7" w:rsidRDefault="009554D7" w:rsidP="000B6542">
            <w:pPr>
              <w:jc w:val="both"/>
              <w:rPr>
                <w:rFonts w:cs="Arial"/>
                <w:bCs/>
                <w:sz w:val="20"/>
                <w:szCs w:val="20"/>
              </w:rPr>
            </w:pPr>
          </w:p>
          <w:p w:rsidR="009554D7" w:rsidRPr="009554D7" w:rsidRDefault="009554D7" w:rsidP="009554D7">
            <w:pPr>
              <w:jc w:val="both"/>
              <w:rPr>
                <w:rFonts w:cs="Arial"/>
                <w:bCs/>
                <w:sz w:val="20"/>
                <w:szCs w:val="20"/>
              </w:rPr>
            </w:pPr>
          </w:p>
          <w:p w:rsidR="009554D7" w:rsidRPr="009554D7" w:rsidRDefault="009554D7" w:rsidP="001026F6">
            <w:pPr>
              <w:jc w:val="center"/>
              <w:rPr>
                <w:rFonts w:cs="Arial"/>
                <w:b/>
                <w:bCs/>
                <w:sz w:val="20"/>
                <w:szCs w:val="20"/>
              </w:rPr>
            </w:pPr>
            <w:bookmarkStart w:id="3" w:name="_Toc370197553"/>
            <w:bookmarkStart w:id="4" w:name="_Toc461101270"/>
            <w:r>
              <w:rPr>
                <w:rFonts w:cs="Arial"/>
                <w:b/>
                <w:bCs/>
                <w:sz w:val="20"/>
                <w:szCs w:val="20"/>
              </w:rPr>
              <w:t>Table 1</w:t>
            </w:r>
            <w:r w:rsidR="001026F6">
              <w:rPr>
                <w:rFonts w:cs="Arial"/>
                <w:b/>
                <w:bCs/>
                <w:sz w:val="20"/>
                <w:szCs w:val="20"/>
              </w:rPr>
              <w:t xml:space="preserve"> -</w:t>
            </w:r>
            <w:r>
              <w:rPr>
                <w:rFonts w:cs="Arial"/>
                <w:b/>
                <w:bCs/>
                <w:sz w:val="20"/>
                <w:szCs w:val="20"/>
              </w:rPr>
              <w:t xml:space="preserve"> </w:t>
            </w:r>
            <w:r w:rsidRPr="009554D7">
              <w:rPr>
                <w:rFonts w:cs="Arial"/>
                <w:b/>
                <w:bCs/>
                <w:sz w:val="20"/>
                <w:szCs w:val="20"/>
              </w:rPr>
              <w:t>Commercial Storage Water Heater Thermal Efficiencies in DEER201</w:t>
            </w:r>
            <w:bookmarkEnd w:id="3"/>
            <w:bookmarkEnd w:id="4"/>
            <w:r w:rsidR="001026F6">
              <w:rPr>
                <w:rFonts w:cs="Arial"/>
                <w:b/>
                <w:bCs/>
                <w:sz w:val="20"/>
                <w:szCs w:val="20"/>
              </w:rPr>
              <w:t>4</w:t>
            </w:r>
          </w:p>
          <w:p w:rsidR="009554D7" w:rsidRPr="000B6542" w:rsidRDefault="009554D7" w:rsidP="000B6542">
            <w:pPr>
              <w:jc w:val="both"/>
              <w:rPr>
                <w:rFonts w:cs="Arial"/>
                <w:bCs/>
                <w:sz w:val="20"/>
                <w:szCs w:val="20"/>
              </w:rPr>
            </w:pPr>
          </w:p>
          <w:tbl>
            <w:tblPr>
              <w:tblStyle w:val="TableGrid"/>
              <w:tblW w:w="7040" w:type="dxa"/>
              <w:jc w:val="center"/>
              <w:tblCellMar>
                <w:top w:w="43" w:type="dxa"/>
                <w:left w:w="115" w:type="dxa"/>
                <w:bottom w:w="43" w:type="dxa"/>
                <w:right w:w="115" w:type="dxa"/>
              </w:tblCellMar>
              <w:tblLook w:val="01E0" w:firstRow="1" w:lastRow="1" w:firstColumn="1" w:lastColumn="1" w:noHBand="0" w:noVBand="0"/>
            </w:tblPr>
            <w:tblGrid>
              <w:gridCol w:w="4612"/>
              <w:gridCol w:w="1218"/>
              <w:gridCol w:w="1210"/>
            </w:tblGrid>
            <w:tr w:rsidR="009554D7" w:rsidTr="009B3354">
              <w:trPr>
                <w:trHeight w:val="11"/>
                <w:jc w:val="center"/>
              </w:trPr>
              <w:tc>
                <w:tcPr>
                  <w:tcW w:w="4612" w:type="dxa"/>
                  <w:shd w:val="clear" w:color="auto" w:fill="BFBFBF" w:themeFill="background1" w:themeFillShade="BF"/>
                  <w:vAlign w:val="bottom"/>
                </w:tcPr>
                <w:p w:rsidR="009554D7" w:rsidRPr="00420887" w:rsidRDefault="009554D7" w:rsidP="009554D7">
                  <w:pPr>
                    <w:pStyle w:val="Normal1"/>
                    <w:spacing w:after="0" w:line="240" w:lineRule="auto"/>
                    <w:jc w:val="center"/>
                    <w:rPr>
                      <w:rFonts w:ascii="Arial" w:hAnsi="Arial" w:cs="Arial"/>
                      <w:b/>
                      <w:sz w:val="18"/>
                      <w:szCs w:val="18"/>
                    </w:rPr>
                  </w:pPr>
                  <w:bookmarkStart w:id="5" w:name="_Hlk497918095"/>
                  <w:r>
                    <w:rPr>
                      <w:rFonts w:ascii="Arial" w:hAnsi="Arial" w:cs="Arial"/>
                      <w:b/>
                      <w:sz w:val="18"/>
                      <w:szCs w:val="18"/>
                    </w:rPr>
                    <w:t>Equipment Type</w:t>
                  </w:r>
                </w:p>
              </w:tc>
              <w:tc>
                <w:tcPr>
                  <w:tcW w:w="1218" w:type="dxa"/>
                  <w:shd w:val="clear" w:color="auto" w:fill="BFBFBF" w:themeFill="background1" w:themeFillShade="BF"/>
                  <w:vAlign w:val="bottom"/>
                </w:tcPr>
                <w:p w:rsidR="009554D7" w:rsidRPr="00420887" w:rsidRDefault="009554D7" w:rsidP="009554D7">
                  <w:pPr>
                    <w:pStyle w:val="Normal1"/>
                    <w:spacing w:after="0" w:line="240" w:lineRule="auto"/>
                    <w:jc w:val="center"/>
                    <w:rPr>
                      <w:rFonts w:ascii="Arial" w:hAnsi="Arial" w:cs="Arial"/>
                      <w:b/>
                      <w:sz w:val="18"/>
                      <w:szCs w:val="18"/>
                    </w:rPr>
                  </w:pPr>
                  <w:r>
                    <w:rPr>
                      <w:rFonts w:ascii="Arial" w:hAnsi="Arial" w:cs="Arial"/>
                      <w:b/>
                      <w:sz w:val="18"/>
                      <w:szCs w:val="18"/>
                    </w:rPr>
                    <w:t>DEER Baseline</w:t>
                  </w:r>
                </w:p>
              </w:tc>
              <w:tc>
                <w:tcPr>
                  <w:tcW w:w="1210" w:type="dxa"/>
                  <w:shd w:val="clear" w:color="auto" w:fill="BFBFBF" w:themeFill="background1" w:themeFillShade="BF"/>
                  <w:vAlign w:val="bottom"/>
                </w:tcPr>
                <w:p w:rsidR="009554D7" w:rsidRPr="00420887" w:rsidRDefault="009554D7" w:rsidP="009554D7">
                  <w:pPr>
                    <w:pStyle w:val="Normal1"/>
                    <w:spacing w:after="0" w:line="240" w:lineRule="auto"/>
                    <w:jc w:val="center"/>
                    <w:rPr>
                      <w:rFonts w:ascii="Arial" w:hAnsi="Arial" w:cs="Arial"/>
                      <w:b/>
                      <w:sz w:val="18"/>
                      <w:szCs w:val="18"/>
                    </w:rPr>
                  </w:pPr>
                  <w:r>
                    <w:rPr>
                      <w:rFonts w:ascii="Arial" w:hAnsi="Arial" w:cs="Arial"/>
                      <w:b/>
                      <w:sz w:val="18"/>
                      <w:szCs w:val="18"/>
                    </w:rPr>
                    <w:t>DEER Measure</w:t>
                  </w:r>
                </w:p>
              </w:tc>
            </w:tr>
            <w:tr w:rsidR="009554D7" w:rsidTr="009B3354">
              <w:trPr>
                <w:trHeight w:val="11"/>
                <w:jc w:val="center"/>
              </w:trPr>
              <w:tc>
                <w:tcPr>
                  <w:tcW w:w="4612" w:type="dxa"/>
                </w:tcPr>
                <w:p w:rsidR="009554D7" w:rsidRDefault="009554D7" w:rsidP="009554D7">
                  <w:pPr>
                    <w:rPr>
                      <w:rFonts w:cs="Arial"/>
                      <w:color w:val="000000"/>
                      <w:sz w:val="18"/>
                      <w:szCs w:val="18"/>
                    </w:rPr>
                  </w:pPr>
                  <w:r>
                    <w:rPr>
                      <w:rFonts w:cs="Arial"/>
                      <w:color w:val="000000"/>
                      <w:sz w:val="18"/>
                      <w:szCs w:val="18"/>
                    </w:rPr>
                    <w:t>Commercial Storage Water Heater &gt;75 kBtuh, Tier 1 (non-condensing),</w:t>
                  </w:r>
                </w:p>
                <w:p w:rsidR="009554D7" w:rsidRPr="00E56236" w:rsidRDefault="009554D7" w:rsidP="009554D7">
                  <w:pPr>
                    <w:rPr>
                      <w:rFonts w:cs="Arial"/>
                      <w:sz w:val="18"/>
                      <w:szCs w:val="18"/>
                    </w:rPr>
                  </w:pPr>
                  <w:r>
                    <w:rPr>
                      <w:rFonts w:cs="Arial"/>
                      <w:sz w:val="18"/>
                      <w:szCs w:val="18"/>
                    </w:rPr>
                    <w:t xml:space="preserve">Readi ID: </w:t>
                  </w:r>
                  <w:r w:rsidRPr="00792FD8">
                    <w:rPr>
                      <w:rFonts w:cs="Arial"/>
                      <w:sz w:val="18"/>
                      <w:szCs w:val="18"/>
                    </w:rPr>
                    <w:t>NG-WtrHt-LrgStrg-Gas-gte75kBtuh-0p83Et</w:t>
                  </w:r>
                </w:p>
              </w:tc>
              <w:tc>
                <w:tcPr>
                  <w:tcW w:w="1218" w:type="dxa"/>
                  <w:vAlign w:val="center"/>
                </w:tcPr>
                <w:p w:rsidR="009554D7" w:rsidRPr="00C82CF9" w:rsidRDefault="009554D7" w:rsidP="009554D7">
                  <w:pPr>
                    <w:jc w:val="center"/>
                    <w:rPr>
                      <w:rFonts w:cs="Arial"/>
                      <w:color w:val="000000"/>
                      <w:sz w:val="18"/>
                    </w:rPr>
                  </w:pPr>
                  <w:r w:rsidRPr="00C82CF9">
                    <w:rPr>
                      <w:rFonts w:cs="Arial"/>
                      <w:color w:val="000000"/>
                      <w:sz w:val="18"/>
                    </w:rPr>
                    <w:t>80%</w:t>
                  </w:r>
                </w:p>
              </w:tc>
              <w:tc>
                <w:tcPr>
                  <w:tcW w:w="1210" w:type="dxa"/>
                  <w:vAlign w:val="center"/>
                </w:tcPr>
                <w:p w:rsidR="009554D7" w:rsidRPr="00C82CF9" w:rsidRDefault="009554D7" w:rsidP="009554D7">
                  <w:pPr>
                    <w:jc w:val="center"/>
                    <w:rPr>
                      <w:rFonts w:cs="Arial"/>
                      <w:color w:val="000000"/>
                      <w:sz w:val="18"/>
                    </w:rPr>
                  </w:pPr>
                  <w:r w:rsidRPr="00C82CF9">
                    <w:rPr>
                      <w:rFonts w:cs="Arial"/>
                      <w:color w:val="000000"/>
                      <w:sz w:val="18"/>
                    </w:rPr>
                    <w:t>8</w:t>
                  </w:r>
                  <w:r>
                    <w:rPr>
                      <w:rFonts w:cs="Arial"/>
                      <w:color w:val="000000"/>
                      <w:sz w:val="18"/>
                    </w:rPr>
                    <w:t>3</w:t>
                  </w:r>
                  <w:r w:rsidRPr="00C82CF9">
                    <w:rPr>
                      <w:rFonts w:cs="Arial"/>
                      <w:color w:val="000000"/>
                      <w:sz w:val="18"/>
                    </w:rPr>
                    <w:t>%</w:t>
                  </w:r>
                </w:p>
              </w:tc>
            </w:tr>
            <w:tr w:rsidR="009554D7" w:rsidTr="009B3354">
              <w:trPr>
                <w:trHeight w:val="11"/>
                <w:jc w:val="center"/>
              </w:trPr>
              <w:tc>
                <w:tcPr>
                  <w:tcW w:w="4612" w:type="dxa"/>
                </w:tcPr>
                <w:p w:rsidR="009554D7" w:rsidRDefault="009554D7" w:rsidP="009554D7">
                  <w:pPr>
                    <w:rPr>
                      <w:rFonts w:cs="Arial"/>
                      <w:sz w:val="18"/>
                      <w:szCs w:val="18"/>
                    </w:rPr>
                  </w:pPr>
                  <w:r>
                    <w:rPr>
                      <w:rFonts w:cs="Arial"/>
                      <w:color w:val="000000"/>
                      <w:sz w:val="18"/>
                      <w:szCs w:val="18"/>
                    </w:rPr>
                    <w:t xml:space="preserve">Commercial Storage Water Heater &gt;75 kBtuh, Tier </w:t>
                  </w:r>
                  <w:r>
                    <w:rPr>
                      <w:rFonts w:cs="Arial"/>
                      <w:sz w:val="18"/>
                      <w:szCs w:val="18"/>
                    </w:rPr>
                    <w:t>2 (condensing),</w:t>
                  </w:r>
                </w:p>
                <w:p w:rsidR="009554D7" w:rsidRPr="00E56236" w:rsidRDefault="009554D7" w:rsidP="009554D7">
                  <w:pPr>
                    <w:rPr>
                      <w:rFonts w:cs="Arial"/>
                      <w:sz w:val="18"/>
                      <w:szCs w:val="18"/>
                    </w:rPr>
                  </w:pPr>
                  <w:r>
                    <w:rPr>
                      <w:rFonts w:cs="Arial"/>
                      <w:sz w:val="18"/>
                      <w:szCs w:val="18"/>
                    </w:rPr>
                    <w:t xml:space="preserve">Readi ID: </w:t>
                  </w:r>
                  <w:r w:rsidRPr="00792FD8">
                    <w:rPr>
                      <w:rFonts w:cs="Arial"/>
                      <w:sz w:val="18"/>
                      <w:szCs w:val="18"/>
                    </w:rPr>
                    <w:t>NG-W</w:t>
                  </w:r>
                  <w:r>
                    <w:rPr>
                      <w:rFonts w:cs="Arial"/>
                      <w:sz w:val="18"/>
                      <w:szCs w:val="18"/>
                    </w:rPr>
                    <w:t>trHt-LrgStrg-Gas-gte75kBtuh-0p90</w:t>
                  </w:r>
                  <w:r w:rsidRPr="00792FD8">
                    <w:rPr>
                      <w:rFonts w:cs="Arial"/>
                      <w:sz w:val="18"/>
                      <w:szCs w:val="18"/>
                    </w:rPr>
                    <w:t>Et</w:t>
                  </w:r>
                </w:p>
              </w:tc>
              <w:tc>
                <w:tcPr>
                  <w:tcW w:w="1218" w:type="dxa"/>
                  <w:vAlign w:val="center"/>
                </w:tcPr>
                <w:p w:rsidR="009554D7" w:rsidRPr="00C82CF9" w:rsidRDefault="009554D7" w:rsidP="009554D7">
                  <w:pPr>
                    <w:jc w:val="center"/>
                    <w:rPr>
                      <w:rFonts w:cs="Arial"/>
                      <w:color w:val="000000"/>
                      <w:sz w:val="18"/>
                    </w:rPr>
                  </w:pPr>
                  <w:r w:rsidRPr="00C82CF9">
                    <w:rPr>
                      <w:rFonts w:cs="Arial"/>
                      <w:color w:val="000000"/>
                      <w:sz w:val="18"/>
                    </w:rPr>
                    <w:t>80%</w:t>
                  </w:r>
                </w:p>
              </w:tc>
              <w:tc>
                <w:tcPr>
                  <w:tcW w:w="1210" w:type="dxa"/>
                  <w:vAlign w:val="center"/>
                </w:tcPr>
                <w:p w:rsidR="009554D7" w:rsidRPr="00C82CF9" w:rsidRDefault="009554D7" w:rsidP="009554D7">
                  <w:pPr>
                    <w:jc w:val="center"/>
                    <w:rPr>
                      <w:rFonts w:cs="Arial"/>
                      <w:color w:val="000000"/>
                      <w:sz w:val="18"/>
                    </w:rPr>
                  </w:pPr>
                  <w:r>
                    <w:rPr>
                      <w:rFonts w:cs="Arial"/>
                      <w:color w:val="000000"/>
                      <w:sz w:val="18"/>
                    </w:rPr>
                    <w:t>90</w:t>
                  </w:r>
                  <w:r w:rsidRPr="00C82CF9">
                    <w:rPr>
                      <w:rFonts w:cs="Arial"/>
                      <w:color w:val="000000"/>
                      <w:sz w:val="18"/>
                    </w:rPr>
                    <w:t>%</w:t>
                  </w:r>
                </w:p>
              </w:tc>
            </w:tr>
            <w:bookmarkEnd w:id="5"/>
          </w:tbl>
          <w:p w:rsidR="005C1518" w:rsidRDefault="005C1518" w:rsidP="005C1518">
            <w:pPr>
              <w:jc w:val="both"/>
              <w:rPr>
                <w:rFonts w:cs="Arial"/>
                <w:sz w:val="20"/>
                <w:szCs w:val="20"/>
              </w:rPr>
            </w:pPr>
          </w:p>
          <w:p w:rsidR="009554D7" w:rsidRDefault="009554D7" w:rsidP="005C1518">
            <w:pPr>
              <w:jc w:val="both"/>
              <w:rPr>
                <w:rFonts w:cs="Arial"/>
                <w:sz w:val="20"/>
                <w:szCs w:val="20"/>
              </w:rPr>
            </w:pPr>
          </w:p>
          <w:p w:rsidR="009554D7" w:rsidRDefault="009554D7" w:rsidP="005C1518">
            <w:pPr>
              <w:jc w:val="both"/>
              <w:rPr>
                <w:rFonts w:cs="Arial"/>
                <w:sz w:val="20"/>
                <w:szCs w:val="20"/>
              </w:rPr>
            </w:pPr>
          </w:p>
          <w:p w:rsidR="009554D7" w:rsidRDefault="009554D7" w:rsidP="005C1518">
            <w:pPr>
              <w:jc w:val="both"/>
              <w:rPr>
                <w:rFonts w:cs="Arial"/>
                <w:sz w:val="20"/>
                <w:szCs w:val="20"/>
              </w:rPr>
            </w:pPr>
          </w:p>
          <w:p w:rsidR="009554D7" w:rsidRDefault="009554D7" w:rsidP="005C1518">
            <w:pPr>
              <w:jc w:val="both"/>
              <w:rPr>
                <w:rFonts w:cs="Arial"/>
                <w:sz w:val="20"/>
                <w:szCs w:val="20"/>
              </w:rPr>
            </w:pPr>
          </w:p>
          <w:p w:rsidR="009554D7" w:rsidRDefault="009554D7" w:rsidP="005C1518">
            <w:pPr>
              <w:jc w:val="both"/>
              <w:rPr>
                <w:rFonts w:cs="Arial"/>
                <w:sz w:val="20"/>
                <w:szCs w:val="20"/>
              </w:rPr>
            </w:pPr>
          </w:p>
          <w:p w:rsidR="009554D7" w:rsidRDefault="009554D7" w:rsidP="005C1518">
            <w:pPr>
              <w:jc w:val="both"/>
              <w:rPr>
                <w:rFonts w:cs="Arial"/>
                <w:sz w:val="20"/>
                <w:szCs w:val="20"/>
              </w:rPr>
            </w:pPr>
          </w:p>
          <w:p w:rsidR="009554D7" w:rsidRPr="00653C4B" w:rsidRDefault="009554D7" w:rsidP="005C1518">
            <w:pPr>
              <w:jc w:val="both"/>
              <w:rPr>
                <w:rFonts w:cs="Arial"/>
                <w:sz w:val="20"/>
                <w:szCs w:val="20"/>
              </w:rPr>
            </w:pPr>
          </w:p>
        </w:tc>
      </w:tr>
      <w:tr w:rsidR="00E84938" w:rsidTr="00BD4AFD">
        <w:trPr>
          <w:cantSplit/>
        </w:trPr>
        <w:tc>
          <w:tcPr>
            <w:tcW w:w="1222" w:type="dxa"/>
          </w:tcPr>
          <w:p w:rsidR="00E84938" w:rsidRPr="001D77F7" w:rsidRDefault="00E84938" w:rsidP="008724D6">
            <w:pPr>
              <w:jc w:val="right"/>
              <w:rPr>
                <w:b/>
              </w:rPr>
            </w:pPr>
            <w:r w:rsidRPr="00197677">
              <w:rPr>
                <w:rFonts w:cs="Arial"/>
                <w:sz w:val="20"/>
                <w:szCs w:val="20"/>
              </w:rPr>
              <w:t>Requirements</w:t>
            </w:r>
          </w:p>
        </w:tc>
        <w:tc>
          <w:tcPr>
            <w:tcW w:w="8128" w:type="dxa"/>
          </w:tcPr>
          <w:p w:rsidR="001026F6" w:rsidRPr="001026F6" w:rsidRDefault="001026F6" w:rsidP="001026F6">
            <w:pPr>
              <w:jc w:val="both"/>
              <w:rPr>
                <w:sz w:val="20"/>
                <w:szCs w:val="20"/>
              </w:rPr>
            </w:pPr>
            <w:r w:rsidRPr="001026F6">
              <w:rPr>
                <w:sz w:val="20"/>
                <w:szCs w:val="20"/>
              </w:rPr>
              <w:t>1.</w:t>
            </w:r>
            <w:r w:rsidRPr="001026F6">
              <w:rPr>
                <w:sz w:val="20"/>
                <w:szCs w:val="20"/>
              </w:rPr>
              <w:tab/>
              <w:t xml:space="preserve">The rebate applies to gas-for-gas equipment replacements on burnout (ROB). </w:t>
            </w:r>
          </w:p>
          <w:p w:rsidR="001026F6" w:rsidRPr="001026F6" w:rsidRDefault="001026F6" w:rsidP="001026F6">
            <w:pPr>
              <w:jc w:val="both"/>
              <w:rPr>
                <w:sz w:val="20"/>
                <w:szCs w:val="20"/>
              </w:rPr>
            </w:pPr>
            <w:r w:rsidRPr="001026F6">
              <w:rPr>
                <w:sz w:val="20"/>
                <w:szCs w:val="20"/>
              </w:rPr>
              <w:t>2.</w:t>
            </w:r>
            <w:r w:rsidRPr="001026F6">
              <w:rPr>
                <w:sz w:val="20"/>
                <w:szCs w:val="20"/>
              </w:rPr>
              <w:tab/>
              <w:t xml:space="preserve">Qualifying storage water heaters must have an input rate of at least 75 kBtuh and a storage tank size of at least 80 gallons. </w:t>
            </w:r>
          </w:p>
          <w:p w:rsidR="001026F6" w:rsidRPr="001026F6" w:rsidRDefault="001026F6" w:rsidP="001026F6">
            <w:pPr>
              <w:jc w:val="both"/>
              <w:rPr>
                <w:sz w:val="20"/>
                <w:szCs w:val="20"/>
              </w:rPr>
            </w:pPr>
            <w:r w:rsidRPr="001026F6">
              <w:rPr>
                <w:sz w:val="20"/>
                <w:szCs w:val="20"/>
              </w:rPr>
              <w:t>3.</w:t>
            </w:r>
            <w:r w:rsidRPr="001026F6">
              <w:rPr>
                <w:sz w:val="20"/>
                <w:szCs w:val="20"/>
              </w:rPr>
              <w:tab/>
              <w:t xml:space="preserve">Tankless water heaters or hot water boilers with a separate storage tank that are factory mounted on the same skid do not qualify as a storage water heater. </w:t>
            </w:r>
          </w:p>
          <w:p w:rsidR="001026F6" w:rsidRPr="001026F6" w:rsidRDefault="001026F6" w:rsidP="001026F6">
            <w:pPr>
              <w:jc w:val="both"/>
              <w:rPr>
                <w:sz w:val="20"/>
                <w:szCs w:val="20"/>
              </w:rPr>
            </w:pPr>
            <w:r w:rsidRPr="001026F6">
              <w:rPr>
                <w:sz w:val="20"/>
                <w:szCs w:val="20"/>
              </w:rPr>
              <w:t>4.</w:t>
            </w:r>
            <w:r w:rsidRPr="001026F6">
              <w:rPr>
                <w:sz w:val="20"/>
                <w:szCs w:val="20"/>
              </w:rPr>
              <w:tab/>
              <w:t xml:space="preserve">Storage water heaters used for space heating applications do not qualify. </w:t>
            </w:r>
          </w:p>
          <w:p w:rsidR="001026F6" w:rsidRPr="001026F6" w:rsidRDefault="001026F6" w:rsidP="001026F6">
            <w:pPr>
              <w:jc w:val="both"/>
              <w:rPr>
                <w:sz w:val="20"/>
                <w:szCs w:val="20"/>
              </w:rPr>
            </w:pPr>
            <w:r w:rsidRPr="001026F6">
              <w:rPr>
                <w:sz w:val="20"/>
                <w:szCs w:val="20"/>
              </w:rPr>
              <w:t>5.</w:t>
            </w:r>
            <w:r w:rsidRPr="001026F6">
              <w:rPr>
                <w:sz w:val="20"/>
                <w:szCs w:val="20"/>
              </w:rPr>
              <w:tab/>
              <w:t xml:space="preserve">Water heaters used for pools or spas do not qualify.  </w:t>
            </w:r>
          </w:p>
          <w:p w:rsidR="001026F6" w:rsidRPr="001026F6" w:rsidRDefault="001026F6" w:rsidP="001026F6">
            <w:pPr>
              <w:jc w:val="both"/>
              <w:rPr>
                <w:sz w:val="20"/>
                <w:szCs w:val="20"/>
              </w:rPr>
            </w:pPr>
            <w:r w:rsidRPr="001026F6">
              <w:rPr>
                <w:sz w:val="20"/>
                <w:szCs w:val="20"/>
              </w:rPr>
              <w:t>6.</w:t>
            </w:r>
            <w:r w:rsidRPr="001026F6">
              <w:rPr>
                <w:sz w:val="20"/>
                <w:szCs w:val="20"/>
              </w:rPr>
              <w:tab/>
              <w:t xml:space="preserve">The manufacturer’s name and equipment model number must be provided.  </w:t>
            </w:r>
          </w:p>
          <w:p w:rsidR="001026F6" w:rsidRPr="001026F6" w:rsidRDefault="001026F6" w:rsidP="001026F6">
            <w:pPr>
              <w:jc w:val="both"/>
              <w:rPr>
                <w:sz w:val="20"/>
                <w:szCs w:val="20"/>
              </w:rPr>
            </w:pPr>
            <w:r w:rsidRPr="001026F6">
              <w:rPr>
                <w:sz w:val="20"/>
                <w:szCs w:val="20"/>
              </w:rPr>
              <w:t>7.</w:t>
            </w:r>
            <w:r w:rsidRPr="001026F6">
              <w:rPr>
                <w:sz w:val="20"/>
                <w:szCs w:val="20"/>
              </w:rPr>
              <w:tab/>
              <w:t xml:space="preserve">If necessary, customer must provide proof of unit efficiency (e.g., manufacturer’s equipment specification sheet).  </w:t>
            </w:r>
          </w:p>
          <w:p w:rsidR="001026F6" w:rsidRPr="001026F6" w:rsidRDefault="001026F6" w:rsidP="001026F6">
            <w:pPr>
              <w:jc w:val="both"/>
              <w:rPr>
                <w:sz w:val="20"/>
                <w:szCs w:val="20"/>
              </w:rPr>
            </w:pPr>
            <w:r w:rsidRPr="001026F6">
              <w:rPr>
                <w:sz w:val="20"/>
                <w:szCs w:val="20"/>
              </w:rPr>
              <w:t>8.</w:t>
            </w:r>
            <w:r w:rsidRPr="001026F6">
              <w:rPr>
                <w:sz w:val="20"/>
                <w:szCs w:val="20"/>
              </w:rPr>
              <w:tab/>
              <w:t>The equipment model must be listed on California Energy Commission Energy Efficiency Appliance Database (CEC Database)  to qualify for the rebate.</w:t>
            </w:r>
          </w:p>
          <w:p w:rsidR="007E7E00" w:rsidRDefault="001026F6" w:rsidP="001026F6">
            <w:pPr>
              <w:jc w:val="both"/>
              <w:rPr>
                <w:sz w:val="20"/>
                <w:szCs w:val="20"/>
              </w:rPr>
            </w:pPr>
            <w:r w:rsidRPr="001026F6">
              <w:rPr>
                <w:sz w:val="20"/>
                <w:szCs w:val="20"/>
              </w:rPr>
              <w:t>9.</w:t>
            </w:r>
            <w:r w:rsidRPr="001026F6">
              <w:rPr>
                <w:sz w:val="20"/>
                <w:szCs w:val="20"/>
              </w:rPr>
              <w:tab/>
              <w:t>The equipment must meet the minimum emission requirements per air district.</w:t>
            </w:r>
          </w:p>
          <w:p w:rsidR="007E7E00" w:rsidRPr="00555671" w:rsidRDefault="007E7E00" w:rsidP="001D6A64">
            <w:pPr>
              <w:jc w:val="both"/>
              <w:rPr>
                <w:sz w:val="20"/>
                <w:szCs w:val="20"/>
              </w:rPr>
            </w:pPr>
          </w:p>
        </w:tc>
      </w:tr>
      <w:tr w:rsidR="00DB71F1" w:rsidTr="00BD4AFD">
        <w:trPr>
          <w:cantSplit/>
        </w:trPr>
        <w:tc>
          <w:tcPr>
            <w:tcW w:w="1222" w:type="dxa"/>
          </w:tcPr>
          <w:p w:rsidR="00DB71F1" w:rsidRPr="001D77F7" w:rsidRDefault="00DB71F1" w:rsidP="009B3354">
            <w:pPr>
              <w:rPr>
                <w:b/>
              </w:rPr>
            </w:pPr>
            <w:r w:rsidRPr="001D77F7">
              <w:rPr>
                <w:b/>
              </w:rPr>
              <w:t>1.3 Installation Type and Delivery Mechanisms</w:t>
            </w:r>
          </w:p>
        </w:tc>
        <w:tc>
          <w:tcPr>
            <w:tcW w:w="8128" w:type="dxa"/>
          </w:tcPr>
          <w:p w:rsidR="00DB71F1" w:rsidRPr="00D86243" w:rsidRDefault="00DB71F1" w:rsidP="009B3354">
            <w:pPr>
              <w:rPr>
                <w:rFonts w:cs="Arial"/>
                <w:sz w:val="20"/>
                <w:szCs w:val="20"/>
              </w:rPr>
            </w:pPr>
          </w:p>
        </w:tc>
      </w:tr>
      <w:tr w:rsidR="00DB71F1" w:rsidTr="00BD4AFD">
        <w:trPr>
          <w:cantSplit/>
        </w:trPr>
        <w:tc>
          <w:tcPr>
            <w:tcW w:w="1222" w:type="dxa"/>
            <w:vAlign w:val="center"/>
          </w:tcPr>
          <w:p w:rsidR="00DB71F1" w:rsidRPr="00822B6F" w:rsidRDefault="00DB71F1" w:rsidP="009B3354">
            <w:pPr>
              <w:jc w:val="right"/>
              <w:rPr>
                <w:sz w:val="20"/>
                <w:szCs w:val="20"/>
              </w:rPr>
            </w:pPr>
            <w:r w:rsidRPr="00822B6F">
              <w:rPr>
                <w:sz w:val="20"/>
                <w:szCs w:val="20"/>
              </w:rPr>
              <w:lastRenderedPageBreak/>
              <w:t>Installation Type</w:t>
            </w:r>
          </w:p>
        </w:tc>
        <w:tc>
          <w:tcPr>
            <w:tcW w:w="8128" w:type="dxa"/>
          </w:tcPr>
          <w:p w:rsidR="00CF2ABA" w:rsidRPr="00393EC8" w:rsidRDefault="008C2C8A" w:rsidP="00FE636E">
            <w:pPr>
              <w:rPr>
                <w:rFonts w:cs="Arial"/>
                <w:sz w:val="20"/>
                <w:szCs w:val="20"/>
              </w:rPr>
            </w:pPr>
            <w:r w:rsidRPr="00FE636E">
              <w:rPr>
                <w:rFonts w:cs="Arial"/>
                <w:sz w:val="20"/>
                <w:szCs w:val="20"/>
              </w:rPr>
              <w:t>Replace on Burn-out (ROB)</w:t>
            </w:r>
            <w:r w:rsidR="00CF2ABA" w:rsidRPr="00FE636E">
              <w:rPr>
                <w:rFonts w:cs="Arial"/>
                <w:sz w:val="20"/>
                <w:szCs w:val="20"/>
              </w:rPr>
              <w:t xml:space="preserve"> </w:t>
            </w:r>
          </w:p>
        </w:tc>
      </w:tr>
      <w:tr w:rsidR="00DB71F1" w:rsidTr="00BD4AFD">
        <w:trPr>
          <w:cantSplit/>
        </w:trPr>
        <w:tc>
          <w:tcPr>
            <w:tcW w:w="1222" w:type="dxa"/>
            <w:vAlign w:val="center"/>
          </w:tcPr>
          <w:p w:rsidR="00DB71F1" w:rsidRPr="00822B6F" w:rsidRDefault="00DB71F1" w:rsidP="009B3354">
            <w:pPr>
              <w:jc w:val="right"/>
              <w:rPr>
                <w:sz w:val="20"/>
                <w:szCs w:val="20"/>
              </w:rPr>
            </w:pPr>
            <w:r w:rsidRPr="00822B6F">
              <w:rPr>
                <w:sz w:val="20"/>
                <w:szCs w:val="20"/>
              </w:rPr>
              <w:t>Delivery Mechanisms</w:t>
            </w:r>
          </w:p>
        </w:tc>
        <w:tc>
          <w:tcPr>
            <w:tcW w:w="8128" w:type="dxa"/>
          </w:tcPr>
          <w:p w:rsidR="00DB71F1" w:rsidRDefault="00DB71F1" w:rsidP="00FE636E">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rsidR="003F371A" w:rsidRDefault="003F371A" w:rsidP="00FE636E">
            <w:pPr>
              <w:rPr>
                <w:rFonts w:cs="Arial"/>
                <w:sz w:val="20"/>
                <w:szCs w:val="20"/>
              </w:rPr>
            </w:pPr>
            <w:r>
              <w:rPr>
                <w:rFonts w:cs="Arial"/>
                <w:sz w:val="20"/>
                <w:szCs w:val="20"/>
              </w:rPr>
              <w:t>Direct Install</w:t>
            </w:r>
          </w:p>
          <w:p w:rsidR="00B9551F" w:rsidRPr="00FE636E" w:rsidRDefault="00B9551F" w:rsidP="00FE636E">
            <w:pPr>
              <w:rPr>
                <w:rFonts w:cs="Arial"/>
                <w:sz w:val="20"/>
                <w:szCs w:val="20"/>
              </w:rPr>
            </w:pPr>
          </w:p>
        </w:tc>
      </w:tr>
      <w:tr w:rsidR="00DB71F1" w:rsidTr="00BD4AFD">
        <w:trPr>
          <w:cantSplit/>
        </w:trPr>
        <w:tc>
          <w:tcPr>
            <w:tcW w:w="1222" w:type="dxa"/>
          </w:tcPr>
          <w:p w:rsidR="00DB71F1" w:rsidRPr="001D77F7" w:rsidRDefault="00DB71F1" w:rsidP="009B3354">
            <w:pPr>
              <w:rPr>
                <w:b/>
              </w:rPr>
            </w:pPr>
            <w:r w:rsidRPr="001D77F7">
              <w:rPr>
                <w:b/>
              </w:rPr>
              <w:t>1.4.1 DEER Data</w:t>
            </w:r>
          </w:p>
        </w:tc>
        <w:tc>
          <w:tcPr>
            <w:tcW w:w="8128" w:type="dxa"/>
          </w:tcPr>
          <w:p w:rsidR="00DB71F1" w:rsidRDefault="00DB71F1" w:rsidP="009B3354"/>
        </w:tc>
      </w:tr>
      <w:tr w:rsidR="00A61271" w:rsidTr="00BD4AFD">
        <w:trPr>
          <w:cantSplit/>
        </w:trPr>
        <w:tc>
          <w:tcPr>
            <w:tcW w:w="1222" w:type="dxa"/>
            <w:vAlign w:val="center"/>
          </w:tcPr>
          <w:p w:rsidR="00A61271" w:rsidRPr="00822B6F" w:rsidRDefault="00A61271" w:rsidP="009B3354">
            <w:pPr>
              <w:jc w:val="right"/>
              <w:rPr>
                <w:sz w:val="20"/>
                <w:szCs w:val="20"/>
              </w:rPr>
            </w:pPr>
            <w:r w:rsidRPr="00822B6F">
              <w:rPr>
                <w:sz w:val="20"/>
                <w:szCs w:val="20"/>
              </w:rPr>
              <w:t>Net-to-Gross Ratio</w:t>
            </w:r>
          </w:p>
        </w:tc>
        <w:tc>
          <w:tcPr>
            <w:tcW w:w="8128" w:type="dxa"/>
          </w:tcPr>
          <w:p w:rsidR="0090016E" w:rsidRPr="00D86243" w:rsidRDefault="0090016E" w:rsidP="009B3354">
            <w:pPr>
              <w:tabs>
                <w:tab w:val="right" w:pos="6732"/>
              </w:tabs>
              <w:rPr>
                <w:rFonts w:cs="Arial"/>
                <w:sz w:val="20"/>
                <w:szCs w:val="20"/>
              </w:rPr>
            </w:pPr>
            <w:r w:rsidRPr="0090016E">
              <w:rPr>
                <w:rFonts w:cs="Arial"/>
                <w:sz w:val="20"/>
                <w:szCs w:val="20"/>
              </w:rPr>
              <w:t>Res-Default&gt;2yrs</w:t>
            </w:r>
            <w:r w:rsidR="00BB5D3A">
              <w:rPr>
                <w:rFonts w:cs="Arial"/>
                <w:sz w:val="20"/>
                <w:szCs w:val="20"/>
              </w:rPr>
              <w:t xml:space="preserve"> (0.55)</w:t>
            </w:r>
          </w:p>
        </w:tc>
      </w:tr>
      <w:tr w:rsidR="00A61271" w:rsidTr="00BD4AFD">
        <w:trPr>
          <w:cantSplit/>
        </w:trPr>
        <w:tc>
          <w:tcPr>
            <w:tcW w:w="1222" w:type="dxa"/>
            <w:vAlign w:val="center"/>
          </w:tcPr>
          <w:p w:rsidR="00A61271" w:rsidRPr="00822B6F" w:rsidRDefault="00A61271" w:rsidP="009B3354">
            <w:pPr>
              <w:jc w:val="right"/>
              <w:rPr>
                <w:sz w:val="20"/>
                <w:szCs w:val="20"/>
              </w:rPr>
            </w:pPr>
            <w:r w:rsidRPr="00822B6F">
              <w:rPr>
                <w:sz w:val="20"/>
                <w:szCs w:val="20"/>
              </w:rPr>
              <w:t>Effective and Remaining Useful Life</w:t>
            </w:r>
          </w:p>
        </w:tc>
        <w:tc>
          <w:tcPr>
            <w:tcW w:w="8128" w:type="dxa"/>
          </w:tcPr>
          <w:p w:rsidR="00BB5D3A" w:rsidRDefault="001026F6">
            <w:pPr>
              <w:tabs>
                <w:tab w:val="right" w:pos="6732"/>
              </w:tabs>
              <w:rPr>
                <w:rFonts w:cs="Arial"/>
                <w:sz w:val="20"/>
                <w:szCs w:val="20"/>
              </w:rPr>
            </w:pPr>
            <w:r w:rsidRPr="001026F6">
              <w:rPr>
                <w:rFonts w:cs="Arial"/>
                <w:sz w:val="20"/>
                <w:szCs w:val="20"/>
              </w:rPr>
              <w:t>WtrHt-LrgStrg-Gas</w:t>
            </w:r>
            <w:r>
              <w:rPr>
                <w:rFonts w:cs="Arial"/>
                <w:sz w:val="20"/>
                <w:szCs w:val="20"/>
              </w:rPr>
              <w:t xml:space="preserve"> (EUL</w:t>
            </w:r>
            <w:r w:rsidR="00BB5D3A">
              <w:rPr>
                <w:rFonts w:cs="Arial"/>
                <w:sz w:val="20"/>
                <w:szCs w:val="20"/>
              </w:rPr>
              <w:t xml:space="preserve"> = 15</w:t>
            </w:r>
            <w:r>
              <w:rPr>
                <w:rFonts w:cs="Arial"/>
                <w:sz w:val="20"/>
                <w:szCs w:val="20"/>
              </w:rPr>
              <w:t xml:space="preserve"> Years)</w:t>
            </w:r>
          </w:p>
          <w:p w:rsidR="00402B3D" w:rsidRPr="00D86243" w:rsidRDefault="00BB5D3A">
            <w:pPr>
              <w:tabs>
                <w:tab w:val="right" w:pos="6732"/>
              </w:tabs>
              <w:rPr>
                <w:rFonts w:cs="Arial"/>
                <w:sz w:val="20"/>
                <w:szCs w:val="20"/>
              </w:rPr>
            </w:pPr>
            <w:r>
              <w:rPr>
                <w:rFonts w:cs="Arial"/>
                <w:sz w:val="20"/>
                <w:szCs w:val="20"/>
              </w:rPr>
              <w:br/>
              <w:t xml:space="preserve">Since </w:t>
            </w:r>
            <w:r w:rsidRPr="00BB5D3A">
              <w:rPr>
                <w:rFonts w:cs="Arial"/>
                <w:sz w:val="20"/>
                <w:szCs w:val="20"/>
              </w:rPr>
              <w:t>commercial storage water heaters are used as central storage water heaters in multifamily residential applications, the appropriate EUL for use in this workpaper is 15 years</w:t>
            </w:r>
          </w:p>
        </w:tc>
      </w:tr>
      <w:tr w:rsidR="00A61271" w:rsidTr="00BD4AFD">
        <w:trPr>
          <w:cantSplit/>
        </w:trPr>
        <w:tc>
          <w:tcPr>
            <w:tcW w:w="1222" w:type="dxa"/>
            <w:vAlign w:val="center"/>
          </w:tcPr>
          <w:p w:rsidR="00A61271" w:rsidRPr="001D77F7" w:rsidRDefault="00A61271" w:rsidP="009B3354">
            <w:pPr>
              <w:rPr>
                <w:b/>
              </w:rPr>
            </w:pPr>
            <w:r w:rsidRPr="001D77F7">
              <w:rPr>
                <w:b/>
              </w:rPr>
              <w:t>Section 2. Calculation Methodology</w:t>
            </w:r>
          </w:p>
        </w:tc>
        <w:tc>
          <w:tcPr>
            <w:tcW w:w="8128" w:type="dxa"/>
            <w:vAlign w:val="center"/>
          </w:tcPr>
          <w:p w:rsidR="00BD4AFD" w:rsidRPr="00241A1F" w:rsidRDefault="00BD4AFD">
            <w:pPr>
              <w:rPr>
                <w:rFonts w:cs="Arial"/>
                <w:sz w:val="20"/>
                <w:szCs w:val="20"/>
              </w:rPr>
            </w:pPr>
          </w:p>
        </w:tc>
      </w:tr>
      <w:tr w:rsidR="00A61271" w:rsidTr="00BD4AFD">
        <w:trPr>
          <w:cantSplit/>
        </w:trPr>
        <w:tc>
          <w:tcPr>
            <w:tcW w:w="1222" w:type="dxa"/>
            <w:vAlign w:val="center"/>
          </w:tcPr>
          <w:p w:rsidR="00A61271" w:rsidRDefault="00A61271" w:rsidP="00787D7C">
            <w:pPr>
              <w:jc w:val="right"/>
            </w:pPr>
            <w:r>
              <w:rPr>
                <w:rFonts w:cs="Arial"/>
                <w:sz w:val="20"/>
                <w:szCs w:val="20"/>
              </w:rPr>
              <w:lastRenderedPageBreak/>
              <w:t>Energy Savings/Peak Demand Reduction – All Measures</w:t>
            </w:r>
          </w:p>
        </w:tc>
        <w:tc>
          <w:tcPr>
            <w:tcW w:w="8128" w:type="dxa"/>
          </w:tcPr>
          <w:p w:rsidR="00315E66" w:rsidRPr="00315E66" w:rsidRDefault="00315E66" w:rsidP="00315E66">
            <w:pPr>
              <w:tabs>
                <w:tab w:val="right" w:pos="6732"/>
              </w:tabs>
              <w:jc w:val="both"/>
              <w:rPr>
                <w:rFonts w:cs="Arial"/>
                <w:sz w:val="20"/>
                <w:szCs w:val="20"/>
              </w:rPr>
            </w:pPr>
            <w:r w:rsidRPr="00315E66">
              <w:rPr>
                <w:rFonts w:cs="Arial"/>
                <w:sz w:val="20"/>
                <w:szCs w:val="20"/>
              </w:rPr>
              <w:t xml:space="preserve">The annual water heater gas energy use for the 16 California Energy Commission are estab-lished by applying 16 adjustment factors to the state average storage water heater gas con-sumption for multifamily apartments/units from the 2009 California Residential Appliance Satu-ration Study (RASS).  </w:t>
            </w:r>
          </w:p>
          <w:p w:rsidR="00315E66" w:rsidRPr="00315E66" w:rsidRDefault="00315E66" w:rsidP="00315E66">
            <w:pPr>
              <w:tabs>
                <w:tab w:val="right" w:pos="6732"/>
              </w:tabs>
              <w:jc w:val="both"/>
              <w:rPr>
                <w:rFonts w:cs="Arial"/>
                <w:sz w:val="20"/>
                <w:szCs w:val="20"/>
              </w:rPr>
            </w:pPr>
          </w:p>
          <w:p w:rsidR="00CA48A0" w:rsidRDefault="00315E66" w:rsidP="00315E66">
            <w:pPr>
              <w:tabs>
                <w:tab w:val="right" w:pos="6732"/>
              </w:tabs>
              <w:jc w:val="both"/>
              <w:rPr>
                <w:rFonts w:cs="Arial"/>
                <w:sz w:val="20"/>
                <w:szCs w:val="20"/>
              </w:rPr>
            </w:pPr>
            <w:r w:rsidRPr="00315E66">
              <w:rPr>
                <w:rFonts w:cs="Arial"/>
                <w:sz w:val="20"/>
                <w:szCs w:val="20"/>
              </w:rPr>
              <w:t>The adjustment factors were developed using 2013 ground temperature data and the “Build-ing America Multi-Family Central Water Heating Evaluation Tool” from the Department of En-ergy’s Office of Energy Efficiency and Renewable Energy to model the annual water heater gas consumption for the 16 climate zones. The annual consu</w:t>
            </w:r>
            <w:r>
              <w:rPr>
                <w:rFonts w:cs="Arial"/>
                <w:sz w:val="20"/>
                <w:szCs w:val="20"/>
              </w:rPr>
              <w:t>mption associated with each cli</w:t>
            </w:r>
            <w:r w:rsidRPr="00315E66">
              <w:rPr>
                <w:rFonts w:cs="Arial"/>
                <w:sz w:val="20"/>
                <w:szCs w:val="20"/>
              </w:rPr>
              <w:t>mate zone was then divided by the median of consumptions in all 16 climate zones to estimate the adjustment factor for each climate zone,</w:t>
            </w:r>
            <w:r>
              <w:rPr>
                <w:rFonts w:cs="Arial"/>
                <w:sz w:val="20"/>
                <w:szCs w:val="20"/>
              </w:rPr>
              <w:t xml:space="preserve"> which are presented in Figure 1</w:t>
            </w:r>
            <w:r w:rsidRPr="00315E66">
              <w:rPr>
                <w:rFonts w:cs="Arial"/>
                <w:sz w:val="20"/>
                <w:szCs w:val="20"/>
              </w:rPr>
              <w:t xml:space="preserve">. </w:t>
            </w:r>
          </w:p>
          <w:p w:rsidR="00315E66" w:rsidRDefault="00315E66" w:rsidP="00315E66">
            <w:pPr>
              <w:tabs>
                <w:tab w:val="right" w:pos="6732"/>
              </w:tabs>
              <w:jc w:val="both"/>
              <w:rPr>
                <w:rFonts w:cs="Arial"/>
                <w:sz w:val="20"/>
                <w:szCs w:val="20"/>
              </w:rPr>
            </w:pPr>
          </w:p>
          <w:p w:rsidR="00315E66" w:rsidRDefault="00315E66" w:rsidP="00315E66">
            <w:pPr>
              <w:tabs>
                <w:tab w:val="right" w:pos="6732"/>
              </w:tabs>
              <w:jc w:val="both"/>
              <w:rPr>
                <w:rFonts w:cs="Arial"/>
                <w:sz w:val="20"/>
                <w:szCs w:val="20"/>
              </w:rPr>
            </w:pPr>
            <w:r>
              <w:rPr>
                <w:rFonts w:cs="Arial"/>
                <w:sz w:val="20"/>
                <w:szCs w:val="20"/>
              </w:rPr>
              <w:t>Figure 1</w:t>
            </w:r>
            <w:r w:rsidRPr="00315E66">
              <w:rPr>
                <w:rFonts w:cs="Arial"/>
                <w:sz w:val="20"/>
                <w:szCs w:val="20"/>
              </w:rPr>
              <w:t xml:space="preserve"> - Water Heater Gas Consumption Adjustment Factors for the California 16 Climate Zones</w:t>
            </w:r>
          </w:p>
          <w:p w:rsidR="00315E66" w:rsidRDefault="00315E66" w:rsidP="00315E66">
            <w:pPr>
              <w:tabs>
                <w:tab w:val="right" w:pos="6732"/>
              </w:tabs>
              <w:jc w:val="both"/>
              <w:rPr>
                <w:rFonts w:cs="Arial"/>
                <w:sz w:val="20"/>
                <w:szCs w:val="20"/>
              </w:rPr>
            </w:pPr>
          </w:p>
          <w:p w:rsidR="00315E66" w:rsidRDefault="00315E66" w:rsidP="00315E66">
            <w:pPr>
              <w:tabs>
                <w:tab w:val="right" w:pos="6732"/>
              </w:tabs>
              <w:jc w:val="both"/>
              <w:rPr>
                <w:rFonts w:cs="Arial"/>
                <w:sz w:val="20"/>
                <w:szCs w:val="20"/>
              </w:rPr>
            </w:pPr>
            <w:r>
              <w:rPr>
                <w:rFonts w:cs="Arial"/>
                <w:noProof/>
                <w:sz w:val="20"/>
                <w:szCs w:val="20"/>
              </w:rPr>
              <w:drawing>
                <wp:inline distT="0" distB="0" distL="0" distR="0" wp14:anchorId="50423E5D">
                  <wp:extent cx="4733545" cy="21736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8011" cy="2180339"/>
                          </a:xfrm>
                          <a:prstGeom prst="rect">
                            <a:avLst/>
                          </a:prstGeom>
                          <a:noFill/>
                        </pic:spPr>
                      </pic:pic>
                    </a:graphicData>
                  </a:graphic>
                </wp:inline>
              </w:drawing>
            </w:r>
          </w:p>
          <w:p w:rsidR="00315E66" w:rsidRDefault="00315E66" w:rsidP="00315E66">
            <w:pPr>
              <w:tabs>
                <w:tab w:val="right" w:pos="6732"/>
              </w:tabs>
              <w:jc w:val="both"/>
              <w:rPr>
                <w:rFonts w:cs="Arial"/>
                <w:sz w:val="20"/>
                <w:szCs w:val="20"/>
              </w:rPr>
            </w:pPr>
          </w:p>
          <w:p w:rsidR="00315E66" w:rsidRDefault="00315E66" w:rsidP="00315E66">
            <w:pPr>
              <w:tabs>
                <w:tab w:val="right" w:pos="6732"/>
              </w:tabs>
              <w:jc w:val="both"/>
              <w:rPr>
                <w:rFonts w:cs="Arial"/>
                <w:sz w:val="20"/>
                <w:szCs w:val="20"/>
              </w:rPr>
            </w:pPr>
            <w:r w:rsidRPr="00315E66">
              <w:rPr>
                <w:rFonts w:cs="Arial"/>
                <w:sz w:val="20"/>
                <w:szCs w:val="20"/>
              </w:rPr>
              <w:t>The calculated adjustment factors are applied to the state average gas consumption for multi-family apartment unit from RASS to establish the baseline water heater gas consumption for the 16 climate zones.</w:t>
            </w:r>
          </w:p>
          <w:p w:rsidR="00315E66" w:rsidRPr="00315E66" w:rsidRDefault="00315E66" w:rsidP="00315E66">
            <w:pPr>
              <w:tabs>
                <w:tab w:val="right" w:pos="6732"/>
              </w:tabs>
              <w:jc w:val="both"/>
              <w:rPr>
                <w:rFonts w:cs="Arial"/>
                <w:sz w:val="20"/>
                <w:szCs w:val="20"/>
              </w:rPr>
            </w:pPr>
          </w:p>
          <w:p w:rsidR="00315E66" w:rsidRDefault="00315E66" w:rsidP="00315E66">
            <w:pPr>
              <w:tabs>
                <w:tab w:val="right" w:pos="6732"/>
              </w:tabs>
              <w:jc w:val="both"/>
              <w:rPr>
                <w:rFonts w:cs="Arial"/>
                <w:sz w:val="20"/>
                <w:szCs w:val="20"/>
              </w:rPr>
            </w:pPr>
            <w:r w:rsidRPr="00315E66">
              <w:rPr>
                <w:rFonts w:cs="Arial"/>
                <w:sz w:val="20"/>
                <w:szCs w:val="20"/>
              </w:rPr>
              <w:t xml:space="preserve">The following steps were then taken to derive the gas savings per unit of water heater capacity (kBtuh): </w:t>
            </w:r>
          </w:p>
          <w:p w:rsidR="00315E66" w:rsidRPr="00315E66" w:rsidRDefault="00315E66" w:rsidP="00315E66">
            <w:pPr>
              <w:tabs>
                <w:tab w:val="right" w:pos="6732"/>
              </w:tabs>
              <w:jc w:val="both"/>
              <w:rPr>
                <w:rFonts w:cs="Arial"/>
                <w:sz w:val="20"/>
                <w:szCs w:val="20"/>
              </w:rPr>
            </w:pPr>
          </w:p>
          <w:p w:rsidR="00315E66" w:rsidRPr="00315E66" w:rsidRDefault="00315E66" w:rsidP="00315E66">
            <w:pPr>
              <w:tabs>
                <w:tab w:val="num" w:pos="1584"/>
                <w:tab w:val="right" w:pos="6732"/>
              </w:tabs>
              <w:jc w:val="both"/>
              <w:rPr>
                <w:rFonts w:cs="Arial"/>
                <w:sz w:val="20"/>
                <w:szCs w:val="20"/>
              </w:rPr>
            </w:pPr>
            <w:r w:rsidRPr="00315E66">
              <w:rPr>
                <w:rFonts w:cs="Arial"/>
                <w:sz w:val="20"/>
                <w:szCs w:val="20"/>
              </w:rPr>
              <w:t>Determine average rated input of central storage water heater per dwelling unit along with average number of occupants per dwelling unit. These resources can be found in Attachment E.</w:t>
            </w:r>
          </w:p>
          <w:p w:rsidR="00315E66" w:rsidRPr="00315E66" w:rsidRDefault="00315E66" w:rsidP="00315E66">
            <w:pPr>
              <w:tabs>
                <w:tab w:val="num" w:pos="1584"/>
                <w:tab w:val="right" w:pos="6732"/>
              </w:tabs>
              <w:jc w:val="both"/>
              <w:rPr>
                <w:rFonts w:cs="Arial"/>
                <w:sz w:val="20"/>
                <w:szCs w:val="20"/>
              </w:rPr>
            </w:pPr>
            <w:r w:rsidRPr="00315E66">
              <w:rPr>
                <w:rFonts w:cs="Arial"/>
                <w:sz w:val="20"/>
                <w:szCs w:val="20"/>
              </w:rPr>
              <w:t xml:space="preserve">Calculate gas savings per kBtuh rated input from the baseline thermal efficiency and the measure thermal efficiency.  </w:t>
            </w:r>
          </w:p>
          <w:p w:rsidR="00315E66" w:rsidRPr="00315E66" w:rsidRDefault="00315E66" w:rsidP="00315E66">
            <w:pPr>
              <w:tabs>
                <w:tab w:val="right" w:pos="6732"/>
              </w:tabs>
              <w:jc w:val="both"/>
              <w:rPr>
                <w:rFonts w:cs="Arial"/>
                <w:sz w:val="20"/>
                <w:szCs w:val="20"/>
              </w:rPr>
            </w:pPr>
          </w:p>
          <w:p w:rsidR="00315E66" w:rsidRPr="00315E66" w:rsidRDefault="00315E66" w:rsidP="00315E66">
            <w:pPr>
              <w:pStyle w:val="ListParagraph"/>
              <w:numPr>
                <w:ilvl w:val="0"/>
                <w:numId w:val="20"/>
              </w:numPr>
              <w:tabs>
                <w:tab w:val="num" w:pos="1584"/>
                <w:tab w:val="right" w:pos="6732"/>
              </w:tabs>
              <w:jc w:val="both"/>
              <w:rPr>
                <w:rFonts w:cs="Arial"/>
                <w:sz w:val="20"/>
                <w:szCs w:val="20"/>
              </w:rPr>
            </w:pPr>
            <w:r w:rsidRPr="00315E66">
              <w:rPr>
                <w:rFonts w:cs="Arial"/>
                <w:sz w:val="20"/>
                <w:szCs w:val="20"/>
              </w:rPr>
              <w:t xml:space="preserve">For calculating energy savings, the following assumptions are used:  </w:t>
            </w:r>
          </w:p>
          <w:p w:rsidR="00315E66" w:rsidRPr="00315E66" w:rsidRDefault="00315E66" w:rsidP="00315E66">
            <w:pPr>
              <w:pStyle w:val="ListParagraph"/>
              <w:numPr>
                <w:ilvl w:val="0"/>
                <w:numId w:val="19"/>
              </w:numPr>
              <w:tabs>
                <w:tab w:val="num" w:pos="1584"/>
                <w:tab w:val="right" w:pos="6732"/>
              </w:tabs>
              <w:jc w:val="both"/>
              <w:rPr>
                <w:rFonts w:cs="Arial"/>
                <w:sz w:val="20"/>
                <w:szCs w:val="20"/>
              </w:rPr>
            </w:pPr>
            <w:r w:rsidRPr="00315E66">
              <w:rPr>
                <w:rFonts w:cs="Arial"/>
                <w:sz w:val="20"/>
                <w:szCs w:val="20"/>
              </w:rPr>
              <w:t xml:space="preserve">The average efficiency for the baseline products is a minimum TE of 80% based on California Title 20 code standard.  </w:t>
            </w:r>
          </w:p>
          <w:p w:rsidR="00315E66" w:rsidRPr="00315E66" w:rsidRDefault="00315E66" w:rsidP="00315E66">
            <w:pPr>
              <w:pStyle w:val="ListParagraph"/>
              <w:numPr>
                <w:ilvl w:val="0"/>
                <w:numId w:val="19"/>
              </w:numPr>
              <w:tabs>
                <w:tab w:val="num" w:pos="1584"/>
                <w:tab w:val="right" w:pos="6732"/>
              </w:tabs>
              <w:jc w:val="both"/>
              <w:rPr>
                <w:rFonts w:cs="Arial"/>
                <w:sz w:val="20"/>
                <w:szCs w:val="20"/>
              </w:rPr>
            </w:pPr>
            <w:r w:rsidRPr="00315E66">
              <w:rPr>
                <w:rFonts w:cs="Arial"/>
                <w:sz w:val="20"/>
                <w:szCs w:val="20"/>
              </w:rPr>
              <w:t xml:space="preserve">The average efficiencies for the qualifying products are: 1) a minimum TE of 83% for Tier 1 (non-condensing) large storage water heaters, 2) a minimum TE of 90% for Tier 2 (condensing) large storage water heaters.  </w:t>
            </w:r>
          </w:p>
          <w:p w:rsidR="00315E66" w:rsidRPr="00315E66" w:rsidRDefault="00315E66" w:rsidP="00315E66">
            <w:pPr>
              <w:tabs>
                <w:tab w:val="right" w:pos="6732"/>
              </w:tabs>
              <w:jc w:val="both"/>
              <w:rPr>
                <w:rFonts w:cs="Arial"/>
                <w:sz w:val="20"/>
                <w:szCs w:val="20"/>
              </w:rPr>
            </w:pPr>
          </w:p>
          <w:p w:rsidR="00315E66" w:rsidRPr="00315E66" w:rsidRDefault="00315E66" w:rsidP="00315E66">
            <w:pPr>
              <w:pStyle w:val="ListParagraph"/>
              <w:numPr>
                <w:ilvl w:val="0"/>
                <w:numId w:val="20"/>
              </w:numPr>
              <w:tabs>
                <w:tab w:val="num" w:pos="1584"/>
                <w:tab w:val="right" w:pos="6732"/>
              </w:tabs>
              <w:jc w:val="both"/>
              <w:rPr>
                <w:rFonts w:cs="Arial"/>
                <w:sz w:val="20"/>
                <w:szCs w:val="20"/>
              </w:rPr>
            </w:pPr>
            <w:r w:rsidRPr="00315E66">
              <w:rPr>
                <w:rFonts w:cs="Arial"/>
                <w:sz w:val="20"/>
                <w:szCs w:val="20"/>
              </w:rPr>
              <w:t xml:space="preserve">With these assumptions, the energy saved by a high-efficiency measure storage water heater can be calculated as follows:  </w:t>
            </w:r>
          </w:p>
          <w:p w:rsidR="00315E66" w:rsidRPr="00315E66" w:rsidRDefault="00315E66" w:rsidP="00315E66">
            <w:pPr>
              <w:tabs>
                <w:tab w:val="right" w:pos="6732"/>
              </w:tabs>
              <w:jc w:val="both"/>
              <w:rPr>
                <w:rFonts w:cs="Arial"/>
                <w:i/>
                <w:sz w:val="20"/>
                <w:szCs w:val="20"/>
              </w:rPr>
            </w:pPr>
            <w:r>
              <w:rPr>
                <w:rFonts w:cs="Arial"/>
                <w:i/>
                <w:sz w:val="20"/>
                <w:szCs w:val="20"/>
              </w:rPr>
              <w:t xml:space="preserve">        </w:t>
            </w:r>
            <w:r w:rsidRPr="00315E66">
              <w:rPr>
                <w:rFonts w:cs="Arial"/>
                <w:i/>
                <w:sz w:val="20"/>
                <w:szCs w:val="20"/>
              </w:rPr>
              <w:t>∆Q = Q</w:t>
            </w:r>
            <w:r w:rsidRPr="00315E66">
              <w:rPr>
                <w:rFonts w:cs="Arial"/>
                <w:i/>
                <w:sz w:val="20"/>
                <w:szCs w:val="20"/>
                <w:vertAlign w:val="subscript"/>
              </w:rPr>
              <w:t>b</w:t>
            </w:r>
            <w:r w:rsidRPr="00315E66">
              <w:rPr>
                <w:rFonts w:cs="Arial"/>
                <w:i/>
                <w:sz w:val="20"/>
                <w:szCs w:val="20"/>
              </w:rPr>
              <w:t xml:space="preserve"> x (1 - E</w:t>
            </w:r>
            <w:r w:rsidRPr="00315E66">
              <w:rPr>
                <w:rFonts w:cs="Arial"/>
                <w:i/>
                <w:sz w:val="20"/>
                <w:szCs w:val="20"/>
                <w:vertAlign w:val="subscript"/>
              </w:rPr>
              <w:t>b</w:t>
            </w:r>
            <w:r w:rsidRPr="00315E66">
              <w:rPr>
                <w:rFonts w:cs="Arial"/>
                <w:i/>
                <w:sz w:val="20"/>
                <w:szCs w:val="20"/>
              </w:rPr>
              <w:t>/E</w:t>
            </w:r>
            <w:r w:rsidRPr="00315E66">
              <w:rPr>
                <w:rFonts w:cs="Arial"/>
                <w:i/>
                <w:sz w:val="20"/>
                <w:szCs w:val="20"/>
                <w:vertAlign w:val="subscript"/>
              </w:rPr>
              <w:t>m</w:t>
            </w:r>
            <w:r w:rsidRPr="00315E66">
              <w:rPr>
                <w:rFonts w:cs="Arial"/>
                <w:i/>
                <w:sz w:val="20"/>
                <w:szCs w:val="20"/>
              </w:rPr>
              <w:t>)</w:t>
            </w:r>
            <w:r w:rsidRPr="00315E66">
              <w:rPr>
                <w:rFonts w:cs="Arial"/>
                <w:i/>
                <w:sz w:val="20"/>
                <w:szCs w:val="20"/>
              </w:rPr>
              <w:tab/>
            </w:r>
            <w:r w:rsidRPr="00315E66">
              <w:rPr>
                <w:rFonts w:cs="Arial"/>
                <w:i/>
                <w:sz w:val="20"/>
                <w:szCs w:val="20"/>
              </w:rPr>
              <w:tab/>
            </w:r>
            <w:r w:rsidRPr="00315E66">
              <w:rPr>
                <w:rFonts w:cs="Arial"/>
                <w:i/>
                <w:sz w:val="20"/>
                <w:szCs w:val="20"/>
              </w:rPr>
              <w:tab/>
            </w:r>
            <w:r w:rsidRPr="00315E66">
              <w:rPr>
                <w:rFonts w:cs="Arial"/>
                <w:i/>
                <w:sz w:val="20"/>
                <w:szCs w:val="20"/>
              </w:rPr>
              <w:tab/>
            </w:r>
            <w:r w:rsidRPr="00315E66">
              <w:rPr>
                <w:rFonts w:cs="Arial"/>
                <w:i/>
                <w:sz w:val="20"/>
                <w:szCs w:val="20"/>
              </w:rPr>
              <w:lastRenderedPageBreak/>
              <w:tab/>
            </w:r>
            <w:r w:rsidRPr="00315E66">
              <w:rPr>
                <w:rFonts w:cs="Arial"/>
                <w:i/>
                <w:sz w:val="20"/>
                <w:szCs w:val="20"/>
              </w:rPr>
              <w:tab/>
            </w:r>
            <w:r w:rsidRPr="00315E66">
              <w:rPr>
                <w:rFonts w:cs="Arial"/>
                <w:i/>
                <w:sz w:val="20"/>
                <w:szCs w:val="20"/>
              </w:rPr>
              <w:tab/>
            </w:r>
            <w:r w:rsidRPr="00315E66">
              <w:rPr>
                <w:rFonts w:cs="Arial"/>
                <w:i/>
                <w:sz w:val="20"/>
                <w:szCs w:val="20"/>
              </w:rPr>
              <w:tab/>
            </w:r>
            <w:r w:rsidRPr="00315E66">
              <w:rPr>
                <w:rFonts w:cs="Arial"/>
                <w:i/>
                <w:sz w:val="20"/>
                <w:szCs w:val="20"/>
              </w:rPr>
              <w:tab/>
            </w:r>
            <w:r w:rsidRPr="00315E66">
              <w:rPr>
                <w:rFonts w:cs="Arial"/>
                <w:i/>
                <w:sz w:val="20"/>
                <w:szCs w:val="20"/>
              </w:rPr>
              <w:tab/>
            </w:r>
            <w:r w:rsidRPr="00315E66">
              <w:rPr>
                <w:rFonts w:cs="Arial"/>
                <w:i/>
                <w:sz w:val="20"/>
                <w:szCs w:val="20"/>
              </w:rPr>
              <w:tab/>
              <w:t>Eqn-1</w:t>
            </w:r>
          </w:p>
          <w:p w:rsidR="00315E66" w:rsidRPr="00315E66" w:rsidRDefault="00315E66" w:rsidP="00315E66">
            <w:pPr>
              <w:tabs>
                <w:tab w:val="right" w:pos="6732"/>
              </w:tabs>
              <w:jc w:val="both"/>
              <w:rPr>
                <w:rFonts w:cs="Arial"/>
                <w:sz w:val="20"/>
                <w:szCs w:val="20"/>
              </w:rPr>
            </w:pPr>
            <w:r w:rsidRPr="00315E66">
              <w:rPr>
                <w:rFonts w:cs="Arial"/>
                <w:sz w:val="20"/>
                <w:szCs w:val="20"/>
              </w:rPr>
              <w:t>where</w:t>
            </w:r>
          </w:p>
          <w:p w:rsidR="00315E66" w:rsidRPr="00315E66" w:rsidRDefault="00315E66" w:rsidP="00315E66">
            <w:pPr>
              <w:pStyle w:val="ListParagraph"/>
              <w:numPr>
                <w:ilvl w:val="0"/>
                <w:numId w:val="21"/>
              </w:numPr>
              <w:tabs>
                <w:tab w:val="num" w:pos="1584"/>
                <w:tab w:val="right" w:pos="6732"/>
              </w:tabs>
              <w:jc w:val="both"/>
              <w:rPr>
                <w:rFonts w:cs="Arial"/>
                <w:sz w:val="20"/>
                <w:szCs w:val="20"/>
              </w:rPr>
            </w:pPr>
            <w:r w:rsidRPr="00315E66">
              <w:rPr>
                <w:rFonts w:cs="Arial"/>
                <w:i/>
                <w:sz w:val="20"/>
                <w:szCs w:val="20"/>
              </w:rPr>
              <w:t>∆Q</w:t>
            </w:r>
            <w:r w:rsidRPr="00315E66">
              <w:rPr>
                <w:rFonts w:cs="Arial"/>
                <w:sz w:val="20"/>
                <w:szCs w:val="20"/>
              </w:rPr>
              <w:t xml:space="preserve"> – Gas Saved (therms/yr).  Savings which results from installing the high-efficiency measure equipment.  </w:t>
            </w:r>
          </w:p>
          <w:p w:rsidR="00315E66" w:rsidRPr="00315E66" w:rsidRDefault="00315E66" w:rsidP="00315E66">
            <w:pPr>
              <w:pStyle w:val="ListParagraph"/>
              <w:numPr>
                <w:ilvl w:val="0"/>
                <w:numId w:val="21"/>
              </w:numPr>
              <w:tabs>
                <w:tab w:val="num" w:pos="1584"/>
                <w:tab w:val="right" w:pos="6732"/>
              </w:tabs>
              <w:jc w:val="both"/>
              <w:rPr>
                <w:rFonts w:cs="Arial"/>
                <w:sz w:val="20"/>
                <w:szCs w:val="20"/>
              </w:rPr>
            </w:pPr>
            <w:r w:rsidRPr="00315E66">
              <w:rPr>
                <w:rFonts w:cs="Arial"/>
                <w:i/>
                <w:sz w:val="20"/>
                <w:szCs w:val="20"/>
              </w:rPr>
              <w:t>E</w:t>
            </w:r>
            <w:r w:rsidRPr="00315E66">
              <w:rPr>
                <w:rFonts w:cs="Arial"/>
                <w:sz w:val="20"/>
                <w:szCs w:val="20"/>
              </w:rPr>
              <w:t xml:space="preserve"> – Efficiency (%).  Efficiency of equipment in appropriate efficiency units (thermal efficiency).  </w:t>
            </w:r>
          </w:p>
          <w:p w:rsidR="00315E66" w:rsidRPr="00315E66" w:rsidRDefault="00315E66" w:rsidP="00315E66">
            <w:pPr>
              <w:pStyle w:val="ListParagraph"/>
              <w:numPr>
                <w:ilvl w:val="0"/>
                <w:numId w:val="21"/>
              </w:numPr>
              <w:tabs>
                <w:tab w:val="num" w:pos="1584"/>
                <w:tab w:val="right" w:pos="6732"/>
              </w:tabs>
              <w:jc w:val="both"/>
              <w:rPr>
                <w:rFonts w:cs="Arial"/>
                <w:sz w:val="20"/>
                <w:szCs w:val="20"/>
              </w:rPr>
            </w:pPr>
            <w:r w:rsidRPr="00315E66">
              <w:rPr>
                <w:rFonts w:cs="Arial"/>
                <w:i/>
                <w:sz w:val="20"/>
                <w:szCs w:val="20"/>
              </w:rPr>
              <w:t>Subscript b</w:t>
            </w:r>
            <w:r w:rsidRPr="00315E66">
              <w:rPr>
                <w:rFonts w:cs="Arial"/>
                <w:sz w:val="20"/>
                <w:szCs w:val="20"/>
              </w:rPr>
              <w:t xml:space="preserve"> = Baseline (or base case) equipment</w:t>
            </w:r>
          </w:p>
          <w:p w:rsidR="00315E66" w:rsidRDefault="00315E66" w:rsidP="00315E66">
            <w:pPr>
              <w:pStyle w:val="ListParagraph"/>
              <w:numPr>
                <w:ilvl w:val="0"/>
                <w:numId w:val="21"/>
              </w:numPr>
              <w:tabs>
                <w:tab w:val="num" w:pos="1584"/>
                <w:tab w:val="right" w:pos="6732"/>
              </w:tabs>
              <w:jc w:val="both"/>
              <w:rPr>
                <w:rFonts w:cs="Arial"/>
                <w:sz w:val="20"/>
                <w:szCs w:val="20"/>
              </w:rPr>
            </w:pPr>
            <w:r w:rsidRPr="00315E66">
              <w:rPr>
                <w:rFonts w:cs="Arial"/>
                <w:i/>
                <w:sz w:val="20"/>
                <w:szCs w:val="20"/>
              </w:rPr>
              <w:t>Subscript m</w:t>
            </w:r>
            <w:r w:rsidRPr="00315E66">
              <w:rPr>
                <w:rFonts w:cs="Arial"/>
                <w:sz w:val="20"/>
                <w:szCs w:val="20"/>
              </w:rPr>
              <w:t xml:space="preserve"> = Measure (new high-efficiency) equipment</w:t>
            </w:r>
          </w:p>
          <w:p w:rsidR="00315E66" w:rsidRPr="00315E66" w:rsidRDefault="00315E66" w:rsidP="00315E66">
            <w:pPr>
              <w:pStyle w:val="ListParagraph"/>
              <w:tabs>
                <w:tab w:val="num" w:pos="1584"/>
                <w:tab w:val="right" w:pos="6732"/>
              </w:tabs>
              <w:ind w:left="1080"/>
              <w:jc w:val="both"/>
              <w:rPr>
                <w:rFonts w:cs="Arial"/>
                <w:sz w:val="20"/>
                <w:szCs w:val="20"/>
              </w:rPr>
            </w:pPr>
          </w:p>
          <w:p w:rsidR="00315E66" w:rsidRDefault="00315E66" w:rsidP="009B3354">
            <w:pPr>
              <w:pStyle w:val="ListParagraph"/>
              <w:numPr>
                <w:ilvl w:val="0"/>
                <w:numId w:val="20"/>
              </w:numPr>
              <w:tabs>
                <w:tab w:val="num" w:pos="1584"/>
                <w:tab w:val="right" w:pos="6732"/>
              </w:tabs>
              <w:jc w:val="both"/>
              <w:rPr>
                <w:rFonts w:cs="Arial"/>
                <w:sz w:val="20"/>
                <w:szCs w:val="20"/>
              </w:rPr>
            </w:pPr>
            <w:r w:rsidRPr="009B3354">
              <w:rPr>
                <w:rFonts w:cs="Arial"/>
                <w:sz w:val="20"/>
                <w:szCs w:val="20"/>
              </w:rPr>
              <w:t xml:space="preserve">The gas savings are calculated for each or climate zone.  The energy savings data and calculations are included in an Excel file embedded as Attachment B.  </w:t>
            </w:r>
          </w:p>
          <w:p w:rsidR="009B3354" w:rsidRPr="009B3354" w:rsidRDefault="009B3354" w:rsidP="009B3354">
            <w:pPr>
              <w:pStyle w:val="ListParagraph"/>
              <w:tabs>
                <w:tab w:val="num" w:pos="1584"/>
                <w:tab w:val="right" w:pos="6732"/>
              </w:tabs>
              <w:jc w:val="both"/>
              <w:rPr>
                <w:rFonts w:cs="Arial"/>
                <w:sz w:val="20"/>
                <w:szCs w:val="20"/>
              </w:rPr>
            </w:pPr>
          </w:p>
          <w:p w:rsidR="00315E66" w:rsidRPr="00315E66" w:rsidRDefault="00315E66" w:rsidP="00315E66">
            <w:pPr>
              <w:tabs>
                <w:tab w:val="right" w:pos="6732"/>
              </w:tabs>
              <w:jc w:val="both"/>
              <w:rPr>
                <w:rFonts w:cs="Arial"/>
                <w:sz w:val="20"/>
                <w:szCs w:val="20"/>
              </w:rPr>
            </w:pPr>
            <w:r w:rsidRPr="00315E66">
              <w:rPr>
                <w:rFonts w:cs="Arial"/>
                <w:sz w:val="20"/>
                <w:szCs w:val="20"/>
              </w:rPr>
              <w:t>The calculated gas consumption and savings per climate zone and tier are summarized in</w:t>
            </w:r>
            <w:r w:rsidR="009B3354">
              <w:rPr>
                <w:rFonts w:cs="Arial"/>
                <w:sz w:val="20"/>
                <w:szCs w:val="20"/>
              </w:rPr>
              <w:t xml:space="preserve"> Table 2</w:t>
            </w:r>
            <w:r w:rsidRPr="00315E66">
              <w:rPr>
                <w:rFonts w:cs="Arial"/>
                <w:sz w:val="20"/>
                <w:szCs w:val="20"/>
              </w:rPr>
              <w:t>:</w:t>
            </w:r>
          </w:p>
          <w:p w:rsidR="00315E66" w:rsidRPr="00315E66" w:rsidRDefault="00315E66" w:rsidP="00315E66">
            <w:pPr>
              <w:tabs>
                <w:tab w:val="right" w:pos="6732"/>
              </w:tabs>
              <w:jc w:val="both"/>
              <w:rPr>
                <w:rFonts w:cs="Arial"/>
                <w:sz w:val="20"/>
                <w:szCs w:val="20"/>
              </w:rPr>
            </w:pPr>
          </w:p>
          <w:p w:rsidR="00315E66" w:rsidRPr="00315E66" w:rsidRDefault="009B3354" w:rsidP="009B3354">
            <w:pPr>
              <w:tabs>
                <w:tab w:val="right" w:pos="6732"/>
              </w:tabs>
              <w:jc w:val="center"/>
              <w:rPr>
                <w:rFonts w:cs="Arial"/>
                <w:b/>
                <w:sz w:val="20"/>
                <w:szCs w:val="20"/>
              </w:rPr>
            </w:pPr>
            <w:bookmarkStart w:id="6" w:name="_Toc370197556"/>
            <w:bookmarkStart w:id="7" w:name="_Toc461101273"/>
            <w:r>
              <w:rPr>
                <w:rFonts w:cs="Arial"/>
                <w:b/>
                <w:sz w:val="20"/>
                <w:szCs w:val="20"/>
              </w:rPr>
              <w:t xml:space="preserve">Table 2.  </w:t>
            </w:r>
            <w:r w:rsidR="00315E66" w:rsidRPr="00315E66">
              <w:rPr>
                <w:rFonts w:cs="Arial"/>
                <w:b/>
                <w:sz w:val="20"/>
                <w:szCs w:val="20"/>
              </w:rPr>
              <w:t>Annual Gas Consumption and Savings by Tier and Climate Zone</w:t>
            </w:r>
            <w:bookmarkEnd w:id="6"/>
            <w:bookmarkEnd w:id="7"/>
          </w:p>
          <w:tbl>
            <w:tblPr>
              <w:tblW w:w="8280" w:type="dxa"/>
              <w:tblInd w:w="648" w:type="dxa"/>
              <w:tblLook w:val="04A0" w:firstRow="1" w:lastRow="0" w:firstColumn="1" w:lastColumn="0" w:noHBand="0" w:noVBand="1"/>
            </w:tblPr>
            <w:tblGrid>
              <w:gridCol w:w="881"/>
              <w:gridCol w:w="712"/>
              <w:gridCol w:w="2172"/>
              <w:gridCol w:w="1706"/>
              <w:gridCol w:w="1733"/>
            </w:tblGrid>
            <w:tr w:rsidR="00315E66" w:rsidRPr="00315E66" w:rsidTr="009B3354">
              <w:trPr>
                <w:trHeight w:val="1440"/>
                <w:tblHeader/>
              </w:trPr>
              <w:tc>
                <w:tcPr>
                  <w:tcW w:w="1000" w:type="dxa"/>
                  <w:tcBorders>
                    <w:top w:val="single" w:sz="8" w:space="0" w:color="auto"/>
                    <w:left w:val="single" w:sz="8" w:space="0" w:color="auto"/>
                    <w:bottom w:val="single" w:sz="4" w:space="0" w:color="auto"/>
                    <w:right w:val="single" w:sz="4" w:space="0" w:color="auto"/>
                  </w:tcBorders>
                  <w:shd w:val="clear" w:color="000000" w:fill="BFBFBF"/>
                  <w:vAlign w:val="bottom"/>
                  <w:hideMark/>
                </w:tcPr>
                <w:p w:rsidR="00315E66" w:rsidRPr="00315E66" w:rsidRDefault="00315E66" w:rsidP="00315E66">
                  <w:pPr>
                    <w:tabs>
                      <w:tab w:val="right" w:pos="6732"/>
                    </w:tabs>
                    <w:jc w:val="both"/>
                    <w:rPr>
                      <w:rFonts w:cs="Arial"/>
                      <w:b/>
                      <w:bCs/>
                      <w:sz w:val="20"/>
                      <w:szCs w:val="20"/>
                    </w:rPr>
                  </w:pPr>
                  <w:r w:rsidRPr="00315E66">
                    <w:rPr>
                      <w:rFonts w:cs="Arial"/>
                      <w:b/>
                      <w:bCs/>
                      <w:sz w:val="20"/>
                      <w:szCs w:val="20"/>
                    </w:rPr>
                    <w:t>Climate Zone</w:t>
                  </w:r>
                </w:p>
              </w:tc>
              <w:tc>
                <w:tcPr>
                  <w:tcW w:w="800" w:type="dxa"/>
                  <w:tcBorders>
                    <w:top w:val="single" w:sz="8" w:space="0" w:color="auto"/>
                    <w:left w:val="nil"/>
                    <w:bottom w:val="single" w:sz="4" w:space="0" w:color="auto"/>
                    <w:right w:val="single" w:sz="4" w:space="0" w:color="auto"/>
                  </w:tcBorders>
                  <w:shd w:val="clear" w:color="000000" w:fill="BFBFBF"/>
                  <w:vAlign w:val="bottom"/>
                  <w:hideMark/>
                </w:tcPr>
                <w:p w:rsidR="00315E66" w:rsidRPr="00315E66" w:rsidRDefault="00315E66" w:rsidP="00315E66">
                  <w:pPr>
                    <w:tabs>
                      <w:tab w:val="right" w:pos="6732"/>
                    </w:tabs>
                    <w:jc w:val="both"/>
                    <w:rPr>
                      <w:rFonts w:cs="Arial"/>
                      <w:b/>
                      <w:bCs/>
                      <w:sz w:val="20"/>
                      <w:szCs w:val="20"/>
                    </w:rPr>
                  </w:pPr>
                  <w:r w:rsidRPr="00315E66">
                    <w:rPr>
                      <w:rFonts w:cs="Arial"/>
                      <w:b/>
                      <w:bCs/>
                      <w:sz w:val="20"/>
                      <w:szCs w:val="20"/>
                    </w:rPr>
                    <w:t>Tier</w:t>
                  </w:r>
                </w:p>
              </w:tc>
              <w:tc>
                <w:tcPr>
                  <w:tcW w:w="2520" w:type="dxa"/>
                  <w:tcBorders>
                    <w:top w:val="single" w:sz="8" w:space="0" w:color="auto"/>
                    <w:left w:val="nil"/>
                    <w:bottom w:val="single" w:sz="4" w:space="0" w:color="auto"/>
                    <w:right w:val="single" w:sz="4" w:space="0" w:color="auto"/>
                  </w:tcBorders>
                  <w:shd w:val="clear" w:color="000000" w:fill="BFBFBF"/>
                  <w:vAlign w:val="bottom"/>
                  <w:hideMark/>
                </w:tcPr>
                <w:p w:rsidR="00315E66" w:rsidRPr="00315E66" w:rsidRDefault="00315E66" w:rsidP="00315E66">
                  <w:pPr>
                    <w:tabs>
                      <w:tab w:val="right" w:pos="6732"/>
                    </w:tabs>
                    <w:jc w:val="both"/>
                    <w:rPr>
                      <w:rFonts w:cs="Arial"/>
                      <w:b/>
                      <w:bCs/>
                      <w:sz w:val="20"/>
                      <w:szCs w:val="20"/>
                    </w:rPr>
                  </w:pPr>
                  <w:r w:rsidRPr="00315E66">
                    <w:rPr>
                      <w:rFonts w:cs="Arial"/>
                      <w:b/>
                      <w:bCs/>
                      <w:sz w:val="20"/>
                      <w:szCs w:val="20"/>
                    </w:rPr>
                    <w:t>Annual Gas Consumption per Apartment Unit  (Therms/Yr/Dwelling Unit)</w:t>
                  </w:r>
                </w:p>
              </w:tc>
              <w:tc>
                <w:tcPr>
                  <w:tcW w:w="1957" w:type="dxa"/>
                  <w:tcBorders>
                    <w:top w:val="single" w:sz="8" w:space="0" w:color="auto"/>
                    <w:left w:val="nil"/>
                    <w:bottom w:val="single" w:sz="4" w:space="0" w:color="auto"/>
                    <w:right w:val="single" w:sz="4" w:space="0" w:color="auto"/>
                  </w:tcBorders>
                  <w:shd w:val="clear" w:color="000000" w:fill="BFBFBF"/>
                  <w:vAlign w:val="bottom"/>
                  <w:hideMark/>
                </w:tcPr>
                <w:p w:rsidR="00315E66" w:rsidRPr="00315E66" w:rsidRDefault="00315E66" w:rsidP="00315E66">
                  <w:pPr>
                    <w:tabs>
                      <w:tab w:val="right" w:pos="6732"/>
                    </w:tabs>
                    <w:jc w:val="both"/>
                    <w:rPr>
                      <w:rFonts w:cs="Arial"/>
                      <w:b/>
                      <w:bCs/>
                      <w:sz w:val="20"/>
                      <w:szCs w:val="20"/>
                    </w:rPr>
                  </w:pPr>
                  <w:r w:rsidRPr="00315E66">
                    <w:rPr>
                      <w:rFonts w:cs="Arial"/>
                      <w:b/>
                      <w:bCs/>
                      <w:sz w:val="20"/>
                      <w:szCs w:val="20"/>
                    </w:rPr>
                    <w:t>Annual Gas Savings (Therms/Yr/Dwelling Unit)</w:t>
                  </w:r>
                </w:p>
              </w:tc>
              <w:tc>
                <w:tcPr>
                  <w:tcW w:w="2003" w:type="dxa"/>
                  <w:tcBorders>
                    <w:top w:val="single" w:sz="8" w:space="0" w:color="auto"/>
                    <w:left w:val="nil"/>
                    <w:bottom w:val="single" w:sz="4" w:space="0" w:color="auto"/>
                    <w:right w:val="single" w:sz="8" w:space="0" w:color="auto"/>
                  </w:tcBorders>
                  <w:shd w:val="clear" w:color="000000" w:fill="BFBFBF"/>
                  <w:vAlign w:val="bottom"/>
                  <w:hideMark/>
                </w:tcPr>
                <w:p w:rsidR="00315E66" w:rsidRPr="00315E66" w:rsidRDefault="00315E66" w:rsidP="00315E66">
                  <w:pPr>
                    <w:tabs>
                      <w:tab w:val="right" w:pos="6732"/>
                    </w:tabs>
                    <w:jc w:val="both"/>
                    <w:rPr>
                      <w:rFonts w:cs="Arial"/>
                      <w:b/>
                      <w:bCs/>
                      <w:sz w:val="20"/>
                      <w:szCs w:val="20"/>
                    </w:rPr>
                  </w:pPr>
                  <w:r w:rsidRPr="00315E66">
                    <w:rPr>
                      <w:rFonts w:cs="Arial"/>
                      <w:b/>
                      <w:bCs/>
                      <w:sz w:val="20"/>
                      <w:szCs w:val="20"/>
                    </w:rPr>
                    <w:t>Annual GasSavings (Therms/Yr/ kBtuh)</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196</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7.1</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1.09</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189</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6.8</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1.05</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3</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189</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6.8</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1.05</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4</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186</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6.7</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1.03</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5</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190</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6.9</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1.06</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6</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183</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6.6</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1.02</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7</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182</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6.6</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1.01</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8</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181</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6.5</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1.01</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9</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181</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6.5</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1.01</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10</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181</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6.5</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1.00</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11</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182</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6.6</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1.01</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12</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185</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6.7</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1.03</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13</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181</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6.5</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1.01</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14</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183</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6.6</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1.02</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15</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168</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6.1</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0.93</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16</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195</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7.1</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1.09</w:t>
                  </w:r>
                </w:p>
              </w:tc>
            </w:tr>
            <w:tr w:rsidR="00315E66" w:rsidRPr="00315E66" w:rsidTr="009B3354">
              <w:trPr>
                <w:trHeight w:val="105"/>
              </w:trPr>
              <w:tc>
                <w:tcPr>
                  <w:tcW w:w="1000" w:type="dxa"/>
                  <w:tcBorders>
                    <w:top w:val="nil"/>
                    <w:left w:val="single" w:sz="8" w:space="0" w:color="auto"/>
                    <w:bottom w:val="nil"/>
                    <w:right w:val="nil"/>
                  </w:tcBorders>
                  <w:shd w:val="clear" w:color="000000" w:fill="EEECE1"/>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 </w:t>
                  </w:r>
                </w:p>
              </w:tc>
              <w:tc>
                <w:tcPr>
                  <w:tcW w:w="800" w:type="dxa"/>
                  <w:tcBorders>
                    <w:top w:val="nil"/>
                    <w:left w:val="nil"/>
                    <w:bottom w:val="nil"/>
                    <w:right w:val="nil"/>
                  </w:tcBorders>
                  <w:shd w:val="clear" w:color="000000" w:fill="EEECE1"/>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 </w:t>
                  </w:r>
                </w:p>
              </w:tc>
              <w:tc>
                <w:tcPr>
                  <w:tcW w:w="2520" w:type="dxa"/>
                  <w:tcBorders>
                    <w:top w:val="nil"/>
                    <w:left w:val="nil"/>
                    <w:bottom w:val="nil"/>
                    <w:right w:val="nil"/>
                  </w:tcBorders>
                  <w:shd w:val="clear" w:color="000000" w:fill="EEECE1"/>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 </w:t>
                  </w:r>
                </w:p>
              </w:tc>
              <w:tc>
                <w:tcPr>
                  <w:tcW w:w="1957" w:type="dxa"/>
                  <w:tcBorders>
                    <w:top w:val="nil"/>
                    <w:left w:val="nil"/>
                    <w:bottom w:val="nil"/>
                    <w:right w:val="nil"/>
                  </w:tcBorders>
                  <w:shd w:val="clear" w:color="000000" w:fill="EEECE1"/>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 </w:t>
                  </w:r>
                </w:p>
              </w:tc>
              <w:tc>
                <w:tcPr>
                  <w:tcW w:w="2003" w:type="dxa"/>
                  <w:tcBorders>
                    <w:top w:val="nil"/>
                    <w:left w:val="nil"/>
                    <w:bottom w:val="nil"/>
                    <w:right w:val="single" w:sz="8" w:space="0" w:color="auto"/>
                  </w:tcBorders>
                  <w:shd w:val="clear" w:color="000000" w:fill="EEECE1"/>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 </w:t>
                  </w:r>
                </w:p>
              </w:tc>
            </w:tr>
            <w:tr w:rsidR="00315E66" w:rsidRPr="00315E66" w:rsidTr="009B3354">
              <w:trPr>
                <w:trHeight w:val="255"/>
              </w:trPr>
              <w:tc>
                <w:tcPr>
                  <w:tcW w:w="10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196</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21.7</w:t>
                  </w:r>
                </w:p>
              </w:tc>
              <w:tc>
                <w:tcPr>
                  <w:tcW w:w="2003" w:type="dxa"/>
                  <w:tcBorders>
                    <w:top w:val="single" w:sz="4" w:space="0" w:color="auto"/>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3.34</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189</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21.0</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3.22</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3</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189</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21.0</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3.23</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4</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186</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20.7</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3.18</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5</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190</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21.1</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3.25</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6</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183</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20.4</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3.13</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7</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182</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20.3</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3.12</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8</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181</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20.1</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3.09</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9</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181</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20.1</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3.09</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lastRenderedPageBreak/>
                    <w:t>10</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181</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20.1</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3.09</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11</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182</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20.2</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3.11</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12</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185</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20.5</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3.15</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13</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181</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20.1</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3.09</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14</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183</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20.3</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3.12</w:t>
                  </w:r>
                </w:p>
              </w:tc>
            </w:tr>
            <w:tr w:rsidR="00315E66" w:rsidRPr="00315E66" w:rsidTr="009B3354">
              <w:trPr>
                <w:trHeight w:val="255"/>
              </w:trPr>
              <w:tc>
                <w:tcPr>
                  <w:tcW w:w="100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15</w:t>
                  </w:r>
                </w:p>
              </w:tc>
              <w:tc>
                <w:tcPr>
                  <w:tcW w:w="8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168</w:t>
                  </w:r>
                </w:p>
              </w:tc>
              <w:tc>
                <w:tcPr>
                  <w:tcW w:w="1957"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18.6</w:t>
                  </w:r>
                </w:p>
              </w:tc>
              <w:tc>
                <w:tcPr>
                  <w:tcW w:w="2003"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2.87</w:t>
                  </w:r>
                </w:p>
              </w:tc>
            </w:tr>
            <w:tr w:rsidR="00315E66" w:rsidRPr="00315E66" w:rsidTr="009B3354">
              <w:trPr>
                <w:trHeight w:val="270"/>
              </w:trPr>
              <w:tc>
                <w:tcPr>
                  <w:tcW w:w="1000" w:type="dxa"/>
                  <w:tcBorders>
                    <w:top w:val="nil"/>
                    <w:left w:val="single" w:sz="8" w:space="0" w:color="auto"/>
                    <w:bottom w:val="single" w:sz="8"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16</w:t>
                  </w:r>
                </w:p>
              </w:tc>
              <w:tc>
                <w:tcPr>
                  <w:tcW w:w="800" w:type="dxa"/>
                  <w:tcBorders>
                    <w:top w:val="nil"/>
                    <w:left w:val="nil"/>
                    <w:bottom w:val="single" w:sz="8"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520" w:type="dxa"/>
                  <w:tcBorders>
                    <w:top w:val="nil"/>
                    <w:left w:val="nil"/>
                    <w:bottom w:val="single" w:sz="8"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195</w:t>
                  </w:r>
                </w:p>
              </w:tc>
              <w:tc>
                <w:tcPr>
                  <w:tcW w:w="1957" w:type="dxa"/>
                  <w:tcBorders>
                    <w:top w:val="nil"/>
                    <w:left w:val="nil"/>
                    <w:bottom w:val="single" w:sz="8"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21.7</w:t>
                  </w:r>
                </w:p>
              </w:tc>
              <w:tc>
                <w:tcPr>
                  <w:tcW w:w="2003" w:type="dxa"/>
                  <w:tcBorders>
                    <w:top w:val="nil"/>
                    <w:left w:val="nil"/>
                    <w:bottom w:val="single" w:sz="8"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3.34</w:t>
                  </w:r>
                </w:p>
              </w:tc>
            </w:tr>
          </w:tbl>
          <w:p w:rsidR="00315E66" w:rsidRPr="00315E66" w:rsidRDefault="00315E66" w:rsidP="00315E66">
            <w:pPr>
              <w:tabs>
                <w:tab w:val="right" w:pos="6732"/>
              </w:tabs>
              <w:jc w:val="both"/>
              <w:rPr>
                <w:rFonts w:cs="Arial"/>
                <w:sz w:val="20"/>
                <w:szCs w:val="20"/>
              </w:rPr>
            </w:pPr>
          </w:p>
          <w:p w:rsidR="00315E66" w:rsidRPr="00315E66" w:rsidRDefault="00315E66" w:rsidP="00315E66">
            <w:pPr>
              <w:tabs>
                <w:tab w:val="right" w:pos="6732"/>
              </w:tabs>
              <w:jc w:val="both"/>
              <w:rPr>
                <w:rFonts w:cs="Arial"/>
                <w:sz w:val="20"/>
                <w:szCs w:val="20"/>
              </w:rPr>
            </w:pPr>
            <w:r w:rsidRPr="00315E66">
              <w:rPr>
                <w:rFonts w:cs="Arial"/>
                <w:sz w:val="20"/>
                <w:szCs w:val="20"/>
              </w:rPr>
              <w:t xml:space="preserve">The savings are also calculated for two sizes of central water heaters, smaller than or equal to 200,000 kBtuh and larger than 200,000 kBtuh. Based on the SoCal Gas rebate application data for central storage water heaters in multifamily buildings, the average capacity of water heaters smaller than or equal to 200,000 kBtuh is about 150,000 kBtuh and average capacity of water heaters larger than 200,000 kBtuh is about 265,000 kBtuh. These average sizes are multiplied by the Annual Gas Savings per kBtu (Therms/Yr/kBtuh) for each climate zone from </w:t>
            </w:r>
            <w:r w:rsidRPr="00315E66">
              <w:rPr>
                <w:rFonts w:cs="Arial"/>
                <w:sz w:val="20"/>
                <w:szCs w:val="20"/>
              </w:rPr>
              <w:fldChar w:fldCharType="begin"/>
            </w:r>
            <w:r w:rsidRPr="00315E66">
              <w:rPr>
                <w:rFonts w:cs="Arial"/>
                <w:sz w:val="20"/>
                <w:szCs w:val="20"/>
              </w:rPr>
              <w:instrText xml:space="preserve"> REF _Ref370196417 \h </w:instrText>
            </w:r>
            <w:r w:rsidRPr="00315E66">
              <w:rPr>
                <w:rFonts w:cs="Arial"/>
                <w:sz w:val="20"/>
                <w:szCs w:val="20"/>
              </w:rPr>
            </w:r>
            <w:r w:rsidRPr="00315E66">
              <w:rPr>
                <w:rFonts w:cs="Arial"/>
                <w:sz w:val="20"/>
                <w:szCs w:val="20"/>
              </w:rPr>
              <w:fldChar w:fldCharType="separate"/>
            </w:r>
            <w:r w:rsidRPr="00315E66">
              <w:rPr>
                <w:rFonts w:cs="Arial"/>
                <w:sz w:val="20"/>
                <w:szCs w:val="20"/>
              </w:rPr>
              <w:t xml:space="preserve">Table </w:t>
            </w:r>
            <w:r w:rsidRPr="00315E66">
              <w:rPr>
                <w:rFonts w:cs="Arial"/>
                <w:sz w:val="20"/>
                <w:szCs w:val="20"/>
              </w:rPr>
              <w:fldChar w:fldCharType="end"/>
            </w:r>
            <w:r w:rsidR="009B3354">
              <w:rPr>
                <w:rFonts w:cs="Arial"/>
                <w:sz w:val="20"/>
                <w:szCs w:val="20"/>
              </w:rPr>
              <w:t>3</w:t>
            </w:r>
            <w:r w:rsidRPr="00315E66">
              <w:rPr>
                <w:rFonts w:cs="Arial"/>
                <w:sz w:val="20"/>
                <w:szCs w:val="20"/>
              </w:rPr>
              <w:t xml:space="preserve"> to estimate the gas savings per system for the 16 climate zones.  The annual gas savings per water heater system are summarized in </w:t>
            </w:r>
            <w:r w:rsidRPr="00315E66">
              <w:rPr>
                <w:rFonts w:cs="Arial"/>
                <w:sz w:val="20"/>
                <w:szCs w:val="20"/>
              </w:rPr>
              <w:fldChar w:fldCharType="begin"/>
            </w:r>
            <w:r w:rsidRPr="00315E66">
              <w:rPr>
                <w:rFonts w:cs="Arial"/>
                <w:sz w:val="20"/>
                <w:szCs w:val="20"/>
              </w:rPr>
              <w:instrText xml:space="preserve"> REF _Ref370196651 \h </w:instrText>
            </w:r>
            <w:r w:rsidRPr="00315E66">
              <w:rPr>
                <w:rFonts w:cs="Arial"/>
                <w:sz w:val="20"/>
                <w:szCs w:val="20"/>
              </w:rPr>
            </w:r>
            <w:r w:rsidRPr="00315E66">
              <w:rPr>
                <w:rFonts w:cs="Arial"/>
                <w:sz w:val="20"/>
                <w:szCs w:val="20"/>
              </w:rPr>
              <w:fldChar w:fldCharType="separate"/>
            </w:r>
            <w:r w:rsidRPr="00315E66">
              <w:rPr>
                <w:rFonts w:cs="Arial"/>
                <w:sz w:val="20"/>
                <w:szCs w:val="20"/>
              </w:rPr>
              <w:t xml:space="preserve">Table </w:t>
            </w:r>
            <w:r w:rsidRPr="00315E66">
              <w:rPr>
                <w:rFonts w:cs="Arial"/>
                <w:sz w:val="20"/>
                <w:szCs w:val="20"/>
              </w:rPr>
              <w:fldChar w:fldCharType="end"/>
            </w:r>
            <w:r w:rsidR="009B3354">
              <w:rPr>
                <w:rFonts w:cs="Arial"/>
                <w:sz w:val="20"/>
                <w:szCs w:val="20"/>
              </w:rPr>
              <w:t>3</w:t>
            </w:r>
            <w:r w:rsidRPr="00315E66">
              <w:rPr>
                <w:rFonts w:cs="Arial"/>
                <w:sz w:val="20"/>
                <w:szCs w:val="20"/>
              </w:rPr>
              <w:t>:</w:t>
            </w:r>
          </w:p>
          <w:p w:rsidR="00315E66" w:rsidRPr="00315E66" w:rsidRDefault="00315E66" w:rsidP="00315E66">
            <w:pPr>
              <w:tabs>
                <w:tab w:val="right" w:pos="6732"/>
              </w:tabs>
              <w:jc w:val="both"/>
              <w:rPr>
                <w:rFonts w:cs="Arial"/>
                <w:sz w:val="20"/>
                <w:szCs w:val="20"/>
              </w:rPr>
            </w:pPr>
          </w:p>
          <w:p w:rsidR="00315E66" w:rsidRPr="00315E66" w:rsidRDefault="009B3354" w:rsidP="009B3354">
            <w:pPr>
              <w:tabs>
                <w:tab w:val="right" w:pos="6732"/>
              </w:tabs>
              <w:jc w:val="center"/>
              <w:rPr>
                <w:rFonts w:cs="Arial"/>
                <w:b/>
                <w:sz w:val="20"/>
                <w:szCs w:val="20"/>
              </w:rPr>
            </w:pPr>
            <w:bookmarkStart w:id="8" w:name="_Toc370197557"/>
            <w:bookmarkStart w:id="9" w:name="_Toc461101274"/>
            <w:r>
              <w:rPr>
                <w:rFonts w:cs="Arial"/>
                <w:b/>
                <w:sz w:val="20"/>
                <w:szCs w:val="20"/>
              </w:rPr>
              <w:t xml:space="preserve">Table 3.  </w:t>
            </w:r>
            <w:r w:rsidR="00315E66" w:rsidRPr="00315E66">
              <w:rPr>
                <w:rFonts w:cs="Arial"/>
                <w:b/>
                <w:sz w:val="20"/>
                <w:szCs w:val="20"/>
              </w:rPr>
              <w:t>Annual Gas Savings per Water Heater System</w:t>
            </w:r>
            <w:bookmarkEnd w:id="8"/>
            <w:bookmarkEnd w:id="9"/>
          </w:p>
          <w:tbl>
            <w:tblPr>
              <w:tblW w:w="8280" w:type="dxa"/>
              <w:tblInd w:w="648" w:type="dxa"/>
              <w:tblLook w:val="04A0" w:firstRow="1" w:lastRow="0" w:firstColumn="1" w:lastColumn="0" w:noHBand="0" w:noVBand="1"/>
            </w:tblPr>
            <w:tblGrid>
              <w:gridCol w:w="1245"/>
              <w:gridCol w:w="972"/>
              <w:gridCol w:w="2417"/>
              <w:gridCol w:w="2570"/>
            </w:tblGrid>
            <w:tr w:rsidR="00315E66" w:rsidRPr="00315E66" w:rsidTr="009B3354">
              <w:trPr>
                <w:trHeight w:val="1440"/>
                <w:tblHeader/>
              </w:trPr>
              <w:tc>
                <w:tcPr>
                  <w:tcW w:w="1420" w:type="dxa"/>
                  <w:tcBorders>
                    <w:top w:val="single" w:sz="8" w:space="0" w:color="auto"/>
                    <w:left w:val="single" w:sz="8" w:space="0" w:color="auto"/>
                    <w:bottom w:val="single" w:sz="4" w:space="0" w:color="auto"/>
                    <w:right w:val="single" w:sz="4" w:space="0" w:color="auto"/>
                  </w:tcBorders>
                  <w:shd w:val="clear" w:color="000000" w:fill="BFBFBF"/>
                  <w:vAlign w:val="bottom"/>
                  <w:hideMark/>
                </w:tcPr>
                <w:p w:rsidR="00315E66" w:rsidRPr="00315E66" w:rsidRDefault="00315E66" w:rsidP="00315E66">
                  <w:pPr>
                    <w:tabs>
                      <w:tab w:val="right" w:pos="6732"/>
                    </w:tabs>
                    <w:jc w:val="both"/>
                    <w:rPr>
                      <w:rFonts w:cs="Arial"/>
                      <w:b/>
                      <w:bCs/>
                      <w:sz w:val="20"/>
                      <w:szCs w:val="20"/>
                    </w:rPr>
                  </w:pPr>
                  <w:r w:rsidRPr="00315E66">
                    <w:rPr>
                      <w:rFonts w:cs="Arial"/>
                      <w:b/>
                      <w:bCs/>
                      <w:sz w:val="20"/>
                      <w:szCs w:val="20"/>
                    </w:rPr>
                    <w:t>Climate Zone</w:t>
                  </w:r>
                </w:p>
              </w:tc>
              <w:tc>
                <w:tcPr>
                  <w:tcW w:w="1100" w:type="dxa"/>
                  <w:tcBorders>
                    <w:top w:val="single" w:sz="8" w:space="0" w:color="auto"/>
                    <w:left w:val="nil"/>
                    <w:bottom w:val="single" w:sz="4" w:space="0" w:color="auto"/>
                    <w:right w:val="single" w:sz="4" w:space="0" w:color="auto"/>
                  </w:tcBorders>
                  <w:shd w:val="clear" w:color="000000" w:fill="BFBFBF"/>
                  <w:vAlign w:val="bottom"/>
                  <w:hideMark/>
                </w:tcPr>
                <w:p w:rsidR="00315E66" w:rsidRPr="00315E66" w:rsidRDefault="00315E66" w:rsidP="00315E66">
                  <w:pPr>
                    <w:tabs>
                      <w:tab w:val="right" w:pos="6732"/>
                    </w:tabs>
                    <w:jc w:val="both"/>
                    <w:rPr>
                      <w:rFonts w:cs="Arial"/>
                      <w:b/>
                      <w:bCs/>
                      <w:sz w:val="20"/>
                      <w:szCs w:val="20"/>
                    </w:rPr>
                  </w:pPr>
                  <w:r w:rsidRPr="00315E66">
                    <w:rPr>
                      <w:rFonts w:cs="Arial"/>
                      <w:b/>
                      <w:bCs/>
                      <w:sz w:val="20"/>
                      <w:szCs w:val="20"/>
                    </w:rPr>
                    <w:t>Tier</w:t>
                  </w:r>
                </w:p>
              </w:tc>
              <w:tc>
                <w:tcPr>
                  <w:tcW w:w="2790" w:type="dxa"/>
                  <w:tcBorders>
                    <w:top w:val="single" w:sz="8" w:space="0" w:color="auto"/>
                    <w:left w:val="nil"/>
                    <w:bottom w:val="single" w:sz="4" w:space="0" w:color="auto"/>
                    <w:right w:val="single" w:sz="4" w:space="0" w:color="auto"/>
                  </w:tcBorders>
                  <w:shd w:val="clear" w:color="000000" w:fill="BFBFBF"/>
                  <w:vAlign w:val="bottom"/>
                  <w:hideMark/>
                </w:tcPr>
                <w:p w:rsidR="00315E66" w:rsidRPr="00315E66" w:rsidRDefault="00315E66" w:rsidP="00315E66">
                  <w:pPr>
                    <w:tabs>
                      <w:tab w:val="right" w:pos="6732"/>
                    </w:tabs>
                    <w:jc w:val="both"/>
                    <w:rPr>
                      <w:rFonts w:cs="Arial"/>
                      <w:b/>
                      <w:bCs/>
                      <w:sz w:val="20"/>
                      <w:szCs w:val="20"/>
                    </w:rPr>
                  </w:pPr>
                  <w:r w:rsidRPr="00315E66">
                    <w:rPr>
                      <w:rFonts w:cs="Arial"/>
                      <w:b/>
                      <w:bCs/>
                      <w:sz w:val="20"/>
                      <w:szCs w:val="20"/>
                    </w:rPr>
                    <w:t>Annual Gas Savings (Therm/Yr) per Water Heater System &lt;= 200 kBtuh</w:t>
                  </w:r>
                </w:p>
              </w:tc>
              <w:tc>
                <w:tcPr>
                  <w:tcW w:w="2970" w:type="dxa"/>
                  <w:tcBorders>
                    <w:top w:val="single" w:sz="8" w:space="0" w:color="auto"/>
                    <w:left w:val="nil"/>
                    <w:bottom w:val="single" w:sz="4" w:space="0" w:color="auto"/>
                    <w:right w:val="single" w:sz="8" w:space="0" w:color="auto"/>
                  </w:tcBorders>
                  <w:shd w:val="clear" w:color="000000" w:fill="BFBFBF"/>
                  <w:vAlign w:val="bottom"/>
                  <w:hideMark/>
                </w:tcPr>
                <w:p w:rsidR="00315E66" w:rsidRPr="00315E66" w:rsidRDefault="00315E66" w:rsidP="00315E66">
                  <w:pPr>
                    <w:tabs>
                      <w:tab w:val="right" w:pos="6732"/>
                    </w:tabs>
                    <w:jc w:val="both"/>
                    <w:rPr>
                      <w:rFonts w:cs="Arial"/>
                      <w:b/>
                      <w:bCs/>
                      <w:sz w:val="20"/>
                      <w:szCs w:val="20"/>
                    </w:rPr>
                  </w:pPr>
                  <w:r w:rsidRPr="00315E66">
                    <w:rPr>
                      <w:rFonts w:cs="Arial"/>
                      <w:b/>
                      <w:bCs/>
                      <w:sz w:val="20"/>
                      <w:szCs w:val="20"/>
                    </w:rPr>
                    <w:t>Annual Gas Savings (Therm/Yr) per Water Heater System &gt; 200 kBtuh</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163</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288</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157</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278</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3</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157</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279</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4</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155</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274</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5</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159</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281</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6</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153</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270</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7</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152</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269</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8</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151</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267</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9</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151</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267</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10</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150</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266</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11</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152</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268</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12</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154</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272</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13</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151</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267</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14</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152</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269</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15</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140</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247</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16</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163</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288</w:t>
                  </w:r>
                </w:p>
              </w:tc>
            </w:tr>
            <w:tr w:rsidR="00315E66" w:rsidRPr="00315E66" w:rsidTr="009B3354">
              <w:trPr>
                <w:trHeight w:val="105"/>
              </w:trPr>
              <w:tc>
                <w:tcPr>
                  <w:tcW w:w="1420" w:type="dxa"/>
                  <w:tcBorders>
                    <w:top w:val="nil"/>
                    <w:left w:val="single" w:sz="8" w:space="0" w:color="auto"/>
                    <w:bottom w:val="single" w:sz="4" w:space="0" w:color="auto"/>
                    <w:right w:val="single" w:sz="4" w:space="0" w:color="auto"/>
                  </w:tcBorders>
                  <w:shd w:val="clear" w:color="000000" w:fill="EEECE1"/>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 </w:t>
                  </w:r>
                </w:p>
              </w:tc>
              <w:tc>
                <w:tcPr>
                  <w:tcW w:w="1100" w:type="dxa"/>
                  <w:tcBorders>
                    <w:top w:val="nil"/>
                    <w:left w:val="nil"/>
                    <w:bottom w:val="single" w:sz="4" w:space="0" w:color="auto"/>
                    <w:right w:val="single" w:sz="4" w:space="0" w:color="auto"/>
                  </w:tcBorders>
                  <w:shd w:val="clear" w:color="000000" w:fill="EEECE1"/>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 </w:t>
                  </w:r>
                </w:p>
              </w:tc>
              <w:tc>
                <w:tcPr>
                  <w:tcW w:w="2790" w:type="dxa"/>
                  <w:tcBorders>
                    <w:top w:val="nil"/>
                    <w:left w:val="nil"/>
                    <w:bottom w:val="single" w:sz="4" w:space="0" w:color="auto"/>
                    <w:right w:val="single" w:sz="4" w:space="0" w:color="auto"/>
                  </w:tcBorders>
                  <w:shd w:val="clear" w:color="000000" w:fill="EEECE1"/>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 </w:t>
                  </w:r>
                </w:p>
              </w:tc>
              <w:tc>
                <w:tcPr>
                  <w:tcW w:w="2970" w:type="dxa"/>
                  <w:tcBorders>
                    <w:top w:val="nil"/>
                    <w:left w:val="nil"/>
                    <w:bottom w:val="single" w:sz="4" w:space="0" w:color="auto"/>
                    <w:right w:val="single" w:sz="8" w:space="0" w:color="auto"/>
                  </w:tcBorders>
                  <w:shd w:val="clear" w:color="000000" w:fill="EEECE1"/>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 </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501</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887</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483</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855</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3</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484</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856</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4</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476</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843</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5</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487</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863</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6</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470</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831</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7</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467</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827</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8</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464</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821</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9</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463</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820</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lastRenderedPageBreak/>
                    <w:t>10</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463</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819</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11</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466</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825</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12</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473</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837</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13</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463</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820</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14</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468</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828</w:t>
                  </w:r>
                </w:p>
              </w:tc>
            </w:tr>
            <w:tr w:rsidR="00315E66" w:rsidRPr="00315E66" w:rsidTr="009B3354">
              <w:trPr>
                <w:trHeight w:val="255"/>
              </w:trPr>
              <w:tc>
                <w:tcPr>
                  <w:tcW w:w="1420" w:type="dxa"/>
                  <w:tcBorders>
                    <w:top w:val="nil"/>
                    <w:left w:val="single" w:sz="8" w:space="0" w:color="auto"/>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15</w:t>
                  </w:r>
                </w:p>
              </w:tc>
              <w:tc>
                <w:tcPr>
                  <w:tcW w:w="1100" w:type="dxa"/>
                  <w:tcBorders>
                    <w:top w:val="nil"/>
                    <w:left w:val="nil"/>
                    <w:bottom w:val="single" w:sz="4"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4"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430</w:t>
                  </w:r>
                </w:p>
              </w:tc>
              <w:tc>
                <w:tcPr>
                  <w:tcW w:w="2970" w:type="dxa"/>
                  <w:tcBorders>
                    <w:top w:val="nil"/>
                    <w:left w:val="nil"/>
                    <w:bottom w:val="single" w:sz="4"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761</w:t>
                  </w:r>
                </w:p>
              </w:tc>
            </w:tr>
            <w:tr w:rsidR="00315E66" w:rsidRPr="00315E66" w:rsidTr="009B3354">
              <w:trPr>
                <w:trHeight w:val="270"/>
              </w:trPr>
              <w:tc>
                <w:tcPr>
                  <w:tcW w:w="1420" w:type="dxa"/>
                  <w:tcBorders>
                    <w:top w:val="nil"/>
                    <w:left w:val="single" w:sz="8" w:space="0" w:color="auto"/>
                    <w:bottom w:val="single" w:sz="8"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16</w:t>
                  </w:r>
                </w:p>
              </w:tc>
              <w:tc>
                <w:tcPr>
                  <w:tcW w:w="1100" w:type="dxa"/>
                  <w:tcBorders>
                    <w:top w:val="nil"/>
                    <w:left w:val="nil"/>
                    <w:bottom w:val="single" w:sz="8" w:space="0" w:color="auto"/>
                    <w:right w:val="single" w:sz="4" w:space="0" w:color="auto"/>
                  </w:tcBorders>
                  <w:shd w:val="clear" w:color="auto" w:fill="auto"/>
                  <w:noWrap/>
                  <w:vAlign w:val="bottom"/>
                  <w:hideMark/>
                </w:tcPr>
                <w:p w:rsidR="00315E66" w:rsidRPr="00315E66" w:rsidRDefault="00315E66" w:rsidP="00315E66">
                  <w:pPr>
                    <w:tabs>
                      <w:tab w:val="right" w:pos="6732"/>
                    </w:tabs>
                    <w:jc w:val="both"/>
                    <w:rPr>
                      <w:rFonts w:cs="Arial"/>
                      <w:sz w:val="20"/>
                      <w:szCs w:val="20"/>
                    </w:rPr>
                  </w:pPr>
                  <w:r w:rsidRPr="00315E66">
                    <w:rPr>
                      <w:rFonts w:cs="Arial"/>
                      <w:sz w:val="20"/>
                      <w:szCs w:val="20"/>
                    </w:rPr>
                    <w:t>2</w:t>
                  </w:r>
                </w:p>
              </w:tc>
              <w:tc>
                <w:tcPr>
                  <w:tcW w:w="2790" w:type="dxa"/>
                  <w:tcBorders>
                    <w:top w:val="nil"/>
                    <w:left w:val="nil"/>
                    <w:bottom w:val="single" w:sz="8" w:space="0" w:color="auto"/>
                    <w:right w:val="single" w:sz="4"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500</w:t>
                  </w:r>
                </w:p>
              </w:tc>
              <w:tc>
                <w:tcPr>
                  <w:tcW w:w="2970" w:type="dxa"/>
                  <w:tcBorders>
                    <w:top w:val="nil"/>
                    <w:left w:val="nil"/>
                    <w:bottom w:val="single" w:sz="8" w:space="0" w:color="auto"/>
                    <w:right w:val="single" w:sz="8" w:space="0" w:color="auto"/>
                  </w:tcBorders>
                  <w:shd w:val="clear" w:color="auto" w:fill="auto"/>
                  <w:noWrap/>
                  <w:vAlign w:val="center"/>
                  <w:hideMark/>
                </w:tcPr>
                <w:p w:rsidR="00315E66" w:rsidRPr="00315E66" w:rsidRDefault="00315E66" w:rsidP="00315E66">
                  <w:pPr>
                    <w:tabs>
                      <w:tab w:val="right" w:pos="6732"/>
                    </w:tabs>
                    <w:jc w:val="both"/>
                    <w:rPr>
                      <w:rFonts w:cs="Arial"/>
                      <w:sz w:val="20"/>
                      <w:szCs w:val="20"/>
                    </w:rPr>
                  </w:pPr>
                  <w:r w:rsidRPr="00315E66">
                    <w:rPr>
                      <w:rFonts w:cs="Arial"/>
                      <w:sz w:val="20"/>
                      <w:szCs w:val="20"/>
                    </w:rPr>
                    <w:t>886</w:t>
                  </w:r>
                </w:p>
              </w:tc>
            </w:tr>
          </w:tbl>
          <w:p w:rsidR="00315E66" w:rsidRDefault="00315E66" w:rsidP="00315E66">
            <w:pPr>
              <w:tabs>
                <w:tab w:val="right" w:pos="6732"/>
              </w:tabs>
              <w:jc w:val="both"/>
              <w:rPr>
                <w:rFonts w:cs="Arial"/>
                <w:sz w:val="20"/>
                <w:szCs w:val="20"/>
              </w:rPr>
            </w:pPr>
          </w:p>
          <w:p w:rsidR="00315E66" w:rsidRDefault="009B3354" w:rsidP="00315E66">
            <w:pPr>
              <w:tabs>
                <w:tab w:val="right" w:pos="6732"/>
              </w:tabs>
              <w:jc w:val="both"/>
              <w:rPr>
                <w:rFonts w:cs="Arial"/>
                <w:sz w:val="20"/>
                <w:szCs w:val="20"/>
              </w:rPr>
            </w:pPr>
            <w:r>
              <w:rPr>
                <w:rFonts w:cs="Arial"/>
                <w:sz w:val="20"/>
                <w:szCs w:val="20"/>
              </w:rPr>
              <w:t>SDG&amp;E will not be modifying these savings.  Only cite in our ex ante tables the savings for climate zones 6, 7, 8, 10, 14, and 15.</w:t>
            </w:r>
          </w:p>
          <w:p w:rsidR="00315E66" w:rsidRPr="00555671" w:rsidRDefault="00315E66" w:rsidP="00315E66">
            <w:pPr>
              <w:tabs>
                <w:tab w:val="right" w:pos="6732"/>
              </w:tabs>
              <w:jc w:val="both"/>
              <w:rPr>
                <w:rFonts w:cs="Arial"/>
                <w:sz w:val="20"/>
                <w:szCs w:val="20"/>
              </w:rPr>
            </w:pPr>
          </w:p>
        </w:tc>
      </w:tr>
      <w:tr w:rsidR="00A61271" w:rsidTr="00BD4AFD">
        <w:trPr>
          <w:cantSplit/>
        </w:trPr>
        <w:tc>
          <w:tcPr>
            <w:tcW w:w="1222" w:type="dxa"/>
            <w:vAlign w:val="center"/>
          </w:tcPr>
          <w:p w:rsidR="00A61271" w:rsidRPr="001D77F7" w:rsidRDefault="00A61271" w:rsidP="009B3354">
            <w:pPr>
              <w:rPr>
                <w:b/>
              </w:rPr>
            </w:pPr>
            <w:r w:rsidRPr="001D77F7">
              <w:rPr>
                <w:b/>
              </w:rPr>
              <w:lastRenderedPageBreak/>
              <w:t>Section 3. Load Shapes</w:t>
            </w:r>
          </w:p>
        </w:tc>
        <w:tc>
          <w:tcPr>
            <w:tcW w:w="8128" w:type="dxa"/>
          </w:tcPr>
          <w:p w:rsidR="004519B4" w:rsidRPr="00476F40" w:rsidRDefault="009B3354">
            <w:pPr>
              <w:tabs>
                <w:tab w:val="right" w:pos="6732"/>
              </w:tabs>
              <w:rPr>
                <w:rFonts w:cs="Arial"/>
                <w:sz w:val="20"/>
                <w:szCs w:val="20"/>
              </w:rPr>
            </w:pPr>
            <w:r>
              <w:rPr>
                <w:rFonts w:cstheme="minorHAnsi"/>
                <w:bCs/>
                <w:sz w:val="20"/>
              </w:rPr>
              <w:t>SDGE:</w:t>
            </w:r>
            <w:r w:rsidR="00BB4B25">
              <w:rPr>
                <w:rFonts w:cstheme="minorHAnsi"/>
                <w:bCs/>
                <w:sz w:val="20"/>
              </w:rPr>
              <w:t xml:space="preserve"> 13-MFM-ResidentialMulti-family-WAT_HEAT</w:t>
            </w:r>
            <w:r w:rsidR="00BB4B25">
              <w:rPr>
                <w:rFonts w:cstheme="minorHAnsi"/>
                <w:bCs/>
                <w:sz w:val="20"/>
              </w:rPr>
              <w:br/>
              <w:t>Annual</w:t>
            </w:r>
          </w:p>
        </w:tc>
      </w:tr>
      <w:tr w:rsidR="00A61271" w:rsidTr="00BD4AFD">
        <w:trPr>
          <w:cantSplit/>
        </w:trPr>
        <w:tc>
          <w:tcPr>
            <w:tcW w:w="1222" w:type="dxa"/>
            <w:vAlign w:val="center"/>
          </w:tcPr>
          <w:p w:rsidR="00A61271" w:rsidRPr="001D77F7" w:rsidRDefault="00A61271" w:rsidP="009B3354">
            <w:pPr>
              <w:rPr>
                <w:b/>
              </w:rPr>
            </w:pPr>
            <w:r w:rsidRPr="001D77F7">
              <w:rPr>
                <w:b/>
              </w:rPr>
              <w:t>Section 4. Costs</w:t>
            </w:r>
          </w:p>
        </w:tc>
        <w:tc>
          <w:tcPr>
            <w:tcW w:w="8128" w:type="dxa"/>
          </w:tcPr>
          <w:p w:rsidR="00A61271" w:rsidRPr="00476F40" w:rsidRDefault="00A61271" w:rsidP="00C048F4">
            <w:pPr>
              <w:rPr>
                <w:rFonts w:cs="Arial"/>
                <w:sz w:val="20"/>
                <w:szCs w:val="20"/>
              </w:rPr>
            </w:pPr>
          </w:p>
        </w:tc>
      </w:tr>
      <w:tr w:rsidR="00A61271" w:rsidRPr="00393EC8" w:rsidTr="00BD4AFD">
        <w:trPr>
          <w:cantSplit/>
        </w:trPr>
        <w:tc>
          <w:tcPr>
            <w:tcW w:w="1222" w:type="dxa"/>
          </w:tcPr>
          <w:p w:rsidR="00A61271" w:rsidRPr="00393EC8" w:rsidRDefault="00A61271">
            <w:pPr>
              <w:rPr>
                <w:b/>
              </w:rPr>
            </w:pPr>
            <w:r w:rsidRPr="00393EC8">
              <w:rPr>
                <w:b/>
              </w:rPr>
              <w:t xml:space="preserve">Section 4.1 </w:t>
            </w:r>
            <w:r w:rsidR="00695478">
              <w:rPr>
                <w:b/>
              </w:rPr>
              <w:t>Base and Measure Costs</w:t>
            </w:r>
          </w:p>
        </w:tc>
        <w:tc>
          <w:tcPr>
            <w:tcW w:w="8128" w:type="dxa"/>
          </w:tcPr>
          <w:p w:rsidR="00A61271" w:rsidRPr="00BD4AFD" w:rsidRDefault="00A61271" w:rsidP="009B3354"/>
        </w:tc>
      </w:tr>
      <w:tr w:rsidR="00E05871" w:rsidTr="00BD4AFD">
        <w:trPr>
          <w:cantSplit/>
        </w:trPr>
        <w:tc>
          <w:tcPr>
            <w:tcW w:w="1222" w:type="dxa"/>
          </w:tcPr>
          <w:p w:rsidR="00E05871" w:rsidRPr="00822B6F" w:rsidRDefault="00E05871" w:rsidP="00E05871">
            <w:pPr>
              <w:jc w:val="right"/>
              <w:rPr>
                <w:sz w:val="20"/>
                <w:szCs w:val="20"/>
              </w:rPr>
            </w:pPr>
            <w:r w:rsidRPr="00822B6F">
              <w:rPr>
                <w:sz w:val="20"/>
                <w:szCs w:val="20"/>
              </w:rPr>
              <w:t>Base Cost</w:t>
            </w:r>
          </w:p>
        </w:tc>
        <w:tc>
          <w:tcPr>
            <w:tcW w:w="8128" w:type="dxa"/>
          </w:tcPr>
          <w:p w:rsidR="000923C0" w:rsidRDefault="000923C0" w:rsidP="00E05871">
            <w:pPr>
              <w:tabs>
                <w:tab w:val="right" w:pos="6732"/>
              </w:tabs>
              <w:rPr>
                <w:rFonts w:cs="Arial"/>
                <w:sz w:val="20"/>
                <w:szCs w:val="20"/>
              </w:rPr>
            </w:pPr>
            <w:r>
              <w:rPr>
                <w:rFonts w:cs="Arial"/>
                <w:sz w:val="20"/>
                <w:szCs w:val="20"/>
              </w:rPr>
              <w:t>464042:</w:t>
            </w:r>
          </w:p>
          <w:p w:rsidR="00D45B1C" w:rsidRDefault="00D45B1C" w:rsidP="00E05871">
            <w:pPr>
              <w:tabs>
                <w:tab w:val="right" w:pos="6732"/>
              </w:tabs>
              <w:rPr>
                <w:rFonts w:cs="Arial"/>
                <w:sz w:val="20"/>
                <w:szCs w:val="20"/>
              </w:rPr>
            </w:pPr>
            <w:r w:rsidRPr="00D45B1C">
              <w:rPr>
                <w:rFonts w:cs="Arial"/>
                <w:sz w:val="20"/>
                <w:szCs w:val="20"/>
              </w:rPr>
              <w:t>WPSDGEREWH0023-Rev00-Msr001-BASE</w:t>
            </w:r>
            <w:r>
              <w:rPr>
                <w:rFonts w:cs="Arial"/>
                <w:sz w:val="20"/>
                <w:szCs w:val="20"/>
              </w:rPr>
              <w:t xml:space="preserve"> = $23.29</w:t>
            </w:r>
          </w:p>
          <w:p w:rsidR="000923C0" w:rsidRDefault="000923C0" w:rsidP="00E05871">
            <w:pPr>
              <w:tabs>
                <w:tab w:val="right" w:pos="6732"/>
              </w:tabs>
              <w:rPr>
                <w:rFonts w:cs="Arial"/>
                <w:sz w:val="20"/>
                <w:szCs w:val="20"/>
              </w:rPr>
            </w:pPr>
          </w:p>
          <w:p w:rsidR="000923C0" w:rsidRDefault="000923C0" w:rsidP="00E05871">
            <w:pPr>
              <w:tabs>
                <w:tab w:val="right" w:pos="6732"/>
              </w:tabs>
              <w:rPr>
                <w:rFonts w:cs="Arial"/>
                <w:sz w:val="20"/>
                <w:szCs w:val="20"/>
              </w:rPr>
            </w:pPr>
            <w:r>
              <w:rPr>
                <w:rFonts w:cs="Arial"/>
                <w:sz w:val="20"/>
                <w:szCs w:val="20"/>
              </w:rPr>
              <w:t>464043:</w:t>
            </w:r>
          </w:p>
          <w:p w:rsidR="00D45B1C" w:rsidRDefault="00D45B1C" w:rsidP="00E05871">
            <w:pPr>
              <w:tabs>
                <w:tab w:val="right" w:pos="6732"/>
              </w:tabs>
              <w:rPr>
                <w:rFonts w:cs="Arial"/>
                <w:sz w:val="20"/>
                <w:szCs w:val="20"/>
              </w:rPr>
            </w:pPr>
            <w:r w:rsidRPr="00D45B1C">
              <w:rPr>
                <w:rFonts w:cs="Arial"/>
                <w:sz w:val="20"/>
                <w:szCs w:val="20"/>
              </w:rPr>
              <w:t>WPSDGEREWH0023-Rev00-Msr002-BASE</w:t>
            </w:r>
            <w:r>
              <w:rPr>
                <w:rFonts w:cs="Arial"/>
                <w:sz w:val="20"/>
                <w:szCs w:val="20"/>
              </w:rPr>
              <w:t xml:space="preserve"> = $23.29</w:t>
            </w:r>
          </w:p>
        </w:tc>
      </w:tr>
      <w:tr w:rsidR="00A61271" w:rsidTr="00BD4AFD">
        <w:trPr>
          <w:cantSplit/>
        </w:trPr>
        <w:tc>
          <w:tcPr>
            <w:tcW w:w="1222" w:type="dxa"/>
          </w:tcPr>
          <w:p w:rsidR="00A61271" w:rsidRPr="00822B6F" w:rsidRDefault="00A61271">
            <w:pPr>
              <w:jc w:val="right"/>
              <w:rPr>
                <w:sz w:val="20"/>
                <w:szCs w:val="20"/>
              </w:rPr>
            </w:pPr>
            <w:r w:rsidRPr="00822B6F">
              <w:rPr>
                <w:sz w:val="20"/>
                <w:szCs w:val="20"/>
              </w:rPr>
              <w:t xml:space="preserve">Measure Cost </w:t>
            </w:r>
          </w:p>
        </w:tc>
        <w:tc>
          <w:tcPr>
            <w:tcW w:w="8128" w:type="dxa"/>
          </w:tcPr>
          <w:p w:rsidR="000923C0" w:rsidRDefault="000923C0">
            <w:pPr>
              <w:tabs>
                <w:tab w:val="right" w:pos="6732"/>
              </w:tabs>
              <w:rPr>
                <w:rFonts w:cs="Arial"/>
                <w:sz w:val="20"/>
                <w:szCs w:val="20"/>
              </w:rPr>
            </w:pPr>
            <w:r>
              <w:rPr>
                <w:rFonts w:cs="Arial"/>
                <w:sz w:val="20"/>
                <w:szCs w:val="20"/>
              </w:rPr>
              <w:t>464042:</w:t>
            </w:r>
          </w:p>
          <w:p w:rsidR="000923C0" w:rsidRDefault="000923C0" w:rsidP="000923C0">
            <w:pPr>
              <w:tabs>
                <w:tab w:val="right" w:pos="6732"/>
              </w:tabs>
              <w:rPr>
                <w:rFonts w:cs="Arial"/>
                <w:sz w:val="20"/>
                <w:szCs w:val="20"/>
              </w:rPr>
            </w:pPr>
            <w:r w:rsidRPr="00D45B1C">
              <w:rPr>
                <w:rFonts w:cs="Arial"/>
                <w:sz w:val="20"/>
                <w:szCs w:val="20"/>
              </w:rPr>
              <w:t>WPSDGEREWH0023-Rev00-Msr001-FULL</w:t>
            </w:r>
            <w:r>
              <w:rPr>
                <w:rFonts w:cs="Arial"/>
                <w:sz w:val="20"/>
                <w:szCs w:val="20"/>
              </w:rPr>
              <w:t xml:space="preserve"> = $25.85</w:t>
            </w:r>
          </w:p>
          <w:p w:rsidR="000923C0" w:rsidRDefault="000923C0">
            <w:pPr>
              <w:tabs>
                <w:tab w:val="right" w:pos="6732"/>
              </w:tabs>
              <w:rPr>
                <w:rFonts w:cs="Arial"/>
                <w:sz w:val="20"/>
                <w:szCs w:val="20"/>
              </w:rPr>
            </w:pPr>
          </w:p>
          <w:p w:rsidR="000923C0" w:rsidRDefault="000923C0">
            <w:pPr>
              <w:tabs>
                <w:tab w:val="right" w:pos="6732"/>
              </w:tabs>
              <w:rPr>
                <w:rFonts w:cs="Arial"/>
                <w:sz w:val="20"/>
                <w:szCs w:val="20"/>
              </w:rPr>
            </w:pPr>
            <w:r>
              <w:rPr>
                <w:rFonts w:cs="Arial"/>
                <w:sz w:val="20"/>
                <w:szCs w:val="20"/>
              </w:rPr>
              <w:t>464043:</w:t>
            </w:r>
          </w:p>
          <w:p w:rsidR="00A61271" w:rsidRPr="00476F40" w:rsidRDefault="000923C0">
            <w:pPr>
              <w:tabs>
                <w:tab w:val="right" w:pos="6732"/>
              </w:tabs>
              <w:rPr>
                <w:rFonts w:cs="Arial"/>
                <w:sz w:val="20"/>
                <w:szCs w:val="20"/>
              </w:rPr>
            </w:pPr>
            <w:r w:rsidRPr="00D45B1C">
              <w:rPr>
                <w:rFonts w:cs="Arial"/>
                <w:sz w:val="20"/>
                <w:szCs w:val="20"/>
              </w:rPr>
              <w:t>WPSDGEREWH0023-Rev00-Msr002-FULL</w:t>
            </w:r>
            <w:r>
              <w:rPr>
                <w:rFonts w:cs="Arial"/>
                <w:sz w:val="20"/>
                <w:szCs w:val="20"/>
              </w:rPr>
              <w:t xml:space="preserve"> = $32.10</w:t>
            </w:r>
            <w:r w:rsidR="00A61271">
              <w:rPr>
                <w:rFonts w:cs="Arial"/>
                <w:sz w:val="20"/>
                <w:szCs w:val="20"/>
              </w:rPr>
              <w:tab/>
            </w:r>
          </w:p>
        </w:tc>
      </w:tr>
    </w:tbl>
    <w:p w:rsidR="001B5D6C" w:rsidRDefault="001B5D6C" w:rsidP="00FE636E">
      <w:pPr>
        <w:spacing w:after="200" w:line="276" w:lineRule="auto"/>
      </w:pPr>
    </w:p>
    <w:p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354" w:rsidRDefault="009B3354" w:rsidP="00FE520B">
      <w:r>
        <w:separator/>
      </w:r>
    </w:p>
  </w:endnote>
  <w:endnote w:type="continuationSeparator" w:id="0">
    <w:p w:rsidR="009B3354" w:rsidRDefault="009B3354"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354" w:rsidRPr="00241A1F" w:rsidRDefault="008806EF" w:rsidP="00241A1F">
    <w:pPr>
      <w:pStyle w:val="Footer"/>
      <w:rPr>
        <w:rFonts w:cstheme="minorHAnsi"/>
        <w:b/>
        <w:szCs w:val="22"/>
      </w:rPr>
    </w:pPr>
    <w:r>
      <w:rPr>
        <w:b/>
      </w:rPr>
      <w:t>Workpaper WPSDGEREWH0023, Revision 0</w:t>
    </w:r>
    <w:r w:rsidR="009B3354">
      <w:rPr>
        <w:b/>
      </w:rPr>
      <w:tab/>
    </w:r>
    <w:r w:rsidR="009B3354">
      <w:rPr>
        <w:b/>
      </w:rPr>
      <w:tab/>
    </w:r>
    <w:r>
      <w:rPr>
        <w:rFonts w:cstheme="minorHAnsi"/>
        <w:b/>
        <w:szCs w:val="22"/>
      </w:rPr>
      <w:t>November 8</w:t>
    </w:r>
    <w:r w:rsidR="009B3354">
      <w:rPr>
        <w:rFonts w:cstheme="minorHAnsi"/>
        <w:b/>
        <w:szCs w:val="22"/>
      </w:rPr>
      <w:t>, 2017</w:t>
    </w:r>
  </w:p>
  <w:p w:rsidR="009B3354" w:rsidRPr="009500DC" w:rsidRDefault="009B3354"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3F371A">
      <w:rPr>
        <w:b/>
        <w:noProof/>
      </w:rPr>
      <w:t>2</w:t>
    </w:r>
    <w:r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354" w:rsidRDefault="009B3354" w:rsidP="00FE520B">
      <w:r>
        <w:separator/>
      </w:r>
    </w:p>
  </w:footnote>
  <w:footnote w:type="continuationSeparator" w:id="0">
    <w:p w:rsidR="009B3354" w:rsidRDefault="009B3354"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9408D2"/>
    <w:multiLevelType w:val="hybridMultilevel"/>
    <w:tmpl w:val="BFBE6D16"/>
    <w:lvl w:ilvl="0" w:tplc="D12AF5E4">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D7D2A"/>
    <w:multiLevelType w:val="hybridMultilevel"/>
    <w:tmpl w:val="DCF8B6CC"/>
    <w:lvl w:ilvl="0" w:tplc="B8261A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34490F"/>
    <w:multiLevelType w:val="hybridMultilevel"/>
    <w:tmpl w:val="B84E18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9"/>
  </w:num>
  <w:num w:numId="5">
    <w:abstractNumId w:val="14"/>
  </w:num>
  <w:num w:numId="6">
    <w:abstractNumId w:val="7"/>
  </w:num>
  <w:num w:numId="7">
    <w:abstractNumId w:val="19"/>
  </w:num>
  <w:num w:numId="8">
    <w:abstractNumId w:val="16"/>
  </w:num>
  <w:num w:numId="9">
    <w:abstractNumId w:val="8"/>
  </w:num>
  <w:num w:numId="10">
    <w:abstractNumId w:val="17"/>
  </w:num>
  <w:num w:numId="11">
    <w:abstractNumId w:val="18"/>
  </w:num>
  <w:num w:numId="12">
    <w:abstractNumId w:val="12"/>
  </w:num>
  <w:num w:numId="13">
    <w:abstractNumId w:val="20"/>
  </w:num>
  <w:num w:numId="14">
    <w:abstractNumId w:val="11"/>
  </w:num>
  <w:num w:numId="15">
    <w:abstractNumId w:val="13"/>
  </w:num>
  <w:num w:numId="16">
    <w:abstractNumId w:val="15"/>
  </w:num>
  <w:num w:numId="17">
    <w:abstractNumId w:val="10"/>
  </w:num>
  <w:num w:numId="18">
    <w:abstractNumId w:val="0"/>
  </w:num>
  <w:num w:numId="19">
    <w:abstractNumId w:val="2"/>
  </w:num>
  <w:num w:numId="20">
    <w:abstractNumId w:val="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23C32"/>
    <w:rsid w:val="00031221"/>
    <w:rsid w:val="00031BA0"/>
    <w:rsid w:val="00052743"/>
    <w:rsid w:val="00052CE4"/>
    <w:rsid w:val="00067315"/>
    <w:rsid w:val="00067AF1"/>
    <w:rsid w:val="000719BF"/>
    <w:rsid w:val="000923C0"/>
    <w:rsid w:val="000B6542"/>
    <w:rsid w:val="000C13AE"/>
    <w:rsid w:val="000C441A"/>
    <w:rsid w:val="000D243C"/>
    <w:rsid w:val="000E19CA"/>
    <w:rsid w:val="000E2CA6"/>
    <w:rsid w:val="000F6BA3"/>
    <w:rsid w:val="000F72EF"/>
    <w:rsid w:val="001026F6"/>
    <w:rsid w:val="001046CB"/>
    <w:rsid w:val="00121B4E"/>
    <w:rsid w:val="0012271D"/>
    <w:rsid w:val="00131C78"/>
    <w:rsid w:val="00143843"/>
    <w:rsid w:val="001458E6"/>
    <w:rsid w:val="001505DA"/>
    <w:rsid w:val="0016189C"/>
    <w:rsid w:val="001752E5"/>
    <w:rsid w:val="00183A2F"/>
    <w:rsid w:val="00194466"/>
    <w:rsid w:val="001979FF"/>
    <w:rsid w:val="001A11C1"/>
    <w:rsid w:val="001A4875"/>
    <w:rsid w:val="001B1C8A"/>
    <w:rsid w:val="001B5D6C"/>
    <w:rsid w:val="001C3663"/>
    <w:rsid w:val="001D0AB9"/>
    <w:rsid w:val="001D57D7"/>
    <w:rsid w:val="001D6A64"/>
    <w:rsid w:val="00200310"/>
    <w:rsid w:val="00201A3F"/>
    <w:rsid w:val="00215828"/>
    <w:rsid w:val="00231DE1"/>
    <w:rsid w:val="00241A1F"/>
    <w:rsid w:val="00244447"/>
    <w:rsid w:val="00291B2B"/>
    <w:rsid w:val="002C1030"/>
    <w:rsid w:val="002C15E6"/>
    <w:rsid w:val="002D0BD6"/>
    <w:rsid w:val="002D7B3E"/>
    <w:rsid w:val="002E0948"/>
    <w:rsid w:val="002E24BE"/>
    <w:rsid w:val="00315E66"/>
    <w:rsid w:val="00323C28"/>
    <w:rsid w:val="0032761E"/>
    <w:rsid w:val="00360CFA"/>
    <w:rsid w:val="003A0D2B"/>
    <w:rsid w:val="003A4277"/>
    <w:rsid w:val="003A7B4E"/>
    <w:rsid w:val="003B5DCF"/>
    <w:rsid w:val="003C2EE4"/>
    <w:rsid w:val="003D1C21"/>
    <w:rsid w:val="003E0DC8"/>
    <w:rsid w:val="003E122A"/>
    <w:rsid w:val="003E6E57"/>
    <w:rsid w:val="003E6FA5"/>
    <w:rsid w:val="003F1F0D"/>
    <w:rsid w:val="003F371A"/>
    <w:rsid w:val="00402B3D"/>
    <w:rsid w:val="00413EF4"/>
    <w:rsid w:val="00431763"/>
    <w:rsid w:val="004402EE"/>
    <w:rsid w:val="0044686E"/>
    <w:rsid w:val="004519B4"/>
    <w:rsid w:val="00467DB3"/>
    <w:rsid w:val="00492365"/>
    <w:rsid w:val="004A6215"/>
    <w:rsid w:val="004B6B1C"/>
    <w:rsid w:val="004D0326"/>
    <w:rsid w:val="004D5D19"/>
    <w:rsid w:val="004E13B2"/>
    <w:rsid w:val="00513723"/>
    <w:rsid w:val="00515AD9"/>
    <w:rsid w:val="005428E1"/>
    <w:rsid w:val="00543687"/>
    <w:rsid w:val="00555671"/>
    <w:rsid w:val="005613FC"/>
    <w:rsid w:val="00567FEF"/>
    <w:rsid w:val="00580664"/>
    <w:rsid w:val="0059117D"/>
    <w:rsid w:val="00591D85"/>
    <w:rsid w:val="0059663B"/>
    <w:rsid w:val="005B5614"/>
    <w:rsid w:val="005C1518"/>
    <w:rsid w:val="005D5D5A"/>
    <w:rsid w:val="005E18A1"/>
    <w:rsid w:val="00636490"/>
    <w:rsid w:val="00650C31"/>
    <w:rsid w:val="00650F0D"/>
    <w:rsid w:val="00653C4B"/>
    <w:rsid w:val="00666CDA"/>
    <w:rsid w:val="00682E19"/>
    <w:rsid w:val="00684ABA"/>
    <w:rsid w:val="00686789"/>
    <w:rsid w:val="006875B3"/>
    <w:rsid w:val="00695478"/>
    <w:rsid w:val="006A3E63"/>
    <w:rsid w:val="006B0D5C"/>
    <w:rsid w:val="006D03F9"/>
    <w:rsid w:val="006D2B70"/>
    <w:rsid w:val="00707736"/>
    <w:rsid w:val="00711B58"/>
    <w:rsid w:val="00727839"/>
    <w:rsid w:val="00762D81"/>
    <w:rsid w:val="00785AC8"/>
    <w:rsid w:val="00786E32"/>
    <w:rsid w:val="00787D7C"/>
    <w:rsid w:val="007927B6"/>
    <w:rsid w:val="00792928"/>
    <w:rsid w:val="00797B54"/>
    <w:rsid w:val="007B18FE"/>
    <w:rsid w:val="007D1A21"/>
    <w:rsid w:val="007D1F1E"/>
    <w:rsid w:val="007D3A21"/>
    <w:rsid w:val="007D4F8E"/>
    <w:rsid w:val="007D6FF1"/>
    <w:rsid w:val="007E7E00"/>
    <w:rsid w:val="008137B0"/>
    <w:rsid w:val="0081521B"/>
    <w:rsid w:val="00856FA4"/>
    <w:rsid w:val="00862113"/>
    <w:rsid w:val="008724D6"/>
    <w:rsid w:val="008775D7"/>
    <w:rsid w:val="008806EF"/>
    <w:rsid w:val="00884B9C"/>
    <w:rsid w:val="00895D80"/>
    <w:rsid w:val="008A1557"/>
    <w:rsid w:val="008A1D1C"/>
    <w:rsid w:val="008A4224"/>
    <w:rsid w:val="008B5184"/>
    <w:rsid w:val="008C01F7"/>
    <w:rsid w:val="008C2C8A"/>
    <w:rsid w:val="008D0B3C"/>
    <w:rsid w:val="008D74B6"/>
    <w:rsid w:val="008E0850"/>
    <w:rsid w:val="008E5CD5"/>
    <w:rsid w:val="0090016E"/>
    <w:rsid w:val="00910D54"/>
    <w:rsid w:val="0093657B"/>
    <w:rsid w:val="0094267E"/>
    <w:rsid w:val="00950249"/>
    <w:rsid w:val="009554D7"/>
    <w:rsid w:val="00957C01"/>
    <w:rsid w:val="009618BA"/>
    <w:rsid w:val="00986A83"/>
    <w:rsid w:val="00992548"/>
    <w:rsid w:val="009B3354"/>
    <w:rsid w:val="009C3F2D"/>
    <w:rsid w:val="009C6AE8"/>
    <w:rsid w:val="009E1662"/>
    <w:rsid w:val="009F0CF0"/>
    <w:rsid w:val="009F3770"/>
    <w:rsid w:val="00A051D9"/>
    <w:rsid w:val="00A05AEF"/>
    <w:rsid w:val="00A21710"/>
    <w:rsid w:val="00A3401B"/>
    <w:rsid w:val="00A578F7"/>
    <w:rsid w:val="00A61271"/>
    <w:rsid w:val="00A66572"/>
    <w:rsid w:val="00A75EDC"/>
    <w:rsid w:val="00A90F14"/>
    <w:rsid w:val="00A9441E"/>
    <w:rsid w:val="00AA43C4"/>
    <w:rsid w:val="00AD74B2"/>
    <w:rsid w:val="00AE4353"/>
    <w:rsid w:val="00B16652"/>
    <w:rsid w:val="00B471CC"/>
    <w:rsid w:val="00B47B58"/>
    <w:rsid w:val="00B57F32"/>
    <w:rsid w:val="00B61FCD"/>
    <w:rsid w:val="00B75260"/>
    <w:rsid w:val="00B9234D"/>
    <w:rsid w:val="00B9551F"/>
    <w:rsid w:val="00BB2D80"/>
    <w:rsid w:val="00BB4B25"/>
    <w:rsid w:val="00BB5D3A"/>
    <w:rsid w:val="00BC6454"/>
    <w:rsid w:val="00BD1795"/>
    <w:rsid w:val="00BD4AFD"/>
    <w:rsid w:val="00BD5433"/>
    <w:rsid w:val="00C048F4"/>
    <w:rsid w:val="00C05E32"/>
    <w:rsid w:val="00C06B9E"/>
    <w:rsid w:val="00C131CB"/>
    <w:rsid w:val="00C15F66"/>
    <w:rsid w:val="00C228B0"/>
    <w:rsid w:val="00C23CAB"/>
    <w:rsid w:val="00C414A6"/>
    <w:rsid w:val="00C44E5A"/>
    <w:rsid w:val="00C462C1"/>
    <w:rsid w:val="00C52867"/>
    <w:rsid w:val="00C54AC6"/>
    <w:rsid w:val="00C62A00"/>
    <w:rsid w:val="00C7215A"/>
    <w:rsid w:val="00C75814"/>
    <w:rsid w:val="00CA48A0"/>
    <w:rsid w:val="00CA5B8F"/>
    <w:rsid w:val="00CB10BC"/>
    <w:rsid w:val="00CF295D"/>
    <w:rsid w:val="00CF2ABA"/>
    <w:rsid w:val="00D45B1C"/>
    <w:rsid w:val="00D60240"/>
    <w:rsid w:val="00D645DB"/>
    <w:rsid w:val="00D73600"/>
    <w:rsid w:val="00D73723"/>
    <w:rsid w:val="00DA5D17"/>
    <w:rsid w:val="00DB544A"/>
    <w:rsid w:val="00DB71F1"/>
    <w:rsid w:val="00DC42DE"/>
    <w:rsid w:val="00DC7243"/>
    <w:rsid w:val="00DE1C5D"/>
    <w:rsid w:val="00DE364E"/>
    <w:rsid w:val="00E048EA"/>
    <w:rsid w:val="00E05871"/>
    <w:rsid w:val="00E05B9C"/>
    <w:rsid w:val="00E159C8"/>
    <w:rsid w:val="00E165FC"/>
    <w:rsid w:val="00E33C12"/>
    <w:rsid w:val="00E372B8"/>
    <w:rsid w:val="00E408A9"/>
    <w:rsid w:val="00E56CE7"/>
    <w:rsid w:val="00E6385A"/>
    <w:rsid w:val="00E6631C"/>
    <w:rsid w:val="00E733C7"/>
    <w:rsid w:val="00E76853"/>
    <w:rsid w:val="00E84938"/>
    <w:rsid w:val="00E859F0"/>
    <w:rsid w:val="00EC34A0"/>
    <w:rsid w:val="00EC38B0"/>
    <w:rsid w:val="00ED3B34"/>
    <w:rsid w:val="00ED65C0"/>
    <w:rsid w:val="00EE38DA"/>
    <w:rsid w:val="00EE6CFE"/>
    <w:rsid w:val="00F117C6"/>
    <w:rsid w:val="00F22251"/>
    <w:rsid w:val="00F3167F"/>
    <w:rsid w:val="00F4328B"/>
    <w:rsid w:val="00F77C08"/>
    <w:rsid w:val="00F855DD"/>
    <w:rsid w:val="00F915C5"/>
    <w:rsid w:val="00FA3359"/>
    <w:rsid w:val="00FB4B16"/>
    <w:rsid w:val="00FC1793"/>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565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45DB"/>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uiPriority w:val="99"/>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Normal1">
    <w:name w:val="Normal1"/>
    <w:basedOn w:val="Normal"/>
    <w:rsid w:val="009554D7"/>
    <w:pPr>
      <w:overflowPunct w:val="0"/>
      <w:autoSpaceDE w:val="0"/>
      <w:autoSpaceDN w:val="0"/>
      <w:adjustRightInd w:val="0"/>
      <w:spacing w:after="120" w:line="360" w:lineRule="atLeast"/>
      <w:textAlignment w:val="baseline"/>
    </w:pPr>
    <w:rPr>
      <w:rFonts w:ascii="Times New Roman" w:eastAsia="Batang"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D7272C-09D5-4EBB-8730-BFD67511B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1855</Words>
  <Characters>10576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2017-11-17T18:36:00Z</dcterms:created>
  <dcterms:modified xsi:type="dcterms:W3CDTF">2017-11-17T18:36:00Z</dcterms:modified>
</cp:coreProperties>
</file>