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23256" w14:textId="77777777" w:rsidR="007927B6" w:rsidRPr="00500C4E" w:rsidRDefault="00E6385A" w:rsidP="007927B6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1E2146">
        <w:t>WPSDGEREWH0022</w:t>
      </w:r>
    </w:p>
    <w:p w14:paraId="6FE1FFA8" w14:textId="007672B0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9E6A31">
        <w:rPr>
          <w:rStyle w:val="CaptionChar"/>
          <w:b/>
          <w:bCs w:val="0"/>
        </w:rPr>
        <w:t>3</w:t>
      </w:r>
    </w:p>
    <w:bookmarkEnd w:id="0"/>
    <w:p w14:paraId="4C19B7E2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11B029A7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2E3AA943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1B7C2EA8" w14:textId="77777777" w:rsidR="00F117C6" w:rsidRPr="00500C4E" w:rsidRDefault="00F117C6" w:rsidP="00F117C6">
      <w:pPr>
        <w:rPr>
          <w:rFonts w:cstheme="minorHAnsi"/>
        </w:rPr>
      </w:pPr>
    </w:p>
    <w:p w14:paraId="0616A92B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2E648AB3" w14:textId="77777777" w:rsidR="00F117C6" w:rsidRPr="00500C4E" w:rsidRDefault="00F117C6" w:rsidP="00F117C6">
      <w:pPr>
        <w:rPr>
          <w:rFonts w:cstheme="minorHAnsi"/>
        </w:rPr>
      </w:pPr>
    </w:p>
    <w:p w14:paraId="6229B1B8" w14:textId="77777777" w:rsidR="00F117C6" w:rsidRPr="00500C4E" w:rsidRDefault="00F117C6" w:rsidP="00F117C6">
      <w:pPr>
        <w:rPr>
          <w:rFonts w:cstheme="minorHAnsi"/>
        </w:rPr>
      </w:pPr>
    </w:p>
    <w:p w14:paraId="7493BEA0" w14:textId="77777777" w:rsidR="00F117C6" w:rsidRPr="00500C4E" w:rsidRDefault="00F117C6" w:rsidP="00F117C6">
      <w:pPr>
        <w:rPr>
          <w:rFonts w:cstheme="minorHAnsi"/>
        </w:rPr>
      </w:pPr>
    </w:p>
    <w:p w14:paraId="6304F7B5" w14:textId="77777777" w:rsidR="00F117C6" w:rsidRPr="00500C4E" w:rsidRDefault="00F117C6" w:rsidP="00F117C6">
      <w:pPr>
        <w:rPr>
          <w:rFonts w:cstheme="minorHAnsi"/>
        </w:rPr>
      </w:pPr>
    </w:p>
    <w:p w14:paraId="509FD70F" w14:textId="77777777" w:rsidR="00F117C6" w:rsidRPr="00500C4E" w:rsidRDefault="00F117C6" w:rsidP="00F117C6">
      <w:pPr>
        <w:rPr>
          <w:rFonts w:cstheme="minorHAnsi"/>
        </w:rPr>
      </w:pPr>
    </w:p>
    <w:p w14:paraId="1F0A4167" w14:textId="77777777" w:rsidR="007927B6" w:rsidRPr="007927B6" w:rsidRDefault="001E2146" w:rsidP="007927B6">
      <w:pPr>
        <w:ind w:right="-720"/>
        <w:rPr>
          <w:rFonts w:ascii="Arial" w:hAnsi="Arial" w:cs="Arial"/>
          <w:b/>
          <w:sz w:val="72"/>
          <w:szCs w:val="72"/>
        </w:rPr>
      </w:pPr>
      <w:bookmarkStart w:id="1" w:name="_Hlk497719268"/>
      <w:r>
        <w:rPr>
          <w:rFonts w:ascii="Arial" w:hAnsi="Arial" w:cs="Arial"/>
          <w:b/>
          <w:sz w:val="72"/>
          <w:szCs w:val="72"/>
        </w:rPr>
        <w:t>Residential Heat Pump Water Heater</w:t>
      </w:r>
    </w:p>
    <w:bookmarkEnd w:id="1"/>
    <w:p w14:paraId="677BD5E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4CA9FD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C62E48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8E5FEB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A68722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3EF9E8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AA0830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ACF2D9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914940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57ED34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D7B969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94C21B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8B6A986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292420F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FFD251F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D85F0C7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5672C5F4" w14:textId="70405980" w:rsidR="00E372B8" w:rsidRDefault="00CA2F0D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3E6E57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27, 2018</w:t>
      </w:r>
    </w:p>
    <w:p w14:paraId="0C20FC4F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87C0DEE" w14:textId="77777777" w:rsidR="00FE520B" w:rsidRDefault="0059117D" w:rsidP="00FE520B">
      <w:pPr>
        <w:pStyle w:val="Heading1"/>
      </w:pPr>
      <w:r>
        <w:lastRenderedPageBreak/>
        <w:t xml:space="preserve">SDG&amp;E </w:t>
      </w:r>
      <w:r w:rsidR="007270EA">
        <w:t>Residential Heat Pump Water Heater</w:t>
      </w:r>
    </w:p>
    <w:p w14:paraId="7A2F5C3E" w14:textId="77777777" w:rsidR="00413EF4" w:rsidRDefault="00413EF4" w:rsidP="00413EF4">
      <w:pPr>
        <w:pStyle w:val="Heading2"/>
      </w:pPr>
      <w:r>
        <w:t>Introduction</w:t>
      </w:r>
    </w:p>
    <w:p w14:paraId="4A395C40" w14:textId="6A8E08C8" w:rsidR="008C01F7" w:rsidRDefault="00CA2F0D" w:rsidP="00CA2F0D">
      <w:pPr>
        <w:jc w:val="both"/>
      </w:pPr>
      <w:r w:rsidRPr="00CA2F0D">
        <w:t>This short form workpaper documents the values adopted from SCE’s workpaper entitled “</w:t>
      </w:r>
      <w:r>
        <w:t>Heat Pump Water Heater</w:t>
      </w:r>
      <w:r w:rsidRPr="00CA2F0D">
        <w:t>” (</w:t>
      </w:r>
      <w:r>
        <w:t>SCE17WH001.2</w:t>
      </w:r>
      <w:r w:rsidRPr="00CA2F0D">
        <w:t xml:space="preserve">). SDG&amp;E adopts </w:t>
      </w:r>
      <w:proofErr w:type="gramStart"/>
      <w:r w:rsidRPr="00CA2F0D">
        <w:t>all of</w:t>
      </w:r>
      <w:proofErr w:type="gramEnd"/>
      <w:r w:rsidRPr="00CA2F0D">
        <w:t xml:space="preserve"> the values in SCE17WP001 Rev 1 with</w:t>
      </w:r>
      <w:r w:rsidR="002623D0">
        <w:t xml:space="preserve"> the</w:t>
      </w:r>
      <w:r>
        <w:t xml:space="preserve"> exception</w:t>
      </w:r>
      <w:r w:rsidR="002623D0">
        <w:t xml:space="preserve"> of:</w:t>
      </w:r>
    </w:p>
    <w:p w14:paraId="65F3E162" w14:textId="581A48B0" w:rsidR="002623D0" w:rsidRDefault="002623D0" w:rsidP="00CA2F0D">
      <w:pPr>
        <w:jc w:val="both"/>
      </w:pPr>
    </w:p>
    <w:p w14:paraId="03636AD9" w14:textId="4F37EB21" w:rsidR="002623D0" w:rsidRDefault="00A61B50" w:rsidP="002623D0">
      <w:pPr>
        <w:pStyle w:val="ListParagraph"/>
        <w:numPr>
          <w:ilvl w:val="0"/>
          <w:numId w:val="29"/>
        </w:numPr>
        <w:jc w:val="both"/>
      </w:pPr>
      <w:r>
        <w:t>SDG&amp;E elects to use NTGR:</w:t>
      </w:r>
      <w:r w:rsidR="002623D0">
        <w:t xml:space="preserve"> Res-Default&gt;2</w:t>
      </w:r>
      <w:r>
        <w:t xml:space="preserve"> since the measure has been in the program for more than two years.</w:t>
      </w:r>
      <w:bookmarkStart w:id="2" w:name="_GoBack"/>
      <w:bookmarkEnd w:id="2"/>
    </w:p>
    <w:p w14:paraId="1594D9B8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754"/>
        <w:gridCol w:w="5806"/>
      </w:tblGrid>
      <w:tr w:rsidR="00B57F32" w:rsidRPr="00500C4E" w14:paraId="0D31C483" w14:textId="77777777" w:rsidTr="00C131C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0A7132DA" w14:textId="77777777" w:rsidR="00B57F32" w:rsidRPr="000E2B6B" w:rsidRDefault="00B57F32" w:rsidP="009B335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33B881DB" w14:textId="77777777" w:rsidR="00B57F32" w:rsidRPr="000E2B6B" w:rsidRDefault="00B57F32" w:rsidP="009B335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8" w:type="pct"/>
            <w:shd w:val="clear" w:color="auto" w:fill="D9D9D9" w:themeFill="background1" w:themeFillShade="D9"/>
          </w:tcPr>
          <w:p w14:paraId="485A6BED" w14:textId="77777777" w:rsidR="00B57F32" w:rsidRPr="000E2B6B" w:rsidRDefault="00B57F32" w:rsidP="009B335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5" w:type="pct"/>
            <w:shd w:val="clear" w:color="auto" w:fill="D9D9D9" w:themeFill="background1" w:themeFillShade="D9"/>
          </w:tcPr>
          <w:p w14:paraId="4FEB33DF" w14:textId="77777777" w:rsidR="00B57F32" w:rsidRPr="000E2B6B" w:rsidRDefault="00B57F32" w:rsidP="009B335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14:paraId="57302911" w14:textId="77777777" w:rsidTr="00C131CB">
        <w:trPr>
          <w:trHeight w:val="20"/>
        </w:trPr>
        <w:tc>
          <w:tcPr>
            <w:tcW w:w="280" w:type="pct"/>
          </w:tcPr>
          <w:p w14:paraId="494C888A" w14:textId="77777777"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77" w:type="pct"/>
          </w:tcPr>
          <w:p w14:paraId="181F03C1" w14:textId="77777777" w:rsidR="00884B9C" w:rsidRPr="000E2B6B" w:rsidRDefault="007270EA" w:rsidP="009B3354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02/28/13</w:t>
            </w:r>
          </w:p>
        </w:tc>
        <w:tc>
          <w:tcPr>
            <w:tcW w:w="938" w:type="pct"/>
          </w:tcPr>
          <w:p w14:paraId="78DFD2FC" w14:textId="77777777" w:rsidR="00884B9C" w:rsidRPr="000E2B6B" w:rsidRDefault="007270EA" w:rsidP="009B335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Charles Harmstead</w:t>
            </w:r>
          </w:p>
        </w:tc>
        <w:tc>
          <w:tcPr>
            <w:tcW w:w="3105" w:type="pct"/>
          </w:tcPr>
          <w:p w14:paraId="3DADFF83" w14:textId="77777777" w:rsidR="00884B9C" w:rsidRPr="005734A4" w:rsidRDefault="007270EA" w:rsidP="007270EA">
            <w:pPr>
              <w:rPr>
                <w:rFonts w:cstheme="minorHAnsi"/>
                <w:szCs w:val="20"/>
              </w:rPr>
            </w:pPr>
            <w:r>
              <w:rPr>
                <w:bCs/>
                <w:szCs w:val="20"/>
              </w:rPr>
              <w:t>- Initial Workpaper</w:t>
            </w:r>
          </w:p>
        </w:tc>
      </w:tr>
      <w:tr w:rsidR="00884B9C" w:rsidRPr="00500C4E" w14:paraId="45FEA029" w14:textId="77777777" w:rsidTr="00C131CB">
        <w:trPr>
          <w:trHeight w:val="20"/>
        </w:trPr>
        <w:tc>
          <w:tcPr>
            <w:tcW w:w="280" w:type="pct"/>
          </w:tcPr>
          <w:p w14:paraId="6DA46144" w14:textId="77777777" w:rsidR="00884B9C" w:rsidRPr="000E2B6B" w:rsidRDefault="007270EA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</w:t>
            </w:r>
          </w:p>
        </w:tc>
        <w:tc>
          <w:tcPr>
            <w:tcW w:w="677" w:type="pct"/>
          </w:tcPr>
          <w:p w14:paraId="563463B7" w14:textId="77777777" w:rsidR="00884B9C" w:rsidRPr="000E2B6B" w:rsidRDefault="007270EA" w:rsidP="009B335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09/23/14</w:t>
            </w:r>
          </w:p>
        </w:tc>
        <w:tc>
          <w:tcPr>
            <w:tcW w:w="938" w:type="pct"/>
          </w:tcPr>
          <w:p w14:paraId="32E2409E" w14:textId="77777777" w:rsidR="00884B9C" w:rsidRPr="000E2B6B" w:rsidRDefault="007270EA" w:rsidP="009B3354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Phillip </w:t>
            </w:r>
            <w:proofErr w:type="spellStart"/>
            <w:r>
              <w:rPr>
                <w:rStyle w:val="Strong"/>
                <w:b w:val="0"/>
              </w:rPr>
              <w:t>Hasley</w:t>
            </w:r>
            <w:proofErr w:type="spellEnd"/>
            <w:r>
              <w:rPr>
                <w:rStyle w:val="Strong"/>
                <w:b w:val="0"/>
              </w:rPr>
              <w:t xml:space="preserve"> (</w:t>
            </w:r>
            <w:proofErr w:type="spellStart"/>
            <w:r>
              <w:rPr>
                <w:rStyle w:val="Strong"/>
                <w:b w:val="0"/>
              </w:rPr>
              <w:t>Hasley</w:t>
            </w:r>
            <w:proofErr w:type="spellEnd"/>
            <w:r>
              <w:rPr>
                <w:rStyle w:val="Strong"/>
                <w:b w:val="0"/>
              </w:rPr>
              <w:t xml:space="preserve"> Consulting)</w:t>
            </w:r>
          </w:p>
        </w:tc>
        <w:tc>
          <w:tcPr>
            <w:tcW w:w="3105" w:type="pct"/>
          </w:tcPr>
          <w:p w14:paraId="2CD5BEC6" w14:textId="77777777" w:rsidR="007270EA" w:rsidRPr="007270EA" w:rsidRDefault="007270EA" w:rsidP="007270EA">
            <w:pPr>
              <w:rPr>
                <w:rFonts w:ascii="Calibri" w:hAnsi="Calibri" w:cs="Calibri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Adopted SCE Work Paper SCE13WH001.1</w:t>
            </w:r>
          </w:p>
          <w:p w14:paraId="1F046F73" w14:textId="77777777" w:rsidR="007270EA" w:rsidRPr="007270EA" w:rsidRDefault="007270EA" w:rsidP="007270EA">
            <w:pPr>
              <w:rPr>
                <w:rFonts w:ascii="Calibri" w:hAnsi="Calibri" w:cs="Calibri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Removed calculation template</w:t>
            </w:r>
          </w:p>
          <w:p w14:paraId="08344721" w14:textId="77777777" w:rsidR="007270EA" w:rsidRPr="007270EA" w:rsidRDefault="007270EA" w:rsidP="007270EA">
            <w:pPr>
              <w:rPr>
                <w:rFonts w:ascii="Calibri" w:hAnsi="Calibri" w:cs="Calibri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Updated savings calculations to use DEER 2008 2.05 and 4 water heater sizes</w:t>
            </w:r>
          </w:p>
          <w:p w14:paraId="589960E1" w14:textId="77777777" w:rsidR="007270EA" w:rsidRPr="007270EA" w:rsidRDefault="007270EA" w:rsidP="007270EA">
            <w:pPr>
              <w:rPr>
                <w:rFonts w:ascii="Calibri" w:hAnsi="Calibri" w:cs="Calibri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Updated delivery mechanism to include direct install</w:t>
            </w:r>
          </w:p>
          <w:p w14:paraId="0F2671CE" w14:textId="77777777" w:rsidR="007270EA" w:rsidRPr="007270EA" w:rsidRDefault="007270EA" w:rsidP="007270EA">
            <w:pPr>
              <w:rPr>
                <w:rFonts w:ascii="Calibri" w:hAnsi="Calibri" w:cs="Calibri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Updated EUL_ID</w:t>
            </w:r>
          </w:p>
          <w:p w14:paraId="50E8AC0C" w14:textId="77777777" w:rsidR="007270EA" w:rsidRPr="007270EA" w:rsidRDefault="007270EA" w:rsidP="007270EA">
            <w:pPr>
              <w:rPr>
                <w:rFonts w:ascii="Calibri" w:hAnsi="Calibri" w:cs="Calibri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Updated NTG</w:t>
            </w:r>
          </w:p>
          <w:p w14:paraId="091D3BC1" w14:textId="77777777" w:rsidR="007270EA" w:rsidRPr="007270EA" w:rsidRDefault="007270EA" w:rsidP="007270EA">
            <w:pPr>
              <w:rPr>
                <w:rFonts w:ascii="Calibri" w:hAnsi="Calibri" w:cs="Calibri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Added GSIA</w:t>
            </w:r>
          </w:p>
          <w:p w14:paraId="418A0419" w14:textId="77777777" w:rsidR="007270EA" w:rsidRPr="007270EA" w:rsidRDefault="007270EA" w:rsidP="007270EA">
            <w:pPr>
              <w:rPr>
                <w:rFonts w:ascii="Calibri" w:hAnsi="Calibri" w:cs="Calibri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Updated load shapes</w:t>
            </w:r>
          </w:p>
          <w:p w14:paraId="66CC1AA2" w14:textId="77777777" w:rsidR="007270EA" w:rsidRPr="007270EA" w:rsidRDefault="007270EA" w:rsidP="007270EA">
            <w:pPr>
              <w:rPr>
                <w:rFonts w:ascii="Calibri" w:hAnsi="Calibri" w:cs="Calibri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Updated building types</w:t>
            </w:r>
          </w:p>
          <w:p w14:paraId="3F2693BD" w14:textId="77777777" w:rsidR="00762D81" w:rsidRPr="00762D81" w:rsidRDefault="007270EA" w:rsidP="007270EA">
            <w:pPr>
              <w:rPr>
                <w:rStyle w:val="Strong"/>
                <w:b w:val="0"/>
                <w:szCs w:val="20"/>
              </w:rPr>
            </w:pPr>
            <w:r w:rsidRPr="007270EA">
              <w:rPr>
                <w:rFonts w:ascii="Calibri" w:hAnsi="Calibri" w:cs="Calibri"/>
                <w:szCs w:val="20"/>
              </w:rPr>
              <w:t>- Updated costs to be based on DEER</w:t>
            </w:r>
          </w:p>
        </w:tc>
      </w:tr>
      <w:tr w:rsidR="00DB544A" w:rsidRPr="00500C4E" w14:paraId="74AFEEE8" w14:textId="77777777" w:rsidTr="00C131CB">
        <w:trPr>
          <w:trHeight w:val="20"/>
        </w:trPr>
        <w:tc>
          <w:tcPr>
            <w:tcW w:w="280" w:type="pct"/>
          </w:tcPr>
          <w:p w14:paraId="54533151" w14:textId="77777777" w:rsidR="00DB544A" w:rsidRPr="00F2079F" w:rsidRDefault="007270EA" w:rsidP="008C2C8A">
            <w:pPr>
              <w:jc w:val="center"/>
            </w:pPr>
            <w:r>
              <w:t>1.1</w:t>
            </w:r>
          </w:p>
        </w:tc>
        <w:tc>
          <w:tcPr>
            <w:tcW w:w="677" w:type="pct"/>
          </w:tcPr>
          <w:p w14:paraId="1697C3E6" w14:textId="77777777" w:rsidR="00DB544A" w:rsidRDefault="007270EA" w:rsidP="007270EA">
            <w:pPr>
              <w:rPr>
                <w:szCs w:val="20"/>
              </w:rPr>
            </w:pPr>
            <w:r>
              <w:rPr>
                <w:szCs w:val="20"/>
              </w:rPr>
              <w:t>05/21/2015</w:t>
            </w:r>
          </w:p>
        </w:tc>
        <w:tc>
          <w:tcPr>
            <w:tcW w:w="938" w:type="pct"/>
          </w:tcPr>
          <w:p w14:paraId="57430F5E" w14:textId="77777777" w:rsidR="00DB544A" w:rsidRDefault="007270EA" w:rsidP="009B3354">
            <w:pPr>
              <w:rPr>
                <w:szCs w:val="20"/>
              </w:rPr>
            </w:pPr>
            <w:r w:rsidRPr="007270EA">
              <w:rPr>
                <w:bCs/>
                <w:szCs w:val="20"/>
              </w:rPr>
              <w:t xml:space="preserve">Phillip </w:t>
            </w:r>
            <w:proofErr w:type="spellStart"/>
            <w:r w:rsidRPr="007270EA">
              <w:rPr>
                <w:bCs/>
                <w:szCs w:val="20"/>
              </w:rPr>
              <w:t>Hasley</w:t>
            </w:r>
            <w:proofErr w:type="spellEnd"/>
            <w:r w:rsidRPr="007270EA">
              <w:rPr>
                <w:bCs/>
                <w:szCs w:val="20"/>
              </w:rPr>
              <w:t xml:space="preserve"> (</w:t>
            </w:r>
            <w:proofErr w:type="spellStart"/>
            <w:r w:rsidRPr="007270EA">
              <w:rPr>
                <w:bCs/>
                <w:szCs w:val="20"/>
              </w:rPr>
              <w:t>Hasley</w:t>
            </w:r>
            <w:proofErr w:type="spellEnd"/>
            <w:r w:rsidRPr="007270EA">
              <w:rPr>
                <w:bCs/>
                <w:szCs w:val="20"/>
              </w:rPr>
              <w:t xml:space="preserve"> Consulting)</w:t>
            </w:r>
          </w:p>
        </w:tc>
        <w:tc>
          <w:tcPr>
            <w:tcW w:w="3105" w:type="pct"/>
          </w:tcPr>
          <w:p w14:paraId="42B1678F" w14:textId="77777777" w:rsidR="007270EA" w:rsidRPr="007270EA" w:rsidRDefault="007270EA" w:rsidP="007270EA">
            <w:pPr>
              <w:rPr>
                <w:bCs/>
                <w:szCs w:val="20"/>
              </w:rPr>
            </w:pPr>
            <w:r w:rsidRPr="007270EA">
              <w:rPr>
                <w:bCs/>
                <w:szCs w:val="20"/>
              </w:rPr>
              <w:t>- Updated NTG</w:t>
            </w:r>
          </w:p>
          <w:p w14:paraId="2ADEADB2" w14:textId="77777777" w:rsidR="007270EA" w:rsidRPr="007270EA" w:rsidRDefault="007270EA" w:rsidP="007270EA">
            <w:pPr>
              <w:rPr>
                <w:bCs/>
                <w:szCs w:val="20"/>
              </w:rPr>
            </w:pPr>
            <w:r w:rsidRPr="007270EA">
              <w:rPr>
                <w:bCs/>
                <w:szCs w:val="20"/>
              </w:rPr>
              <w:t>- Added Lookup ID Summary Table</w:t>
            </w:r>
          </w:p>
          <w:p w14:paraId="3BBA49D9" w14:textId="77777777" w:rsidR="00762D81" w:rsidRPr="006A478E" w:rsidRDefault="007270EA" w:rsidP="007270EA">
            <w:pPr>
              <w:rPr>
                <w:bCs/>
                <w:szCs w:val="20"/>
              </w:rPr>
            </w:pPr>
            <w:r w:rsidRPr="007270EA">
              <w:rPr>
                <w:bCs/>
                <w:szCs w:val="20"/>
              </w:rPr>
              <w:t xml:space="preserve">- Added </w:t>
            </w:r>
            <w:proofErr w:type="spellStart"/>
            <w:r w:rsidRPr="007270EA">
              <w:rPr>
                <w:bCs/>
                <w:szCs w:val="20"/>
              </w:rPr>
              <w:t>PreRebUp</w:t>
            </w:r>
            <w:proofErr w:type="spellEnd"/>
            <w:r w:rsidRPr="007270EA">
              <w:rPr>
                <w:bCs/>
                <w:szCs w:val="20"/>
              </w:rPr>
              <w:t xml:space="preserve"> as a delivery method</w:t>
            </w:r>
          </w:p>
        </w:tc>
      </w:tr>
      <w:tr w:rsidR="007270EA" w:rsidRPr="00500C4E" w14:paraId="10CF40FC" w14:textId="77777777" w:rsidTr="00C131CB">
        <w:trPr>
          <w:trHeight w:val="20"/>
        </w:trPr>
        <w:tc>
          <w:tcPr>
            <w:tcW w:w="280" w:type="pct"/>
          </w:tcPr>
          <w:p w14:paraId="1C6D3BC3" w14:textId="77777777" w:rsidR="007270EA" w:rsidRDefault="007270EA" w:rsidP="008C2C8A">
            <w:pPr>
              <w:jc w:val="center"/>
            </w:pPr>
            <w:r>
              <w:t>2</w:t>
            </w:r>
          </w:p>
        </w:tc>
        <w:tc>
          <w:tcPr>
            <w:tcW w:w="677" w:type="pct"/>
          </w:tcPr>
          <w:p w14:paraId="259A5686" w14:textId="77777777" w:rsidR="007270EA" w:rsidRDefault="007270EA" w:rsidP="007270EA">
            <w:pPr>
              <w:rPr>
                <w:szCs w:val="20"/>
              </w:rPr>
            </w:pPr>
            <w:r>
              <w:rPr>
                <w:szCs w:val="20"/>
              </w:rPr>
              <w:t>11/15/17</w:t>
            </w:r>
          </w:p>
        </w:tc>
        <w:tc>
          <w:tcPr>
            <w:tcW w:w="938" w:type="pct"/>
          </w:tcPr>
          <w:p w14:paraId="2CF60C60" w14:textId="77777777" w:rsidR="007270EA" w:rsidRPr="007270EA" w:rsidRDefault="007270EA" w:rsidP="009B335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Kelvin Valenzuela (SDG&amp;E)</w:t>
            </w:r>
          </w:p>
        </w:tc>
        <w:tc>
          <w:tcPr>
            <w:tcW w:w="3105" w:type="pct"/>
          </w:tcPr>
          <w:p w14:paraId="76459377" w14:textId="77777777" w:rsidR="007270EA" w:rsidRPr="007270EA" w:rsidRDefault="007270EA" w:rsidP="007270E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 Updated kWh, kW impacts to E-4867</w:t>
            </w:r>
          </w:p>
          <w:p w14:paraId="66373F34" w14:textId="77777777" w:rsidR="007270EA" w:rsidRPr="007270EA" w:rsidRDefault="007270EA" w:rsidP="007270E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 Remove offerings other than 50 gallons</w:t>
            </w:r>
          </w:p>
          <w:p w14:paraId="7A990A57" w14:textId="75FAF4AF" w:rsidR="007270EA" w:rsidRDefault="004F6E80" w:rsidP="007270E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 Measure 1 changed from 40 gallons to 50 gallons @ EF = 3.24</w:t>
            </w:r>
          </w:p>
          <w:p w14:paraId="18BA5D97" w14:textId="19715964" w:rsidR="004F6E80" w:rsidRDefault="004F6E80" w:rsidP="007270E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- Measure 2 changed from 50 </w:t>
            </w:r>
            <w:proofErr w:type="gramStart"/>
            <w:r>
              <w:rPr>
                <w:bCs/>
                <w:szCs w:val="20"/>
              </w:rPr>
              <w:t>gallon</w:t>
            </w:r>
            <w:proofErr w:type="gramEnd"/>
            <w:r>
              <w:rPr>
                <w:bCs/>
                <w:szCs w:val="20"/>
              </w:rPr>
              <w:t xml:space="preserve"> to 50 gallons @ EF = 3.50</w:t>
            </w:r>
          </w:p>
          <w:p w14:paraId="70809B35" w14:textId="1CA27573" w:rsidR="004F6E80" w:rsidRPr="007270EA" w:rsidRDefault="004F6E80" w:rsidP="007270E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 Electric Profile changed for single family implementations</w:t>
            </w:r>
          </w:p>
        </w:tc>
      </w:tr>
      <w:tr w:rsidR="00CA2F0D" w:rsidRPr="00500C4E" w14:paraId="48E90CAD" w14:textId="77777777" w:rsidTr="00C131CB">
        <w:trPr>
          <w:trHeight w:val="20"/>
        </w:trPr>
        <w:tc>
          <w:tcPr>
            <w:tcW w:w="280" w:type="pct"/>
          </w:tcPr>
          <w:p w14:paraId="2DB00C20" w14:textId="2F981BA5" w:rsidR="00CA2F0D" w:rsidRDefault="00CA2F0D" w:rsidP="008C2C8A">
            <w:pPr>
              <w:jc w:val="center"/>
            </w:pPr>
            <w:r>
              <w:t>3</w:t>
            </w:r>
          </w:p>
        </w:tc>
        <w:tc>
          <w:tcPr>
            <w:tcW w:w="677" w:type="pct"/>
          </w:tcPr>
          <w:p w14:paraId="55CDEA76" w14:textId="204C6ABE" w:rsidR="00CA2F0D" w:rsidRDefault="00CA2F0D" w:rsidP="007270EA">
            <w:pPr>
              <w:rPr>
                <w:szCs w:val="20"/>
              </w:rPr>
            </w:pPr>
            <w:r>
              <w:rPr>
                <w:szCs w:val="20"/>
              </w:rPr>
              <w:t>12/27/2018</w:t>
            </w:r>
          </w:p>
        </w:tc>
        <w:tc>
          <w:tcPr>
            <w:tcW w:w="938" w:type="pct"/>
          </w:tcPr>
          <w:p w14:paraId="7DA1CE2F" w14:textId="77777777" w:rsidR="00CA2F0D" w:rsidRDefault="00CA2F0D" w:rsidP="009B335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Kelvin Valenzuela</w:t>
            </w:r>
          </w:p>
          <w:p w14:paraId="57A88B9B" w14:textId="212677A9" w:rsidR="00CA2F0D" w:rsidRDefault="00CA2F0D" w:rsidP="009B335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(SDG&amp;E)</w:t>
            </w:r>
          </w:p>
        </w:tc>
        <w:tc>
          <w:tcPr>
            <w:tcW w:w="3105" w:type="pct"/>
          </w:tcPr>
          <w:p w14:paraId="698D975E" w14:textId="77777777" w:rsidR="00CA2F0D" w:rsidRDefault="00CA2F0D" w:rsidP="007270E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-Adopted SCE Work Paper SCE17WH001.2 which includes the conversion of EF to UEF values</w:t>
            </w:r>
          </w:p>
          <w:p w14:paraId="63634455" w14:textId="78716DD9" w:rsidR="00CA2F0D" w:rsidRDefault="00CA2F0D" w:rsidP="007270E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-Created new implementation IDs with new UEF measure descriptions</w:t>
            </w:r>
          </w:p>
          <w:p w14:paraId="780091DF" w14:textId="1323AE8D" w:rsidR="00CA2F0D" w:rsidRDefault="002623D0" w:rsidP="007270E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  <w:r w:rsidRPr="002623D0">
              <w:rPr>
                <w:rFonts w:ascii="Calibri" w:hAnsi="Calibri" w:cstheme="minorHAnsi"/>
                <w:szCs w:val="20"/>
              </w:rPr>
              <w:t xml:space="preserve"> </w:t>
            </w:r>
            <w:r w:rsidRPr="002623D0">
              <w:rPr>
                <w:bCs/>
                <w:szCs w:val="20"/>
              </w:rPr>
              <w:t>Update also includes 2018 and 2019 Measure Appli</w:t>
            </w:r>
            <w:r>
              <w:rPr>
                <w:bCs/>
                <w:szCs w:val="20"/>
              </w:rPr>
              <w:t>cation Types and Delivery Types</w:t>
            </w:r>
          </w:p>
        </w:tc>
      </w:tr>
    </w:tbl>
    <w:p w14:paraId="79FCB96B" w14:textId="77777777" w:rsidR="00DB71F1" w:rsidRDefault="00DB71F1" w:rsidP="00413EF4"/>
    <w:p w14:paraId="6F622EB6" w14:textId="77777777" w:rsidR="00DB71F1" w:rsidRDefault="00DB71F1">
      <w:pPr>
        <w:spacing w:after="200" w:line="276" w:lineRule="auto"/>
      </w:pPr>
      <w:r>
        <w:br w:type="page"/>
      </w:r>
    </w:p>
    <w:p w14:paraId="24A6EB3D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329B4506" w14:textId="77777777" w:rsidR="00EE6CFE" w:rsidRPr="00EE6CFE" w:rsidRDefault="00EE6CFE" w:rsidP="0081521B"/>
    <w:p w14:paraId="09B3C40F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0719BF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10071" w:type="dxa"/>
        <w:tblLook w:val="04A0" w:firstRow="1" w:lastRow="0" w:firstColumn="1" w:lastColumn="0" w:noHBand="0" w:noVBand="1"/>
      </w:tblPr>
      <w:tblGrid>
        <w:gridCol w:w="1449"/>
        <w:gridCol w:w="8622"/>
      </w:tblGrid>
      <w:tr w:rsidR="00DB71F1" w14:paraId="4A89059E" w14:textId="77777777" w:rsidTr="002623D0">
        <w:trPr>
          <w:cantSplit/>
          <w:tblHeader/>
        </w:trPr>
        <w:tc>
          <w:tcPr>
            <w:tcW w:w="1449" w:type="dxa"/>
          </w:tcPr>
          <w:p w14:paraId="507534DC" w14:textId="77777777" w:rsidR="00DB71F1" w:rsidRPr="00D86243" w:rsidRDefault="00DB71F1" w:rsidP="009B3354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8622" w:type="dxa"/>
          </w:tcPr>
          <w:p w14:paraId="3B79CBB7" w14:textId="77777777" w:rsidR="00DB71F1" w:rsidRPr="00D86243" w:rsidRDefault="00DB71F1" w:rsidP="009B3354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1EC9A704" w14:textId="77777777" w:rsidTr="002623D0">
        <w:trPr>
          <w:cantSplit/>
        </w:trPr>
        <w:tc>
          <w:tcPr>
            <w:tcW w:w="1449" w:type="dxa"/>
            <w:vAlign w:val="center"/>
          </w:tcPr>
          <w:p w14:paraId="05A96BF3" w14:textId="77777777" w:rsidR="00DB71F1" w:rsidRPr="001D77F7" w:rsidRDefault="00DB71F1" w:rsidP="009B3354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8622" w:type="dxa"/>
          </w:tcPr>
          <w:p w14:paraId="6DDCE634" w14:textId="75CF88CB" w:rsidR="00CA2F0D" w:rsidRPr="00CA2F0D" w:rsidRDefault="00CA2F0D" w:rsidP="00CA2F0D">
            <w:pPr>
              <w:jc w:val="both"/>
              <w:rPr>
                <w:rFonts w:cs="Arial"/>
                <w:sz w:val="20"/>
                <w:szCs w:val="20"/>
              </w:rPr>
            </w:pPr>
            <w:r w:rsidRPr="00CA2F0D">
              <w:rPr>
                <w:rFonts w:cs="Arial"/>
                <w:sz w:val="20"/>
                <w:szCs w:val="20"/>
              </w:rPr>
              <w:t xml:space="preserve">This short form workpaper documents the values adopted from SCE’s workpaper entitled “Heat Pump Water Heater” (SCE17WH001.2). </w:t>
            </w:r>
          </w:p>
          <w:p w14:paraId="4F9EEBD2" w14:textId="2692EEB9"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14:paraId="77A3CF9D" w14:textId="77777777" w:rsidTr="002623D0">
        <w:trPr>
          <w:cantSplit/>
        </w:trPr>
        <w:tc>
          <w:tcPr>
            <w:tcW w:w="1449" w:type="dxa"/>
            <w:vAlign w:val="center"/>
          </w:tcPr>
          <w:p w14:paraId="3919021F" w14:textId="77777777" w:rsidR="00DB71F1" w:rsidRPr="001D77F7" w:rsidRDefault="00DB71F1" w:rsidP="009B3354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8622" w:type="dxa"/>
          </w:tcPr>
          <w:tbl>
            <w:tblPr>
              <w:tblStyle w:val="TableGrid13"/>
              <w:tblW w:w="3886" w:type="pct"/>
              <w:tblLook w:val="04A0" w:firstRow="1" w:lastRow="0" w:firstColumn="1" w:lastColumn="0" w:noHBand="0" w:noVBand="1"/>
            </w:tblPr>
            <w:tblGrid>
              <w:gridCol w:w="1510"/>
              <w:gridCol w:w="723"/>
              <w:gridCol w:w="4292"/>
            </w:tblGrid>
            <w:tr w:rsidR="00CA2F0D" w:rsidRPr="00886D9D" w14:paraId="16EAC06F" w14:textId="77777777" w:rsidTr="00CA2F0D">
              <w:tc>
                <w:tcPr>
                  <w:tcW w:w="693" w:type="pct"/>
                  <w:shd w:val="clear" w:color="auto" w:fill="F2F2F2" w:themeFill="background1" w:themeFillShade="F2"/>
                </w:tcPr>
                <w:p w14:paraId="4E1F9177" w14:textId="77777777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 w:rsidRPr="00886D9D">
                    <w:rPr>
                      <w:rFonts w:cstheme="minorHAnsi"/>
                      <w:szCs w:val="20"/>
                    </w:rPr>
                    <w:t>SDG&amp;E</w:t>
                  </w:r>
                </w:p>
              </w:tc>
              <w:tc>
                <w:tcPr>
                  <w:tcW w:w="779" w:type="pct"/>
                  <w:shd w:val="clear" w:color="auto" w:fill="F2F2F2" w:themeFill="background1" w:themeFillShade="F2"/>
                </w:tcPr>
                <w:p w14:paraId="2C1C5361" w14:textId="77777777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 w:rsidRPr="00886D9D">
                    <w:rPr>
                      <w:rFonts w:cstheme="minorHAnsi"/>
                      <w:szCs w:val="20"/>
                    </w:rPr>
                    <w:t>SCE</w:t>
                  </w:r>
                </w:p>
              </w:tc>
              <w:tc>
                <w:tcPr>
                  <w:tcW w:w="3528" w:type="pct"/>
                </w:tcPr>
                <w:p w14:paraId="7B9825B0" w14:textId="77777777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</w:p>
              </w:tc>
            </w:tr>
            <w:tr w:rsidR="00CA2F0D" w:rsidRPr="00886D9D" w14:paraId="534F5251" w14:textId="77777777" w:rsidTr="00CA2F0D">
              <w:trPr>
                <w:trHeight w:val="243"/>
              </w:trPr>
              <w:tc>
                <w:tcPr>
                  <w:tcW w:w="693" w:type="pct"/>
                </w:tcPr>
                <w:p w14:paraId="5F201885" w14:textId="62824EA9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465951/465959</w:t>
                  </w:r>
                </w:p>
              </w:tc>
              <w:tc>
                <w:tcPr>
                  <w:tcW w:w="779" w:type="pct"/>
                </w:tcPr>
                <w:p w14:paraId="6D599415" w14:textId="77777777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szCs w:val="20"/>
                    </w:rPr>
                    <w:t>WH-19955</w:t>
                  </w:r>
                </w:p>
              </w:tc>
              <w:tc>
                <w:tcPr>
                  <w:tcW w:w="3528" w:type="pct"/>
                </w:tcPr>
                <w:p w14:paraId="3FB9BB32" w14:textId="77777777" w:rsidR="00CA2F0D" w:rsidRPr="00886D9D" w:rsidRDefault="00CA2F0D" w:rsidP="00CA2F0D">
                  <w:pPr>
                    <w:rPr>
                      <w:color w:val="FF0000"/>
                    </w:rPr>
                  </w:pPr>
                  <w:r w:rsidRPr="00451458">
                    <w:t xml:space="preserve">Efficient water heater: </w:t>
                  </w:r>
                  <w:r>
                    <w:t xml:space="preserve">50 to </w:t>
                  </w:r>
                  <w:proofErr w:type="gramStart"/>
                  <w:r w:rsidRPr="00451458">
                    <w:t>55 gallon</w:t>
                  </w:r>
                  <w:proofErr w:type="gramEnd"/>
                  <w:r w:rsidRPr="00451458">
                    <w:t xml:space="preserve"> HP Elec (</w:t>
                  </w:r>
                  <w:r>
                    <w:t>U</w:t>
                  </w:r>
                  <w:r w:rsidRPr="00451458">
                    <w:t>EF=3.</w:t>
                  </w:r>
                  <w:r>
                    <w:t>09</w:t>
                  </w:r>
                  <w:r w:rsidRPr="00451458">
                    <w:t>) replaces ≤35 gallon Electric water heater (</w:t>
                  </w:r>
                  <w:r>
                    <w:t>U</w:t>
                  </w:r>
                  <w:r w:rsidRPr="00451458">
                    <w:t xml:space="preserve">EF </w:t>
                  </w:r>
                  <w:r>
                    <w:t xml:space="preserve">= </w:t>
                  </w:r>
                  <w:r w:rsidRPr="00451458">
                    <w:t>0.9</w:t>
                  </w:r>
                  <w:r>
                    <w:t>2</w:t>
                  </w:r>
                  <w:r w:rsidRPr="00451458">
                    <w:t>)</w:t>
                  </w:r>
                </w:p>
              </w:tc>
            </w:tr>
            <w:tr w:rsidR="00CA2F0D" w:rsidRPr="00886D9D" w14:paraId="01041EBF" w14:textId="77777777" w:rsidTr="00CA2F0D">
              <w:trPr>
                <w:trHeight w:val="243"/>
              </w:trPr>
              <w:tc>
                <w:tcPr>
                  <w:tcW w:w="693" w:type="pct"/>
                </w:tcPr>
                <w:p w14:paraId="50C67F26" w14:textId="1E9F09C4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465952/465960</w:t>
                  </w:r>
                </w:p>
              </w:tc>
              <w:tc>
                <w:tcPr>
                  <w:tcW w:w="779" w:type="pct"/>
                </w:tcPr>
                <w:p w14:paraId="6A08B53C" w14:textId="77777777" w:rsidR="00CA2F0D" w:rsidRDefault="00CA2F0D" w:rsidP="00CA2F0D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WH-19956</w:t>
                  </w:r>
                </w:p>
              </w:tc>
              <w:tc>
                <w:tcPr>
                  <w:tcW w:w="3528" w:type="pct"/>
                </w:tcPr>
                <w:p w14:paraId="6DE4E3CD" w14:textId="77777777" w:rsidR="00CA2F0D" w:rsidRPr="006B3FA7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 w:rsidRPr="00A345BC">
                    <w:t xml:space="preserve">Efficient water heater: </w:t>
                  </w:r>
                  <w:r>
                    <w:t>50 to</w:t>
                  </w:r>
                  <w:r w:rsidRPr="00A345BC">
                    <w:t xml:space="preserve"> </w:t>
                  </w:r>
                  <w:proofErr w:type="gramStart"/>
                  <w:r w:rsidRPr="00A345BC">
                    <w:t>55 gallon</w:t>
                  </w:r>
                  <w:proofErr w:type="gramEnd"/>
                  <w:r w:rsidRPr="00A345BC">
                    <w:t xml:space="preserve"> HP Elec (</w:t>
                  </w:r>
                  <w:r>
                    <w:t>U</w:t>
                  </w:r>
                  <w:r w:rsidRPr="00A345BC">
                    <w:t>EF=3.</w:t>
                  </w:r>
                  <w:r>
                    <w:t>31</w:t>
                  </w:r>
                  <w:r w:rsidRPr="00A345BC">
                    <w:t>) replaces ≤35 gallon Electric water heater (</w:t>
                  </w:r>
                  <w:r>
                    <w:t>U</w:t>
                  </w:r>
                  <w:r w:rsidRPr="00A345BC">
                    <w:t>EF</w:t>
                  </w:r>
                  <w:r>
                    <w:t xml:space="preserve"> =</w:t>
                  </w:r>
                  <w:r w:rsidRPr="00A345BC">
                    <w:t xml:space="preserve"> 0.9</w:t>
                  </w:r>
                  <w:r>
                    <w:t>2</w:t>
                  </w:r>
                  <w:r w:rsidRPr="00A345BC">
                    <w:t>)</w:t>
                  </w:r>
                </w:p>
              </w:tc>
            </w:tr>
            <w:tr w:rsidR="00CA2F0D" w:rsidRPr="00886D9D" w14:paraId="5E532C35" w14:textId="77777777" w:rsidTr="00CA2F0D">
              <w:trPr>
                <w:trHeight w:val="243"/>
              </w:trPr>
              <w:tc>
                <w:tcPr>
                  <w:tcW w:w="693" w:type="pct"/>
                </w:tcPr>
                <w:p w14:paraId="523D1949" w14:textId="69DE55FB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465953/465961</w:t>
                  </w:r>
                </w:p>
              </w:tc>
              <w:tc>
                <w:tcPr>
                  <w:tcW w:w="779" w:type="pct"/>
                </w:tcPr>
                <w:p w14:paraId="0CFFF98D" w14:textId="77777777" w:rsidR="00CA2F0D" w:rsidRDefault="00CA2F0D" w:rsidP="00CA2F0D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WH-19957</w:t>
                  </w:r>
                </w:p>
              </w:tc>
              <w:tc>
                <w:tcPr>
                  <w:tcW w:w="3528" w:type="pct"/>
                </w:tcPr>
                <w:p w14:paraId="7168D8D4" w14:textId="77777777" w:rsidR="00CA2F0D" w:rsidRPr="006B3FA7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 w:rsidRPr="00A345BC">
                    <w:t xml:space="preserve">Efficient water heater: </w:t>
                  </w:r>
                  <w:r>
                    <w:t>50 to</w:t>
                  </w:r>
                  <w:r w:rsidRPr="00A345BC">
                    <w:t xml:space="preserve"> </w:t>
                  </w:r>
                  <w:proofErr w:type="gramStart"/>
                  <w:r w:rsidRPr="00A345BC">
                    <w:t>55 gallon</w:t>
                  </w:r>
                  <w:proofErr w:type="gramEnd"/>
                  <w:r w:rsidRPr="00A345BC">
                    <w:t xml:space="preserve"> HP Elec (</w:t>
                  </w:r>
                  <w:r>
                    <w:t>U</w:t>
                  </w:r>
                  <w:r w:rsidRPr="00A345BC">
                    <w:t>EF=3.</w:t>
                  </w:r>
                  <w:r>
                    <w:t>09</w:t>
                  </w:r>
                  <w:r w:rsidRPr="00A345BC">
                    <w:t>) replaces &gt;35 to 45 gallon Electric water heater (</w:t>
                  </w:r>
                  <w:r>
                    <w:t>U</w:t>
                  </w:r>
                  <w:r w:rsidRPr="00A345BC">
                    <w:t>EF</w:t>
                  </w:r>
                  <w:r>
                    <w:t xml:space="preserve"> =</w:t>
                  </w:r>
                  <w:r w:rsidRPr="00A345BC">
                    <w:t xml:space="preserve"> 0.9</w:t>
                  </w:r>
                  <w:r>
                    <w:t>2</w:t>
                  </w:r>
                  <w:r w:rsidRPr="00A345BC">
                    <w:t>)</w:t>
                  </w:r>
                </w:p>
              </w:tc>
            </w:tr>
            <w:tr w:rsidR="00CA2F0D" w:rsidRPr="00886D9D" w14:paraId="4E631FA7" w14:textId="77777777" w:rsidTr="00CA2F0D">
              <w:trPr>
                <w:trHeight w:val="243"/>
              </w:trPr>
              <w:tc>
                <w:tcPr>
                  <w:tcW w:w="693" w:type="pct"/>
                </w:tcPr>
                <w:p w14:paraId="55BA10A9" w14:textId="5219364A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465954/465962</w:t>
                  </w:r>
                </w:p>
              </w:tc>
              <w:tc>
                <w:tcPr>
                  <w:tcW w:w="779" w:type="pct"/>
                </w:tcPr>
                <w:p w14:paraId="5E1E0FAA" w14:textId="77777777" w:rsidR="00CA2F0D" w:rsidRDefault="00CA2F0D" w:rsidP="00CA2F0D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WH-19958</w:t>
                  </w:r>
                </w:p>
              </w:tc>
              <w:tc>
                <w:tcPr>
                  <w:tcW w:w="3528" w:type="pct"/>
                </w:tcPr>
                <w:p w14:paraId="72C36E15" w14:textId="77777777" w:rsidR="00CA2F0D" w:rsidRPr="006B3FA7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 w:rsidRPr="00451458">
                    <w:t xml:space="preserve">Efficient water heater: </w:t>
                  </w:r>
                  <w:r>
                    <w:t>50 to 55</w:t>
                  </w:r>
                  <w:r w:rsidRPr="00451458">
                    <w:t> gallon HP Elec (</w:t>
                  </w:r>
                  <w:r>
                    <w:t>U</w:t>
                  </w:r>
                  <w:r w:rsidRPr="00451458">
                    <w:t>EF=3.</w:t>
                  </w:r>
                  <w:r>
                    <w:t>31</w:t>
                  </w:r>
                  <w:r w:rsidRPr="00451458">
                    <w:t xml:space="preserve">) replaces &gt;35 to </w:t>
                  </w:r>
                  <w:proofErr w:type="gramStart"/>
                  <w:r w:rsidRPr="00451458">
                    <w:t>45  gallon</w:t>
                  </w:r>
                  <w:proofErr w:type="gramEnd"/>
                  <w:r w:rsidRPr="00451458">
                    <w:t xml:space="preserve"> Electric water heater (</w:t>
                  </w:r>
                  <w:r>
                    <w:t>U</w:t>
                  </w:r>
                  <w:r w:rsidRPr="00451458">
                    <w:t xml:space="preserve">EF </w:t>
                  </w:r>
                  <w:r>
                    <w:t xml:space="preserve">= </w:t>
                  </w:r>
                  <w:r w:rsidRPr="00451458">
                    <w:t>0.9</w:t>
                  </w:r>
                  <w:r>
                    <w:t>2</w:t>
                  </w:r>
                  <w:r w:rsidRPr="00451458">
                    <w:t>)</w:t>
                  </w:r>
                </w:p>
              </w:tc>
            </w:tr>
            <w:tr w:rsidR="00CA2F0D" w:rsidRPr="00886D9D" w14:paraId="0FFC07A1" w14:textId="77777777" w:rsidTr="00CA2F0D">
              <w:trPr>
                <w:trHeight w:val="243"/>
              </w:trPr>
              <w:tc>
                <w:tcPr>
                  <w:tcW w:w="693" w:type="pct"/>
                </w:tcPr>
                <w:p w14:paraId="72298046" w14:textId="6332AD8C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465955/465963</w:t>
                  </w:r>
                </w:p>
              </w:tc>
              <w:tc>
                <w:tcPr>
                  <w:tcW w:w="779" w:type="pct"/>
                </w:tcPr>
                <w:p w14:paraId="3D2AFCE2" w14:textId="77777777" w:rsidR="00CA2F0D" w:rsidRDefault="00CA2F0D" w:rsidP="00CA2F0D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WH-19959</w:t>
                  </w:r>
                </w:p>
              </w:tc>
              <w:tc>
                <w:tcPr>
                  <w:tcW w:w="3528" w:type="pct"/>
                </w:tcPr>
                <w:p w14:paraId="30F70809" w14:textId="77777777" w:rsidR="00CA2F0D" w:rsidRPr="006B3FA7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 w:rsidRPr="00451458">
                    <w:t xml:space="preserve">Efficient water heater: </w:t>
                  </w:r>
                  <w:r>
                    <w:t xml:space="preserve">50 to </w:t>
                  </w:r>
                  <w:proofErr w:type="gramStart"/>
                  <w:r>
                    <w:t>55</w:t>
                  </w:r>
                  <w:r w:rsidRPr="00451458">
                    <w:t> gallon</w:t>
                  </w:r>
                  <w:proofErr w:type="gramEnd"/>
                  <w:r w:rsidRPr="00451458">
                    <w:t xml:space="preserve"> HP Elec (</w:t>
                  </w:r>
                  <w:r>
                    <w:t>U</w:t>
                  </w:r>
                  <w:r w:rsidRPr="00451458">
                    <w:t>EF=3</w:t>
                  </w:r>
                  <w:r>
                    <w:t>.09</w:t>
                  </w:r>
                  <w:r w:rsidRPr="00451458">
                    <w:t>) replaces &gt;45 to 55 gallon Electric water heater (</w:t>
                  </w:r>
                  <w:r>
                    <w:t>U</w:t>
                  </w:r>
                  <w:r w:rsidRPr="00451458">
                    <w:t>EF</w:t>
                  </w:r>
                  <w:r>
                    <w:t xml:space="preserve"> =</w:t>
                  </w:r>
                  <w:r w:rsidRPr="00451458">
                    <w:t xml:space="preserve"> 0.9</w:t>
                  </w:r>
                  <w:r>
                    <w:t>2</w:t>
                  </w:r>
                  <w:r w:rsidRPr="00451458">
                    <w:t>)</w:t>
                  </w:r>
                </w:p>
              </w:tc>
            </w:tr>
            <w:tr w:rsidR="00CA2F0D" w:rsidRPr="00886D9D" w14:paraId="75F145F8" w14:textId="77777777" w:rsidTr="00CA2F0D">
              <w:trPr>
                <w:trHeight w:val="243"/>
              </w:trPr>
              <w:tc>
                <w:tcPr>
                  <w:tcW w:w="693" w:type="pct"/>
                </w:tcPr>
                <w:p w14:paraId="4929F649" w14:textId="1950685C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465956/465964</w:t>
                  </w:r>
                </w:p>
              </w:tc>
              <w:tc>
                <w:tcPr>
                  <w:tcW w:w="779" w:type="pct"/>
                </w:tcPr>
                <w:p w14:paraId="69DA2E6D" w14:textId="77777777" w:rsidR="00CA2F0D" w:rsidRDefault="00CA2F0D" w:rsidP="00CA2F0D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WH-19960</w:t>
                  </w:r>
                </w:p>
              </w:tc>
              <w:tc>
                <w:tcPr>
                  <w:tcW w:w="3528" w:type="pct"/>
                </w:tcPr>
                <w:p w14:paraId="4ED5AA40" w14:textId="77777777" w:rsidR="00CA2F0D" w:rsidRPr="006B3FA7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 w:rsidRPr="00A345BC">
                    <w:t xml:space="preserve">Efficient water heater: </w:t>
                  </w:r>
                  <w:r>
                    <w:t xml:space="preserve">50 to 55 </w:t>
                  </w:r>
                  <w:r w:rsidRPr="00A345BC">
                    <w:t>gallon HP Elec (</w:t>
                  </w:r>
                  <w:r>
                    <w:t>U</w:t>
                  </w:r>
                  <w:r w:rsidRPr="00A345BC">
                    <w:t>EF=3.</w:t>
                  </w:r>
                  <w:r>
                    <w:t>31</w:t>
                  </w:r>
                  <w:r w:rsidRPr="00A345BC">
                    <w:t xml:space="preserve">) replaces &gt;45 to </w:t>
                  </w:r>
                  <w:proofErr w:type="gramStart"/>
                  <w:r w:rsidRPr="00A345BC">
                    <w:t>55  gallon</w:t>
                  </w:r>
                  <w:proofErr w:type="gramEnd"/>
                  <w:r w:rsidRPr="00A345BC">
                    <w:t xml:space="preserve"> Electric water heater (</w:t>
                  </w:r>
                  <w:r>
                    <w:t>U</w:t>
                  </w:r>
                  <w:r w:rsidRPr="00A345BC">
                    <w:t>EF</w:t>
                  </w:r>
                  <w:r>
                    <w:t xml:space="preserve"> =</w:t>
                  </w:r>
                  <w:r w:rsidRPr="00A345BC">
                    <w:t xml:space="preserve"> 0.9</w:t>
                  </w:r>
                  <w:r>
                    <w:t>2</w:t>
                  </w:r>
                  <w:r w:rsidRPr="00A345BC">
                    <w:t>)</w:t>
                  </w:r>
                </w:p>
              </w:tc>
            </w:tr>
            <w:tr w:rsidR="00CA2F0D" w:rsidRPr="00886D9D" w14:paraId="3E85A23B" w14:textId="77777777" w:rsidTr="00CA2F0D">
              <w:trPr>
                <w:trHeight w:val="243"/>
              </w:trPr>
              <w:tc>
                <w:tcPr>
                  <w:tcW w:w="693" w:type="pct"/>
                </w:tcPr>
                <w:p w14:paraId="2166E188" w14:textId="268FAC26" w:rsidR="00CA2F0D" w:rsidRPr="00886D9D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4659</w:t>
                  </w:r>
                  <w:r w:rsidR="00C52BB6">
                    <w:rPr>
                      <w:rFonts w:cstheme="minorHAnsi"/>
                      <w:szCs w:val="20"/>
                    </w:rPr>
                    <w:t>5</w:t>
                  </w:r>
                  <w:r>
                    <w:rPr>
                      <w:rFonts w:cstheme="minorHAnsi"/>
                      <w:szCs w:val="20"/>
                    </w:rPr>
                    <w:t>7/465965</w:t>
                  </w:r>
                </w:p>
              </w:tc>
              <w:tc>
                <w:tcPr>
                  <w:tcW w:w="779" w:type="pct"/>
                </w:tcPr>
                <w:p w14:paraId="02E6E5E4" w14:textId="77777777" w:rsidR="00CA2F0D" w:rsidRDefault="00CA2F0D" w:rsidP="00CA2F0D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WH-19961</w:t>
                  </w:r>
                </w:p>
              </w:tc>
              <w:tc>
                <w:tcPr>
                  <w:tcW w:w="3528" w:type="pct"/>
                </w:tcPr>
                <w:p w14:paraId="0B11A222" w14:textId="77777777" w:rsidR="00CA2F0D" w:rsidRPr="006B3FA7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 w:rsidRPr="00451458">
                    <w:t>Ef</w:t>
                  </w:r>
                  <w:r>
                    <w:t xml:space="preserve">ficient water heater: &gt;55 to </w:t>
                  </w:r>
                  <w:proofErr w:type="gramStart"/>
                  <w:r>
                    <w:t xml:space="preserve">75 </w:t>
                  </w:r>
                  <w:r w:rsidRPr="00451458">
                    <w:t>gallon</w:t>
                  </w:r>
                  <w:proofErr w:type="gramEnd"/>
                  <w:r w:rsidRPr="00451458">
                    <w:t xml:space="preserve"> HP Elec (</w:t>
                  </w:r>
                  <w:r>
                    <w:t>U</w:t>
                  </w:r>
                  <w:r w:rsidRPr="00451458">
                    <w:t>EF=3.</w:t>
                  </w:r>
                  <w:r>
                    <w:t xml:space="preserve">33) replaces &gt;55 to 75 </w:t>
                  </w:r>
                  <w:r w:rsidRPr="00451458">
                    <w:t>gallon Electric water heater (</w:t>
                  </w:r>
                  <w:r>
                    <w:t>UEF=2.91</w:t>
                  </w:r>
                  <w:r w:rsidRPr="00451458">
                    <w:t>)</w:t>
                  </w:r>
                </w:p>
              </w:tc>
            </w:tr>
            <w:tr w:rsidR="00CA2F0D" w:rsidRPr="00886D9D" w14:paraId="60DF5267" w14:textId="77777777" w:rsidTr="00CA2F0D">
              <w:trPr>
                <w:trHeight w:val="243"/>
              </w:trPr>
              <w:tc>
                <w:tcPr>
                  <w:tcW w:w="693" w:type="pct"/>
                </w:tcPr>
                <w:p w14:paraId="48296993" w14:textId="50C74480" w:rsidR="00CA2F0D" w:rsidRPr="00886D9D" w:rsidRDefault="00C52BB6" w:rsidP="00CA2F0D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465958/465966</w:t>
                  </w:r>
                </w:p>
              </w:tc>
              <w:tc>
                <w:tcPr>
                  <w:tcW w:w="779" w:type="pct"/>
                </w:tcPr>
                <w:p w14:paraId="77C40F01" w14:textId="77777777" w:rsidR="00CA2F0D" w:rsidRDefault="00CA2F0D" w:rsidP="00CA2F0D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WH-19962</w:t>
                  </w:r>
                </w:p>
              </w:tc>
              <w:tc>
                <w:tcPr>
                  <w:tcW w:w="3528" w:type="pct"/>
                </w:tcPr>
                <w:p w14:paraId="5BC99ED6" w14:textId="77777777" w:rsidR="00CA2F0D" w:rsidRPr="006B3FA7" w:rsidRDefault="00CA2F0D" w:rsidP="00CA2F0D">
                  <w:pPr>
                    <w:rPr>
                      <w:rFonts w:cstheme="minorHAnsi"/>
                      <w:szCs w:val="20"/>
                    </w:rPr>
                  </w:pPr>
                  <w:r w:rsidRPr="00451458">
                    <w:t>Efficient water heater: &gt;</w:t>
                  </w:r>
                  <w:proofErr w:type="gramStart"/>
                  <w:r w:rsidRPr="00451458">
                    <w:t>75 gallon</w:t>
                  </w:r>
                  <w:proofErr w:type="gramEnd"/>
                  <w:r w:rsidRPr="00451458">
                    <w:t xml:space="preserve"> HP Elec (</w:t>
                  </w:r>
                  <w:r>
                    <w:t>U</w:t>
                  </w:r>
                  <w:r w:rsidRPr="00451458">
                    <w:t>EF=3.</w:t>
                  </w:r>
                  <w:r>
                    <w:t>42</w:t>
                  </w:r>
                  <w:r w:rsidRPr="00451458">
                    <w:t>) replaces &gt;75 gallon Electric water heater (</w:t>
                  </w:r>
                  <w:r>
                    <w:t>U</w:t>
                  </w:r>
                  <w:r w:rsidRPr="00451458">
                    <w:t>EF</w:t>
                  </w:r>
                  <w:r>
                    <w:t>=3.00</w:t>
                  </w:r>
                  <w:r w:rsidRPr="00451458">
                    <w:t>)</w:t>
                  </w:r>
                </w:p>
              </w:tc>
            </w:tr>
          </w:tbl>
          <w:p w14:paraId="13A9E430" w14:textId="72EE1640" w:rsidR="00C131CB" w:rsidRPr="00241A1F" w:rsidRDefault="00C131CB" w:rsidP="00CA2F0D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73A52E35" w14:textId="77777777" w:rsidTr="002623D0">
        <w:trPr>
          <w:cantSplit/>
        </w:trPr>
        <w:tc>
          <w:tcPr>
            <w:tcW w:w="1449" w:type="dxa"/>
            <w:vAlign w:val="center"/>
          </w:tcPr>
          <w:p w14:paraId="6260B37E" w14:textId="77777777" w:rsidR="00DB71F1" w:rsidRPr="001D77F7" w:rsidRDefault="00DB71F1" w:rsidP="009B3354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8622" w:type="dxa"/>
          </w:tcPr>
          <w:p w14:paraId="5E93A911" w14:textId="5AAFE1E8" w:rsidR="002623D0" w:rsidRPr="002623D0" w:rsidRDefault="002623D0" w:rsidP="002623D0">
            <w:pPr>
              <w:rPr>
                <w:rFonts w:cs="Arial"/>
                <w:sz w:val="20"/>
                <w:szCs w:val="20"/>
              </w:rPr>
            </w:pPr>
            <w:r w:rsidRPr="002623D0">
              <w:rPr>
                <w:rFonts w:cs="Arial"/>
                <w:sz w:val="20"/>
                <w:szCs w:val="20"/>
              </w:rPr>
              <w:t xml:space="preserve">Please reference </w:t>
            </w:r>
            <w:r>
              <w:rPr>
                <w:rFonts w:cs="Arial"/>
                <w:sz w:val="20"/>
                <w:szCs w:val="20"/>
              </w:rPr>
              <w:t>SCE17WH001.2 under 1.2 Technical Description</w:t>
            </w:r>
          </w:p>
          <w:p w14:paraId="4D37E050" w14:textId="2A5317FE" w:rsidR="00DB71F1" w:rsidRPr="00241A1F" w:rsidRDefault="00DB71F1" w:rsidP="009F0CF0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230E8B42" w14:textId="77777777" w:rsidTr="002623D0">
        <w:trPr>
          <w:cantSplit/>
        </w:trPr>
        <w:tc>
          <w:tcPr>
            <w:tcW w:w="1449" w:type="dxa"/>
          </w:tcPr>
          <w:p w14:paraId="57584F44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8622" w:type="dxa"/>
          </w:tcPr>
          <w:p w14:paraId="2489627B" w14:textId="77777777" w:rsidR="002623D0" w:rsidRPr="002623D0" w:rsidRDefault="002623D0" w:rsidP="002623D0">
            <w:pPr>
              <w:jc w:val="both"/>
              <w:rPr>
                <w:rFonts w:cs="Arial"/>
                <w:sz w:val="20"/>
                <w:szCs w:val="20"/>
              </w:rPr>
            </w:pPr>
            <w:r w:rsidRPr="002623D0">
              <w:rPr>
                <w:rFonts w:cs="Arial"/>
                <w:sz w:val="20"/>
                <w:szCs w:val="20"/>
              </w:rPr>
              <w:t>Please reference SCE17WH001.2 under 1.4.2 Codes and Standards Analysis</w:t>
            </w:r>
          </w:p>
          <w:p w14:paraId="4E1BFEE6" w14:textId="77777777" w:rsidR="009554D7" w:rsidRPr="00653C4B" w:rsidRDefault="009554D7" w:rsidP="005C15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4938" w14:paraId="156722D1" w14:textId="77777777" w:rsidTr="002623D0">
        <w:trPr>
          <w:cantSplit/>
        </w:trPr>
        <w:tc>
          <w:tcPr>
            <w:tcW w:w="1449" w:type="dxa"/>
          </w:tcPr>
          <w:p w14:paraId="00012451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8622" w:type="dxa"/>
          </w:tcPr>
          <w:p w14:paraId="3866D21B" w14:textId="77777777" w:rsidR="002623D0" w:rsidRPr="002623D0" w:rsidRDefault="002623D0" w:rsidP="002623D0">
            <w:pPr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2623D0">
              <w:rPr>
                <w:sz w:val="20"/>
                <w:szCs w:val="20"/>
              </w:rPr>
              <w:t>“Instantaneous” and “tank less” water heaters do not qualify.</w:t>
            </w:r>
          </w:p>
          <w:p w14:paraId="5B972AC7" w14:textId="77777777" w:rsidR="002623D0" w:rsidRPr="002623D0" w:rsidRDefault="002623D0" w:rsidP="002623D0">
            <w:pPr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2623D0">
              <w:rPr>
                <w:sz w:val="20"/>
                <w:szCs w:val="20"/>
              </w:rPr>
              <w:t>The installed water heater storage capacity must be 50 gallons or greater.</w:t>
            </w:r>
          </w:p>
          <w:p w14:paraId="777B6F2A" w14:textId="15F498CE" w:rsidR="00C46B31" w:rsidRDefault="002623D0" w:rsidP="00C46B31">
            <w:pPr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2623D0">
              <w:rPr>
                <w:sz w:val="20"/>
                <w:szCs w:val="20"/>
              </w:rPr>
              <w:t xml:space="preserve">Only residential-style electric storage water heaters qualify for this rebate. A list of qualifying residential water heaters is at: </w:t>
            </w:r>
            <w:hyperlink r:id="rId11" w:history="1">
              <w:r w:rsidR="00C46B31" w:rsidRPr="009A39A8">
                <w:rPr>
                  <w:rStyle w:val="Hyperlink"/>
                  <w:sz w:val="20"/>
                  <w:szCs w:val="20"/>
                </w:rPr>
                <w:t>https://www.sdge.com/residential/savings-center</w:t>
              </w:r>
            </w:hyperlink>
          </w:p>
          <w:p w14:paraId="5150ED62" w14:textId="2DCD4EDA" w:rsidR="002623D0" w:rsidRPr="002623D0" w:rsidRDefault="002623D0" w:rsidP="00C46B31">
            <w:pPr>
              <w:ind w:left="720"/>
              <w:jc w:val="both"/>
              <w:rPr>
                <w:sz w:val="20"/>
                <w:szCs w:val="20"/>
              </w:rPr>
            </w:pPr>
            <w:r w:rsidRPr="002623D0">
              <w:rPr>
                <w:sz w:val="20"/>
                <w:szCs w:val="20"/>
              </w:rPr>
              <w:t xml:space="preserve"> </w:t>
            </w:r>
          </w:p>
          <w:p w14:paraId="1541B91C" w14:textId="265A45D6" w:rsidR="007E7E00" w:rsidRPr="00555671" w:rsidRDefault="007E7E00" w:rsidP="00324368">
            <w:pPr>
              <w:jc w:val="both"/>
              <w:rPr>
                <w:sz w:val="20"/>
                <w:szCs w:val="20"/>
              </w:rPr>
            </w:pPr>
          </w:p>
        </w:tc>
      </w:tr>
      <w:tr w:rsidR="00DB71F1" w14:paraId="745296F1" w14:textId="77777777" w:rsidTr="002623D0">
        <w:trPr>
          <w:cantSplit/>
        </w:trPr>
        <w:tc>
          <w:tcPr>
            <w:tcW w:w="1449" w:type="dxa"/>
          </w:tcPr>
          <w:p w14:paraId="30AF75E2" w14:textId="77777777" w:rsidR="00DB71F1" w:rsidRPr="001D77F7" w:rsidRDefault="00DB71F1" w:rsidP="009B3354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8622" w:type="dxa"/>
          </w:tcPr>
          <w:p w14:paraId="564A1D4A" w14:textId="77777777" w:rsidR="00DB71F1" w:rsidRPr="00D86243" w:rsidRDefault="00DB71F1" w:rsidP="009B3354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109F534C" w14:textId="77777777" w:rsidTr="002623D0">
        <w:trPr>
          <w:cantSplit/>
        </w:trPr>
        <w:tc>
          <w:tcPr>
            <w:tcW w:w="1449" w:type="dxa"/>
            <w:vAlign w:val="center"/>
          </w:tcPr>
          <w:p w14:paraId="1F758D72" w14:textId="77777777" w:rsidR="00DB71F1" w:rsidRPr="00822B6F" w:rsidRDefault="00DB71F1" w:rsidP="009B335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8622" w:type="dxa"/>
          </w:tcPr>
          <w:p w14:paraId="7BC0057C" w14:textId="7FF86CC3" w:rsidR="00CF2ABA" w:rsidRPr="00393EC8" w:rsidRDefault="008C2C8A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>Replace on Burn-out (ROB)</w:t>
            </w:r>
            <w:r w:rsidR="00CF2ABA" w:rsidRPr="00FE636E">
              <w:rPr>
                <w:rFonts w:cs="Arial"/>
                <w:sz w:val="20"/>
                <w:szCs w:val="20"/>
              </w:rPr>
              <w:t xml:space="preserve"> </w:t>
            </w:r>
            <w:r w:rsidR="002623D0">
              <w:rPr>
                <w:rFonts w:cs="Arial"/>
                <w:sz w:val="20"/>
                <w:szCs w:val="20"/>
              </w:rPr>
              <w:t>/ Normal Replacement (NR)</w:t>
            </w:r>
          </w:p>
        </w:tc>
      </w:tr>
      <w:tr w:rsidR="00DB71F1" w14:paraId="363E5100" w14:textId="77777777" w:rsidTr="002623D0">
        <w:trPr>
          <w:cantSplit/>
        </w:trPr>
        <w:tc>
          <w:tcPr>
            <w:tcW w:w="1449" w:type="dxa"/>
            <w:vAlign w:val="center"/>
          </w:tcPr>
          <w:p w14:paraId="4B4B37CA" w14:textId="77777777" w:rsidR="00DB71F1" w:rsidRPr="00822B6F" w:rsidRDefault="00DB71F1" w:rsidP="009B335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Delivery Mechanisms</w:t>
            </w:r>
          </w:p>
        </w:tc>
        <w:tc>
          <w:tcPr>
            <w:tcW w:w="8622" w:type="dxa"/>
          </w:tcPr>
          <w:p w14:paraId="4052E5E6" w14:textId="77777777" w:rsidR="002623D0" w:rsidRPr="002623D0" w:rsidRDefault="002623D0" w:rsidP="002623D0">
            <w:pPr>
              <w:rPr>
                <w:rFonts w:cs="Arial"/>
                <w:sz w:val="20"/>
                <w:szCs w:val="20"/>
              </w:rPr>
            </w:pPr>
            <w:proofErr w:type="spellStart"/>
            <w:r w:rsidRPr="002623D0">
              <w:rPr>
                <w:rFonts w:cs="Arial"/>
                <w:sz w:val="20"/>
                <w:szCs w:val="20"/>
              </w:rPr>
              <w:t>PreRebDown</w:t>
            </w:r>
            <w:proofErr w:type="spellEnd"/>
            <w:r w:rsidRPr="002623D0">
              <w:rPr>
                <w:rFonts w:cs="Arial"/>
                <w:sz w:val="20"/>
                <w:szCs w:val="20"/>
              </w:rPr>
              <w:t>:  1/1/18 – 12/31/18</w:t>
            </w:r>
          </w:p>
          <w:p w14:paraId="474A70EF" w14:textId="77777777" w:rsidR="002623D0" w:rsidRPr="002623D0" w:rsidRDefault="002623D0" w:rsidP="002623D0">
            <w:pPr>
              <w:rPr>
                <w:rFonts w:cs="Arial"/>
                <w:sz w:val="20"/>
                <w:szCs w:val="20"/>
              </w:rPr>
            </w:pPr>
            <w:proofErr w:type="spellStart"/>
            <w:r w:rsidRPr="002623D0">
              <w:rPr>
                <w:rFonts w:cs="Arial"/>
                <w:sz w:val="20"/>
                <w:szCs w:val="20"/>
              </w:rPr>
              <w:t>DnDeemed</w:t>
            </w:r>
            <w:proofErr w:type="spellEnd"/>
            <w:r w:rsidRPr="002623D0">
              <w:rPr>
                <w:rFonts w:cs="Arial"/>
                <w:sz w:val="20"/>
                <w:szCs w:val="20"/>
              </w:rPr>
              <w:t>:  1/1/19 – no expiry yet</w:t>
            </w:r>
          </w:p>
          <w:p w14:paraId="0DDB6C80" w14:textId="77777777" w:rsidR="002623D0" w:rsidRPr="002623D0" w:rsidRDefault="002623D0" w:rsidP="002623D0">
            <w:pPr>
              <w:rPr>
                <w:rFonts w:cs="Arial"/>
                <w:sz w:val="20"/>
                <w:szCs w:val="20"/>
              </w:rPr>
            </w:pPr>
            <w:proofErr w:type="spellStart"/>
            <w:r w:rsidRPr="002623D0">
              <w:rPr>
                <w:rFonts w:cs="Arial"/>
                <w:sz w:val="20"/>
                <w:szCs w:val="20"/>
              </w:rPr>
              <w:t>PreRebUp</w:t>
            </w:r>
            <w:proofErr w:type="spellEnd"/>
            <w:r w:rsidRPr="002623D0">
              <w:rPr>
                <w:rFonts w:cs="Arial"/>
                <w:sz w:val="20"/>
                <w:szCs w:val="20"/>
              </w:rPr>
              <w:t>:  1/1/18 – 12/31/18</w:t>
            </w:r>
          </w:p>
          <w:p w14:paraId="120DCB56" w14:textId="254AB055" w:rsidR="00B9551F" w:rsidRPr="00FE636E" w:rsidRDefault="002623D0" w:rsidP="002623D0">
            <w:pPr>
              <w:rPr>
                <w:rFonts w:cs="Arial"/>
                <w:sz w:val="20"/>
                <w:szCs w:val="20"/>
              </w:rPr>
            </w:pPr>
            <w:proofErr w:type="spellStart"/>
            <w:r w:rsidRPr="002623D0">
              <w:rPr>
                <w:rFonts w:cs="Arial"/>
                <w:sz w:val="20"/>
                <w:szCs w:val="20"/>
              </w:rPr>
              <w:t>UpDeemed</w:t>
            </w:r>
            <w:proofErr w:type="spellEnd"/>
            <w:r w:rsidRPr="002623D0">
              <w:rPr>
                <w:rFonts w:cs="Arial"/>
                <w:sz w:val="20"/>
                <w:szCs w:val="20"/>
              </w:rPr>
              <w:t xml:space="preserve">:  1/1/19 – no expiry yet </w:t>
            </w:r>
          </w:p>
        </w:tc>
      </w:tr>
      <w:tr w:rsidR="00DB71F1" w14:paraId="0F3CEB6C" w14:textId="77777777" w:rsidTr="002623D0">
        <w:trPr>
          <w:cantSplit/>
        </w:trPr>
        <w:tc>
          <w:tcPr>
            <w:tcW w:w="1449" w:type="dxa"/>
          </w:tcPr>
          <w:p w14:paraId="0FB62DAB" w14:textId="77777777" w:rsidR="00DB71F1" w:rsidRPr="001D77F7" w:rsidRDefault="00DB71F1" w:rsidP="009B3354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8622" w:type="dxa"/>
          </w:tcPr>
          <w:p w14:paraId="1076913A" w14:textId="253868B5" w:rsidR="002623D0" w:rsidRPr="002623D0" w:rsidRDefault="002623D0" w:rsidP="002623D0">
            <w:pPr>
              <w:rPr>
                <w:sz w:val="20"/>
                <w:szCs w:val="20"/>
              </w:rPr>
            </w:pPr>
            <w:r w:rsidRPr="002623D0">
              <w:rPr>
                <w:sz w:val="20"/>
                <w:szCs w:val="20"/>
              </w:rPr>
              <w:t xml:space="preserve">Please reference SCE17WH001.2 under </w:t>
            </w:r>
            <w:r>
              <w:rPr>
                <w:sz w:val="20"/>
                <w:szCs w:val="20"/>
              </w:rPr>
              <w:t>1.4.1 DEER Data</w:t>
            </w:r>
          </w:p>
          <w:p w14:paraId="5B02A33B" w14:textId="0D68861C" w:rsidR="00DB71F1" w:rsidRDefault="00DB71F1" w:rsidP="009B3354"/>
        </w:tc>
      </w:tr>
      <w:tr w:rsidR="00A61271" w14:paraId="7C0B9D7B" w14:textId="77777777" w:rsidTr="002623D0">
        <w:trPr>
          <w:cantSplit/>
        </w:trPr>
        <w:tc>
          <w:tcPr>
            <w:tcW w:w="1449" w:type="dxa"/>
            <w:vAlign w:val="center"/>
          </w:tcPr>
          <w:p w14:paraId="2F2051AC" w14:textId="77777777" w:rsidR="00A61271" w:rsidRPr="00822B6F" w:rsidRDefault="00A61271" w:rsidP="009B335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8622" w:type="dxa"/>
          </w:tcPr>
          <w:p w14:paraId="05E9F93F" w14:textId="77777777" w:rsidR="0090016E" w:rsidRPr="00D86243" w:rsidRDefault="0090016E" w:rsidP="009B335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90016E">
              <w:rPr>
                <w:rFonts w:cs="Arial"/>
                <w:sz w:val="20"/>
                <w:szCs w:val="20"/>
              </w:rPr>
              <w:t>Res-Default&gt;2yrs</w:t>
            </w:r>
            <w:r w:rsidR="00BB5D3A">
              <w:rPr>
                <w:rFonts w:cs="Arial"/>
                <w:sz w:val="20"/>
                <w:szCs w:val="20"/>
              </w:rPr>
              <w:t xml:space="preserve"> (0.55)</w:t>
            </w:r>
          </w:p>
        </w:tc>
      </w:tr>
      <w:tr w:rsidR="00A61271" w14:paraId="7D759DCE" w14:textId="77777777" w:rsidTr="002623D0">
        <w:trPr>
          <w:cantSplit/>
        </w:trPr>
        <w:tc>
          <w:tcPr>
            <w:tcW w:w="1449" w:type="dxa"/>
            <w:vAlign w:val="center"/>
          </w:tcPr>
          <w:p w14:paraId="64A56F58" w14:textId="77777777" w:rsidR="00A61271" w:rsidRPr="00822B6F" w:rsidRDefault="00A61271" w:rsidP="009B335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8622" w:type="dxa"/>
          </w:tcPr>
          <w:p w14:paraId="39AD5FF5" w14:textId="09B0C252" w:rsidR="00BB5D3A" w:rsidRDefault="0095089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950898">
              <w:rPr>
                <w:rFonts w:cs="Arial"/>
                <w:sz w:val="20"/>
                <w:szCs w:val="20"/>
              </w:rPr>
              <w:t>WtrHt-HtPmp</w:t>
            </w:r>
            <w:proofErr w:type="spellEnd"/>
            <w:r w:rsidR="001026F6">
              <w:rPr>
                <w:rFonts w:cs="Arial"/>
                <w:sz w:val="20"/>
                <w:szCs w:val="20"/>
              </w:rPr>
              <w:t xml:space="preserve"> (EUL</w:t>
            </w:r>
            <w:r>
              <w:rPr>
                <w:rFonts w:cs="Arial"/>
                <w:sz w:val="20"/>
                <w:szCs w:val="20"/>
              </w:rPr>
              <w:t xml:space="preserve"> = 10</w:t>
            </w:r>
            <w:r w:rsidR="001026F6">
              <w:rPr>
                <w:rFonts w:cs="Arial"/>
                <w:sz w:val="20"/>
                <w:szCs w:val="20"/>
              </w:rPr>
              <w:t xml:space="preserve"> Years)</w:t>
            </w:r>
          </w:p>
          <w:p w14:paraId="4B46FD70" w14:textId="51BB81C2" w:rsidR="00402B3D" w:rsidRPr="00D86243" w:rsidRDefault="00BB5D3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/>
            </w:r>
          </w:p>
        </w:tc>
      </w:tr>
      <w:tr w:rsidR="00A61271" w14:paraId="17819E75" w14:textId="77777777" w:rsidTr="002623D0">
        <w:trPr>
          <w:cantSplit/>
        </w:trPr>
        <w:tc>
          <w:tcPr>
            <w:tcW w:w="1449" w:type="dxa"/>
            <w:vAlign w:val="center"/>
          </w:tcPr>
          <w:p w14:paraId="2433EC29" w14:textId="77777777" w:rsidR="00A61271" w:rsidRPr="001D77F7" w:rsidRDefault="00A61271" w:rsidP="009B3354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8622" w:type="dxa"/>
            <w:vAlign w:val="center"/>
          </w:tcPr>
          <w:p w14:paraId="5B8CF800" w14:textId="0ED37FD8" w:rsidR="00252C45" w:rsidRPr="00252C45" w:rsidRDefault="00252C45" w:rsidP="00252C45">
            <w:pPr>
              <w:rPr>
                <w:rFonts w:cs="Arial"/>
                <w:sz w:val="20"/>
                <w:szCs w:val="20"/>
              </w:rPr>
            </w:pPr>
            <w:r w:rsidRPr="00252C45">
              <w:rPr>
                <w:rFonts w:cs="Arial"/>
                <w:sz w:val="20"/>
                <w:szCs w:val="20"/>
              </w:rPr>
              <w:t>Please reference SCE17WH001.2 under</w:t>
            </w:r>
            <w:r>
              <w:rPr>
                <w:rFonts w:cs="Arial"/>
                <w:sz w:val="20"/>
                <w:szCs w:val="20"/>
              </w:rPr>
              <w:t xml:space="preserve"> 2.</w:t>
            </w:r>
            <w:r w:rsidRPr="00252C4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Calculation Methodology</w:t>
            </w:r>
          </w:p>
          <w:p w14:paraId="76F7B257" w14:textId="620B035D" w:rsidR="00BD4AFD" w:rsidRPr="00241A1F" w:rsidRDefault="00BD4AFD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14:paraId="70530A66" w14:textId="77777777" w:rsidTr="002623D0">
        <w:trPr>
          <w:cantSplit/>
        </w:trPr>
        <w:tc>
          <w:tcPr>
            <w:tcW w:w="1449" w:type="dxa"/>
            <w:vAlign w:val="center"/>
          </w:tcPr>
          <w:p w14:paraId="62A8A2E1" w14:textId="77777777"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8622" w:type="dxa"/>
          </w:tcPr>
          <w:p w14:paraId="5A3EAAE0" w14:textId="77777777" w:rsidR="0023550D" w:rsidRDefault="0023550D" w:rsidP="00315E66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14:paraId="1D3E504D" w14:textId="0CFADBEB" w:rsidR="00252C45" w:rsidRPr="00252C45" w:rsidRDefault="00252C45" w:rsidP="00252C45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252C45">
              <w:rPr>
                <w:rFonts w:cs="Arial"/>
                <w:sz w:val="20"/>
                <w:szCs w:val="20"/>
              </w:rPr>
              <w:t>Please reference SCE17WH001.2 under</w:t>
            </w:r>
            <w:r>
              <w:rPr>
                <w:rFonts w:cs="Arial"/>
                <w:sz w:val="20"/>
                <w:szCs w:val="20"/>
              </w:rPr>
              <w:t xml:space="preserve"> 2.</w:t>
            </w:r>
            <w:r w:rsidRPr="00252C4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Calculation Methodology</w:t>
            </w:r>
          </w:p>
          <w:p w14:paraId="497032A0" w14:textId="1DEA7D49" w:rsidR="0023550D" w:rsidRPr="00555671" w:rsidRDefault="0023550D" w:rsidP="00252C45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61271" w14:paraId="68462B15" w14:textId="77777777" w:rsidTr="002623D0">
        <w:trPr>
          <w:cantSplit/>
        </w:trPr>
        <w:tc>
          <w:tcPr>
            <w:tcW w:w="1449" w:type="dxa"/>
            <w:vAlign w:val="center"/>
          </w:tcPr>
          <w:p w14:paraId="3CC2E8EF" w14:textId="77777777" w:rsidR="00A61271" w:rsidRPr="001D77F7" w:rsidRDefault="00A61271" w:rsidP="009B3354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8622" w:type="dxa"/>
          </w:tcPr>
          <w:p w14:paraId="34EBF3B8" w14:textId="77777777" w:rsidR="00252C45" w:rsidRDefault="00252C45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proofErr w:type="spellStart"/>
            <w:proofErr w:type="gramStart"/>
            <w:r w:rsidRPr="00252C45">
              <w:rPr>
                <w:rFonts w:cstheme="minorHAnsi"/>
                <w:bCs/>
                <w:sz w:val="20"/>
              </w:rPr>
              <w:t>SDGE:DEER</w:t>
            </w:r>
            <w:proofErr w:type="gramEnd"/>
            <w:r w:rsidRPr="00252C45">
              <w:rPr>
                <w:rFonts w:cstheme="minorHAnsi"/>
                <w:bCs/>
                <w:sz w:val="20"/>
              </w:rPr>
              <w:t>:Res:ClothesDishWasher</w:t>
            </w:r>
            <w:proofErr w:type="spellEnd"/>
          </w:p>
          <w:p w14:paraId="1C6EF8A9" w14:textId="03AA3CD2" w:rsidR="004519B4" w:rsidRPr="00476F40" w:rsidRDefault="00BB4B25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</w:rPr>
              <w:t>Annual</w:t>
            </w:r>
          </w:p>
        </w:tc>
      </w:tr>
      <w:tr w:rsidR="00A61271" w14:paraId="270E1F02" w14:textId="77777777" w:rsidTr="002623D0">
        <w:trPr>
          <w:cantSplit/>
        </w:trPr>
        <w:tc>
          <w:tcPr>
            <w:tcW w:w="1449" w:type="dxa"/>
            <w:vAlign w:val="center"/>
          </w:tcPr>
          <w:p w14:paraId="66EFAD9A" w14:textId="77777777" w:rsidR="00A61271" w:rsidRPr="001D77F7" w:rsidRDefault="00A61271" w:rsidP="009B3354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8622" w:type="dxa"/>
          </w:tcPr>
          <w:p w14:paraId="1A3C03CA" w14:textId="6CF860DE" w:rsidR="00252C45" w:rsidRPr="00252C45" w:rsidRDefault="00252C45" w:rsidP="00252C45">
            <w:pPr>
              <w:rPr>
                <w:rFonts w:cs="Arial"/>
                <w:sz w:val="20"/>
                <w:szCs w:val="20"/>
              </w:rPr>
            </w:pPr>
            <w:r w:rsidRPr="00252C45">
              <w:rPr>
                <w:rFonts w:cs="Arial"/>
                <w:sz w:val="20"/>
                <w:szCs w:val="20"/>
              </w:rPr>
              <w:t>Please reference SCE17WH001.2 under</w:t>
            </w:r>
            <w:r>
              <w:rPr>
                <w:rFonts w:cs="Arial"/>
                <w:sz w:val="20"/>
                <w:szCs w:val="20"/>
              </w:rPr>
              <w:t xml:space="preserve"> 4</w:t>
            </w:r>
            <w:r w:rsidRPr="00252C45">
              <w:rPr>
                <w:rFonts w:cs="Arial"/>
                <w:sz w:val="20"/>
                <w:szCs w:val="20"/>
              </w:rPr>
              <w:t>. C</w:t>
            </w:r>
            <w:r>
              <w:rPr>
                <w:rFonts w:cs="Arial"/>
                <w:sz w:val="20"/>
                <w:szCs w:val="20"/>
              </w:rPr>
              <w:t>osts</w:t>
            </w:r>
          </w:p>
          <w:p w14:paraId="13E3D925" w14:textId="6CCD477A"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14:paraId="6FD29532" w14:textId="77777777" w:rsidTr="002623D0">
        <w:trPr>
          <w:cantSplit/>
        </w:trPr>
        <w:tc>
          <w:tcPr>
            <w:tcW w:w="1449" w:type="dxa"/>
          </w:tcPr>
          <w:p w14:paraId="63C85CE7" w14:textId="77777777"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8622" w:type="dxa"/>
          </w:tcPr>
          <w:p w14:paraId="29F0FF28" w14:textId="77777777" w:rsidR="00252C45" w:rsidRPr="00252C45" w:rsidRDefault="00252C45" w:rsidP="00252C45">
            <w:pPr>
              <w:rPr>
                <w:rFonts w:cs="Arial"/>
                <w:sz w:val="20"/>
                <w:szCs w:val="20"/>
              </w:rPr>
            </w:pPr>
            <w:r w:rsidRPr="00252C45">
              <w:rPr>
                <w:rFonts w:cs="Arial"/>
                <w:sz w:val="20"/>
                <w:szCs w:val="20"/>
              </w:rPr>
              <w:t>Please reference SCE17WH001.2 under</w:t>
            </w:r>
            <w:r>
              <w:rPr>
                <w:rFonts w:cs="Arial"/>
                <w:sz w:val="20"/>
                <w:szCs w:val="20"/>
              </w:rPr>
              <w:t xml:space="preserve"> 4</w:t>
            </w:r>
            <w:r w:rsidRPr="00252C45">
              <w:rPr>
                <w:rFonts w:cs="Arial"/>
                <w:sz w:val="20"/>
                <w:szCs w:val="20"/>
              </w:rPr>
              <w:t>. C</w:t>
            </w:r>
            <w:r>
              <w:rPr>
                <w:rFonts w:cs="Arial"/>
                <w:sz w:val="20"/>
                <w:szCs w:val="20"/>
              </w:rPr>
              <w:t>osts</w:t>
            </w:r>
          </w:p>
          <w:p w14:paraId="18A0E735" w14:textId="77777777" w:rsidR="00A61271" w:rsidRPr="00BD4AFD" w:rsidRDefault="00A61271" w:rsidP="009B3354"/>
        </w:tc>
      </w:tr>
      <w:tr w:rsidR="00E05871" w14:paraId="0ADC669D" w14:textId="77777777" w:rsidTr="002623D0">
        <w:trPr>
          <w:cantSplit/>
        </w:trPr>
        <w:tc>
          <w:tcPr>
            <w:tcW w:w="1449" w:type="dxa"/>
          </w:tcPr>
          <w:p w14:paraId="7CB2A129" w14:textId="77777777" w:rsidR="00E05871" w:rsidRPr="00822B6F" w:rsidRDefault="00E05871" w:rsidP="00E058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8622" w:type="dxa"/>
          </w:tcPr>
          <w:p w14:paraId="527F4971" w14:textId="77777777" w:rsidR="00252C45" w:rsidRPr="00E51CFA" w:rsidRDefault="00252C45" w:rsidP="00252C45">
            <w:pPr>
              <w:rPr>
                <w:rFonts w:cstheme="minorHAnsi"/>
                <w:sz w:val="20"/>
                <w:szCs w:val="20"/>
              </w:rPr>
            </w:pPr>
            <w:r w:rsidRPr="00252C45">
              <w:rPr>
                <w:rFonts w:cs="Arial"/>
                <w:sz w:val="20"/>
                <w:szCs w:val="20"/>
              </w:rPr>
              <w:t>Please reference SCE17WH001.2 under 4.</w:t>
            </w:r>
            <w:r>
              <w:rPr>
                <w:rFonts w:cs="Arial"/>
                <w:sz w:val="20"/>
                <w:szCs w:val="20"/>
              </w:rPr>
              <w:t xml:space="preserve">1 Base Case </w:t>
            </w:r>
            <w:r w:rsidRPr="00252C45">
              <w:rPr>
                <w:rFonts w:cs="Arial"/>
                <w:sz w:val="20"/>
                <w:szCs w:val="20"/>
              </w:rPr>
              <w:t>Costs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E51CFA">
              <w:rPr>
                <w:rFonts w:cstheme="minorHAnsi"/>
                <w:sz w:val="20"/>
                <w:szCs w:val="20"/>
              </w:rPr>
              <w:t xml:space="preserve">for details on how baseline cost estimates were determined. </w:t>
            </w:r>
          </w:p>
          <w:p w14:paraId="78315EE5" w14:textId="77777777" w:rsidR="00252C45" w:rsidRPr="00E51CFA" w:rsidRDefault="00252C45" w:rsidP="00252C45">
            <w:pPr>
              <w:rPr>
                <w:rFonts w:cstheme="minorHAnsi"/>
                <w:sz w:val="20"/>
                <w:szCs w:val="20"/>
              </w:rPr>
            </w:pPr>
          </w:p>
          <w:p w14:paraId="5895BC26" w14:textId="19127825" w:rsidR="00252C45" w:rsidRPr="00252C45" w:rsidRDefault="00252C45" w:rsidP="00252C45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E51CFA">
              <w:rPr>
                <w:rFonts w:cstheme="minorHAnsi"/>
                <w:sz w:val="20"/>
                <w:szCs w:val="20"/>
              </w:rPr>
              <w:t>SDG&amp;E adopts all cost and created SDG&amp;E measure cost IDs for reporting purposes. SDG&amp;E measure cost IDs are included in Ex-Ante tables submission</w:t>
            </w:r>
          </w:p>
          <w:p w14:paraId="6D705E3E" w14:textId="1D797BF9" w:rsidR="00D45B1C" w:rsidRDefault="00D45B1C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568AA232" w14:textId="77777777" w:rsidTr="002623D0">
        <w:trPr>
          <w:cantSplit/>
        </w:trPr>
        <w:tc>
          <w:tcPr>
            <w:tcW w:w="1449" w:type="dxa"/>
          </w:tcPr>
          <w:p w14:paraId="445952B4" w14:textId="77777777" w:rsidR="00A61271" w:rsidRPr="00822B6F" w:rsidRDefault="00A612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</w:t>
            </w:r>
          </w:p>
        </w:tc>
        <w:tc>
          <w:tcPr>
            <w:tcW w:w="8622" w:type="dxa"/>
          </w:tcPr>
          <w:p w14:paraId="0397DEF5" w14:textId="77777777" w:rsidR="00252C45" w:rsidRPr="00E51CFA" w:rsidRDefault="00252C45" w:rsidP="00252C45">
            <w:pPr>
              <w:rPr>
                <w:rFonts w:cstheme="minorHAnsi"/>
                <w:sz w:val="20"/>
                <w:szCs w:val="20"/>
              </w:rPr>
            </w:pPr>
            <w:r w:rsidRPr="00252C45">
              <w:rPr>
                <w:rFonts w:cs="Arial"/>
                <w:sz w:val="20"/>
                <w:szCs w:val="20"/>
              </w:rPr>
              <w:t>Please reference SCE17WH001.2 under</w:t>
            </w:r>
            <w:r>
              <w:rPr>
                <w:rFonts w:cs="Arial"/>
                <w:sz w:val="20"/>
                <w:szCs w:val="20"/>
              </w:rPr>
              <w:t xml:space="preserve"> 4</w:t>
            </w:r>
            <w:r w:rsidRPr="00252C45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2</w:t>
            </w:r>
            <w:r w:rsidRPr="00252C4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Measure Case </w:t>
            </w:r>
            <w:r w:rsidRPr="00252C45">
              <w:rPr>
                <w:rFonts w:cs="Arial"/>
                <w:sz w:val="20"/>
                <w:szCs w:val="20"/>
              </w:rPr>
              <w:t>C</w:t>
            </w:r>
            <w:r>
              <w:rPr>
                <w:rFonts w:cs="Arial"/>
                <w:sz w:val="20"/>
                <w:szCs w:val="20"/>
              </w:rPr>
              <w:t xml:space="preserve">osts </w:t>
            </w:r>
            <w:r w:rsidRPr="00E51CFA">
              <w:rPr>
                <w:rFonts w:cstheme="minorHAnsi"/>
                <w:sz w:val="20"/>
                <w:szCs w:val="20"/>
              </w:rPr>
              <w:t xml:space="preserve">for details on how baseline cost estimates were determined. </w:t>
            </w:r>
          </w:p>
          <w:p w14:paraId="7451047D" w14:textId="77777777" w:rsidR="00252C45" w:rsidRPr="00E51CFA" w:rsidRDefault="00252C45" w:rsidP="00252C45">
            <w:pPr>
              <w:rPr>
                <w:rFonts w:cstheme="minorHAnsi"/>
                <w:sz w:val="20"/>
                <w:szCs w:val="20"/>
              </w:rPr>
            </w:pPr>
          </w:p>
          <w:p w14:paraId="498BFB35" w14:textId="6326250C" w:rsidR="00252C45" w:rsidRPr="00252C45" w:rsidRDefault="00252C45" w:rsidP="00252C45">
            <w:pPr>
              <w:rPr>
                <w:rFonts w:cs="Arial"/>
                <w:sz w:val="20"/>
                <w:szCs w:val="20"/>
              </w:rPr>
            </w:pPr>
            <w:r w:rsidRPr="00E51CFA">
              <w:rPr>
                <w:rFonts w:cstheme="minorHAnsi"/>
                <w:sz w:val="20"/>
                <w:szCs w:val="20"/>
              </w:rPr>
              <w:t>SDG&amp;E adopts all cost and created SDG&amp;E measure cost IDs for reporting purposes. SDG&amp;E measure cost IDs are included in Ex-Ante tables submission</w:t>
            </w:r>
          </w:p>
          <w:p w14:paraId="37A1D58F" w14:textId="0F9E5E15"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</w:tbl>
    <w:p w14:paraId="1F7D2A70" w14:textId="77777777" w:rsidR="001B5D6C" w:rsidRDefault="001B5D6C" w:rsidP="00FE636E">
      <w:pPr>
        <w:spacing w:after="200" w:line="276" w:lineRule="auto"/>
      </w:pPr>
    </w:p>
    <w:p w14:paraId="1FD1CF19" w14:textId="1624288A"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29BCA" w14:textId="77777777" w:rsidR="00C31F84" w:rsidRDefault="00C31F84" w:rsidP="00FE520B">
      <w:r>
        <w:separator/>
      </w:r>
    </w:p>
  </w:endnote>
  <w:endnote w:type="continuationSeparator" w:id="0">
    <w:p w14:paraId="6B5D8DA6" w14:textId="77777777" w:rsidR="00C31F84" w:rsidRDefault="00C31F84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BF433" w14:textId="71450636" w:rsidR="00B148E9" w:rsidRPr="00241A1F" w:rsidRDefault="00B148E9" w:rsidP="00241A1F">
    <w:pPr>
      <w:pStyle w:val="Footer"/>
      <w:rPr>
        <w:rFonts w:cstheme="minorHAnsi"/>
        <w:b/>
        <w:szCs w:val="22"/>
      </w:rPr>
    </w:pPr>
    <w:r>
      <w:rPr>
        <w:b/>
      </w:rPr>
      <w:t>Work</w:t>
    </w:r>
    <w:r w:rsidR="00CA2F0D">
      <w:rPr>
        <w:b/>
      </w:rPr>
      <w:t>paper WPSDGEREWH0022, Revision 3</w:t>
    </w:r>
    <w:r>
      <w:rPr>
        <w:b/>
      </w:rPr>
      <w:tab/>
    </w:r>
    <w:r>
      <w:rPr>
        <w:b/>
      </w:rPr>
      <w:tab/>
    </w:r>
    <w:r w:rsidR="00CA2F0D">
      <w:rPr>
        <w:rFonts w:cstheme="minorHAnsi"/>
        <w:b/>
        <w:szCs w:val="22"/>
      </w:rPr>
      <w:t>December 27, 2018</w:t>
    </w:r>
  </w:p>
  <w:p w14:paraId="2F6429A3" w14:textId="49DD3BE6" w:rsidR="00B148E9" w:rsidRPr="009500DC" w:rsidRDefault="00B148E9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 w:rsidR="00767D8B">
      <w:rPr>
        <w:b/>
        <w:noProof/>
      </w:rPr>
      <w:t>7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12D9A" w14:textId="77777777" w:rsidR="00C31F84" w:rsidRDefault="00C31F84" w:rsidP="00FE520B">
      <w:r>
        <w:separator/>
      </w:r>
    </w:p>
  </w:footnote>
  <w:footnote w:type="continuationSeparator" w:id="0">
    <w:p w14:paraId="0F0164E7" w14:textId="77777777" w:rsidR="00C31F84" w:rsidRDefault="00C31F84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0E825" w14:textId="7FE6A1F5" w:rsidR="00320328" w:rsidRDefault="003203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9408D2"/>
    <w:multiLevelType w:val="hybridMultilevel"/>
    <w:tmpl w:val="BFBE6D16"/>
    <w:lvl w:ilvl="0" w:tplc="D12AF5E4">
      <w:start w:val="1"/>
      <w:numFmt w:val="lowerRoman"/>
      <w:lvlText w:val="%1.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231B"/>
    <w:multiLevelType w:val="hybridMultilevel"/>
    <w:tmpl w:val="AD74A80C"/>
    <w:lvl w:ilvl="0" w:tplc="21F8AAE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D7D2A"/>
    <w:multiLevelType w:val="hybridMultilevel"/>
    <w:tmpl w:val="DCF8B6CC"/>
    <w:lvl w:ilvl="0" w:tplc="B8261A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34490F"/>
    <w:multiLevelType w:val="hybridMultilevel"/>
    <w:tmpl w:val="B84E18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977FE"/>
    <w:multiLevelType w:val="hybridMultilevel"/>
    <w:tmpl w:val="57361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B1D"/>
    <w:multiLevelType w:val="hybridMultilevel"/>
    <w:tmpl w:val="F2761DE6"/>
    <w:lvl w:ilvl="0" w:tplc="4A782C9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1C14A7"/>
    <w:multiLevelType w:val="hybridMultilevel"/>
    <w:tmpl w:val="ED30E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17987"/>
    <w:multiLevelType w:val="hybridMultilevel"/>
    <w:tmpl w:val="C5C0E20A"/>
    <w:lvl w:ilvl="0" w:tplc="171CFAE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A25214"/>
    <w:multiLevelType w:val="hybridMultilevel"/>
    <w:tmpl w:val="C74C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F7BB4"/>
    <w:multiLevelType w:val="hybridMultilevel"/>
    <w:tmpl w:val="7FDA7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2"/>
  </w:num>
  <w:num w:numId="5">
    <w:abstractNumId w:val="18"/>
  </w:num>
  <w:num w:numId="6">
    <w:abstractNumId w:val="9"/>
  </w:num>
  <w:num w:numId="7">
    <w:abstractNumId w:val="27"/>
  </w:num>
  <w:num w:numId="8">
    <w:abstractNumId w:val="20"/>
  </w:num>
  <w:num w:numId="9">
    <w:abstractNumId w:val="10"/>
  </w:num>
  <w:num w:numId="10">
    <w:abstractNumId w:val="21"/>
  </w:num>
  <w:num w:numId="11">
    <w:abstractNumId w:val="24"/>
  </w:num>
  <w:num w:numId="12">
    <w:abstractNumId w:val="15"/>
  </w:num>
  <w:num w:numId="13">
    <w:abstractNumId w:val="28"/>
  </w:num>
  <w:num w:numId="14">
    <w:abstractNumId w:val="14"/>
  </w:num>
  <w:num w:numId="15">
    <w:abstractNumId w:val="16"/>
  </w:num>
  <w:num w:numId="16">
    <w:abstractNumId w:val="19"/>
  </w:num>
  <w:num w:numId="17">
    <w:abstractNumId w:val="13"/>
  </w:num>
  <w:num w:numId="18">
    <w:abstractNumId w:val="0"/>
  </w:num>
  <w:num w:numId="19">
    <w:abstractNumId w:val="3"/>
  </w:num>
  <w:num w:numId="20">
    <w:abstractNumId w:val="5"/>
  </w:num>
  <w:num w:numId="21">
    <w:abstractNumId w:val="1"/>
  </w:num>
  <w:num w:numId="22">
    <w:abstractNumId w:val="23"/>
  </w:num>
  <w:num w:numId="23">
    <w:abstractNumId w:val="2"/>
  </w:num>
  <w:num w:numId="24">
    <w:abstractNumId w:val="17"/>
  </w:num>
  <w:num w:numId="25">
    <w:abstractNumId w:val="6"/>
  </w:num>
  <w:num w:numId="26">
    <w:abstractNumId w:val="22"/>
  </w:num>
  <w:num w:numId="27">
    <w:abstractNumId w:val="26"/>
  </w:num>
  <w:num w:numId="28">
    <w:abstractNumId w:val="11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4D4E"/>
    <w:rsid w:val="00023C32"/>
    <w:rsid w:val="00031221"/>
    <w:rsid w:val="00031BA0"/>
    <w:rsid w:val="00052743"/>
    <w:rsid w:val="00052CE4"/>
    <w:rsid w:val="00067315"/>
    <w:rsid w:val="00067AF1"/>
    <w:rsid w:val="000719BF"/>
    <w:rsid w:val="000923C0"/>
    <w:rsid w:val="000B6542"/>
    <w:rsid w:val="000C13AE"/>
    <w:rsid w:val="000C441A"/>
    <w:rsid w:val="000D243C"/>
    <w:rsid w:val="000E19CA"/>
    <w:rsid w:val="000E2CA6"/>
    <w:rsid w:val="000F6BA3"/>
    <w:rsid w:val="000F72EF"/>
    <w:rsid w:val="001026F6"/>
    <w:rsid w:val="001046CB"/>
    <w:rsid w:val="00121B4E"/>
    <w:rsid w:val="0012271D"/>
    <w:rsid w:val="00131C78"/>
    <w:rsid w:val="00143843"/>
    <w:rsid w:val="00144D31"/>
    <w:rsid w:val="001458E6"/>
    <w:rsid w:val="001505DA"/>
    <w:rsid w:val="0016189C"/>
    <w:rsid w:val="001752E5"/>
    <w:rsid w:val="00183A2F"/>
    <w:rsid w:val="00194466"/>
    <w:rsid w:val="001979FF"/>
    <w:rsid w:val="001A11C1"/>
    <w:rsid w:val="001A4875"/>
    <w:rsid w:val="001B1C8A"/>
    <w:rsid w:val="001B5D6C"/>
    <w:rsid w:val="001C3663"/>
    <w:rsid w:val="001D0AB9"/>
    <w:rsid w:val="001D57D7"/>
    <w:rsid w:val="001D6A64"/>
    <w:rsid w:val="001E2146"/>
    <w:rsid w:val="00200310"/>
    <w:rsid w:val="00201A3F"/>
    <w:rsid w:val="00215828"/>
    <w:rsid w:val="00231DE1"/>
    <w:rsid w:val="0023550D"/>
    <w:rsid w:val="00241A1F"/>
    <w:rsid w:val="00244447"/>
    <w:rsid w:val="00252C45"/>
    <w:rsid w:val="002623D0"/>
    <w:rsid w:val="00275E08"/>
    <w:rsid w:val="00291B2B"/>
    <w:rsid w:val="002C1030"/>
    <w:rsid w:val="002C15E6"/>
    <w:rsid w:val="002D0BD6"/>
    <w:rsid w:val="002D7B3E"/>
    <w:rsid w:val="002E0948"/>
    <w:rsid w:val="002E24BE"/>
    <w:rsid w:val="00315E66"/>
    <w:rsid w:val="00320328"/>
    <w:rsid w:val="00323C28"/>
    <w:rsid w:val="00324368"/>
    <w:rsid w:val="0032761E"/>
    <w:rsid w:val="00360CFA"/>
    <w:rsid w:val="00384B27"/>
    <w:rsid w:val="003A0D2B"/>
    <w:rsid w:val="003A4277"/>
    <w:rsid w:val="003A7B4E"/>
    <w:rsid w:val="003B5DCF"/>
    <w:rsid w:val="003C2EE4"/>
    <w:rsid w:val="003D1C21"/>
    <w:rsid w:val="003E0DC8"/>
    <w:rsid w:val="003E122A"/>
    <w:rsid w:val="003E6E57"/>
    <w:rsid w:val="003E6FA5"/>
    <w:rsid w:val="003F1F0D"/>
    <w:rsid w:val="00402B3D"/>
    <w:rsid w:val="00413EF4"/>
    <w:rsid w:val="00431763"/>
    <w:rsid w:val="004402EE"/>
    <w:rsid w:val="00441DC6"/>
    <w:rsid w:val="0044686E"/>
    <w:rsid w:val="004519B4"/>
    <w:rsid w:val="00467DB3"/>
    <w:rsid w:val="00492365"/>
    <w:rsid w:val="004A6215"/>
    <w:rsid w:val="004B6B1C"/>
    <w:rsid w:val="004D0326"/>
    <w:rsid w:val="004D5D19"/>
    <w:rsid w:val="004E13B2"/>
    <w:rsid w:val="004E63B1"/>
    <w:rsid w:val="004F6E80"/>
    <w:rsid w:val="00513723"/>
    <w:rsid w:val="00515AD9"/>
    <w:rsid w:val="005428E1"/>
    <w:rsid w:val="00543687"/>
    <w:rsid w:val="00555671"/>
    <w:rsid w:val="005613FC"/>
    <w:rsid w:val="00567FEF"/>
    <w:rsid w:val="00580664"/>
    <w:rsid w:val="0059117D"/>
    <w:rsid w:val="00591D85"/>
    <w:rsid w:val="0059663B"/>
    <w:rsid w:val="005B5614"/>
    <w:rsid w:val="005C1518"/>
    <w:rsid w:val="005D5D5A"/>
    <w:rsid w:val="005E18A1"/>
    <w:rsid w:val="00636490"/>
    <w:rsid w:val="00650C31"/>
    <w:rsid w:val="00650F0D"/>
    <w:rsid w:val="00653C4B"/>
    <w:rsid w:val="00666CDA"/>
    <w:rsid w:val="00682E19"/>
    <w:rsid w:val="00684ABA"/>
    <w:rsid w:val="00686789"/>
    <w:rsid w:val="006875B3"/>
    <w:rsid w:val="00695478"/>
    <w:rsid w:val="006A3E63"/>
    <w:rsid w:val="006B0D5C"/>
    <w:rsid w:val="006D03F9"/>
    <w:rsid w:val="006D2B70"/>
    <w:rsid w:val="00707736"/>
    <w:rsid w:val="00711B58"/>
    <w:rsid w:val="007270EA"/>
    <w:rsid w:val="00727839"/>
    <w:rsid w:val="00762D81"/>
    <w:rsid w:val="00767D8B"/>
    <w:rsid w:val="00785AC8"/>
    <w:rsid w:val="00786E32"/>
    <w:rsid w:val="00787D7C"/>
    <w:rsid w:val="007927B6"/>
    <w:rsid w:val="00792928"/>
    <w:rsid w:val="00797B54"/>
    <w:rsid w:val="007B18FE"/>
    <w:rsid w:val="007D1A21"/>
    <w:rsid w:val="007D1F1E"/>
    <w:rsid w:val="007D3A21"/>
    <w:rsid w:val="007D4F8E"/>
    <w:rsid w:val="007D6FF1"/>
    <w:rsid w:val="007E7E00"/>
    <w:rsid w:val="008137B0"/>
    <w:rsid w:val="0081521B"/>
    <w:rsid w:val="00856FA4"/>
    <w:rsid w:val="00862113"/>
    <w:rsid w:val="008724D6"/>
    <w:rsid w:val="008775D7"/>
    <w:rsid w:val="008806EF"/>
    <w:rsid w:val="00884B9C"/>
    <w:rsid w:val="00895D80"/>
    <w:rsid w:val="008A1557"/>
    <w:rsid w:val="008A1D1C"/>
    <w:rsid w:val="008A4224"/>
    <w:rsid w:val="008B5184"/>
    <w:rsid w:val="008C01F7"/>
    <w:rsid w:val="008C2C8A"/>
    <w:rsid w:val="008D0B3C"/>
    <w:rsid w:val="008D74B6"/>
    <w:rsid w:val="008E0850"/>
    <w:rsid w:val="008E5CD5"/>
    <w:rsid w:val="0090016E"/>
    <w:rsid w:val="00910D54"/>
    <w:rsid w:val="0093657B"/>
    <w:rsid w:val="0094267E"/>
    <w:rsid w:val="00950249"/>
    <w:rsid w:val="00950898"/>
    <w:rsid w:val="009554D7"/>
    <w:rsid w:val="00957C01"/>
    <w:rsid w:val="009618BA"/>
    <w:rsid w:val="00973097"/>
    <w:rsid w:val="00986A83"/>
    <w:rsid w:val="00992548"/>
    <w:rsid w:val="009B3354"/>
    <w:rsid w:val="009C3F2D"/>
    <w:rsid w:val="009C6AE8"/>
    <w:rsid w:val="009E1662"/>
    <w:rsid w:val="009E6A31"/>
    <w:rsid w:val="009F0CF0"/>
    <w:rsid w:val="009F3770"/>
    <w:rsid w:val="00A051D9"/>
    <w:rsid w:val="00A05AEF"/>
    <w:rsid w:val="00A21710"/>
    <w:rsid w:val="00A3401B"/>
    <w:rsid w:val="00A578F7"/>
    <w:rsid w:val="00A61271"/>
    <w:rsid w:val="00A61B50"/>
    <w:rsid w:val="00A66572"/>
    <w:rsid w:val="00A75EDC"/>
    <w:rsid w:val="00A90F14"/>
    <w:rsid w:val="00A9441E"/>
    <w:rsid w:val="00AA43C4"/>
    <w:rsid w:val="00AB7E3A"/>
    <w:rsid w:val="00AD74B2"/>
    <w:rsid w:val="00AE4353"/>
    <w:rsid w:val="00B148E9"/>
    <w:rsid w:val="00B16652"/>
    <w:rsid w:val="00B471CC"/>
    <w:rsid w:val="00B47B58"/>
    <w:rsid w:val="00B51E0C"/>
    <w:rsid w:val="00B57F32"/>
    <w:rsid w:val="00B61FCD"/>
    <w:rsid w:val="00B75260"/>
    <w:rsid w:val="00B9234D"/>
    <w:rsid w:val="00B9551F"/>
    <w:rsid w:val="00BB2D80"/>
    <w:rsid w:val="00BB4B25"/>
    <w:rsid w:val="00BB5D3A"/>
    <w:rsid w:val="00BC6454"/>
    <w:rsid w:val="00BD1795"/>
    <w:rsid w:val="00BD4AFD"/>
    <w:rsid w:val="00BD5433"/>
    <w:rsid w:val="00C048F4"/>
    <w:rsid w:val="00C05E32"/>
    <w:rsid w:val="00C06B9E"/>
    <w:rsid w:val="00C131CB"/>
    <w:rsid w:val="00C15F66"/>
    <w:rsid w:val="00C228B0"/>
    <w:rsid w:val="00C23CAB"/>
    <w:rsid w:val="00C31F84"/>
    <w:rsid w:val="00C414A6"/>
    <w:rsid w:val="00C425CA"/>
    <w:rsid w:val="00C44E5A"/>
    <w:rsid w:val="00C462C1"/>
    <w:rsid w:val="00C46B31"/>
    <w:rsid w:val="00C52867"/>
    <w:rsid w:val="00C52BB6"/>
    <w:rsid w:val="00C54AC6"/>
    <w:rsid w:val="00C62A00"/>
    <w:rsid w:val="00C7215A"/>
    <w:rsid w:val="00C75814"/>
    <w:rsid w:val="00CA2F0D"/>
    <w:rsid w:val="00CA48A0"/>
    <w:rsid w:val="00CA5B8F"/>
    <w:rsid w:val="00CB10BC"/>
    <w:rsid w:val="00CF295D"/>
    <w:rsid w:val="00CF2ABA"/>
    <w:rsid w:val="00D45B1C"/>
    <w:rsid w:val="00D60240"/>
    <w:rsid w:val="00D645DB"/>
    <w:rsid w:val="00D73600"/>
    <w:rsid w:val="00D73723"/>
    <w:rsid w:val="00DA5D17"/>
    <w:rsid w:val="00DB544A"/>
    <w:rsid w:val="00DB71F1"/>
    <w:rsid w:val="00DC42DE"/>
    <w:rsid w:val="00DC4D1E"/>
    <w:rsid w:val="00DC7243"/>
    <w:rsid w:val="00DE1C5D"/>
    <w:rsid w:val="00DE364E"/>
    <w:rsid w:val="00E048EA"/>
    <w:rsid w:val="00E05871"/>
    <w:rsid w:val="00E05B9C"/>
    <w:rsid w:val="00E159C8"/>
    <w:rsid w:val="00E165FC"/>
    <w:rsid w:val="00E20C1F"/>
    <w:rsid w:val="00E3247B"/>
    <w:rsid w:val="00E33C12"/>
    <w:rsid w:val="00E372B8"/>
    <w:rsid w:val="00E408A9"/>
    <w:rsid w:val="00E56CE7"/>
    <w:rsid w:val="00E6385A"/>
    <w:rsid w:val="00E6631C"/>
    <w:rsid w:val="00E733C7"/>
    <w:rsid w:val="00E76853"/>
    <w:rsid w:val="00E84938"/>
    <w:rsid w:val="00E859F0"/>
    <w:rsid w:val="00EA35A2"/>
    <w:rsid w:val="00EC34A0"/>
    <w:rsid w:val="00EC38B0"/>
    <w:rsid w:val="00ED3B34"/>
    <w:rsid w:val="00ED65C0"/>
    <w:rsid w:val="00EE38DA"/>
    <w:rsid w:val="00EE6CFE"/>
    <w:rsid w:val="00F117C6"/>
    <w:rsid w:val="00F22251"/>
    <w:rsid w:val="00F3167F"/>
    <w:rsid w:val="00F4328B"/>
    <w:rsid w:val="00F77C08"/>
    <w:rsid w:val="00F855DD"/>
    <w:rsid w:val="00F915C5"/>
    <w:rsid w:val="00FA3359"/>
    <w:rsid w:val="00FB4B16"/>
    <w:rsid w:val="00FC1793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899C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2C4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uiPriority w:val="99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ormal1">
    <w:name w:val="Normal1"/>
    <w:basedOn w:val="Normal"/>
    <w:rsid w:val="009554D7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table" w:customStyle="1" w:styleId="TableGrid13">
    <w:name w:val="Table Grid13"/>
    <w:basedOn w:val="TableNormal"/>
    <w:next w:val="TableGrid"/>
    <w:rsid w:val="00CA2F0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623D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dge.com/residential/savings-center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E85540-1B56-40BE-8890-2275CE1B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2018-12-28T02:51:00Z</dcterms:created>
  <dcterms:modified xsi:type="dcterms:W3CDTF">2018-12-28T22:37:00Z</dcterms:modified>
</cp:coreProperties>
</file>