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23256" w14:textId="77777777" w:rsidR="007927B6" w:rsidRPr="00500C4E" w:rsidRDefault="00E6385A" w:rsidP="007927B6">
      <w:pPr>
        <w:pStyle w:val="WPnumber"/>
      </w:pPr>
      <w:bookmarkStart w:id="0" w:name="_Toc153189647"/>
      <w:bookmarkStart w:id="1" w:name="_GoBack"/>
      <w:bookmarkEnd w:id="1"/>
      <w:r>
        <w:t xml:space="preserve">Short Form </w:t>
      </w:r>
      <w:r w:rsidR="00F117C6" w:rsidRPr="00500C4E">
        <w:t>Work Paper</w:t>
      </w:r>
      <w:r>
        <w:t xml:space="preserve"> </w:t>
      </w:r>
      <w:r w:rsidR="001E2146">
        <w:t>WPSDGEREWH0022</w:t>
      </w:r>
    </w:p>
    <w:p w14:paraId="6FE1FFA8" w14:textId="77777777" w:rsidR="00E6385A" w:rsidRPr="00500C4E" w:rsidRDefault="00E6385A" w:rsidP="00F117C6">
      <w:pPr>
        <w:pStyle w:val="WPnumber"/>
      </w:pPr>
      <w:r>
        <w:tab/>
      </w:r>
      <w:r w:rsidR="000E19CA">
        <w:rPr>
          <w:rStyle w:val="CaptionChar"/>
          <w:b/>
          <w:bCs w:val="0"/>
        </w:rPr>
        <w:t xml:space="preserve">Revision </w:t>
      </w:r>
      <w:r w:rsidR="001E2146">
        <w:rPr>
          <w:rStyle w:val="CaptionChar"/>
          <w:b/>
          <w:bCs w:val="0"/>
        </w:rPr>
        <w:t>2</w:t>
      </w:r>
    </w:p>
    <w:bookmarkEnd w:id="0"/>
    <w:p w14:paraId="4C19B7E2" w14:textId="77777777" w:rsidR="00F117C6" w:rsidRPr="00500C4E" w:rsidRDefault="00F117C6" w:rsidP="00F117C6">
      <w:pPr>
        <w:jc w:val="right"/>
        <w:rPr>
          <w:rFonts w:cstheme="minorHAnsi"/>
          <w:b/>
          <w:sz w:val="48"/>
          <w:szCs w:val="48"/>
        </w:rPr>
      </w:pPr>
    </w:p>
    <w:p w14:paraId="11B029A7" w14:textId="77777777"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14:paraId="2E3AA943" w14:textId="77777777" w:rsidR="00E6385A" w:rsidRPr="00E6385A" w:rsidRDefault="00E6385A" w:rsidP="00E6385A">
      <w:pPr>
        <w:rPr>
          <w:rFonts w:cstheme="minorHAnsi"/>
          <w:b/>
          <w:sz w:val="32"/>
        </w:rPr>
      </w:pPr>
      <w:r w:rsidRPr="00E6385A">
        <w:rPr>
          <w:rFonts w:cstheme="minorHAnsi"/>
          <w:b/>
          <w:sz w:val="32"/>
        </w:rPr>
        <w:t>Energy Efficiency Engineering</w:t>
      </w:r>
    </w:p>
    <w:p w14:paraId="1B7C2EA8" w14:textId="77777777" w:rsidR="00F117C6" w:rsidRPr="00500C4E" w:rsidRDefault="00F117C6" w:rsidP="00F117C6">
      <w:pPr>
        <w:rPr>
          <w:rFonts w:cstheme="minorHAnsi"/>
        </w:rPr>
      </w:pPr>
    </w:p>
    <w:p w14:paraId="0616A92B" w14:textId="77777777" w:rsidR="00F117C6" w:rsidRPr="00500C4E" w:rsidRDefault="00F117C6" w:rsidP="00F117C6">
      <w:pPr>
        <w:tabs>
          <w:tab w:val="left" w:pos="8190"/>
        </w:tabs>
        <w:rPr>
          <w:rFonts w:cstheme="minorHAnsi"/>
        </w:rPr>
      </w:pPr>
      <w:r w:rsidRPr="00500C4E">
        <w:rPr>
          <w:rFonts w:cstheme="minorHAnsi"/>
        </w:rPr>
        <w:tab/>
      </w:r>
    </w:p>
    <w:p w14:paraId="2E648AB3" w14:textId="77777777" w:rsidR="00F117C6" w:rsidRPr="00500C4E" w:rsidRDefault="00F117C6" w:rsidP="00F117C6">
      <w:pPr>
        <w:rPr>
          <w:rFonts w:cstheme="minorHAnsi"/>
        </w:rPr>
      </w:pPr>
    </w:p>
    <w:p w14:paraId="6229B1B8" w14:textId="77777777" w:rsidR="00F117C6" w:rsidRPr="00500C4E" w:rsidRDefault="00F117C6" w:rsidP="00F117C6">
      <w:pPr>
        <w:rPr>
          <w:rFonts w:cstheme="minorHAnsi"/>
        </w:rPr>
      </w:pPr>
    </w:p>
    <w:p w14:paraId="7493BEA0" w14:textId="77777777" w:rsidR="00F117C6" w:rsidRPr="00500C4E" w:rsidRDefault="00F117C6" w:rsidP="00F117C6">
      <w:pPr>
        <w:rPr>
          <w:rFonts w:cstheme="minorHAnsi"/>
        </w:rPr>
      </w:pPr>
    </w:p>
    <w:p w14:paraId="6304F7B5" w14:textId="77777777" w:rsidR="00F117C6" w:rsidRPr="00500C4E" w:rsidRDefault="00F117C6" w:rsidP="00F117C6">
      <w:pPr>
        <w:rPr>
          <w:rFonts w:cstheme="minorHAnsi"/>
        </w:rPr>
      </w:pPr>
    </w:p>
    <w:p w14:paraId="509FD70F" w14:textId="77777777" w:rsidR="00F117C6" w:rsidRPr="00500C4E" w:rsidRDefault="00F117C6" w:rsidP="00F117C6">
      <w:pPr>
        <w:rPr>
          <w:rFonts w:cstheme="minorHAnsi"/>
        </w:rPr>
      </w:pPr>
    </w:p>
    <w:p w14:paraId="1F0A4167" w14:textId="77777777" w:rsidR="007927B6" w:rsidRPr="007927B6" w:rsidRDefault="001E2146" w:rsidP="007927B6">
      <w:pPr>
        <w:ind w:right="-720"/>
        <w:rPr>
          <w:rFonts w:ascii="Arial" w:hAnsi="Arial" w:cs="Arial"/>
          <w:b/>
          <w:sz w:val="72"/>
          <w:szCs w:val="72"/>
        </w:rPr>
      </w:pPr>
      <w:bookmarkStart w:id="2" w:name="_Hlk497719268"/>
      <w:r>
        <w:rPr>
          <w:rFonts w:ascii="Arial" w:hAnsi="Arial" w:cs="Arial"/>
          <w:b/>
          <w:sz w:val="72"/>
          <w:szCs w:val="72"/>
        </w:rPr>
        <w:t>Residential Heat Pump Water Heater</w:t>
      </w:r>
    </w:p>
    <w:bookmarkEnd w:id="2"/>
    <w:p w14:paraId="677BD5EC" w14:textId="77777777" w:rsidR="000E19CA" w:rsidRDefault="000E19CA" w:rsidP="000E19CA">
      <w:pPr>
        <w:jc w:val="right"/>
        <w:rPr>
          <w:rFonts w:cstheme="minorHAnsi"/>
          <w:b/>
          <w:sz w:val="28"/>
          <w:szCs w:val="28"/>
        </w:rPr>
      </w:pPr>
    </w:p>
    <w:p w14:paraId="14CA9FD8" w14:textId="77777777" w:rsidR="000E19CA" w:rsidRDefault="000E19CA" w:rsidP="000E19CA">
      <w:pPr>
        <w:jc w:val="right"/>
        <w:rPr>
          <w:rFonts w:cstheme="minorHAnsi"/>
          <w:b/>
          <w:sz w:val="28"/>
          <w:szCs w:val="28"/>
        </w:rPr>
      </w:pPr>
    </w:p>
    <w:p w14:paraId="3C62E488" w14:textId="77777777" w:rsidR="000E19CA" w:rsidRDefault="000E19CA" w:rsidP="000E19CA">
      <w:pPr>
        <w:jc w:val="right"/>
        <w:rPr>
          <w:rFonts w:cstheme="minorHAnsi"/>
          <w:b/>
          <w:sz w:val="28"/>
          <w:szCs w:val="28"/>
        </w:rPr>
      </w:pPr>
    </w:p>
    <w:p w14:paraId="38E5FEB0" w14:textId="77777777" w:rsidR="000E19CA" w:rsidRDefault="000E19CA" w:rsidP="000E19CA">
      <w:pPr>
        <w:jc w:val="right"/>
        <w:rPr>
          <w:rFonts w:cstheme="minorHAnsi"/>
          <w:b/>
          <w:sz w:val="28"/>
          <w:szCs w:val="28"/>
        </w:rPr>
      </w:pPr>
    </w:p>
    <w:p w14:paraId="6A687223" w14:textId="77777777" w:rsidR="000E19CA" w:rsidRDefault="000E19CA" w:rsidP="000E19CA">
      <w:pPr>
        <w:jc w:val="right"/>
        <w:rPr>
          <w:rFonts w:cstheme="minorHAnsi"/>
          <w:b/>
          <w:sz w:val="28"/>
          <w:szCs w:val="28"/>
        </w:rPr>
      </w:pPr>
    </w:p>
    <w:p w14:paraId="43EF9E81" w14:textId="77777777" w:rsidR="000E19CA" w:rsidRDefault="000E19CA" w:rsidP="000E19CA">
      <w:pPr>
        <w:jc w:val="right"/>
        <w:rPr>
          <w:rFonts w:cstheme="minorHAnsi"/>
          <w:b/>
          <w:sz w:val="28"/>
          <w:szCs w:val="28"/>
        </w:rPr>
      </w:pPr>
    </w:p>
    <w:p w14:paraId="5AA08305" w14:textId="77777777" w:rsidR="000E19CA" w:rsidRDefault="000E19CA" w:rsidP="000E19CA">
      <w:pPr>
        <w:jc w:val="right"/>
        <w:rPr>
          <w:rFonts w:cstheme="minorHAnsi"/>
          <w:b/>
          <w:sz w:val="28"/>
          <w:szCs w:val="28"/>
        </w:rPr>
      </w:pPr>
    </w:p>
    <w:p w14:paraId="5ACF2D95" w14:textId="77777777" w:rsidR="000E19CA" w:rsidRDefault="000E19CA" w:rsidP="000E19CA">
      <w:pPr>
        <w:jc w:val="right"/>
        <w:rPr>
          <w:rFonts w:cstheme="minorHAnsi"/>
          <w:b/>
          <w:sz w:val="28"/>
          <w:szCs w:val="28"/>
        </w:rPr>
      </w:pPr>
    </w:p>
    <w:p w14:paraId="59149401" w14:textId="77777777" w:rsidR="000E19CA" w:rsidRDefault="000E19CA" w:rsidP="000E19CA">
      <w:pPr>
        <w:jc w:val="right"/>
        <w:rPr>
          <w:rFonts w:cstheme="minorHAnsi"/>
          <w:b/>
          <w:sz w:val="28"/>
          <w:szCs w:val="28"/>
        </w:rPr>
      </w:pPr>
    </w:p>
    <w:p w14:paraId="057ED344" w14:textId="77777777" w:rsidR="000E19CA" w:rsidRDefault="000E19CA" w:rsidP="000E19CA">
      <w:pPr>
        <w:jc w:val="right"/>
        <w:rPr>
          <w:rFonts w:cstheme="minorHAnsi"/>
          <w:b/>
          <w:sz w:val="28"/>
          <w:szCs w:val="28"/>
        </w:rPr>
      </w:pPr>
    </w:p>
    <w:p w14:paraId="6D7B9691" w14:textId="77777777" w:rsidR="000E19CA" w:rsidRDefault="000E19CA" w:rsidP="000E19CA">
      <w:pPr>
        <w:jc w:val="right"/>
        <w:rPr>
          <w:rFonts w:cstheme="minorHAnsi"/>
          <w:b/>
          <w:sz w:val="28"/>
          <w:szCs w:val="28"/>
        </w:rPr>
      </w:pPr>
    </w:p>
    <w:p w14:paraId="394C21BA" w14:textId="77777777" w:rsidR="000E19CA" w:rsidRDefault="000E19CA" w:rsidP="000E19CA">
      <w:pPr>
        <w:jc w:val="right"/>
        <w:rPr>
          <w:rFonts w:cstheme="minorHAnsi"/>
          <w:b/>
          <w:sz w:val="28"/>
          <w:szCs w:val="28"/>
        </w:rPr>
      </w:pPr>
    </w:p>
    <w:p w14:paraId="38B6A986" w14:textId="77777777" w:rsidR="000E19CA" w:rsidRDefault="000E19CA" w:rsidP="000E19CA">
      <w:pPr>
        <w:jc w:val="right"/>
        <w:rPr>
          <w:rFonts w:cstheme="minorHAnsi"/>
          <w:b/>
          <w:sz w:val="28"/>
          <w:szCs w:val="28"/>
        </w:rPr>
      </w:pPr>
    </w:p>
    <w:p w14:paraId="5292420F" w14:textId="77777777" w:rsidR="000E19CA" w:rsidRDefault="000E19CA" w:rsidP="000E19CA">
      <w:pPr>
        <w:jc w:val="right"/>
        <w:rPr>
          <w:rFonts w:cstheme="minorHAnsi"/>
          <w:b/>
          <w:sz w:val="28"/>
          <w:szCs w:val="28"/>
        </w:rPr>
      </w:pPr>
    </w:p>
    <w:p w14:paraId="4FFD251F" w14:textId="77777777" w:rsidR="000E19CA" w:rsidRDefault="000E19CA" w:rsidP="000E19CA">
      <w:pPr>
        <w:jc w:val="right"/>
        <w:rPr>
          <w:rFonts w:cstheme="minorHAnsi"/>
          <w:b/>
          <w:sz w:val="28"/>
          <w:szCs w:val="28"/>
        </w:rPr>
      </w:pPr>
    </w:p>
    <w:p w14:paraId="3D85F0C7" w14:textId="77777777" w:rsidR="00E372B8" w:rsidRDefault="00E372B8" w:rsidP="000E19CA">
      <w:pPr>
        <w:jc w:val="right"/>
        <w:rPr>
          <w:rFonts w:cstheme="minorHAnsi"/>
          <w:b/>
          <w:sz w:val="28"/>
          <w:szCs w:val="28"/>
        </w:rPr>
      </w:pPr>
    </w:p>
    <w:p w14:paraId="5672C5F4" w14:textId="77777777" w:rsidR="00E372B8" w:rsidRDefault="008806EF" w:rsidP="00241A1F">
      <w:pPr>
        <w:jc w:val="right"/>
        <w:rPr>
          <w:rFonts w:cstheme="minorHAnsi"/>
          <w:b/>
          <w:sz w:val="28"/>
          <w:szCs w:val="28"/>
        </w:rPr>
      </w:pPr>
      <w:r>
        <w:rPr>
          <w:rFonts w:cstheme="minorHAnsi"/>
          <w:b/>
          <w:sz w:val="28"/>
          <w:szCs w:val="28"/>
        </w:rPr>
        <w:t>November</w:t>
      </w:r>
      <w:r w:rsidR="003E6E57">
        <w:rPr>
          <w:rFonts w:cstheme="minorHAnsi"/>
          <w:b/>
          <w:sz w:val="28"/>
          <w:szCs w:val="28"/>
        </w:rPr>
        <w:t xml:space="preserve"> </w:t>
      </w:r>
      <w:r w:rsidR="001E2146">
        <w:rPr>
          <w:rFonts w:cstheme="minorHAnsi"/>
          <w:b/>
          <w:sz w:val="28"/>
          <w:szCs w:val="28"/>
        </w:rPr>
        <w:t>15</w:t>
      </w:r>
      <w:r w:rsidR="00C75814">
        <w:rPr>
          <w:rFonts w:cstheme="minorHAnsi"/>
          <w:b/>
          <w:sz w:val="28"/>
          <w:szCs w:val="28"/>
        </w:rPr>
        <w:t>, 2017</w:t>
      </w:r>
    </w:p>
    <w:p w14:paraId="0C20FC4F" w14:textId="77777777" w:rsidR="00E372B8" w:rsidRPr="000F72EF" w:rsidRDefault="00E372B8" w:rsidP="00241A1F">
      <w:pPr>
        <w:jc w:val="right"/>
        <w:rPr>
          <w:rFonts w:cstheme="minorHAnsi"/>
          <w:b/>
          <w:sz w:val="72"/>
          <w:szCs w:val="72"/>
        </w:rPr>
        <w:sectPr w:rsidR="00E372B8" w:rsidRPr="000F72EF" w:rsidSect="00241A1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pPr>
    </w:p>
    <w:p w14:paraId="687C0DEE" w14:textId="77777777" w:rsidR="00FE520B" w:rsidRDefault="0059117D" w:rsidP="00FE520B">
      <w:pPr>
        <w:pStyle w:val="Heading1"/>
      </w:pPr>
      <w:r>
        <w:lastRenderedPageBreak/>
        <w:t xml:space="preserve">SDG&amp;E </w:t>
      </w:r>
      <w:r w:rsidR="007270EA">
        <w:t>Residential Heat Pump Water Heater</w:t>
      </w:r>
    </w:p>
    <w:p w14:paraId="7A2F5C3E" w14:textId="77777777" w:rsidR="00413EF4" w:rsidRDefault="00413EF4" w:rsidP="00413EF4">
      <w:pPr>
        <w:pStyle w:val="Heading2"/>
      </w:pPr>
      <w:r>
        <w:t>Introduction</w:t>
      </w:r>
    </w:p>
    <w:p w14:paraId="05F2AF3D" w14:textId="77777777" w:rsidR="00555671" w:rsidRDefault="00C23CAB" w:rsidP="007270EA">
      <w:pPr>
        <w:jc w:val="both"/>
      </w:pPr>
      <w:r>
        <w:t>Thi</w:t>
      </w:r>
      <w:r w:rsidR="00AE4353">
        <w:t>s short form workpaper</w:t>
      </w:r>
      <w:r>
        <w:t xml:space="preserve"> (</w:t>
      </w:r>
      <w:r w:rsidR="008E5CD5">
        <w:t>WP</w:t>
      </w:r>
      <w:r w:rsidR="00C75814">
        <w:t>)</w:t>
      </w:r>
      <w:r w:rsidR="00AE4353">
        <w:t xml:space="preserve"> documents</w:t>
      </w:r>
      <w:r w:rsidR="004B6B1C">
        <w:t xml:space="preserve"> the </w:t>
      </w:r>
      <w:r w:rsidR="007270EA">
        <w:t>updates from E-4867 DEER impacts and costs</w:t>
      </w:r>
      <w:r w:rsidR="008D74B6">
        <w:t>.</w:t>
      </w:r>
      <w:r w:rsidR="005E18A1">
        <w:t xml:space="preserve"> </w:t>
      </w:r>
    </w:p>
    <w:p w14:paraId="4A395C40" w14:textId="77777777" w:rsidR="008C01F7" w:rsidRDefault="008C01F7" w:rsidP="009B3354">
      <w:pPr>
        <w:pStyle w:val="ListParagraph"/>
        <w:ind w:left="1080"/>
        <w:jc w:val="both"/>
      </w:pPr>
    </w:p>
    <w:p w14:paraId="1594D9B8" w14:textId="77777777"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66"/>
        <w:gridCol w:w="1754"/>
        <w:gridCol w:w="5806"/>
      </w:tblGrid>
      <w:tr w:rsidR="00B57F32" w:rsidRPr="00500C4E" w14:paraId="0D31C483" w14:textId="77777777" w:rsidTr="00C131CB">
        <w:trPr>
          <w:trHeight w:val="20"/>
        </w:trPr>
        <w:tc>
          <w:tcPr>
            <w:tcW w:w="280" w:type="pct"/>
            <w:shd w:val="clear" w:color="auto" w:fill="D9D9D9" w:themeFill="background1" w:themeFillShade="D9"/>
          </w:tcPr>
          <w:p w14:paraId="0A7132DA" w14:textId="77777777" w:rsidR="00B57F32" w:rsidRPr="000E2B6B" w:rsidRDefault="00B57F32" w:rsidP="009B3354">
            <w:pPr>
              <w:rPr>
                <w:rStyle w:val="Strong"/>
                <w:bCs w:val="0"/>
              </w:rPr>
            </w:pPr>
            <w:r w:rsidRPr="000E2B6B">
              <w:rPr>
                <w:rStyle w:val="Strong"/>
              </w:rPr>
              <w:t>Rev</w:t>
            </w:r>
          </w:p>
        </w:tc>
        <w:tc>
          <w:tcPr>
            <w:tcW w:w="677" w:type="pct"/>
            <w:shd w:val="clear" w:color="auto" w:fill="D9D9D9" w:themeFill="background1" w:themeFillShade="D9"/>
          </w:tcPr>
          <w:p w14:paraId="33B881DB" w14:textId="77777777" w:rsidR="00B57F32" w:rsidRPr="000E2B6B" w:rsidRDefault="00B57F32" w:rsidP="009B3354">
            <w:pPr>
              <w:rPr>
                <w:rStyle w:val="Strong"/>
                <w:bCs w:val="0"/>
              </w:rPr>
            </w:pPr>
            <w:r w:rsidRPr="000E2B6B">
              <w:rPr>
                <w:rStyle w:val="Strong"/>
              </w:rPr>
              <w:t>Date</w:t>
            </w:r>
          </w:p>
        </w:tc>
        <w:tc>
          <w:tcPr>
            <w:tcW w:w="938" w:type="pct"/>
            <w:shd w:val="clear" w:color="auto" w:fill="D9D9D9" w:themeFill="background1" w:themeFillShade="D9"/>
          </w:tcPr>
          <w:p w14:paraId="485A6BED" w14:textId="77777777" w:rsidR="00B57F32" w:rsidRPr="000E2B6B" w:rsidRDefault="00B57F32" w:rsidP="009B3354">
            <w:pPr>
              <w:rPr>
                <w:rStyle w:val="Strong"/>
                <w:bCs w:val="0"/>
              </w:rPr>
            </w:pPr>
            <w:r w:rsidRPr="000E2B6B">
              <w:rPr>
                <w:rStyle w:val="Strong"/>
              </w:rPr>
              <w:t>Author</w:t>
            </w:r>
          </w:p>
        </w:tc>
        <w:tc>
          <w:tcPr>
            <w:tcW w:w="3105" w:type="pct"/>
            <w:shd w:val="clear" w:color="auto" w:fill="D9D9D9" w:themeFill="background1" w:themeFillShade="D9"/>
          </w:tcPr>
          <w:p w14:paraId="4FEB33DF" w14:textId="77777777" w:rsidR="00B57F32" w:rsidRPr="000E2B6B" w:rsidRDefault="00B57F32" w:rsidP="009B3354">
            <w:pPr>
              <w:rPr>
                <w:rStyle w:val="Strong"/>
                <w:bCs w:val="0"/>
              </w:rPr>
            </w:pPr>
            <w:r w:rsidRPr="000E2B6B">
              <w:rPr>
                <w:rStyle w:val="Strong"/>
              </w:rPr>
              <w:t>Summary of Changes</w:t>
            </w:r>
          </w:p>
        </w:tc>
      </w:tr>
      <w:tr w:rsidR="00884B9C" w:rsidRPr="00500C4E" w14:paraId="57302911" w14:textId="77777777" w:rsidTr="00C131CB">
        <w:trPr>
          <w:trHeight w:val="20"/>
        </w:trPr>
        <w:tc>
          <w:tcPr>
            <w:tcW w:w="280" w:type="pct"/>
          </w:tcPr>
          <w:p w14:paraId="494C888A" w14:textId="77777777" w:rsidR="00884B9C" w:rsidRPr="000E2B6B" w:rsidRDefault="00762D81">
            <w:pPr>
              <w:jc w:val="center"/>
              <w:rPr>
                <w:rFonts w:cstheme="minorHAnsi"/>
                <w:szCs w:val="20"/>
              </w:rPr>
            </w:pPr>
            <w:r>
              <w:t>0</w:t>
            </w:r>
          </w:p>
        </w:tc>
        <w:tc>
          <w:tcPr>
            <w:tcW w:w="677" w:type="pct"/>
          </w:tcPr>
          <w:p w14:paraId="181F03C1" w14:textId="77777777" w:rsidR="00884B9C" w:rsidRPr="000E2B6B" w:rsidRDefault="007270EA" w:rsidP="009B3354">
            <w:pPr>
              <w:jc w:val="center"/>
              <w:rPr>
                <w:rFonts w:cstheme="minorHAnsi"/>
                <w:szCs w:val="20"/>
              </w:rPr>
            </w:pPr>
            <w:r>
              <w:rPr>
                <w:szCs w:val="20"/>
              </w:rPr>
              <w:t>02/28/13</w:t>
            </w:r>
          </w:p>
        </w:tc>
        <w:tc>
          <w:tcPr>
            <w:tcW w:w="938" w:type="pct"/>
          </w:tcPr>
          <w:p w14:paraId="78DFD2FC" w14:textId="77777777" w:rsidR="00884B9C" w:rsidRPr="000E2B6B" w:rsidRDefault="007270EA" w:rsidP="009B3354">
            <w:pPr>
              <w:rPr>
                <w:rFonts w:cstheme="minorHAnsi"/>
                <w:szCs w:val="20"/>
              </w:rPr>
            </w:pPr>
            <w:r>
              <w:rPr>
                <w:rFonts w:cstheme="minorHAnsi"/>
                <w:szCs w:val="20"/>
              </w:rPr>
              <w:t xml:space="preserve">Charles </w:t>
            </w:r>
            <w:proofErr w:type="spellStart"/>
            <w:r>
              <w:rPr>
                <w:rFonts w:cstheme="minorHAnsi"/>
                <w:szCs w:val="20"/>
              </w:rPr>
              <w:t>Harmstead</w:t>
            </w:r>
            <w:proofErr w:type="spellEnd"/>
          </w:p>
        </w:tc>
        <w:tc>
          <w:tcPr>
            <w:tcW w:w="3105" w:type="pct"/>
          </w:tcPr>
          <w:p w14:paraId="3DADFF83" w14:textId="77777777" w:rsidR="00884B9C" w:rsidRPr="005734A4" w:rsidRDefault="007270EA" w:rsidP="007270EA">
            <w:pPr>
              <w:rPr>
                <w:rFonts w:cstheme="minorHAnsi"/>
                <w:szCs w:val="20"/>
              </w:rPr>
            </w:pPr>
            <w:r>
              <w:rPr>
                <w:bCs/>
                <w:szCs w:val="20"/>
              </w:rPr>
              <w:t>- Initial Workpaper</w:t>
            </w:r>
          </w:p>
        </w:tc>
      </w:tr>
      <w:tr w:rsidR="00884B9C" w:rsidRPr="00500C4E" w14:paraId="45FEA029" w14:textId="77777777" w:rsidTr="00C131CB">
        <w:trPr>
          <w:trHeight w:val="20"/>
        </w:trPr>
        <w:tc>
          <w:tcPr>
            <w:tcW w:w="280" w:type="pct"/>
          </w:tcPr>
          <w:p w14:paraId="6DA46144" w14:textId="77777777" w:rsidR="00884B9C" w:rsidRPr="000E2B6B" w:rsidRDefault="007270EA">
            <w:pPr>
              <w:jc w:val="center"/>
              <w:rPr>
                <w:rStyle w:val="Strong"/>
                <w:b w:val="0"/>
              </w:rPr>
            </w:pPr>
            <w:r>
              <w:rPr>
                <w:rStyle w:val="Strong"/>
                <w:b w:val="0"/>
              </w:rPr>
              <w:t>1</w:t>
            </w:r>
          </w:p>
        </w:tc>
        <w:tc>
          <w:tcPr>
            <w:tcW w:w="677" w:type="pct"/>
          </w:tcPr>
          <w:p w14:paraId="563463B7" w14:textId="77777777" w:rsidR="00884B9C" w:rsidRPr="000E2B6B" w:rsidRDefault="007270EA" w:rsidP="009B3354">
            <w:pPr>
              <w:jc w:val="center"/>
              <w:rPr>
                <w:rStyle w:val="Strong"/>
                <w:b w:val="0"/>
              </w:rPr>
            </w:pPr>
            <w:r>
              <w:rPr>
                <w:rStyle w:val="Strong"/>
                <w:b w:val="0"/>
              </w:rPr>
              <w:t>09/23/14</w:t>
            </w:r>
          </w:p>
        </w:tc>
        <w:tc>
          <w:tcPr>
            <w:tcW w:w="938" w:type="pct"/>
          </w:tcPr>
          <w:p w14:paraId="32E2409E" w14:textId="77777777" w:rsidR="00884B9C" w:rsidRPr="000E2B6B" w:rsidRDefault="007270EA" w:rsidP="009B3354">
            <w:pPr>
              <w:rPr>
                <w:rStyle w:val="Strong"/>
                <w:b w:val="0"/>
              </w:rPr>
            </w:pPr>
            <w:r>
              <w:rPr>
                <w:rStyle w:val="Strong"/>
                <w:b w:val="0"/>
              </w:rPr>
              <w:t xml:space="preserve">Phillip </w:t>
            </w:r>
            <w:proofErr w:type="spellStart"/>
            <w:r>
              <w:rPr>
                <w:rStyle w:val="Strong"/>
                <w:b w:val="0"/>
              </w:rPr>
              <w:t>Hasley</w:t>
            </w:r>
            <w:proofErr w:type="spellEnd"/>
            <w:r>
              <w:rPr>
                <w:rStyle w:val="Strong"/>
                <w:b w:val="0"/>
              </w:rPr>
              <w:t xml:space="preserve"> (</w:t>
            </w:r>
            <w:proofErr w:type="spellStart"/>
            <w:r>
              <w:rPr>
                <w:rStyle w:val="Strong"/>
                <w:b w:val="0"/>
              </w:rPr>
              <w:t>Hasley</w:t>
            </w:r>
            <w:proofErr w:type="spellEnd"/>
            <w:r>
              <w:rPr>
                <w:rStyle w:val="Strong"/>
                <w:b w:val="0"/>
              </w:rPr>
              <w:t xml:space="preserve"> Consulting)</w:t>
            </w:r>
          </w:p>
        </w:tc>
        <w:tc>
          <w:tcPr>
            <w:tcW w:w="3105" w:type="pct"/>
          </w:tcPr>
          <w:p w14:paraId="2CD5BEC6" w14:textId="77777777" w:rsidR="007270EA" w:rsidRPr="007270EA" w:rsidRDefault="007270EA" w:rsidP="007270EA">
            <w:pPr>
              <w:rPr>
                <w:rFonts w:ascii="Calibri" w:hAnsi="Calibri" w:cs="Calibri"/>
                <w:szCs w:val="20"/>
              </w:rPr>
            </w:pPr>
            <w:r w:rsidRPr="007270EA">
              <w:rPr>
                <w:rFonts w:ascii="Calibri" w:hAnsi="Calibri" w:cs="Calibri"/>
                <w:szCs w:val="20"/>
              </w:rPr>
              <w:t>- Adopted SCE Work Paper SCE13WH001.1</w:t>
            </w:r>
          </w:p>
          <w:p w14:paraId="1F046F73" w14:textId="77777777" w:rsidR="007270EA" w:rsidRPr="007270EA" w:rsidRDefault="007270EA" w:rsidP="007270EA">
            <w:pPr>
              <w:rPr>
                <w:rFonts w:ascii="Calibri" w:hAnsi="Calibri" w:cs="Calibri"/>
                <w:szCs w:val="20"/>
              </w:rPr>
            </w:pPr>
            <w:r w:rsidRPr="007270EA">
              <w:rPr>
                <w:rFonts w:ascii="Calibri" w:hAnsi="Calibri" w:cs="Calibri"/>
                <w:szCs w:val="20"/>
              </w:rPr>
              <w:t>- Removed calculation template</w:t>
            </w:r>
          </w:p>
          <w:p w14:paraId="08344721" w14:textId="77777777" w:rsidR="007270EA" w:rsidRPr="007270EA" w:rsidRDefault="007270EA" w:rsidP="007270EA">
            <w:pPr>
              <w:rPr>
                <w:rFonts w:ascii="Calibri" w:hAnsi="Calibri" w:cs="Calibri"/>
                <w:szCs w:val="20"/>
              </w:rPr>
            </w:pPr>
            <w:r w:rsidRPr="007270EA">
              <w:rPr>
                <w:rFonts w:ascii="Calibri" w:hAnsi="Calibri" w:cs="Calibri"/>
                <w:szCs w:val="20"/>
              </w:rPr>
              <w:t>- Updated savings calculations to use DEER 2008 2.05 and 4 water heater sizes</w:t>
            </w:r>
          </w:p>
          <w:p w14:paraId="589960E1" w14:textId="77777777" w:rsidR="007270EA" w:rsidRPr="007270EA" w:rsidRDefault="007270EA" w:rsidP="007270EA">
            <w:pPr>
              <w:rPr>
                <w:rFonts w:ascii="Calibri" w:hAnsi="Calibri" w:cs="Calibri"/>
                <w:szCs w:val="20"/>
              </w:rPr>
            </w:pPr>
            <w:r w:rsidRPr="007270EA">
              <w:rPr>
                <w:rFonts w:ascii="Calibri" w:hAnsi="Calibri" w:cs="Calibri"/>
                <w:szCs w:val="20"/>
              </w:rPr>
              <w:t>- Updated delivery mechanism to include direct install</w:t>
            </w:r>
          </w:p>
          <w:p w14:paraId="0F2671CE" w14:textId="77777777" w:rsidR="007270EA" w:rsidRPr="007270EA" w:rsidRDefault="007270EA" w:rsidP="007270EA">
            <w:pPr>
              <w:rPr>
                <w:rFonts w:ascii="Calibri" w:hAnsi="Calibri" w:cs="Calibri"/>
                <w:szCs w:val="20"/>
              </w:rPr>
            </w:pPr>
            <w:r w:rsidRPr="007270EA">
              <w:rPr>
                <w:rFonts w:ascii="Calibri" w:hAnsi="Calibri" w:cs="Calibri"/>
                <w:szCs w:val="20"/>
              </w:rPr>
              <w:t>- Updated EUL_ID</w:t>
            </w:r>
          </w:p>
          <w:p w14:paraId="50E8AC0C" w14:textId="77777777" w:rsidR="007270EA" w:rsidRPr="007270EA" w:rsidRDefault="007270EA" w:rsidP="007270EA">
            <w:pPr>
              <w:rPr>
                <w:rFonts w:ascii="Calibri" w:hAnsi="Calibri" w:cs="Calibri"/>
                <w:szCs w:val="20"/>
              </w:rPr>
            </w:pPr>
            <w:r w:rsidRPr="007270EA">
              <w:rPr>
                <w:rFonts w:ascii="Calibri" w:hAnsi="Calibri" w:cs="Calibri"/>
                <w:szCs w:val="20"/>
              </w:rPr>
              <w:t>- Updated NTG</w:t>
            </w:r>
          </w:p>
          <w:p w14:paraId="091D3BC1" w14:textId="77777777" w:rsidR="007270EA" w:rsidRPr="007270EA" w:rsidRDefault="007270EA" w:rsidP="007270EA">
            <w:pPr>
              <w:rPr>
                <w:rFonts w:ascii="Calibri" w:hAnsi="Calibri" w:cs="Calibri"/>
                <w:szCs w:val="20"/>
              </w:rPr>
            </w:pPr>
            <w:r w:rsidRPr="007270EA">
              <w:rPr>
                <w:rFonts w:ascii="Calibri" w:hAnsi="Calibri" w:cs="Calibri"/>
                <w:szCs w:val="20"/>
              </w:rPr>
              <w:t>- Added GSIA</w:t>
            </w:r>
          </w:p>
          <w:p w14:paraId="418A0419" w14:textId="77777777" w:rsidR="007270EA" w:rsidRPr="007270EA" w:rsidRDefault="007270EA" w:rsidP="007270EA">
            <w:pPr>
              <w:rPr>
                <w:rFonts w:ascii="Calibri" w:hAnsi="Calibri" w:cs="Calibri"/>
                <w:szCs w:val="20"/>
              </w:rPr>
            </w:pPr>
            <w:r w:rsidRPr="007270EA">
              <w:rPr>
                <w:rFonts w:ascii="Calibri" w:hAnsi="Calibri" w:cs="Calibri"/>
                <w:szCs w:val="20"/>
              </w:rPr>
              <w:t>- Updated load shapes</w:t>
            </w:r>
          </w:p>
          <w:p w14:paraId="66CC1AA2" w14:textId="77777777" w:rsidR="007270EA" w:rsidRPr="007270EA" w:rsidRDefault="007270EA" w:rsidP="007270EA">
            <w:pPr>
              <w:rPr>
                <w:rFonts w:ascii="Calibri" w:hAnsi="Calibri" w:cs="Calibri"/>
                <w:szCs w:val="20"/>
              </w:rPr>
            </w:pPr>
            <w:r w:rsidRPr="007270EA">
              <w:rPr>
                <w:rFonts w:ascii="Calibri" w:hAnsi="Calibri" w:cs="Calibri"/>
                <w:szCs w:val="20"/>
              </w:rPr>
              <w:t>- Updated building types</w:t>
            </w:r>
          </w:p>
          <w:p w14:paraId="3F2693BD" w14:textId="77777777" w:rsidR="00762D81" w:rsidRPr="00762D81" w:rsidRDefault="007270EA" w:rsidP="007270EA">
            <w:pPr>
              <w:rPr>
                <w:rStyle w:val="Strong"/>
                <w:b w:val="0"/>
                <w:szCs w:val="20"/>
              </w:rPr>
            </w:pPr>
            <w:r w:rsidRPr="007270EA">
              <w:rPr>
                <w:rFonts w:ascii="Calibri" w:hAnsi="Calibri" w:cs="Calibri"/>
                <w:szCs w:val="20"/>
              </w:rPr>
              <w:t>- Updated costs to be based on DEER</w:t>
            </w:r>
          </w:p>
        </w:tc>
      </w:tr>
      <w:tr w:rsidR="00DB544A" w:rsidRPr="00500C4E" w14:paraId="74AFEEE8" w14:textId="77777777" w:rsidTr="00C131CB">
        <w:trPr>
          <w:trHeight w:val="20"/>
        </w:trPr>
        <w:tc>
          <w:tcPr>
            <w:tcW w:w="280" w:type="pct"/>
          </w:tcPr>
          <w:p w14:paraId="54533151" w14:textId="77777777" w:rsidR="00DB544A" w:rsidRPr="00F2079F" w:rsidRDefault="007270EA" w:rsidP="008C2C8A">
            <w:pPr>
              <w:jc w:val="center"/>
            </w:pPr>
            <w:r>
              <w:t>1.1</w:t>
            </w:r>
          </w:p>
        </w:tc>
        <w:tc>
          <w:tcPr>
            <w:tcW w:w="677" w:type="pct"/>
          </w:tcPr>
          <w:p w14:paraId="1697C3E6" w14:textId="77777777" w:rsidR="00DB544A" w:rsidRDefault="007270EA" w:rsidP="007270EA">
            <w:pPr>
              <w:rPr>
                <w:szCs w:val="20"/>
              </w:rPr>
            </w:pPr>
            <w:r>
              <w:rPr>
                <w:szCs w:val="20"/>
              </w:rPr>
              <w:t>05/21/2015</w:t>
            </w:r>
          </w:p>
        </w:tc>
        <w:tc>
          <w:tcPr>
            <w:tcW w:w="938" w:type="pct"/>
          </w:tcPr>
          <w:p w14:paraId="57430F5E" w14:textId="77777777" w:rsidR="00DB544A" w:rsidRDefault="007270EA" w:rsidP="009B3354">
            <w:pPr>
              <w:rPr>
                <w:szCs w:val="20"/>
              </w:rPr>
            </w:pPr>
            <w:r w:rsidRPr="007270EA">
              <w:rPr>
                <w:bCs/>
                <w:szCs w:val="20"/>
              </w:rPr>
              <w:t xml:space="preserve">Phillip </w:t>
            </w:r>
            <w:proofErr w:type="spellStart"/>
            <w:r w:rsidRPr="007270EA">
              <w:rPr>
                <w:bCs/>
                <w:szCs w:val="20"/>
              </w:rPr>
              <w:t>Hasley</w:t>
            </w:r>
            <w:proofErr w:type="spellEnd"/>
            <w:r w:rsidRPr="007270EA">
              <w:rPr>
                <w:bCs/>
                <w:szCs w:val="20"/>
              </w:rPr>
              <w:t xml:space="preserve"> (</w:t>
            </w:r>
            <w:proofErr w:type="spellStart"/>
            <w:r w:rsidRPr="007270EA">
              <w:rPr>
                <w:bCs/>
                <w:szCs w:val="20"/>
              </w:rPr>
              <w:t>Hasley</w:t>
            </w:r>
            <w:proofErr w:type="spellEnd"/>
            <w:r w:rsidRPr="007270EA">
              <w:rPr>
                <w:bCs/>
                <w:szCs w:val="20"/>
              </w:rPr>
              <w:t xml:space="preserve"> Consulting)</w:t>
            </w:r>
          </w:p>
        </w:tc>
        <w:tc>
          <w:tcPr>
            <w:tcW w:w="3105" w:type="pct"/>
          </w:tcPr>
          <w:p w14:paraId="42B1678F" w14:textId="77777777" w:rsidR="007270EA" w:rsidRPr="007270EA" w:rsidRDefault="007270EA" w:rsidP="007270EA">
            <w:pPr>
              <w:rPr>
                <w:bCs/>
                <w:szCs w:val="20"/>
              </w:rPr>
            </w:pPr>
            <w:r w:rsidRPr="007270EA">
              <w:rPr>
                <w:bCs/>
                <w:szCs w:val="20"/>
              </w:rPr>
              <w:t>- Updated NTG</w:t>
            </w:r>
          </w:p>
          <w:p w14:paraId="2ADEADB2" w14:textId="77777777" w:rsidR="007270EA" w:rsidRPr="007270EA" w:rsidRDefault="007270EA" w:rsidP="007270EA">
            <w:pPr>
              <w:rPr>
                <w:bCs/>
                <w:szCs w:val="20"/>
              </w:rPr>
            </w:pPr>
            <w:r w:rsidRPr="007270EA">
              <w:rPr>
                <w:bCs/>
                <w:szCs w:val="20"/>
              </w:rPr>
              <w:t>- Added Lookup ID Summary Table</w:t>
            </w:r>
          </w:p>
          <w:p w14:paraId="3BBA49D9" w14:textId="77777777" w:rsidR="00762D81" w:rsidRPr="006A478E" w:rsidRDefault="007270EA" w:rsidP="007270EA">
            <w:pPr>
              <w:rPr>
                <w:bCs/>
                <w:szCs w:val="20"/>
              </w:rPr>
            </w:pPr>
            <w:r w:rsidRPr="007270EA">
              <w:rPr>
                <w:bCs/>
                <w:szCs w:val="20"/>
              </w:rPr>
              <w:t xml:space="preserve">- Added </w:t>
            </w:r>
            <w:proofErr w:type="spellStart"/>
            <w:r w:rsidRPr="007270EA">
              <w:rPr>
                <w:bCs/>
                <w:szCs w:val="20"/>
              </w:rPr>
              <w:t>PreRebUp</w:t>
            </w:r>
            <w:proofErr w:type="spellEnd"/>
            <w:r w:rsidRPr="007270EA">
              <w:rPr>
                <w:bCs/>
                <w:szCs w:val="20"/>
              </w:rPr>
              <w:t xml:space="preserve"> as a delivery method</w:t>
            </w:r>
          </w:p>
        </w:tc>
      </w:tr>
      <w:tr w:rsidR="007270EA" w:rsidRPr="00500C4E" w14:paraId="10CF40FC" w14:textId="77777777" w:rsidTr="00C131CB">
        <w:trPr>
          <w:trHeight w:val="20"/>
        </w:trPr>
        <w:tc>
          <w:tcPr>
            <w:tcW w:w="280" w:type="pct"/>
          </w:tcPr>
          <w:p w14:paraId="1C6D3BC3" w14:textId="77777777" w:rsidR="007270EA" w:rsidRDefault="007270EA" w:rsidP="008C2C8A">
            <w:pPr>
              <w:jc w:val="center"/>
            </w:pPr>
            <w:r>
              <w:t>2</w:t>
            </w:r>
          </w:p>
        </w:tc>
        <w:tc>
          <w:tcPr>
            <w:tcW w:w="677" w:type="pct"/>
          </w:tcPr>
          <w:p w14:paraId="259A5686" w14:textId="77777777" w:rsidR="007270EA" w:rsidRDefault="007270EA" w:rsidP="007270EA">
            <w:pPr>
              <w:rPr>
                <w:szCs w:val="20"/>
              </w:rPr>
            </w:pPr>
            <w:r>
              <w:rPr>
                <w:szCs w:val="20"/>
              </w:rPr>
              <w:t>11/15/17</w:t>
            </w:r>
          </w:p>
        </w:tc>
        <w:tc>
          <w:tcPr>
            <w:tcW w:w="938" w:type="pct"/>
          </w:tcPr>
          <w:p w14:paraId="2CF60C60" w14:textId="77777777" w:rsidR="007270EA" w:rsidRPr="007270EA" w:rsidRDefault="007270EA" w:rsidP="009B3354">
            <w:pPr>
              <w:rPr>
                <w:bCs/>
                <w:szCs w:val="20"/>
              </w:rPr>
            </w:pPr>
            <w:r>
              <w:rPr>
                <w:bCs/>
                <w:szCs w:val="20"/>
              </w:rPr>
              <w:t>Kelvin Valenzuela (SDG&amp;E)</w:t>
            </w:r>
          </w:p>
        </w:tc>
        <w:tc>
          <w:tcPr>
            <w:tcW w:w="3105" w:type="pct"/>
          </w:tcPr>
          <w:p w14:paraId="76459377" w14:textId="77777777" w:rsidR="007270EA" w:rsidRPr="007270EA" w:rsidRDefault="007270EA" w:rsidP="007270EA">
            <w:pPr>
              <w:rPr>
                <w:bCs/>
                <w:szCs w:val="20"/>
              </w:rPr>
            </w:pPr>
            <w:r>
              <w:rPr>
                <w:bCs/>
                <w:szCs w:val="20"/>
              </w:rPr>
              <w:t>- Updated kWh, kW impacts to E-4867</w:t>
            </w:r>
          </w:p>
          <w:p w14:paraId="66373F34" w14:textId="77777777" w:rsidR="007270EA" w:rsidRPr="007270EA" w:rsidRDefault="007270EA" w:rsidP="007270EA">
            <w:pPr>
              <w:rPr>
                <w:bCs/>
                <w:szCs w:val="20"/>
              </w:rPr>
            </w:pPr>
            <w:r>
              <w:rPr>
                <w:bCs/>
                <w:szCs w:val="20"/>
              </w:rPr>
              <w:t>- Remove offerings other than 50 gallons</w:t>
            </w:r>
          </w:p>
          <w:p w14:paraId="7A990A57" w14:textId="75FAF4AF" w:rsidR="007270EA" w:rsidRDefault="004F6E80" w:rsidP="007270EA">
            <w:pPr>
              <w:rPr>
                <w:bCs/>
                <w:szCs w:val="20"/>
              </w:rPr>
            </w:pPr>
            <w:r>
              <w:rPr>
                <w:bCs/>
                <w:szCs w:val="20"/>
              </w:rPr>
              <w:t>- Measure 1 changed from 40 gallons to 50 gallons @ EF = 3.24</w:t>
            </w:r>
          </w:p>
          <w:p w14:paraId="18BA5D97" w14:textId="19715964" w:rsidR="004F6E80" w:rsidRDefault="004F6E80" w:rsidP="007270EA">
            <w:pPr>
              <w:rPr>
                <w:bCs/>
                <w:szCs w:val="20"/>
              </w:rPr>
            </w:pPr>
            <w:r>
              <w:rPr>
                <w:bCs/>
                <w:szCs w:val="20"/>
              </w:rPr>
              <w:t xml:space="preserve">- Measure 2 changed from 50 </w:t>
            </w:r>
            <w:proofErr w:type="gramStart"/>
            <w:r>
              <w:rPr>
                <w:bCs/>
                <w:szCs w:val="20"/>
              </w:rPr>
              <w:t>gallon</w:t>
            </w:r>
            <w:proofErr w:type="gramEnd"/>
            <w:r>
              <w:rPr>
                <w:bCs/>
                <w:szCs w:val="20"/>
              </w:rPr>
              <w:t xml:space="preserve"> to 50 gallons @ EF = 3.50</w:t>
            </w:r>
          </w:p>
          <w:p w14:paraId="70809B35" w14:textId="1CA27573" w:rsidR="004F6E80" w:rsidRPr="007270EA" w:rsidRDefault="004F6E80" w:rsidP="007270EA">
            <w:pPr>
              <w:rPr>
                <w:bCs/>
                <w:szCs w:val="20"/>
              </w:rPr>
            </w:pPr>
            <w:r>
              <w:rPr>
                <w:bCs/>
                <w:szCs w:val="20"/>
              </w:rPr>
              <w:t>- Electric Profile changed for single family implementations</w:t>
            </w:r>
          </w:p>
        </w:tc>
      </w:tr>
    </w:tbl>
    <w:p w14:paraId="79FCB96B" w14:textId="77777777" w:rsidR="00DB71F1" w:rsidRDefault="00DB71F1" w:rsidP="00413EF4"/>
    <w:p w14:paraId="6F622EB6" w14:textId="77777777" w:rsidR="00DB71F1" w:rsidRDefault="00DB71F1">
      <w:pPr>
        <w:spacing w:after="200" w:line="276" w:lineRule="auto"/>
      </w:pPr>
      <w:r>
        <w:br w:type="page"/>
      </w:r>
    </w:p>
    <w:p w14:paraId="24A6EB3D" w14:textId="77777777" w:rsidR="00DB71F1" w:rsidRDefault="00DB71F1" w:rsidP="00DB71F1">
      <w:pPr>
        <w:pStyle w:val="Heading2"/>
      </w:pPr>
      <w:r>
        <w:lastRenderedPageBreak/>
        <w:t>Measure Summary</w:t>
      </w:r>
      <w:r w:rsidRPr="0025216C">
        <w:t xml:space="preserve"> </w:t>
      </w:r>
    </w:p>
    <w:p w14:paraId="329B4506" w14:textId="77777777" w:rsidR="00EE6CFE" w:rsidRPr="00EE6CFE" w:rsidRDefault="00EE6CFE" w:rsidP="0081521B"/>
    <w:p w14:paraId="09B3C40F" w14:textId="77777777" w:rsidR="00DB71F1" w:rsidRDefault="00DB71F1" w:rsidP="00DB71F1">
      <w:pPr>
        <w:pStyle w:val="Caption"/>
        <w:keepNext/>
        <w:jc w:val="center"/>
      </w:pPr>
      <w:r>
        <w:t xml:space="preserve">Table </w:t>
      </w:r>
      <w:fldSimple w:instr=" SEQ Table \* ARABIC ">
        <w:r w:rsidR="000719BF">
          <w:rPr>
            <w:noProof/>
          </w:rPr>
          <w:t>1</w:t>
        </w:r>
      </w:fldSimple>
      <w:r>
        <w:t>: Measure Summary Table</w:t>
      </w:r>
    </w:p>
    <w:tbl>
      <w:tblPr>
        <w:tblStyle w:val="TableGrid"/>
        <w:tblW w:w="9586" w:type="dxa"/>
        <w:tblLook w:val="04A0" w:firstRow="1" w:lastRow="0" w:firstColumn="1" w:lastColumn="0" w:noHBand="0" w:noVBand="1"/>
      </w:tblPr>
      <w:tblGrid>
        <w:gridCol w:w="1449"/>
        <w:gridCol w:w="8622"/>
      </w:tblGrid>
      <w:tr w:rsidR="00DB71F1" w14:paraId="4A89059E" w14:textId="77777777" w:rsidTr="00275E08">
        <w:trPr>
          <w:cantSplit/>
          <w:tblHeader/>
        </w:trPr>
        <w:tc>
          <w:tcPr>
            <w:tcW w:w="1653" w:type="dxa"/>
          </w:tcPr>
          <w:p w14:paraId="507534DC" w14:textId="77777777" w:rsidR="00DB71F1" w:rsidRPr="00D86243" w:rsidRDefault="00DB71F1" w:rsidP="009B3354">
            <w:pPr>
              <w:jc w:val="center"/>
              <w:rPr>
                <w:b/>
              </w:rPr>
            </w:pPr>
            <w:r w:rsidRPr="00D86243">
              <w:rPr>
                <w:b/>
              </w:rPr>
              <w:t>Section</w:t>
            </w:r>
          </w:p>
        </w:tc>
        <w:tc>
          <w:tcPr>
            <w:tcW w:w="7933" w:type="dxa"/>
          </w:tcPr>
          <w:p w14:paraId="3B79CBB7" w14:textId="77777777" w:rsidR="00DB71F1" w:rsidRPr="00D86243" w:rsidRDefault="00DB71F1" w:rsidP="009B3354">
            <w:pPr>
              <w:jc w:val="center"/>
              <w:rPr>
                <w:b/>
              </w:rPr>
            </w:pPr>
            <w:r w:rsidRPr="00D86243">
              <w:rPr>
                <w:b/>
              </w:rPr>
              <w:t>Value</w:t>
            </w:r>
          </w:p>
        </w:tc>
      </w:tr>
      <w:tr w:rsidR="00DB71F1" w14:paraId="1EC9A704" w14:textId="77777777" w:rsidTr="00275E08">
        <w:trPr>
          <w:cantSplit/>
        </w:trPr>
        <w:tc>
          <w:tcPr>
            <w:tcW w:w="1653" w:type="dxa"/>
            <w:vAlign w:val="center"/>
          </w:tcPr>
          <w:p w14:paraId="05A96BF3" w14:textId="77777777" w:rsidR="00DB71F1" w:rsidRPr="001D77F7" w:rsidRDefault="00DB71F1" w:rsidP="009B3354">
            <w:pPr>
              <w:rPr>
                <w:b/>
              </w:rPr>
            </w:pPr>
            <w:r>
              <w:rPr>
                <w:b/>
              </w:rPr>
              <w:t>Summary &amp; Purpose</w:t>
            </w:r>
          </w:p>
        </w:tc>
        <w:tc>
          <w:tcPr>
            <w:tcW w:w="7933" w:type="dxa"/>
          </w:tcPr>
          <w:p w14:paraId="4F9EEBD2" w14:textId="77777777" w:rsidR="00DB71F1" w:rsidRPr="00D86243" w:rsidRDefault="00DB71F1" w:rsidP="00555671">
            <w:pPr>
              <w:jc w:val="both"/>
              <w:rPr>
                <w:rFonts w:cs="Arial"/>
                <w:sz w:val="20"/>
                <w:szCs w:val="20"/>
              </w:rPr>
            </w:pPr>
            <w:r w:rsidRPr="00241A1F">
              <w:rPr>
                <w:rFonts w:cs="Arial"/>
                <w:sz w:val="20"/>
                <w:szCs w:val="20"/>
              </w:rPr>
              <w:t>This short form workpaper documents ex-ante load impact</w:t>
            </w:r>
            <w:r w:rsidR="00E733C7" w:rsidRPr="00241A1F">
              <w:rPr>
                <w:rFonts w:cs="Arial"/>
                <w:sz w:val="20"/>
                <w:szCs w:val="20"/>
              </w:rPr>
              <w:t>s</w:t>
            </w:r>
            <w:r w:rsidRPr="00241A1F">
              <w:rPr>
                <w:rFonts w:cs="Arial"/>
                <w:sz w:val="20"/>
                <w:szCs w:val="20"/>
              </w:rPr>
              <w:t xml:space="preserve"> and cost-effectiveness values for </w:t>
            </w:r>
            <w:r w:rsidR="004E63B1">
              <w:rPr>
                <w:rFonts w:cs="Arial"/>
                <w:sz w:val="20"/>
                <w:szCs w:val="20"/>
              </w:rPr>
              <w:t>Residential Heat Pump Water Heaters</w:t>
            </w:r>
            <w:r w:rsidRPr="00241A1F">
              <w:rPr>
                <w:rFonts w:cs="Arial"/>
                <w:sz w:val="20"/>
                <w:szCs w:val="20"/>
              </w:rPr>
              <w:t xml:space="preserve">. </w:t>
            </w:r>
            <w:r w:rsidR="00C228B0">
              <w:rPr>
                <w:rFonts w:cs="Arial"/>
                <w:sz w:val="20"/>
                <w:szCs w:val="20"/>
              </w:rPr>
              <w:t>The base energy consumption</w:t>
            </w:r>
            <w:r w:rsidR="00067315">
              <w:rPr>
                <w:rFonts w:cs="Arial"/>
                <w:sz w:val="20"/>
                <w:szCs w:val="20"/>
              </w:rPr>
              <w:t xml:space="preserve"> and </w:t>
            </w:r>
            <w:r w:rsidR="00C228B0">
              <w:rPr>
                <w:rFonts w:cs="Arial"/>
                <w:sz w:val="20"/>
                <w:szCs w:val="20"/>
              </w:rPr>
              <w:t>measure energy consumption</w:t>
            </w:r>
            <w:r w:rsidR="00067315" w:rsidRPr="00555671">
              <w:rPr>
                <w:rFonts w:cs="Arial"/>
                <w:sz w:val="20"/>
                <w:szCs w:val="20"/>
              </w:rPr>
              <w:t xml:space="preserve"> values</w:t>
            </w:r>
            <w:r w:rsidR="00C228B0">
              <w:rPr>
                <w:rFonts w:cs="Arial"/>
                <w:sz w:val="20"/>
                <w:szCs w:val="20"/>
              </w:rPr>
              <w:t xml:space="preserve"> are fr</w:t>
            </w:r>
            <w:r w:rsidR="008D74B6">
              <w:rPr>
                <w:rFonts w:cs="Arial"/>
                <w:sz w:val="20"/>
                <w:szCs w:val="20"/>
              </w:rPr>
              <w:t xml:space="preserve">om </w:t>
            </w:r>
            <w:proofErr w:type="spellStart"/>
            <w:r w:rsidR="004E63B1">
              <w:rPr>
                <w:rFonts w:cs="Arial"/>
                <w:sz w:val="20"/>
                <w:szCs w:val="20"/>
              </w:rPr>
              <w:t>READi</w:t>
            </w:r>
            <w:proofErr w:type="spellEnd"/>
            <w:r w:rsidR="004E63B1">
              <w:rPr>
                <w:rFonts w:cs="Arial"/>
                <w:sz w:val="20"/>
                <w:szCs w:val="20"/>
              </w:rPr>
              <w:t xml:space="preserve"> v.2.4.7.  Costs are from SDG&amp;E Marketplace.</w:t>
            </w:r>
          </w:p>
        </w:tc>
      </w:tr>
      <w:tr w:rsidR="00DB71F1" w14:paraId="77A3CF9D" w14:textId="77777777" w:rsidTr="00275E08">
        <w:trPr>
          <w:cantSplit/>
        </w:trPr>
        <w:tc>
          <w:tcPr>
            <w:tcW w:w="1653" w:type="dxa"/>
            <w:vAlign w:val="center"/>
          </w:tcPr>
          <w:p w14:paraId="3919021F" w14:textId="77777777" w:rsidR="00DB71F1" w:rsidRPr="001D77F7" w:rsidRDefault="00DB71F1" w:rsidP="009B3354">
            <w:pPr>
              <w:rPr>
                <w:b/>
              </w:rPr>
            </w:pPr>
            <w:r w:rsidRPr="001D77F7">
              <w:rPr>
                <w:b/>
              </w:rPr>
              <w:t>1.1 Measure &amp; Baseline Data</w:t>
            </w:r>
          </w:p>
        </w:tc>
        <w:tc>
          <w:tcPr>
            <w:tcW w:w="7933" w:type="dxa"/>
          </w:tcPr>
          <w:p w14:paraId="0F73258C" w14:textId="77777777" w:rsidR="008C2C8A" w:rsidRPr="00555671" w:rsidRDefault="00EE6CFE" w:rsidP="001D57D7">
            <w:pPr>
              <w:rPr>
                <w:rFonts w:cs="Arial"/>
                <w:sz w:val="20"/>
                <w:szCs w:val="20"/>
              </w:rPr>
            </w:pPr>
            <w:r w:rsidRPr="00555671">
              <w:rPr>
                <w:rFonts w:cs="Arial"/>
                <w:sz w:val="20"/>
                <w:szCs w:val="20"/>
              </w:rPr>
              <w:t xml:space="preserve">Measure: </w:t>
            </w:r>
          </w:p>
          <w:p w14:paraId="4F742DDF" w14:textId="378DE3EE" w:rsidR="006D2B70" w:rsidRDefault="00324368" w:rsidP="00C131CB">
            <w:pPr>
              <w:rPr>
                <w:rFonts w:cs="Arial"/>
                <w:sz w:val="20"/>
                <w:szCs w:val="20"/>
              </w:rPr>
            </w:pPr>
            <w:r>
              <w:rPr>
                <w:rFonts w:cs="Arial"/>
                <w:sz w:val="20"/>
                <w:szCs w:val="20"/>
              </w:rPr>
              <w:t>464085</w:t>
            </w:r>
            <w:r w:rsidR="00E159C8" w:rsidRPr="00555671">
              <w:rPr>
                <w:rFonts w:cs="Arial"/>
                <w:sz w:val="20"/>
                <w:szCs w:val="20"/>
              </w:rPr>
              <w:t xml:space="preserve"> </w:t>
            </w:r>
            <w:r w:rsidR="00711B58">
              <w:rPr>
                <w:rFonts w:cs="Arial"/>
                <w:sz w:val="20"/>
                <w:szCs w:val="20"/>
              </w:rPr>
              <w:t>–</w:t>
            </w:r>
            <w:r w:rsidR="00E159C8" w:rsidRPr="00555671">
              <w:rPr>
                <w:rFonts w:cs="Arial"/>
                <w:sz w:val="20"/>
                <w:szCs w:val="20"/>
              </w:rPr>
              <w:t xml:space="preserve"> </w:t>
            </w:r>
            <w:r>
              <w:rPr>
                <w:rFonts w:cs="Arial"/>
                <w:sz w:val="20"/>
                <w:szCs w:val="20"/>
              </w:rPr>
              <w:t>S</w:t>
            </w:r>
            <w:r w:rsidRPr="00324368">
              <w:rPr>
                <w:rFonts w:cs="Arial"/>
                <w:sz w:val="20"/>
                <w:szCs w:val="20"/>
              </w:rPr>
              <w:t>mall storage HP water heater EF = 3.24 (UEF = TBD): Small storage electric gallon replacement (EF = 0.95)</w:t>
            </w:r>
          </w:p>
          <w:p w14:paraId="37109ED3" w14:textId="7C647497" w:rsidR="001458E6" w:rsidRDefault="00324368" w:rsidP="00C131CB">
            <w:pPr>
              <w:rPr>
                <w:rFonts w:cs="Arial"/>
                <w:sz w:val="20"/>
                <w:szCs w:val="20"/>
              </w:rPr>
            </w:pPr>
            <w:r>
              <w:rPr>
                <w:rFonts w:cs="Arial"/>
                <w:sz w:val="20"/>
                <w:szCs w:val="20"/>
              </w:rPr>
              <w:t>464086</w:t>
            </w:r>
            <w:r w:rsidR="001458E6" w:rsidRPr="001458E6">
              <w:rPr>
                <w:rFonts w:cs="Arial"/>
                <w:sz w:val="20"/>
                <w:szCs w:val="20"/>
              </w:rPr>
              <w:t xml:space="preserve"> – </w:t>
            </w:r>
            <w:r>
              <w:rPr>
                <w:rFonts w:cs="Arial"/>
                <w:sz w:val="20"/>
                <w:szCs w:val="20"/>
              </w:rPr>
              <w:t>S</w:t>
            </w:r>
            <w:r w:rsidRPr="00324368">
              <w:rPr>
                <w:rFonts w:cs="Arial"/>
                <w:sz w:val="20"/>
                <w:szCs w:val="20"/>
              </w:rPr>
              <w:t>mall stora</w:t>
            </w:r>
            <w:r>
              <w:rPr>
                <w:rFonts w:cs="Arial"/>
                <w:sz w:val="20"/>
                <w:szCs w:val="20"/>
              </w:rPr>
              <w:t>ge HP water heater EF = 3.50</w:t>
            </w:r>
            <w:r w:rsidRPr="00324368">
              <w:rPr>
                <w:rFonts w:cs="Arial"/>
                <w:sz w:val="20"/>
                <w:szCs w:val="20"/>
              </w:rPr>
              <w:t xml:space="preserve"> (UEF = TBD): Small storage electric gallon replacement (EF = 0.95)</w:t>
            </w:r>
          </w:p>
          <w:p w14:paraId="13A9E430" w14:textId="77777777" w:rsidR="00C131CB" w:rsidRPr="00241A1F" w:rsidRDefault="00C131CB" w:rsidP="00992548">
            <w:pPr>
              <w:rPr>
                <w:rFonts w:cs="Arial"/>
                <w:sz w:val="20"/>
                <w:szCs w:val="20"/>
              </w:rPr>
            </w:pPr>
          </w:p>
        </w:tc>
      </w:tr>
      <w:tr w:rsidR="00DB71F1" w14:paraId="73A52E35" w14:textId="77777777" w:rsidTr="00275E08">
        <w:trPr>
          <w:cantSplit/>
        </w:trPr>
        <w:tc>
          <w:tcPr>
            <w:tcW w:w="1653" w:type="dxa"/>
            <w:vAlign w:val="center"/>
          </w:tcPr>
          <w:p w14:paraId="6260B37E" w14:textId="77777777" w:rsidR="00DB71F1" w:rsidRPr="001D77F7" w:rsidRDefault="00DB71F1" w:rsidP="009B3354">
            <w:pPr>
              <w:rPr>
                <w:b/>
              </w:rPr>
            </w:pPr>
            <w:r w:rsidRPr="001D77F7">
              <w:rPr>
                <w:b/>
              </w:rPr>
              <w:t xml:space="preserve">1.2 Technical Description </w:t>
            </w:r>
          </w:p>
        </w:tc>
        <w:tc>
          <w:tcPr>
            <w:tcW w:w="7933" w:type="dxa"/>
          </w:tcPr>
          <w:p w14:paraId="423BC7DB" w14:textId="42D171F7" w:rsidR="00324368" w:rsidRPr="00324368" w:rsidRDefault="00324368" w:rsidP="00324368">
            <w:pPr>
              <w:rPr>
                <w:rFonts w:cs="Arial"/>
                <w:sz w:val="20"/>
                <w:szCs w:val="20"/>
              </w:rPr>
            </w:pPr>
            <w:r w:rsidRPr="00324368">
              <w:rPr>
                <w:rFonts w:cs="Arial"/>
                <w:sz w:val="20"/>
                <w:szCs w:val="20"/>
              </w:rPr>
              <w:t xml:space="preserve">Conventional electric-resistance water heaters usually consist of a glass-lined steel tank with foam insulation. Energy efficient units have a greater amount of insulation. Located at the base and top end of the tank are two electrical heating elements. Cold water enters the base of the tank and is heated by the lower electrical heating element. The water then rises to the top portion of the tank. This is where the hot water is drawn for consumption. During periods of high demand, the electrical heating element located at the top end of the tank can be turned on to provide additional water heating. </w:t>
            </w:r>
          </w:p>
          <w:p w14:paraId="0A6EF61A" w14:textId="77777777" w:rsidR="00324368" w:rsidRPr="00324368" w:rsidRDefault="00324368" w:rsidP="00324368">
            <w:pPr>
              <w:rPr>
                <w:rFonts w:cs="Arial"/>
                <w:sz w:val="20"/>
                <w:szCs w:val="20"/>
              </w:rPr>
            </w:pPr>
          </w:p>
          <w:p w14:paraId="5DE3F93E" w14:textId="77777777" w:rsidR="00324368" w:rsidRPr="00324368" w:rsidRDefault="00324368" w:rsidP="00324368">
            <w:pPr>
              <w:rPr>
                <w:rFonts w:cs="Arial"/>
                <w:sz w:val="20"/>
                <w:szCs w:val="20"/>
              </w:rPr>
            </w:pPr>
            <w:r w:rsidRPr="00324368">
              <w:rPr>
                <w:rFonts w:cs="Arial"/>
                <w:sz w:val="20"/>
                <w:szCs w:val="20"/>
              </w:rPr>
              <w:t xml:space="preserve">Heat pump water heaters heat water using a heat pump, allowing them to achieve much higher efficiency (energy factor), compared to electric-resistance water heaters. </w:t>
            </w:r>
            <w:proofErr w:type="gramStart"/>
            <w:r w:rsidRPr="00324368">
              <w:rPr>
                <w:rFonts w:cs="Arial"/>
                <w:sz w:val="20"/>
                <w:szCs w:val="20"/>
              </w:rPr>
              <w:t>Similar to</w:t>
            </w:r>
            <w:proofErr w:type="gramEnd"/>
            <w:r w:rsidRPr="00324368">
              <w:rPr>
                <w:rFonts w:cs="Arial"/>
                <w:sz w:val="20"/>
                <w:szCs w:val="20"/>
              </w:rPr>
              <w:t xml:space="preserve"> electric-resistance water heaters, most heat pump water heaters consist of a glass-lined steel tank with foam insulation. Heat pump water heaters are typically equipped with supplemental electric-resistance elements for periods of high demand. </w:t>
            </w:r>
          </w:p>
          <w:p w14:paraId="4D37E050" w14:textId="2A5317FE" w:rsidR="00DB71F1" w:rsidRPr="00241A1F" w:rsidRDefault="00DB71F1" w:rsidP="009F0CF0">
            <w:pPr>
              <w:rPr>
                <w:rFonts w:cs="Arial"/>
                <w:sz w:val="20"/>
                <w:szCs w:val="20"/>
              </w:rPr>
            </w:pPr>
          </w:p>
        </w:tc>
      </w:tr>
      <w:tr w:rsidR="008775D7" w:rsidRPr="008775D7" w14:paraId="41222E55" w14:textId="77777777" w:rsidTr="00275E08">
        <w:trPr>
          <w:cantSplit/>
        </w:trPr>
        <w:tc>
          <w:tcPr>
            <w:tcW w:w="1653" w:type="dxa"/>
          </w:tcPr>
          <w:p w14:paraId="22EA9C98" w14:textId="77777777" w:rsidR="008775D7" w:rsidRPr="00241A1F" w:rsidRDefault="008775D7" w:rsidP="00241A1F">
            <w:pPr>
              <w:jc w:val="right"/>
              <w:rPr>
                <w:sz w:val="20"/>
                <w:szCs w:val="20"/>
              </w:rPr>
            </w:pPr>
            <w:r w:rsidRPr="00241A1F">
              <w:rPr>
                <w:sz w:val="20"/>
                <w:szCs w:val="20"/>
              </w:rPr>
              <w:t>Measures</w:t>
            </w:r>
          </w:p>
        </w:tc>
        <w:tc>
          <w:tcPr>
            <w:tcW w:w="7933" w:type="dxa"/>
          </w:tcPr>
          <w:p w14:paraId="1D863815" w14:textId="77777777" w:rsidR="008775D7" w:rsidRPr="00E733C7" w:rsidRDefault="008D0B3C">
            <w:pPr>
              <w:rPr>
                <w:rFonts w:cs="Arial"/>
                <w:sz w:val="20"/>
                <w:szCs w:val="20"/>
              </w:rPr>
            </w:pPr>
            <w:r>
              <w:rPr>
                <w:rFonts w:cs="Arial"/>
                <w:sz w:val="20"/>
                <w:szCs w:val="20"/>
              </w:rPr>
              <w:t>See Requirements</w:t>
            </w:r>
          </w:p>
        </w:tc>
      </w:tr>
      <w:tr w:rsidR="008775D7" w:rsidRPr="008775D7" w14:paraId="230E8B42" w14:textId="77777777" w:rsidTr="00275E08">
        <w:trPr>
          <w:cantSplit/>
        </w:trPr>
        <w:tc>
          <w:tcPr>
            <w:tcW w:w="1653" w:type="dxa"/>
          </w:tcPr>
          <w:p w14:paraId="57584F44" w14:textId="77777777" w:rsidR="008775D7" w:rsidRPr="00653C4B" w:rsidRDefault="008775D7" w:rsidP="00241A1F">
            <w:pPr>
              <w:jc w:val="right"/>
              <w:rPr>
                <w:sz w:val="20"/>
                <w:szCs w:val="20"/>
              </w:rPr>
            </w:pPr>
            <w:r w:rsidRPr="00653C4B">
              <w:rPr>
                <w:sz w:val="20"/>
                <w:szCs w:val="20"/>
              </w:rPr>
              <w:lastRenderedPageBreak/>
              <w:t>Code for All Measures</w:t>
            </w:r>
          </w:p>
        </w:tc>
        <w:tc>
          <w:tcPr>
            <w:tcW w:w="7933" w:type="dxa"/>
          </w:tcPr>
          <w:p w14:paraId="6E0221BA" w14:textId="77777777" w:rsidR="005C1518" w:rsidRDefault="005C1518" w:rsidP="005C1518">
            <w:pPr>
              <w:jc w:val="both"/>
              <w:rPr>
                <w:rFonts w:cs="Arial"/>
                <w:sz w:val="20"/>
                <w:szCs w:val="20"/>
              </w:rPr>
            </w:pPr>
          </w:p>
          <w:p w14:paraId="185A3E96" w14:textId="77777777" w:rsidR="004F6E80" w:rsidRPr="004F6E80" w:rsidRDefault="004F6E80" w:rsidP="004F6E80">
            <w:pPr>
              <w:jc w:val="both"/>
              <w:rPr>
                <w:rFonts w:cs="Arial"/>
                <w:sz w:val="20"/>
                <w:szCs w:val="20"/>
              </w:rPr>
            </w:pPr>
            <w:r w:rsidRPr="004F6E80">
              <w:rPr>
                <w:rFonts w:cs="Arial"/>
                <w:sz w:val="20"/>
                <w:szCs w:val="20"/>
              </w:rPr>
              <w:t>The measures in this work paper are considered small water heaters. A small water heater can be defined as an ESWH with an input of 12 kW or less, or a HPWH rated at 24 amps or less.  The following codes apply to the measures in this work paper:</w:t>
            </w:r>
          </w:p>
          <w:p w14:paraId="591FBEFB" w14:textId="77777777" w:rsidR="004F6E80" w:rsidRPr="004F6E80" w:rsidRDefault="004F6E80" w:rsidP="004F6E80">
            <w:pPr>
              <w:jc w:val="both"/>
              <w:rPr>
                <w:rFonts w:cs="Arial"/>
                <w:sz w:val="20"/>
                <w:szCs w:val="20"/>
              </w:rPr>
            </w:pPr>
          </w:p>
          <w:p w14:paraId="31EE8FC2" w14:textId="77777777" w:rsidR="004F6E80" w:rsidRPr="004F6E80" w:rsidRDefault="004F6E80" w:rsidP="004F6E80">
            <w:pPr>
              <w:jc w:val="both"/>
              <w:rPr>
                <w:rFonts w:cs="Arial"/>
                <w:b/>
                <w:sz w:val="20"/>
                <w:szCs w:val="20"/>
              </w:rPr>
            </w:pPr>
            <w:r w:rsidRPr="004F6E80">
              <w:rPr>
                <w:rFonts w:cs="Arial"/>
                <w:b/>
                <w:sz w:val="20"/>
                <w:szCs w:val="20"/>
              </w:rPr>
              <w:t>Title 20 (2016) [508]</w:t>
            </w:r>
          </w:p>
          <w:p w14:paraId="280DC086" w14:textId="77777777" w:rsidR="004F6E80" w:rsidRPr="004F6E80" w:rsidRDefault="004F6E80" w:rsidP="004F6E80">
            <w:pPr>
              <w:jc w:val="both"/>
              <w:rPr>
                <w:rFonts w:cs="Arial"/>
                <w:sz w:val="20"/>
                <w:szCs w:val="20"/>
              </w:rPr>
            </w:pPr>
            <w:r w:rsidRPr="004F6E80">
              <w:rPr>
                <w:rFonts w:cs="Arial"/>
                <w:sz w:val="20"/>
                <w:szCs w:val="20"/>
              </w:rPr>
              <w:t>Section 1605.1(f)(2) provides minimum Energy Factor requirements for ESWHs and HPWHs</w:t>
            </w:r>
            <w:r w:rsidRPr="004F6E80">
              <w:rPr>
                <w:rFonts w:cs="Arial"/>
                <w:sz w:val="20"/>
                <w:szCs w:val="20"/>
              </w:rPr>
              <w:fldChar w:fldCharType="begin"/>
            </w:r>
            <w:r w:rsidRPr="004F6E80">
              <w:rPr>
                <w:rFonts w:cs="Arial"/>
                <w:sz w:val="20"/>
                <w:szCs w:val="20"/>
              </w:rPr>
              <w:instrText xml:space="preserve"> XE "Title 20" </w:instrText>
            </w:r>
            <w:r w:rsidRPr="004F6E80">
              <w:rPr>
                <w:rFonts w:cs="Arial"/>
                <w:sz w:val="20"/>
                <w:szCs w:val="20"/>
              </w:rPr>
              <w:fldChar w:fldCharType="end"/>
            </w:r>
            <w:r w:rsidRPr="004F6E80">
              <w:rPr>
                <w:rFonts w:cs="Arial"/>
                <w:sz w:val="20"/>
                <w:szCs w:val="20"/>
              </w:rPr>
              <w:t>:</w:t>
            </w:r>
          </w:p>
          <w:p w14:paraId="329F8D40" w14:textId="77777777" w:rsidR="004F6E80" w:rsidRPr="004F6E80" w:rsidRDefault="004F6E80" w:rsidP="004F6E80">
            <w:pPr>
              <w:jc w:val="both"/>
              <w:rPr>
                <w:rFonts w:cs="Arial"/>
                <w:sz w:val="20"/>
                <w:szCs w:val="20"/>
              </w:rPr>
            </w:pPr>
          </w:p>
          <w:tbl>
            <w:tblPr>
              <w:tblW w:w="0" w:type="auto"/>
              <w:tblLook w:val="04A0" w:firstRow="1" w:lastRow="0" w:firstColumn="1" w:lastColumn="0" w:noHBand="0" w:noVBand="1"/>
            </w:tblPr>
            <w:tblGrid>
              <w:gridCol w:w="8396"/>
            </w:tblGrid>
            <w:tr w:rsidR="004F6E80" w:rsidRPr="004F6E80" w14:paraId="6EE7722B" w14:textId="77777777" w:rsidTr="004F6E80">
              <w:tc>
                <w:tcPr>
                  <w:tcW w:w="9576" w:type="dxa"/>
                  <w:tcBorders>
                    <w:top w:val="single" w:sz="4" w:space="0" w:color="auto"/>
                    <w:left w:val="single" w:sz="4" w:space="0" w:color="auto"/>
                    <w:bottom w:val="single" w:sz="4" w:space="0" w:color="auto"/>
                    <w:right w:val="single" w:sz="4" w:space="0" w:color="auto"/>
                  </w:tcBorders>
                  <w:hideMark/>
                </w:tcPr>
                <w:p w14:paraId="2DFAAF69" w14:textId="102884AF" w:rsidR="004F6E80" w:rsidRPr="004F6E80" w:rsidRDefault="004F6E80" w:rsidP="004F6E80">
                  <w:pPr>
                    <w:jc w:val="both"/>
                    <w:rPr>
                      <w:rFonts w:cs="Arial"/>
                      <w:b/>
                      <w:i/>
                      <w:sz w:val="20"/>
                      <w:szCs w:val="20"/>
                    </w:rPr>
                  </w:pPr>
                  <w:r w:rsidRPr="004F6E80">
                    <w:rPr>
                      <w:rFonts w:cs="Arial"/>
                      <w:noProof/>
                      <w:sz w:val="20"/>
                      <w:szCs w:val="20"/>
                    </w:rPr>
                    <w:drawing>
                      <wp:inline distT="0" distB="0" distL="0" distR="0" wp14:anchorId="34AB9743" wp14:editId="26872A90">
                        <wp:extent cx="4849586" cy="452835"/>
                        <wp:effectExtent l="0" t="0" r="825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30092" cy="460352"/>
                                </a:xfrm>
                                <a:prstGeom prst="rect">
                                  <a:avLst/>
                                </a:prstGeom>
                                <a:noFill/>
                                <a:ln>
                                  <a:noFill/>
                                </a:ln>
                              </pic:spPr>
                            </pic:pic>
                          </a:graphicData>
                        </a:graphic>
                      </wp:inline>
                    </w:drawing>
                  </w:r>
                </w:p>
                <w:p w14:paraId="05281CD9" w14:textId="5974B50D" w:rsidR="004F6E80" w:rsidRPr="004F6E80" w:rsidRDefault="004F6E80" w:rsidP="004F6E80">
                  <w:pPr>
                    <w:jc w:val="both"/>
                    <w:rPr>
                      <w:rFonts w:cs="Arial"/>
                      <w:b/>
                      <w:i/>
                      <w:sz w:val="20"/>
                      <w:szCs w:val="20"/>
                    </w:rPr>
                  </w:pPr>
                  <w:r w:rsidRPr="004F6E80">
                    <w:rPr>
                      <w:rFonts w:cs="Arial"/>
                      <w:sz w:val="20"/>
                      <w:szCs w:val="20"/>
                    </w:rPr>
                    <w:t xml:space="preserve"> </w:t>
                  </w:r>
                  <w:r w:rsidRPr="004F6E80">
                    <w:rPr>
                      <w:rFonts w:cs="Arial"/>
                      <w:noProof/>
                      <w:sz w:val="20"/>
                      <w:szCs w:val="20"/>
                    </w:rPr>
                    <w:drawing>
                      <wp:inline distT="0" distB="0" distL="0" distR="0" wp14:anchorId="35D6BC08" wp14:editId="3BCE9722">
                        <wp:extent cx="4875466" cy="229126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86582" cy="2296485"/>
                                </a:xfrm>
                                <a:prstGeom prst="rect">
                                  <a:avLst/>
                                </a:prstGeom>
                                <a:noFill/>
                                <a:ln>
                                  <a:noFill/>
                                </a:ln>
                              </pic:spPr>
                            </pic:pic>
                          </a:graphicData>
                        </a:graphic>
                      </wp:inline>
                    </w:drawing>
                  </w:r>
                </w:p>
              </w:tc>
            </w:tr>
          </w:tbl>
          <w:p w14:paraId="4013C472" w14:textId="77777777" w:rsidR="004F6E80" w:rsidRPr="004F6E80" w:rsidRDefault="004F6E80" w:rsidP="004F6E80">
            <w:pPr>
              <w:jc w:val="both"/>
              <w:rPr>
                <w:rFonts w:cs="Arial"/>
                <w:sz w:val="20"/>
                <w:szCs w:val="20"/>
              </w:rPr>
            </w:pPr>
          </w:p>
          <w:p w14:paraId="516427BF" w14:textId="77777777" w:rsidR="004F6E80" w:rsidRPr="004F6E80" w:rsidRDefault="004F6E80" w:rsidP="004F6E80">
            <w:pPr>
              <w:jc w:val="both"/>
              <w:rPr>
                <w:rFonts w:cs="Arial"/>
                <w:b/>
                <w:sz w:val="20"/>
                <w:szCs w:val="20"/>
              </w:rPr>
            </w:pPr>
            <w:r w:rsidRPr="004F6E80">
              <w:rPr>
                <w:rFonts w:cs="Arial"/>
                <w:b/>
                <w:sz w:val="20"/>
                <w:szCs w:val="20"/>
              </w:rPr>
              <w:t>Title 24 (2016) [496]</w:t>
            </w:r>
          </w:p>
          <w:p w14:paraId="0A55BE87" w14:textId="77777777" w:rsidR="004F6E80" w:rsidRPr="004F6E80" w:rsidRDefault="004F6E80" w:rsidP="004F6E80">
            <w:pPr>
              <w:jc w:val="both"/>
              <w:rPr>
                <w:rFonts w:cs="Arial"/>
                <w:sz w:val="20"/>
                <w:szCs w:val="20"/>
              </w:rPr>
            </w:pPr>
            <w:r w:rsidRPr="004F6E80">
              <w:rPr>
                <w:rFonts w:cs="Arial"/>
                <w:sz w:val="20"/>
                <w:szCs w:val="20"/>
              </w:rPr>
              <w:t>Section 110.1 references the requirements set in Title 20.</w:t>
            </w:r>
          </w:p>
          <w:p w14:paraId="167B095A" w14:textId="77777777" w:rsidR="004F6E80" w:rsidRPr="004F6E80" w:rsidRDefault="004F6E80" w:rsidP="004F6E80">
            <w:pPr>
              <w:jc w:val="both"/>
              <w:rPr>
                <w:rFonts w:cs="Arial"/>
                <w:sz w:val="20"/>
                <w:szCs w:val="20"/>
              </w:rPr>
            </w:pPr>
          </w:p>
          <w:p w14:paraId="0922800A" w14:textId="77777777" w:rsidR="004F6E80" w:rsidRPr="004F6E80" w:rsidRDefault="004F6E80" w:rsidP="004F6E80">
            <w:pPr>
              <w:jc w:val="both"/>
              <w:rPr>
                <w:rFonts w:cs="Arial"/>
                <w:sz w:val="20"/>
                <w:szCs w:val="20"/>
              </w:rPr>
            </w:pPr>
            <w:r w:rsidRPr="004F6E80">
              <w:rPr>
                <w:rFonts w:cs="Arial"/>
                <w:b/>
                <w:sz w:val="20"/>
                <w:szCs w:val="20"/>
              </w:rPr>
              <w:t>Federal Standards – Code of Federal Regulations [393]</w:t>
            </w:r>
          </w:p>
          <w:p w14:paraId="0B96B7E8" w14:textId="77777777" w:rsidR="004F6E80" w:rsidRPr="004F6E80" w:rsidRDefault="004F6E80" w:rsidP="004F6E80">
            <w:pPr>
              <w:jc w:val="both"/>
              <w:rPr>
                <w:rFonts w:cs="Arial"/>
                <w:sz w:val="20"/>
                <w:szCs w:val="20"/>
              </w:rPr>
            </w:pPr>
            <w:r w:rsidRPr="004F6E80">
              <w:rPr>
                <w:rFonts w:cs="Arial"/>
                <w:sz w:val="20"/>
                <w:szCs w:val="20"/>
              </w:rPr>
              <w:t>The Code of Federal Regulations, 10 CFR 430.32(d) provides requirements for ESWHs but not HPWHs. Title 20 follows the federal code.</w:t>
            </w:r>
          </w:p>
          <w:p w14:paraId="301A0291" w14:textId="77777777" w:rsidR="004F6E80" w:rsidRPr="004F6E80" w:rsidRDefault="004F6E80" w:rsidP="004F6E80">
            <w:pPr>
              <w:jc w:val="both"/>
              <w:rPr>
                <w:rFonts w:cs="Arial"/>
                <w:sz w:val="20"/>
                <w:szCs w:val="20"/>
              </w:rPr>
            </w:pPr>
          </w:p>
          <w:p w14:paraId="70E152DC" w14:textId="4663FCB3" w:rsidR="004F6E80" w:rsidRPr="004F6E80" w:rsidRDefault="004F6E80" w:rsidP="004F6E80">
            <w:pPr>
              <w:jc w:val="both"/>
              <w:rPr>
                <w:rFonts w:cs="Arial"/>
                <w:sz w:val="20"/>
                <w:szCs w:val="20"/>
              </w:rPr>
            </w:pPr>
            <w:r w:rsidRPr="004F6E80">
              <w:rPr>
                <w:rFonts w:cs="Arial"/>
                <w:noProof/>
                <w:sz w:val="20"/>
                <w:szCs w:val="20"/>
              </w:rPr>
              <w:drawing>
                <wp:inline distT="0" distB="0" distL="0" distR="0" wp14:anchorId="09F85ED1" wp14:editId="774CFF98">
                  <wp:extent cx="4925388" cy="2650490"/>
                  <wp:effectExtent l="19050" t="19050" r="27940" b="165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25388" cy="2650490"/>
                          </a:xfrm>
                          <a:prstGeom prst="rect">
                            <a:avLst/>
                          </a:prstGeom>
                          <a:noFill/>
                          <a:ln w="9525" cmpd="sng">
                            <a:solidFill>
                              <a:srgbClr val="000000"/>
                            </a:solidFill>
                            <a:miter lim="800000"/>
                            <a:headEnd/>
                            <a:tailEnd/>
                          </a:ln>
                          <a:effectLst/>
                        </pic:spPr>
                      </pic:pic>
                    </a:graphicData>
                  </a:graphic>
                </wp:inline>
              </w:drawing>
            </w:r>
          </w:p>
          <w:p w14:paraId="0F34A821" w14:textId="77777777" w:rsidR="004F6E80" w:rsidRPr="004F6E80" w:rsidRDefault="004F6E80" w:rsidP="004F6E80">
            <w:pPr>
              <w:jc w:val="both"/>
              <w:rPr>
                <w:rFonts w:cs="Arial"/>
                <w:sz w:val="20"/>
                <w:szCs w:val="20"/>
              </w:rPr>
            </w:pPr>
          </w:p>
          <w:p w14:paraId="7222A42C" w14:textId="77777777" w:rsidR="004F6E80" w:rsidRPr="004F6E80" w:rsidRDefault="004F6E80" w:rsidP="004F6E80">
            <w:pPr>
              <w:jc w:val="both"/>
              <w:rPr>
                <w:rFonts w:cs="Arial"/>
                <w:sz w:val="20"/>
                <w:szCs w:val="20"/>
              </w:rPr>
            </w:pPr>
            <w:r w:rsidRPr="004F6E80">
              <w:rPr>
                <w:rFonts w:cs="Arial"/>
                <w:sz w:val="20"/>
                <w:szCs w:val="20"/>
              </w:rPr>
              <w:lastRenderedPageBreak/>
              <w:t>Note: Beginning June 12</w:t>
            </w:r>
            <w:r w:rsidRPr="004F6E80">
              <w:rPr>
                <w:rFonts w:cs="Arial"/>
                <w:sz w:val="20"/>
                <w:szCs w:val="20"/>
                <w:vertAlign w:val="superscript"/>
              </w:rPr>
              <w:t>th</w:t>
            </w:r>
            <w:r w:rsidRPr="004F6E80">
              <w:rPr>
                <w:rFonts w:cs="Arial"/>
                <w:sz w:val="20"/>
                <w:szCs w:val="20"/>
              </w:rPr>
              <w:t>, 2017, EF ratings were replaced with the new industry standard for measuring energy efficiency in water heaters, known as the Uniform Energy Factor (UEF). However, Title 20, The Code of Federal Regulations, and DEER 2017 are still using EF and have not been updated yet. Energy Star currently has certification requirements for either EF or UEF. This work paper and the associated solution codes will continue to use EF until code switches to UEF.</w:t>
            </w:r>
          </w:p>
          <w:p w14:paraId="36010FF1" w14:textId="77777777" w:rsidR="004F6E80" w:rsidRPr="004F6E80" w:rsidRDefault="004F6E80" w:rsidP="004F6E80">
            <w:pPr>
              <w:jc w:val="both"/>
              <w:rPr>
                <w:rFonts w:cs="Arial"/>
                <w:i/>
                <w:sz w:val="20"/>
                <w:szCs w:val="20"/>
              </w:rPr>
            </w:pPr>
            <w:r w:rsidRPr="004F6E80">
              <w:rPr>
                <w:rFonts w:cs="Arial"/>
                <w:sz w:val="20"/>
                <w:szCs w:val="20"/>
              </w:rPr>
              <w:tab/>
            </w:r>
          </w:p>
          <w:p w14:paraId="61CD5003" w14:textId="77777777" w:rsidR="004F6E80" w:rsidRPr="004F6E80" w:rsidRDefault="004F6E80" w:rsidP="004F6E80">
            <w:pPr>
              <w:jc w:val="both"/>
              <w:rPr>
                <w:rFonts w:cs="Arial"/>
                <w:b/>
                <w:bCs/>
                <w:sz w:val="20"/>
                <w:szCs w:val="20"/>
              </w:rPr>
            </w:pPr>
            <w:r w:rsidRPr="004F6E80">
              <w:rPr>
                <w:rFonts w:cs="Arial"/>
                <w:b/>
                <w:bCs/>
                <w:sz w:val="20"/>
                <w:szCs w:val="20"/>
              </w:rPr>
              <w:t>Code Summary</w:t>
            </w:r>
          </w:p>
          <w:tbl>
            <w:tblPr>
              <w:tblW w:w="7829" w:type="dxa"/>
              <w:tblLook w:val="04A0" w:firstRow="1" w:lastRow="0" w:firstColumn="1" w:lastColumn="0" w:noHBand="0" w:noVBand="1"/>
            </w:tblPr>
            <w:tblGrid>
              <w:gridCol w:w="1808"/>
              <w:gridCol w:w="4245"/>
              <w:gridCol w:w="1776"/>
            </w:tblGrid>
            <w:tr w:rsidR="004F6E80" w:rsidRPr="004F6E80" w14:paraId="602E4473" w14:textId="77777777" w:rsidTr="004F6E80">
              <w:trPr>
                <w:trHeight w:val="220"/>
              </w:trPr>
              <w:tc>
                <w:tcPr>
                  <w:tcW w:w="180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837D86" w14:textId="77777777" w:rsidR="004F6E80" w:rsidRPr="004F6E80" w:rsidRDefault="004F6E80" w:rsidP="004F6E80">
                  <w:pPr>
                    <w:jc w:val="both"/>
                    <w:rPr>
                      <w:rFonts w:cs="Arial"/>
                      <w:b/>
                      <w:sz w:val="20"/>
                      <w:szCs w:val="20"/>
                    </w:rPr>
                  </w:pPr>
                  <w:r w:rsidRPr="004F6E80">
                    <w:rPr>
                      <w:rFonts w:cs="Arial"/>
                      <w:b/>
                      <w:sz w:val="20"/>
                      <w:szCs w:val="20"/>
                    </w:rPr>
                    <w:t>Code</w:t>
                  </w:r>
                </w:p>
              </w:tc>
              <w:tc>
                <w:tcPr>
                  <w:tcW w:w="4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734FDF" w14:textId="77777777" w:rsidR="004F6E80" w:rsidRPr="004F6E80" w:rsidRDefault="004F6E80" w:rsidP="004F6E80">
                  <w:pPr>
                    <w:jc w:val="both"/>
                    <w:rPr>
                      <w:rFonts w:cs="Arial"/>
                      <w:b/>
                      <w:sz w:val="20"/>
                      <w:szCs w:val="20"/>
                    </w:rPr>
                  </w:pPr>
                  <w:r w:rsidRPr="004F6E80">
                    <w:rPr>
                      <w:rFonts w:cs="Arial"/>
                      <w:b/>
                      <w:sz w:val="20"/>
                      <w:szCs w:val="20"/>
                    </w:rPr>
                    <w:t>Applicable Code Reference</w:t>
                  </w:r>
                </w:p>
              </w:tc>
              <w:tc>
                <w:tcPr>
                  <w:tcW w:w="17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1CC282F" w14:textId="77777777" w:rsidR="004F6E80" w:rsidRPr="004F6E80" w:rsidRDefault="004F6E80" w:rsidP="004F6E80">
                  <w:pPr>
                    <w:jc w:val="both"/>
                    <w:rPr>
                      <w:rFonts w:cs="Arial"/>
                      <w:b/>
                      <w:sz w:val="20"/>
                      <w:szCs w:val="20"/>
                    </w:rPr>
                  </w:pPr>
                  <w:r w:rsidRPr="004F6E80">
                    <w:rPr>
                      <w:rFonts w:cs="Arial"/>
                      <w:b/>
                      <w:sz w:val="20"/>
                      <w:szCs w:val="20"/>
                    </w:rPr>
                    <w:t>Effective Dates</w:t>
                  </w:r>
                </w:p>
              </w:tc>
            </w:tr>
            <w:tr w:rsidR="004F6E80" w:rsidRPr="004F6E80" w14:paraId="5B07147A" w14:textId="77777777" w:rsidTr="004F6E80">
              <w:trPr>
                <w:trHeight w:val="215"/>
              </w:trPr>
              <w:tc>
                <w:tcPr>
                  <w:tcW w:w="1808" w:type="dxa"/>
                  <w:tcBorders>
                    <w:top w:val="single" w:sz="4" w:space="0" w:color="auto"/>
                    <w:left w:val="single" w:sz="4" w:space="0" w:color="auto"/>
                    <w:bottom w:val="single" w:sz="4" w:space="0" w:color="auto"/>
                    <w:right w:val="single" w:sz="4" w:space="0" w:color="auto"/>
                  </w:tcBorders>
                  <w:hideMark/>
                </w:tcPr>
                <w:p w14:paraId="6A04E483" w14:textId="77777777" w:rsidR="004F6E80" w:rsidRPr="004F6E80" w:rsidRDefault="004F6E80" w:rsidP="004F6E80">
                  <w:pPr>
                    <w:jc w:val="both"/>
                    <w:rPr>
                      <w:rFonts w:cs="Arial"/>
                      <w:sz w:val="20"/>
                      <w:szCs w:val="20"/>
                    </w:rPr>
                  </w:pPr>
                  <w:r w:rsidRPr="004F6E80">
                    <w:rPr>
                      <w:rFonts w:cs="Arial"/>
                      <w:sz w:val="20"/>
                      <w:szCs w:val="20"/>
                    </w:rPr>
                    <w:t>Title 24 (2016)</w:t>
                  </w:r>
                </w:p>
              </w:tc>
              <w:tc>
                <w:tcPr>
                  <w:tcW w:w="4245" w:type="dxa"/>
                  <w:tcBorders>
                    <w:top w:val="single" w:sz="4" w:space="0" w:color="auto"/>
                    <w:left w:val="single" w:sz="4" w:space="0" w:color="auto"/>
                    <w:bottom w:val="single" w:sz="4" w:space="0" w:color="auto"/>
                    <w:right w:val="single" w:sz="4" w:space="0" w:color="auto"/>
                  </w:tcBorders>
                  <w:hideMark/>
                </w:tcPr>
                <w:p w14:paraId="58BF75A4" w14:textId="77777777" w:rsidR="004F6E80" w:rsidRPr="004F6E80" w:rsidRDefault="004F6E80" w:rsidP="004F6E80">
                  <w:pPr>
                    <w:jc w:val="both"/>
                    <w:rPr>
                      <w:rFonts w:cs="Arial"/>
                      <w:sz w:val="20"/>
                      <w:szCs w:val="20"/>
                    </w:rPr>
                  </w:pPr>
                  <w:r w:rsidRPr="004F6E80">
                    <w:rPr>
                      <w:rFonts w:cs="Arial"/>
                      <w:sz w:val="20"/>
                      <w:szCs w:val="20"/>
                    </w:rPr>
                    <w:t>Section 110.1 Mandatory Requirements for Appliances</w:t>
                  </w:r>
                </w:p>
              </w:tc>
              <w:tc>
                <w:tcPr>
                  <w:tcW w:w="1776" w:type="dxa"/>
                  <w:tcBorders>
                    <w:top w:val="single" w:sz="4" w:space="0" w:color="auto"/>
                    <w:left w:val="single" w:sz="4" w:space="0" w:color="auto"/>
                    <w:bottom w:val="single" w:sz="4" w:space="0" w:color="auto"/>
                    <w:right w:val="single" w:sz="4" w:space="0" w:color="auto"/>
                  </w:tcBorders>
                  <w:hideMark/>
                </w:tcPr>
                <w:p w14:paraId="4410FEAD" w14:textId="77777777" w:rsidR="004F6E80" w:rsidRPr="004F6E80" w:rsidRDefault="004F6E80" w:rsidP="004F6E80">
                  <w:pPr>
                    <w:jc w:val="both"/>
                    <w:rPr>
                      <w:rFonts w:cs="Arial"/>
                      <w:sz w:val="20"/>
                      <w:szCs w:val="20"/>
                    </w:rPr>
                  </w:pPr>
                  <w:r w:rsidRPr="004F6E80">
                    <w:rPr>
                      <w:rFonts w:cs="Arial"/>
                      <w:sz w:val="20"/>
                      <w:szCs w:val="20"/>
                    </w:rPr>
                    <w:t>January 1, 2017</w:t>
                  </w:r>
                </w:p>
              </w:tc>
            </w:tr>
            <w:tr w:rsidR="004F6E80" w:rsidRPr="004F6E80" w14:paraId="6687F8C2" w14:textId="77777777" w:rsidTr="004F6E80">
              <w:trPr>
                <w:trHeight w:val="215"/>
              </w:trPr>
              <w:tc>
                <w:tcPr>
                  <w:tcW w:w="1808" w:type="dxa"/>
                  <w:tcBorders>
                    <w:top w:val="single" w:sz="4" w:space="0" w:color="auto"/>
                    <w:left w:val="single" w:sz="4" w:space="0" w:color="auto"/>
                    <w:bottom w:val="single" w:sz="4" w:space="0" w:color="auto"/>
                    <w:right w:val="single" w:sz="4" w:space="0" w:color="auto"/>
                  </w:tcBorders>
                  <w:hideMark/>
                </w:tcPr>
                <w:p w14:paraId="39A98029" w14:textId="77777777" w:rsidR="004F6E80" w:rsidRPr="004F6E80" w:rsidRDefault="004F6E80" w:rsidP="004F6E80">
                  <w:pPr>
                    <w:jc w:val="both"/>
                    <w:rPr>
                      <w:rFonts w:cs="Arial"/>
                      <w:sz w:val="20"/>
                      <w:szCs w:val="20"/>
                    </w:rPr>
                  </w:pPr>
                  <w:r w:rsidRPr="004F6E80">
                    <w:rPr>
                      <w:rFonts w:cs="Arial"/>
                      <w:sz w:val="20"/>
                      <w:szCs w:val="20"/>
                    </w:rPr>
                    <w:t>Title 20 (2016)</w:t>
                  </w:r>
                </w:p>
              </w:tc>
              <w:tc>
                <w:tcPr>
                  <w:tcW w:w="4245" w:type="dxa"/>
                  <w:tcBorders>
                    <w:top w:val="single" w:sz="4" w:space="0" w:color="auto"/>
                    <w:left w:val="single" w:sz="4" w:space="0" w:color="auto"/>
                    <w:bottom w:val="single" w:sz="4" w:space="0" w:color="auto"/>
                    <w:right w:val="single" w:sz="4" w:space="0" w:color="auto"/>
                  </w:tcBorders>
                  <w:hideMark/>
                </w:tcPr>
                <w:p w14:paraId="36A677B1" w14:textId="77777777" w:rsidR="004F6E80" w:rsidRPr="004F6E80" w:rsidRDefault="004F6E80" w:rsidP="004F6E80">
                  <w:pPr>
                    <w:jc w:val="both"/>
                    <w:rPr>
                      <w:rFonts w:cs="Arial"/>
                      <w:sz w:val="20"/>
                      <w:szCs w:val="20"/>
                    </w:rPr>
                  </w:pPr>
                  <w:r w:rsidRPr="004F6E80">
                    <w:rPr>
                      <w:rFonts w:cs="Arial"/>
                      <w:sz w:val="20"/>
                      <w:szCs w:val="20"/>
                    </w:rPr>
                    <w:t>Section 1605.1(f)(2)</w:t>
                  </w:r>
                </w:p>
              </w:tc>
              <w:tc>
                <w:tcPr>
                  <w:tcW w:w="1776" w:type="dxa"/>
                  <w:tcBorders>
                    <w:top w:val="single" w:sz="4" w:space="0" w:color="auto"/>
                    <w:left w:val="single" w:sz="4" w:space="0" w:color="auto"/>
                    <w:bottom w:val="single" w:sz="4" w:space="0" w:color="auto"/>
                    <w:right w:val="single" w:sz="4" w:space="0" w:color="auto"/>
                  </w:tcBorders>
                  <w:hideMark/>
                </w:tcPr>
                <w:p w14:paraId="2B4A9020" w14:textId="77777777" w:rsidR="004F6E80" w:rsidRPr="004F6E80" w:rsidRDefault="004F6E80" w:rsidP="004F6E80">
                  <w:pPr>
                    <w:jc w:val="both"/>
                    <w:rPr>
                      <w:rFonts w:cs="Arial"/>
                      <w:sz w:val="20"/>
                      <w:szCs w:val="20"/>
                    </w:rPr>
                  </w:pPr>
                  <w:r w:rsidRPr="004F6E80">
                    <w:rPr>
                      <w:rFonts w:cs="Arial"/>
                      <w:sz w:val="20"/>
                      <w:szCs w:val="20"/>
                    </w:rPr>
                    <w:t>January 1, 2017</w:t>
                  </w:r>
                </w:p>
              </w:tc>
            </w:tr>
            <w:tr w:rsidR="004F6E80" w:rsidRPr="004F6E80" w14:paraId="3F1B9A16" w14:textId="77777777" w:rsidTr="004F6E80">
              <w:trPr>
                <w:trHeight w:val="215"/>
              </w:trPr>
              <w:tc>
                <w:tcPr>
                  <w:tcW w:w="1808" w:type="dxa"/>
                  <w:tcBorders>
                    <w:top w:val="single" w:sz="4" w:space="0" w:color="auto"/>
                    <w:left w:val="single" w:sz="4" w:space="0" w:color="auto"/>
                    <w:bottom w:val="single" w:sz="4" w:space="0" w:color="auto"/>
                    <w:right w:val="single" w:sz="4" w:space="0" w:color="auto"/>
                  </w:tcBorders>
                  <w:hideMark/>
                </w:tcPr>
                <w:p w14:paraId="095F2237" w14:textId="77777777" w:rsidR="004F6E80" w:rsidRPr="004F6E80" w:rsidRDefault="004F6E80" w:rsidP="004F6E80">
                  <w:pPr>
                    <w:jc w:val="both"/>
                    <w:rPr>
                      <w:rFonts w:cs="Arial"/>
                      <w:sz w:val="20"/>
                      <w:szCs w:val="20"/>
                    </w:rPr>
                  </w:pPr>
                  <w:r w:rsidRPr="004F6E80">
                    <w:rPr>
                      <w:rFonts w:cs="Arial"/>
                      <w:sz w:val="20"/>
                      <w:szCs w:val="20"/>
                    </w:rPr>
                    <w:t>Code of Federal Regulations</w:t>
                  </w:r>
                </w:p>
              </w:tc>
              <w:tc>
                <w:tcPr>
                  <w:tcW w:w="4245" w:type="dxa"/>
                  <w:tcBorders>
                    <w:top w:val="single" w:sz="4" w:space="0" w:color="auto"/>
                    <w:left w:val="single" w:sz="4" w:space="0" w:color="auto"/>
                    <w:bottom w:val="single" w:sz="4" w:space="0" w:color="auto"/>
                    <w:right w:val="single" w:sz="4" w:space="0" w:color="auto"/>
                  </w:tcBorders>
                  <w:hideMark/>
                </w:tcPr>
                <w:p w14:paraId="21B05580" w14:textId="77777777" w:rsidR="004F6E80" w:rsidRPr="004F6E80" w:rsidRDefault="004F6E80" w:rsidP="004F6E80">
                  <w:pPr>
                    <w:jc w:val="both"/>
                    <w:rPr>
                      <w:rFonts w:cs="Arial"/>
                      <w:sz w:val="20"/>
                      <w:szCs w:val="20"/>
                    </w:rPr>
                  </w:pPr>
                  <w:r w:rsidRPr="004F6E80">
                    <w:rPr>
                      <w:rFonts w:cs="Arial"/>
                      <w:sz w:val="20"/>
                      <w:szCs w:val="20"/>
                    </w:rPr>
                    <w:t>10 CFR 430.32(d)</w:t>
                  </w:r>
                </w:p>
              </w:tc>
              <w:tc>
                <w:tcPr>
                  <w:tcW w:w="1776" w:type="dxa"/>
                  <w:tcBorders>
                    <w:top w:val="single" w:sz="4" w:space="0" w:color="auto"/>
                    <w:left w:val="single" w:sz="4" w:space="0" w:color="auto"/>
                    <w:bottom w:val="single" w:sz="4" w:space="0" w:color="auto"/>
                    <w:right w:val="single" w:sz="4" w:space="0" w:color="auto"/>
                  </w:tcBorders>
                  <w:hideMark/>
                </w:tcPr>
                <w:p w14:paraId="04CCC7DA" w14:textId="77777777" w:rsidR="004F6E80" w:rsidRPr="004F6E80" w:rsidRDefault="004F6E80" w:rsidP="004F6E80">
                  <w:pPr>
                    <w:jc w:val="both"/>
                    <w:rPr>
                      <w:rFonts w:cs="Arial"/>
                      <w:sz w:val="20"/>
                      <w:szCs w:val="20"/>
                    </w:rPr>
                  </w:pPr>
                  <w:r w:rsidRPr="004F6E80">
                    <w:rPr>
                      <w:rFonts w:cs="Arial"/>
                      <w:sz w:val="20"/>
                      <w:szCs w:val="20"/>
                    </w:rPr>
                    <w:t>April 16, 2015</w:t>
                  </w:r>
                </w:p>
              </w:tc>
            </w:tr>
          </w:tbl>
          <w:p w14:paraId="62D4C146" w14:textId="77777777" w:rsidR="009554D7" w:rsidRDefault="009554D7" w:rsidP="005C1518">
            <w:pPr>
              <w:jc w:val="both"/>
              <w:rPr>
                <w:rFonts w:cs="Arial"/>
                <w:sz w:val="20"/>
                <w:szCs w:val="20"/>
              </w:rPr>
            </w:pPr>
          </w:p>
          <w:p w14:paraId="17077911" w14:textId="77777777" w:rsidR="009554D7" w:rsidRDefault="009554D7" w:rsidP="005C1518">
            <w:pPr>
              <w:jc w:val="both"/>
              <w:rPr>
                <w:rFonts w:cs="Arial"/>
                <w:sz w:val="20"/>
                <w:szCs w:val="20"/>
              </w:rPr>
            </w:pPr>
          </w:p>
          <w:p w14:paraId="14BC4477" w14:textId="77777777" w:rsidR="009554D7" w:rsidRDefault="009554D7" w:rsidP="005C1518">
            <w:pPr>
              <w:jc w:val="both"/>
              <w:rPr>
                <w:rFonts w:cs="Arial"/>
                <w:sz w:val="20"/>
                <w:szCs w:val="20"/>
              </w:rPr>
            </w:pPr>
          </w:p>
          <w:p w14:paraId="159B410E" w14:textId="77777777" w:rsidR="009554D7" w:rsidRDefault="009554D7" w:rsidP="005C1518">
            <w:pPr>
              <w:jc w:val="both"/>
              <w:rPr>
                <w:rFonts w:cs="Arial"/>
                <w:sz w:val="20"/>
                <w:szCs w:val="20"/>
              </w:rPr>
            </w:pPr>
          </w:p>
          <w:p w14:paraId="001B75EE" w14:textId="77777777" w:rsidR="009554D7" w:rsidRDefault="009554D7" w:rsidP="005C1518">
            <w:pPr>
              <w:jc w:val="both"/>
              <w:rPr>
                <w:rFonts w:cs="Arial"/>
                <w:sz w:val="20"/>
                <w:szCs w:val="20"/>
              </w:rPr>
            </w:pPr>
          </w:p>
          <w:p w14:paraId="3887D5A5" w14:textId="77777777" w:rsidR="009554D7" w:rsidRDefault="009554D7" w:rsidP="005C1518">
            <w:pPr>
              <w:jc w:val="both"/>
              <w:rPr>
                <w:rFonts w:cs="Arial"/>
                <w:sz w:val="20"/>
                <w:szCs w:val="20"/>
              </w:rPr>
            </w:pPr>
          </w:p>
          <w:p w14:paraId="4E1BFEE6" w14:textId="77777777" w:rsidR="009554D7" w:rsidRPr="00653C4B" w:rsidRDefault="009554D7" w:rsidP="005C1518">
            <w:pPr>
              <w:jc w:val="both"/>
              <w:rPr>
                <w:rFonts w:cs="Arial"/>
                <w:sz w:val="20"/>
                <w:szCs w:val="20"/>
              </w:rPr>
            </w:pPr>
          </w:p>
        </w:tc>
      </w:tr>
      <w:tr w:rsidR="00E84938" w14:paraId="156722D1" w14:textId="77777777" w:rsidTr="00275E08">
        <w:trPr>
          <w:cantSplit/>
        </w:trPr>
        <w:tc>
          <w:tcPr>
            <w:tcW w:w="1653" w:type="dxa"/>
          </w:tcPr>
          <w:p w14:paraId="00012451" w14:textId="77777777" w:rsidR="00E84938" w:rsidRPr="001D77F7" w:rsidRDefault="00E84938" w:rsidP="008724D6">
            <w:pPr>
              <w:jc w:val="right"/>
              <w:rPr>
                <w:b/>
              </w:rPr>
            </w:pPr>
            <w:r w:rsidRPr="00197677">
              <w:rPr>
                <w:rFonts w:cs="Arial"/>
                <w:sz w:val="20"/>
                <w:szCs w:val="20"/>
              </w:rPr>
              <w:lastRenderedPageBreak/>
              <w:t>Requirements</w:t>
            </w:r>
          </w:p>
        </w:tc>
        <w:tc>
          <w:tcPr>
            <w:tcW w:w="7933" w:type="dxa"/>
          </w:tcPr>
          <w:p w14:paraId="1541B91C" w14:textId="265A45D6" w:rsidR="007E7E00" w:rsidRPr="00555671" w:rsidRDefault="007E7E00" w:rsidP="00324368">
            <w:pPr>
              <w:jc w:val="both"/>
              <w:rPr>
                <w:sz w:val="20"/>
                <w:szCs w:val="20"/>
              </w:rPr>
            </w:pPr>
          </w:p>
        </w:tc>
      </w:tr>
      <w:tr w:rsidR="00DB71F1" w14:paraId="745296F1" w14:textId="77777777" w:rsidTr="00275E08">
        <w:trPr>
          <w:cantSplit/>
        </w:trPr>
        <w:tc>
          <w:tcPr>
            <w:tcW w:w="1653" w:type="dxa"/>
          </w:tcPr>
          <w:p w14:paraId="30AF75E2" w14:textId="77777777" w:rsidR="00DB71F1" w:rsidRPr="001D77F7" w:rsidRDefault="00DB71F1" w:rsidP="009B3354">
            <w:pPr>
              <w:rPr>
                <w:b/>
              </w:rPr>
            </w:pPr>
            <w:r w:rsidRPr="001D77F7">
              <w:rPr>
                <w:b/>
              </w:rPr>
              <w:t>1.3 Installation Type and Delivery Mechanisms</w:t>
            </w:r>
          </w:p>
        </w:tc>
        <w:tc>
          <w:tcPr>
            <w:tcW w:w="7933" w:type="dxa"/>
          </w:tcPr>
          <w:p w14:paraId="564A1D4A" w14:textId="77777777" w:rsidR="00DB71F1" w:rsidRPr="00D86243" w:rsidRDefault="00DB71F1" w:rsidP="009B3354">
            <w:pPr>
              <w:rPr>
                <w:rFonts w:cs="Arial"/>
                <w:sz w:val="20"/>
                <w:szCs w:val="20"/>
              </w:rPr>
            </w:pPr>
          </w:p>
        </w:tc>
      </w:tr>
      <w:tr w:rsidR="00DB71F1" w14:paraId="109F534C" w14:textId="77777777" w:rsidTr="00275E08">
        <w:trPr>
          <w:cantSplit/>
        </w:trPr>
        <w:tc>
          <w:tcPr>
            <w:tcW w:w="1653" w:type="dxa"/>
            <w:vAlign w:val="center"/>
          </w:tcPr>
          <w:p w14:paraId="1F758D72" w14:textId="77777777" w:rsidR="00DB71F1" w:rsidRPr="00822B6F" w:rsidRDefault="00DB71F1" w:rsidP="009B3354">
            <w:pPr>
              <w:jc w:val="right"/>
              <w:rPr>
                <w:sz w:val="20"/>
                <w:szCs w:val="20"/>
              </w:rPr>
            </w:pPr>
            <w:r w:rsidRPr="00822B6F">
              <w:rPr>
                <w:sz w:val="20"/>
                <w:szCs w:val="20"/>
              </w:rPr>
              <w:t>Installation Type</w:t>
            </w:r>
          </w:p>
        </w:tc>
        <w:tc>
          <w:tcPr>
            <w:tcW w:w="7933" w:type="dxa"/>
          </w:tcPr>
          <w:p w14:paraId="7BC0057C" w14:textId="77777777" w:rsidR="00CF2ABA" w:rsidRPr="00393EC8" w:rsidRDefault="008C2C8A" w:rsidP="00FE636E">
            <w:pPr>
              <w:rPr>
                <w:rFonts w:cs="Arial"/>
                <w:sz w:val="20"/>
                <w:szCs w:val="20"/>
              </w:rPr>
            </w:pPr>
            <w:r w:rsidRPr="00FE636E">
              <w:rPr>
                <w:rFonts w:cs="Arial"/>
                <w:sz w:val="20"/>
                <w:szCs w:val="20"/>
              </w:rPr>
              <w:t>Replace on Burn-out (ROB)</w:t>
            </w:r>
            <w:r w:rsidR="00CF2ABA" w:rsidRPr="00FE636E">
              <w:rPr>
                <w:rFonts w:cs="Arial"/>
                <w:sz w:val="20"/>
                <w:szCs w:val="20"/>
              </w:rPr>
              <w:t xml:space="preserve"> </w:t>
            </w:r>
          </w:p>
        </w:tc>
      </w:tr>
      <w:tr w:rsidR="00DB71F1" w14:paraId="363E5100" w14:textId="77777777" w:rsidTr="00275E08">
        <w:trPr>
          <w:cantSplit/>
        </w:trPr>
        <w:tc>
          <w:tcPr>
            <w:tcW w:w="1653" w:type="dxa"/>
            <w:vAlign w:val="center"/>
          </w:tcPr>
          <w:p w14:paraId="4B4B37CA" w14:textId="77777777" w:rsidR="00DB71F1" w:rsidRPr="00822B6F" w:rsidRDefault="00DB71F1" w:rsidP="009B3354">
            <w:pPr>
              <w:jc w:val="right"/>
              <w:rPr>
                <w:sz w:val="20"/>
                <w:szCs w:val="20"/>
              </w:rPr>
            </w:pPr>
            <w:r w:rsidRPr="00822B6F">
              <w:rPr>
                <w:sz w:val="20"/>
                <w:szCs w:val="20"/>
              </w:rPr>
              <w:t>Delivery Mechanisms</w:t>
            </w:r>
          </w:p>
        </w:tc>
        <w:tc>
          <w:tcPr>
            <w:tcW w:w="7933" w:type="dxa"/>
          </w:tcPr>
          <w:p w14:paraId="1FA82E88" w14:textId="77777777" w:rsidR="00DB71F1" w:rsidRDefault="00DB71F1" w:rsidP="00FE636E">
            <w:pPr>
              <w:rPr>
                <w:rFonts w:cs="Arial"/>
                <w:sz w:val="20"/>
                <w:szCs w:val="20"/>
              </w:rPr>
            </w:pPr>
            <w:r w:rsidRPr="00FE636E">
              <w:rPr>
                <w:rFonts w:cs="Arial"/>
                <w:sz w:val="20"/>
                <w:szCs w:val="20"/>
              </w:rPr>
              <w:t xml:space="preserve">Downstream </w:t>
            </w:r>
            <w:r w:rsidR="003E0DC8" w:rsidRPr="00FE636E">
              <w:rPr>
                <w:rFonts w:cs="Arial"/>
                <w:sz w:val="20"/>
                <w:szCs w:val="20"/>
              </w:rPr>
              <w:t>Rebate</w:t>
            </w:r>
            <w:r w:rsidRPr="00FE636E">
              <w:rPr>
                <w:rFonts w:cs="Arial"/>
                <w:sz w:val="20"/>
                <w:szCs w:val="20"/>
              </w:rPr>
              <w:t xml:space="preserve"> – Deemed</w:t>
            </w:r>
          </w:p>
          <w:p w14:paraId="120DCB56" w14:textId="77777777" w:rsidR="00B9551F" w:rsidRPr="00FE636E" w:rsidRDefault="00B9551F" w:rsidP="00FE636E">
            <w:pPr>
              <w:rPr>
                <w:rFonts w:cs="Arial"/>
                <w:sz w:val="20"/>
                <w:szCs w:val="20"/>
              </w:rPr>
            </w:pPr>
          </w:p>
        </w:tc>
      </w:tr>
      <w:tr w:rsidR="00DB71F1" w14:paraId="0F3CEB6C" w14:textId="77777777" w:rsidTr="00275E08">
        <w:trPr>
          <w:cantSplit/>
        </w:trPr>
        <w:tc>
          <w:tcPr>
            <w:tcW w:w="1653" w:type="dxa"/>
          </w:tcPr>
          <w:p w14:paraId="0FB62DAB" w14:textId="77777777" w:rsidR="00DB71F1" w:rsidRPr="001D77F7" w:rsidRDefault="00DB71F1" w:rsidP="009B3354">
            <w:pPr>
              <w:rPr>
                <w:b/>
              </w:rPr>
            </w:pPr>
            <w:r w:rsidRPr="001D77F7">
              <w:rPr>
                <w:b/>
              </w:rPr>
              <w:t>1.4.1 DEER Data</w:t>
            </w:r>
          </w:p>
        </w:tc>
        <w:tc>
          <w:tcPr>
            <w:tcW w:w="7933" w:type="dxa"/>
          </w:tcPr>
          <w:p w14:paraId="5AB402B7" w14:textId="77777777" w:rsidR="00C425CA" w:rsidRPr="00C425CA" w:rsidRDefault="00C425CA" w:rsidP="009B3354">
            <w:pPr>
              <w:rPr>
                <w:sz w:val="20"/>
                <w:szCs w:val="20"/>
              </w:rPr>
            </w:pPr>
            <w:r w:rsidRPr="00C425CA">
              <w:rPr>
                <w:sz w:val="20"/>
                <w:szCs w:val="20"/>
              </w:rPr>
              <w:t>RE-WtrHt-SmlStrg-HP-lte12kW-rep50G-3p24EF</w:t>
            </w:r>
          </w:p>
          <w:p w14:paraId="5B02A33B" w14:textId="23D1B398" w:rsidR="00DB71F1" w:rsidRDefault="00C425CA" w:rsidP="009B3354">
            <w:r w:rsidRPr="00C425CA">
              <w:rPr>
                <w:sz w:val="20"/>
                <w:szCs w:val="20"/>
              </w:rPr>
              <w:t>RE-WtrHt-SmlStrg-HP-lte12kW-rep50G-3p50EF</w:t>
            </w:r>
          </w:p>
        </w:tc>
      </w:tr>
      <w:tr w:rsidR="00A61271" w14:paraId="7C0B9D7B" w14:textId="77777777" w:rsidTr="00275E08">
        <w:trPr>
          <w:cantSplit/>
        </w:trPr>
        <w:tc>
          <w:tcPr>
            <w:tcW w:w="1653" w:type="dxa"/>
            <w:vAlign w:val="center"/>
          </w:tcPr>
          <w:p w14:paraId="2F2051AC" w14:textId="77777777" w:rsidR="00A61271" w:rsidRPr="00822B6F" w:rsidRDefault="00A61271" w:rsidP="009B3354">
            <w:pPr>
              <w:jc w:val="right"/>
              <w:rPr>
                <w:sz w:val="20"/>
                <w:szCs w:val="20"/>
              </w:rPr>
            </w:pPr>
            <w:r w:rsidRPr="00822B6F">
              <w:rPr>
                <w:sz w:val="20"/>
                <w:szCs w:val="20"/>
              </w:rPr>
              <w:t>Net-to-Gross Ratio</w:t>
            </w:r>
          </w:p>
        </w:tc>
        <w:tc>
          <w:tcPr>
            <w:tcW w:w="7933" w:type="dxa"/>
          </w:tcPr>
          <w:p w14:paraId="05E9F93F" w14:textId="77777777" w:rsidR="0090016E" w:rsidRPr="00D86243" w:rsidRDefault="0090016E" w:rsidP="009B3354">
            <w:pPr>
              <w:tabs>
                <w:tab w:val="right" w:pos="6732"/>
              </w:tabs>
              <w:rPr>
                <w:rFonts w:cs="Arial"/>
                <w:sz w:val="20"/>
                <w:szCs w:val="20"/>
              </w:rPr>
            </w:pPr>
            <w:r w:rsidRPr="0090016E">
              <w:rPr>
                <w:rFonts w:cs="Arial"/>
                <w:sz w:val="20"/>
                <w:szCs w:val="20"/>
              </w:rPr>
              <w:t>Res-Default&gt;2yrs</w:t>
            </w:r>
            <w:r w:rsidR="00BB5D3A">
              <w:rPr>
                <w:rFonts w:cs="Arial"/>
                <w:sz w:val="20"/>
                <w:szCs w:val="20"/>
              </w:rPr>
              <w:t xml:space="preserve"> (0.55)</w:t>
            </w:r>
          </w:p>
        </w:tc>
      </w:tr>
      <w:tr w:rsidR="00A61271" w14:paraId="7D759DCE" w14:textId="77777777" w:rsidTr="00275E08">
        <w:trPr>
          <w:cantSplit/>
        </w:trPr>
        <w:tc>
          <w:tcPr>
            <w:tcW w:w="1653" w:type="dxa"/>
            <w:vAlign w:val="center"/>
          </w:tcPr>
          <w:p w14:paraId="64A56F58" w14:textId="77777777" w:rsidR="00A61271" w:rsidRPr="00822B6F" w:rsidRDefault="00A61271" w:rsidP="009B3354">
            <w:pPr>
              <w:jc w:val="right"/>
              <w:rPr>
                <w:sz w:val="20"/>
                <w:szCs w:val="20"/>
              </w:rPr>
            </w:pPr>
            <w:r w:rsidRPr="00822B6F">
              <w:rPr>
                <w:sz w:val="20"/>
                <w:szCs w:val="20"/>
              </w:rPr>
              <w:t>Effective and Remaining Useful Life</w:t>
            </w:r>
          </w:p>
        </w:tc>
        <w:tc>
          <w:tcPr>
            <w:tcW w:w="7933" w:type="dxa"/>
          </w:tcPr>
          <w:p w14:paraId="39AD5FF5" w14:textId="09B0C252" w:rsidR="00BB5D3A" w:rsidRDefault="00950898">
            <w:pPr>
              <w:tabs>
                <w:tab w:val="right" w:pos="6732"/>
              </w:tabs>
              <w:rPr>
                <w:rFonts w:cs="Arial"/>
                <w:sz w:val="20"/>
                <w:szCs w:val="20"/>
              </w:rPr>
            </w:pPr>
            <w:proofErr w:type="spellStart"/>
            <w:r w:rsidRPr="00950898">
              <w:rPr>
                <w:rFonts w:cs="Arial"/>
                <w:sz w:val="20"/>
                <w:szCs w:val="20"/>
              </w:rPr>
              <w:t>WtrHt-HtPmp</w:t>
            </w:r>
            <w:proofErr w:type="spellEnd"/>
            <w:r w:rsidR="001026F6">
              <w:rPr>
                <w:rFonts w:cs="Arial"/>
                <w:sz w:val="20"/>
                <w:szCs w:val="20"/>
              </w:rPr>
              <w:t xml:space="preserve"> (EUL</w:t>
            </w:r>
            <w:r>
              <w:rPr>
                <w:rFonts w:cs="Arial"/>
                <w:sz w:val="20"/>
                <w:szCs w:val="20"/>
              </w:rPr>
              <w:t xml:space="preserve"> = 10</w:t>
            </w:r>
            <w:r w:rsidR="001026F6">
              <w:rPr>
                <w:rFonts w:cs="Arial"/>
                <w:sz w:val="20"/>
                <w:szCs w:val="20"/>
              </w:rPr>
              <w:t xml:space="preserve"> Years)</w:t>
            </w:r>
          </w:p>
          <w:p w14:paraId="4B46FD70" w14:textId="51BB81C2" w:rsidR="00402B3D" w:rsidRPr="00D86243" w:rsidRDefault="00BB5D3A">
            <w:pPr>
              <w:tabs>
                <w:tab w:val="right" w:pos="6732"/>
              </w:tabs>
              <w:rPr>
                <w:rFonts w:cs="Arial"/>
                <w:sz w:val="20"/>
                <w:szCs w:val="20"/>
              </w:rPr>
            </w:pPr>
            <w:r>
              <w:rPr>
                <w:rFonts w:cs="Arial"/>
                <w:sz w:val="20"/>
                <w:szCs w:val="20"/>
              </w:rPr>
              <w:br/>
            </w:r>
          </w:p>
        </w:tc>
      </w:tr>
      <w:tr w:rsidR="00A61271" w14:paraId="17819E75" w14:textId="77777777" w:rsidTr="00275E08">
        <w:trPr>
          <w:cantSplit/>
        </w:trPr>
        <w:tc>
          <w:tcPr>
            <w:tcW w:w="1653" w:type="dxa"/>
            <w:vAlign w:val="center"/>
          </w:tcPr>
          <w:p w14:paraId="2433EC29" w14:textId="77777777" w:rsidR="00A61271" w:rsidRPr="001D77F7" w:rsidRDefault="00A61271" w:rsidP="009B3354">
            <w:pPr>
              <w:rPr>
                <w:b/>
              </w:rPr>
            </w:pPr>
            <w:r w:rsidRPr="001D77F7">
              <w:rPr>
                <w:b/>
              </w:rPr>
              <w:t>Section 2. Calculation Methodology</w:t>
            </w:r>
          </w:p>
        </w:tc>
        <w:tc>
          <w:tcPr>
            <w:tcW w:w="7933" w:type="dxa"/>
            <w:vAlign w:val="center"/>
          </w:tcPr>
          <w:p w14:paraId="76F7B257" w14:textId="77428D25" w:rsidR="00BD4AFD" w:rsidRPr="00241A1F" w:rsidRDefault="004F6E80">
            <w:pPr>
              <w:rPr>
                <w:rFonts w:cs="Arial"/>
                <w:sz w:val="20"/>
                <w:szCs w:val="20"/>
              </w:rPr>
            </w:pPr>
            <w:r w:rsidRPr="004F6E80">
              <w:rPr>
                <w:rFonts w:cs="Arial"/>
                <w:sz w:val="20"/>
                <w:szCs w:val="20"/>
              </w:rPr>
              <w:t>Savings values were taken directly from DEER 2017 [49] using the READI Tool v2.4.7 and are included in the table below.  These results have not been modified and are only being included in the work paper for reference.</w:t>
            </w:r>
          </w:p>
        </w:tc>
      </w:tr>
      <w:tr w:rsidR="00A61271" w14:paraId="70530A66" w14:textId="77777777" w:rsidTr="00275E08">
        <w:trPr>
          <w:cantSplit/>
        </w:trPr>
        <w:tc>
          <w:tcPr>
            <w:tcW w:w="1653" w:type="dxa"/>
            <w:vAlign w:val="center"/>
          </w:tcPr>
          <w:p w14:paraId="62A8A2E1" w14:textId="77777777" w:rsidR="00A61271" w:rsidRDefault="00A61271" w:rsidP="00787D7C">
            <w:pPr>
              <w:jc w:val="right"/>
            </w:pPr>
            <w:r>
              <w:rPr>
                <w:rFonts w:cs="Arial"/>
                <w:sz w:val="20"/>
                <w:szCs w:val="20"/>
              </w:rPr>
              <w:lastRenderedPageBreak/>
              <w:t>Energy Savings/Peak Demand Reduction – All Measures</w:t>
            </w:r>
          </w:p>
        </w:tc>
        <w:tc>
          <w:tcPr>
            <w:tcW w:w="7933" w:type="dxa"/>
          </w:tcPr>
          <w:p w14:paraId="5A3EAAE0" w14:textId="77777777" w:rsidR="0023550D" w:rsidRDefault="0023550D" w:rsidP="00315E66">
            <w:pPr>
              <w:tabs>
                <w:tab w:val="right" w:pos="6732"/>
              </w:tabs>
              <w:jc w:val="both"/>
              <w:rPr>
                <w:rFonts w:cs="Arial"/>
                <w:sz w:val="20"/>
                <w:szCs w:val="20"/>
              </w:rPr>
            </w:pPr>
          </w:p>
          <w:p w14:paraId="72E5D601" w14:textId="77777777" w:rsidR="0023550D" w:rsidRDefault="0023550D" w:rsidP="0023550D">
            <w:pPr>
              <w:rPr>
                <w:rFonts w:cs="Arial"/>
                <w:sz w:val="20"/>
                <w:szCs w:val="20"/>
              </w:rPr>
            </w:pPr>
            <w:r>
              <w:rPr>
                <w:rFonts w:cs="Arial"/>
                <w:sz w:val="20"/>
                <w:szCs w:val="20"/>
              </w:rPr>
              <w:t>464085</w:t>
            </w:r>
            <w:r w:rsidRPr="00555671">
              <w:rPr>
                <w:rFonts w:cs="Arial"/>
                <w:sz w:val="20"/>
                <w:szCs w:val="20"/>
              </w:rPr>
              <w:t xml:space="preserve"> </w:t>
            </w:r>
            <w:r>
              <w:rPr>
                <w:rFonts w:cs="Arial"/>
                <w:sz w:val="20"/>
                <w:szCs w:val="20"/>
              </w:rPr>
              <w:t>–</w:t>
            </w:r>
            <w:r w:rsidRPr="00555671">
              <w:rPr>
                <w:rFonts w:cs="Arial"/>
                <w:sz w:val="20"/>
                <w:szCs w:val="20"/>
              </w:rPr>
              <w:t xml:space="preserve"> </w:t>
            </w:r>
            <w:r>
              <w:rPr>
                <w:rFonts w:cs="Arial"/>
                <w:sz w:val="20"/>
                <w:szCs w:val="20"/>
              </w:rPr>
              <w:t>S</w:t>
            </w:r>
            <w:r w:rsidRPr="00324368">
              <w:rPr>
                <w:rFonts w:cs="Arial"/>
                <w:sz w:val="20"/>
                <w:szCs w:val="20"/>
              </w:rPr>
              <w:t>mall storage HP water heater EF = 3.24 (UEF = TBD): Small storage electric gallon replacement (EF = 0.95)</w:t>
            </w:r>
          </w:p>
          <w:p w14:paraId="47D52665" w14:textId="0221F928" w:rsidR="00315E66" w:rsidRDefault="0023550D" w:rsidP="00315E66">
            <w:pPr>
              <w:tabs>
                <w:tab w:val="right" w:pos="6732"/>
              </w:tabs>
              <w:jc w:val="both"/>
              <w:rPr>
                <w:rFonts w:cs="Arial"/>
                <w:sz w:val="20"/>
                <w:szCs w:val="20"/>
              </w:rPr>
            </w:pPr>
            <w:r>
              <w:rPr>
                <w:rFonts w:cs="Arial"/>
                <w:noProof/>
                <w:sz w:val="20"/>
                <w:szCs w:val="20"/>
              </w:rPr>
              <w:drawing>
                <wp:inline distT="0" distB="0" distL="0" distR="0" wp14:anchorId="1706F9B3" wp14:editId="4C46951E">
                  <wp:extent cx="5295900" cy="2134768"/>
                  <wp:effectExtent l="0" t="0" r="0" b="0"/>
                  <wp:docPr id="1" name="Picture 1"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C098E2.tmp"/>
                          <pic:cNvPicPr/>
                        </pic:nvPicPr>
                        <pic:blipFill>
                          <a:blip r:embed="rId18">
                            <a:extLst>
                              <a:ext uri="{28A0092B-C50C-407E-A947-70E740481C1C}">
                                <a14:useLocalDpi xmlns:a14="http://schemas.microsoft.com/office/drawing/2010/main" val="0"/>
                              </a:ext>
                            </a:extLst>
                          </a:blip>
                          <a:stretch>
                            <a:fillRect/>
                          </a:stretch>
                        </pic:blipFill>
                        <pic:spPr>
                          <a:xfrm>
                            <a:off x="0" y="0"/>
                            <a:ext cx="5343952" cy="2154138"/>
                          </a:xfrm>
                          <a:prstGeom prst="rect">
                            <a:avLst/>
                          </a:prstGeom>
                        </pic:spPr>
                      </pic:pic>
                    </a:graphicData>
                  </a:graphic>
                </wp:inline>
              </w:drawing>
            </w:r>
          </w:p>
          <w:p w14:paraId="6C602D86" w14:textId="13C107FD" w:rsidR="0023550D" w:rsidRDefault="0023550D" w:rsidP="00315E66">
            <w:pPr>
              <w:tabs>
                <w:tab w:val="right" w:pos="6732"/>
              </w:tabs>
              <w:jc w:val="both"/>
              <w:rPr>
                <w:rFonts w:cs="Arial"/>
                <w:sz w:val="20"/>
                <w:szCs w:val="20"/>
              </w:rPr>
            </w:pPr>
          </w:p>
          <w:p w14:paraId="71C6B27D" w14:textId="77777777" w:rsidR="0023550D" w:rsidRDefault="0023550D" w:rsidP="0023550D">
            <w:pPr>
              <w:rPr>
                <w:rFonts w:cs="Arial"/>
                <w:sz w:val="20"/>
                <w:szCs w:val="20"/>
              </w:rPr>
            </w:pPr>
            <w:r>
              <w:rPr>
                <w:rFonts w:cs="Arial"/>
                <w:sz w:val="20"/>
                <w:szCs w:val="20"/>
              </w:rPr>
              <w:t>464086</w:t>
            </w:r>
            <w:r w:rsidRPr="001458E6">
              <w:rPr>
                <w:rFonts w:cs="Arial"/>
                <w:sz w:val="20"/>
                <w:szCs w:val="20"/>
              </w:rPr>
              <w:t xml:space="preserve"> – </w:t>
            </w:r>
            <w:r>
              <w:rPr>
                <w:rFonts w:cs="Arial"/>
                <w:sz w:val="20"/>
                <w:szCs w:val="20"/>
              </w:rPr>
              <w:t>S</w:t>
            </w:r>
            <w:r w:rsidRPr="00324368">
              <w:rPr>
                <w:rFonts w:cs="Arial"/>
                <w:sz w:val="20"/>
                <w:szCs w:val="20"/>
              </w:rPr>
              <w:t>mall stora</w:t>
            </w:r>
            <w:r>
              <w:rPr>
                <w:rFonts w:cs="Arial"/>
                <w:sz w:val="20"/>
                <w:szCs w:val="20"/>
              </w:rPr>
              <w:t>ge HP water heater EF = 3.50</w:t>
            </w:r>
            <w:r w:rsidRPr="00324368">
              <w:rPr>
                <w:rFonts w:cs="Arial"/>
                <w:sz w:val="20"/>
                <w:szCs w:val="20"/>
              </w:rPr>
              <w:t xml:space="preserve"> (UEF = TBD): Small storage electric gallon replacement (EF = 0.95)</w:t>
            </w:r>
          </w:p>
          <w:p w14:paraId="6F5C4289" w14:textId="2145D4CC" w:rsidR="0023550D" w:rsidRDefault="0023550D" w:rsidP="00315E66">
            <w:pPr>
              <w:tabs>
                <w:tab w:val="right" w:pos="6732"/>
              </w:tabs>
              <w:jc w:val="both"/>
              <w:rPr>
                <w:rFonts w:cs="Arial"/>
                <w:sz w:val="20"/>
                <w:szCs w:val="20"/>
              </w:rPr>
            </w:pPr>
            <w:r>
              <w:rPr>
                <w:rFonts w:cs="Arial"/>
                <w:noProof/>
                <w:sz w:val="20"/>
                <w:szCs w:val="20"/>
              </w:rPr>
              <w:drawing>
                <wp:inline distT="0" distB="0" distL="0" distR="0" wp14:anchorId="0F0159A0" wp14:editId="35C38B60">
                  <wp:extent cx="5337903" cy="2182495"/>
                  <wp:effectExtent l="0" t="0" r="0" b="8255"/>
                  <wp:docPr id="5" name="Picture 5"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6C05F61.tmp"/>
                          <pic:cNvPicPr/>
                        </pic:nvPicPr>
                        <pic:blipFill>
                          <a:blip r:embed="rId19">
                            <a:extLst>
                              <a:ext uri="{28A0092B-C50C-407E-A947-70E740481C1C}">
                                <a14:useLocalDpi xmlns:a14="http://schemas.microsoft.com/office/drawing/2010/main" val="0"/>
                              </a:ext>
                            </a:extLst>
                          </a:blip>
                          <a:stretch>
                            <a:fillRect/>
                          </a:stretch>
                        </pic:blipFill>
                        <pic:spPr>
                          <a:xfrm>
                            <a:off x="0" y="0"/>
                            <a:ext cx="5341816" cy="2184095"/>
                          </a:xfrm>
                          <a:prstGeom prst="rect">
                            <a:avLst/>
                          </a:prstGeom>
                        </pic:spPr>
                      </pic:pic>
                    </a:graphicData>
                  </a:graphic>
                </wp:inline>
              </w:drawing>
            </w:r>
          </w:p>
          <w:p w14:paraId="497032A0" w14:textId="1DEA7D49" w:rsidR="0023550D" w:rsidRPr="00555671" w:rsidRDefault="0023550D" w:rsidP="00315E66">
            <w:pPr>
              <w:tabs>
                <w:tab w:val="right" w:pos="6732"/>
              </w:tabs>
              <w:jc w:val="both"/>
              <w:rPr>
                <w:rFonts w:cs="Arial"/>
                <w:sz w:val="20"/>
                <w:szCs w:val="20"/>
              </w:rPr>
            </w:pPr>
          </w:p>
        </w:tc>
      </w:tr>
      <w:tr w:rsidR="00A61271" w14:paraId="68462B15" w14:textId="77777777" w:rsidTr="00275E08">
        <w:trPr>
          <w:cantSplit/>
        </w:trPr>
        <w:tc>
          <w:tcPr>
            <w:tcW w:w="1653" w:type="dxa"/>
            <w:vAlign w:val="center"/>
          </w:tcPr>
          <w:p w14:paraId="3CC2E8EF" w14:textId="77777777" w:rsidR="00A61271" w:rsidRPr="001D77F7" w:rsidRDefault="00A61271" w:rsidP="009B3354">
            <w:pPr>
              <w:rPr>
                <w:b/>
              </w:rPr>
            </w:pPr>
            <w:r w:rsidRPr="001D77F7">
              <w:rPr>
                <w:b/>
              </w:rPr>
              <w:t>Section 3. Load Shapes</w:t>
            </w:r>
          </w:p>
        </w:tc>
        <w:tc>
          <w:tcPr>
            <w:tcW w:w="7933" w:type="dxa"/>
          </w:tcPr>
          <w:p w14:paraId="1C6EF8A9" w14:textId="40A89D1B" w:rsidR="004519B4" w:rsidRPr="00476F40" w:rsidRDefault="009B3354">
            <w:pPr>
              <w:tabs>
                <w:tab w:val="right" w:pos="6732"/>
              </w:tabs>
              <w:rPr>
                <w:rFonts w:cs="Arial"/>
                <w:sz w:val="20"/>
                <w:szCs w:val="20"/>
              </w:rPr>
            </w:pPr>
            <w:r>
              <w:rPr>
                <w:rFonts w:cstheme="minorHAnsi"/>
                <w:bCs/>
                <w:sz w:val="20"/>
              </w:rPr>
              <w:t>SDGE:</w:t>
            </w:r>
            <w:r w:rsidR="00950898">
              <w:rPr>
                <w:rFonts w:cstheme="minorHAnsi"/>
                <w:bCs/>
                <w:sz w:val="20"/>
              </w:rPr>
              <w:t xml:space="preserve"> </w:t>
            </w:r>
            <w:r w:rsidR="004F6E80">
              <w:rPr>
                <w:rFonts w:cstheme="minorHAnsi"/>
                <w:bCs/>
                <w:sz w:val="20"/>
              </w:rPr>
              <w:t>26</w:t>
            </w:r>
            <w:r w:rsidR="00950898">
              <w:rPr>
                <w:rFonts w:cstheme="minorHAnsi"/>
                <w:bCs/>
                <w:sz w:val="20"/>
              </w:rPr>
              <w:t>-</w:t>
            </w:r>
            <w:r w:rsidR="004F6E80">
              <w:rPr>
                <w:rFonts w:cstheme="minorHAnsi"/>
                <w:bCs/>
                <w:sz w:val="20"/>
              </w:rPr>
              <w:t>SFM</w:t>
            </w:r>
            <w:r w:rsidR="00950898">
              <w:rPr>
                <w:rFonts w:cstheme="minorHAnsi"/>
                <w:bCs/>
                <w:sz w:val="20"/>
              </w:rPr>
              <w:t>-Residential</w:t>
            </w:r>
            <w:r w:rsidR="004F6E80">
              <w:rPr>
                <w:rFonts w:cstheme="minorHAnsi"/>
                <w:bCs/>
                <w:sz w:val="20"/>
              </w:rPr>
              <w:t>SingleFamily</w:t>
            </w:r>
            <w:r w:rsidR="00BB4B25">
              <w:rPr>
                <w:rFonts w:cstheme="minorHAnsi"/>
                <w:bCs/>
                <w:sz w:val="20"/>
              </w:rPr>
              <w:t>-WAT_HEAT</w:t>
            </w:r>
            <w:r w:rsidR="00BB4B25">
              <w:rPr>
                <w:rFonts w:cstheme="minorHAnsi"/>
                <w:bCs/>
                <w:sz w:val="20"/>
              </w:rPr>
              <w:br/>
              <w:t>Annual</w:t>
            </w:r>
          </w:p>
        </w:tc>
      </w:tr>
      <w:tr w:rsidR="00A61271" w14:paraId="270E1F02" w14:textId="77777777" w:rsidTr="00275E08">
        <w:trPr>
          <w:cantSplit/>
        </w:trPr>
        <w:tc>
          <w:tcPr>
            <w:tcW w:w="1653" w:type="dxa"/>
            <w:vAlign w:val="center"/>
          </w:tcPr>
          <w:p w14:paraId="66EFAD9A" w14:textId="77777777" w:rsidR="00A61271" w:rsidRPr="001D77F7" w:rsidRDefault="00A61271" w:rsidP="009B3354">
            <w:pPr>
              <w:rPr>
                <w:b/>
              </w:rPr>
            </w:pPr>
            <w:r w:rsidRPr="001D77F7">
              <w:rPr>
                <w:b/>
              </w:rPr>
              <w:t>Section 4. Costs</w:t>
            </w:r>
          </w:p>
        </w:tc>
        <w:tc>
          <w:tcPr>
            <w:tcW w:w="7933" w:type="dxa"/>
          </w:tcPr>
          <w:p w14:paraId="13E3D925" w14:textId="61D2E562" w:rsidR="00A61271" w:rsidRPr="00476F40" w:rsidRDefault="00384B27" w:rsidP="00C048F4">
            <w:pPr>
              <w:rPr>
                <w:rFonts w:cs="Arial"/>
                <w:sz w:val="20"/>
                <w:szCs w:val="20"/>
              </w:rPr>
            </w:pPr>
            <w:r>
              <w:rPr>
                <w:rFonts w:cs="Arial"/>
                <w:sz w:val="20"/>
                <w:szCs w:val="20"/>
              </w:rPr>
              <w:t>Base costs were collected through SDG&amp;E’s Marketplace data of current industry electric water heaters rated @ 0.95.  Measure costs were collected from SDG&amp;E installs in 2017.</w:t>
            </w:r>
          </w:p>
        </w:tc>
      </w:tr>
      <w:tr w:rsidR="00A61271" w:rsidRPr="00393EC8" w14:paraId="6FD29532" w14:textId="77777777" w:rsidTr="00275E08">
        <w:trPr>
          <w:cantSplit/>
        </w:trPr>
        <w:tc>
          <w:tcPr>
            <w:tcW w:w="1653" w:type="dxa"/>
          </w:tcPr>
          <w:p w14:paraId="63C85CE7" w14:textId="77777777" w:rsidR="00A61271" w:rsidRPr="00393EC8" w:rsidRDefault="00A61271">
            <w:pPr>
              <w:rPr>
                <w:b/>
              </w:rPr>
            </w:pPr>
            <w:r w:rsidRPr="00393EC8">
              <w:rPr>
                <w:b/>
              </w:rPr>
              <w:t xml:space="preserve">Section 4.1 </w:t>
            </w:r>
            <w:r w:rsidR="00695478">
              <w:rPr>
                <w:b/>
              </w:rPr>
              <w:t>Base and Measure Costs</w:t>
            </w:r>
          </w:p>
        </w:tc>
        <w:tc>
          <w:tcPr>
            <w:tcW w:w="7933" w:type="dxa"/>
          </w:tcPr>
          <w:p w14:paraId="18A0E735" w14:textId="77777777" w:rsidR="00A61271" w:rsidRPr="00BD4AFD" w:rsidRDefault="00A61271" w:rsidP="009B3354"/>
        </w:tc>
      </w:tr>
      <w:tr w:rsidR="00E05871" w14:paraId="0ADC669D" w14:textId="77777777" w:rsidTr="00275E08">
        <w:trPr>
          <w:cantSplit/>
        </w:trPr>
        <w:tc>
          <w:tcPr>
            <w:tcW w:w="1653" w:type="dxa"/>
          </w:tcPr>
          <w:p w14:paraId="7CB2A129" w14:textId="77777777" w:rsidR="00E05871" w:rsidRPr="00822B6F" w:rsidRDefault="00E05871" w:rsidP="00E05871">
            <w:pPr>
              <w:jc w:val="right"/>
              <w:rPr>
                <w:sz w:val="20"/>
                <w:szCs w:val="20"/>
              </w:rPr>
            </w:pPr>
            <w:r w:rsidRPr="00822B6F">
              <w:rPr>
                <w:sz w:val="20"/>
                <w:szCs w:val="20"/>
              </w:rPr>
              <w:t>Base Cost</w:t>
            </w:r>
          </w:p>
        </w:tc>
        <w:tc>
          <w:tcPr>
            <w:tcW w:w="7933" w:type="dxa"/>
          </w:tcPr>
          <w:p w14:paraId="6BDDA7CA" w14:textId="7C3B316E" w:rsidR="000923C0" w:rsidRDefault="00441DC6" w:rsidP="00E05871">
            <w:pPr>
              <w:tabs>
                <w:tab w:val="right" w:pos="6732"/>
              </w:tabs>
              <w:rPr>
                <w:rFonts w:cs="Arial"/>
                <w:sz w:val="20"/>
                <w:szCs w:val="20"/>
              </w:rPr>
            </w:pPr>
            <w:r>
              <w:rPr>
                <w:rFonts w:cs="Arial"/>
                <w:sz w:val="20"/>
                <w:szCs w:val="20"/>
              </w:rPr>
              <w:t>464085</w:t>
            </w:r>
            <w:r w:rsidR="000923C0">
              <w:rPr>
                <w:rFonts w:cs="Arial"/>
                <w:sz w:val="20"/>
                <w:szCs w:val="20"/>
              </w:rPr>
              <w:t>:</w:t>
            </w:r>
          </w:p>
          <w:p w14:paraId="317AE100" w14:textId="3711A819" w:rsidR="00D45B1C" w:rsidRDefault="004F6E80" w:rsidP="00E05871">
            <w:pPr>
              <w:tabs>
                <w:tab w:val="right" w:pos="6732"/>
              </w:tabs>
              <w:rPr>
                <w:rFonts w:cs="Arial"/>
                <w:sz w:val="20"/>
                <w:szCs w:val="20"/>
              </w:rPr>
            </w:pPr>
            <w:r>
              <w:rPr>
                <w:rFonts w:cs="Arial"/>
                <w:sz w:val="20"/>
                <w:szCs w:val="20"/>
              </w:rPr>
              <w:t>WPSDGEREWH0022-Rev02</w:t>
            </w:r>
            <w:r w:rsidR="00D45B1C" w:rsidRPr="00D45B1C">
              <w:rPr>
                <w:rFonts w:cs="Arial"/>
                <w:sz w:val="20"/>
                <w:szCs w:val="20"/>
              </w:rPr>
              <w:t>-Msr001-BASE</w:t>
            </w:r>
            <w:r>
              <w:rPr>
                <w:rFonts w:cs="Arial"/>
                <w:sz w:val="20"/>
                <w:szCs w:val="20"/>
              </w:rPr>
              <w:t xml:space="preserve"> = $508.26</w:t>
            </w:r>
          </w:p>
          <w:p w14:paraId="52169723" w14:textId="3F7A62D0" w:rsidR="000923C0" w:rsidRDefault="000923C0" w:rsidP="00E05871">
            <w:pPr>
              <w:tabs>
                <w:tab w:val="right" w:pos="6732"/>
              </w:tabs>
              <w:rPr>
                <w:rFonts w:cs="Arial"/>
                <w:sz w:val="20"/>
                <w:szCs w:val="20"/>
              </w:rPr>
            </w:pPr>
          </w:p>
          <w:p w14:paraId="47B10743" w14:textId="20D35547" w:rsidR="000923C0" w:rsidRDefault="00441DC6" w:rsidP="00E05871">
            <w:pPr>
              <w:tabs>
                <w:tab w:val="right" w:pos="6732"/>
              </w:tabs>
              <w:rPr>
                <w:rFonts w:cs="Arial"/>
                <w:sz w:val="20"/>
                <w:szCs w:val="20"/>
              </w:rPr>
            </w:pPr>
            <w:r>
              <w:rPr>
                <w:rFonts w:cs="Arial"/>
                <w:sz w:val="20"/>
                <w:szCs w:val="20"/>
              </w:rPr>
              <w:t>464086</w:t>
            </w:r>
            <w:r w:rsidR="000923C0">
              <w:rPr>
                <w:rFonts w:cs="Arial"/>
                <w:sz w:val="20"/>
                <w:szCs w:val="20"/>
              </w:rPr>
              <w:t>:</w:t>
            </w:r>
          </w:p>
          <w:p w14:paraId="6D705E3E" w14:textId="0FAE5AA4" w:rsidR="00D45B1C" w:rsidRDefault="004F6E80" w:rsidP="00E05871">
            <w:pPr>
              <w:tabs>
                <w:tab w:val="right" w:pos="6732"/>
              </w:tabs>
              <w:rPr>
                <w:rFonts w:cs="Arial"/>
                <w:sz w:val="20"/>
                <w:szCs w:val="20"/>
              </w:rPr>
            </w:pPr>
            <w:r>
              <w:rPr>
                <w:rFonts w:cs="Arial"/>
                <w:sz w:val="20"/>
                <w:szCs w:val="20"/>
              </w:rPr>
              <w:t>WPSDGEREWH0022-Rev02</w:t>
            </w:r>
            <w:r w:rsidR="00D45B1C" w:rsidRPr="00D45B1C">
              <w:rPr>
                <w:rFonts w:cs="Arial"/>
                <w:sz w:val="20"/>
                <w:szCs w:val="20"/>
              </w:rPr>
              <w:t>-Msr002-BASE</w:t>
            </w:r>
            <w:r w:rsidR="00D45B1C">
              <w:rPr>
                <w:rFonts w:cs="Arial"/>
                <w:sz w:val="20"/>
                <w:szCs w:val="20"/>
              </w:rPr>
              <w:t xml:space="preserve"> =</w:t>
            </w:r>
            <w:r>
              <w:rPr>
                <w:rFonts w:cs="Arial"/>
                <w:sz w:val="20"/>
                <w:szCs w:val="20"/>
              </w:rPr>
              <w:t xml:space="preserve"> $508.26</w:t>
            </w:r>
          </w:p>
        </w:tc>
      </w:tr>
      <w:tr w:rsidR="00A61271" w14:paraId="568AA232" w14:textId="77777777" w:rsidTr="00275E08">
        <w:trPr>
          <w:cantSplit/>
        </w:trPr>
        <w:tc>
          <w:tcPr>
            <w:tcW w:w="1653" w:type="dxa"/>
          </w:tcPr>
          <w:p w14:paraId="445952B4" w14:textId="77777777" w:rsidR="00A61271" w:rsidRPr="00822B6F" w:rsidRDefault="00A61271">
            <w:pPr>
              <w:jc w:val="right"/>
              <w:rPr>
                <w:sz w:val="20"/>
                <w:szCs w:val="20"/>
              </w:rPr>
            </w:pPr>
            <w:r w:rsidRPr="00822B6F">
              <w:rPr>
                <w:sz w:val="20"/>
                <w:szCs w:val="20"/>
              </w:rPr>
              <w:lastRenderedPageBreak/>
              <w:t xml:space="preserve">Measure Cost </w:t>
            </w:r>
          </w:p>
        </w:tc>
        <w:tc>
          <w:tcPr>
            <w:tcW w:w="7933" w:type="dxa"/>
          </w:tcPr>
          <w:p w14:paraId="31C689AD" w14:textId="0CF60280" w:rsidR="000923C0" w:rsidRDefault="00441DC6">
            <w:pPr>
              <w:tabs>
                <w:tab w:val="right" w:pos="6732"/>
              </w:tabs>
              <w:rPr>
                <w:rFonts w:cs="Arial"/>
                <w:sz w:val="20"/>
                <w:szCs w:val="20"/>
              </w:rPr>
            </w:pPr>
            <w:r>
              <w:rPr>
                <w:rFonts w:cs="Arial"/>
                <w:sz w:val="20"/>
                <w:szCs w:val="20"/>
              </w:rPr>
              <w:t>464085</w:t>
            </w:r>
            <w:r w:rsidR="000923C0">
              <w:rPr>
                <w:rFonts w:cs="Arial"/>
                <w:sz w:val="20"/>
                <w:szCs w:val="20"/>
              </w:rPr>
              <w:t>:</w:t>
            </w:r>
          </w:p>
          <w:p w14:paraId="289C73DC" w14:textId="4517D4BC" w:rsidR="000923C0" w:rsidRDefault="00973097" w:rsidP="000923C0">
            <w:pPr>
              <w:tabs>
                <w:tab w:val="right" w:pos="6732"/>
              </w:tabs>
              <w:rPr>
                <w:rFonts w:cs="Arial"/>
                <w:sz w:val="20"/>
                <w:szCs w:val="20"/>
              </w:rPr>
            </w:pPr>
            <w:r>
              <w:rPr>
                <w:rFonts w:cs="Arial"/>
                <w:sz w:val="20"/>
                <w:szCs w:val="20"/>
              </w:rPr>
              <w:t>WPSDGEREWH0022</w:t>
            </w:r>
            <w:r w:rsidR="000923C0" w:rsidRPr="00D45B1C">
              <w:rPr>
                <w:rFonts w:cs="Arial"/>
                <w:sz w:val="20"/>
                <w:szCs w:val="20"/>
              </w:rPr>
              <w:t>-</w:t>
            </w:r>
            <w:r>
              <w:rPr>
                <w:rFonts w:cs="Arial"/>
                <w:sz w:val="20"/>
                <w:szCs w:val="20"/>
              </w:rPr>
              <w:t>Rev02</w:t>
            </w:r>
            <w:r w:rsidR="000923C0" w:rsidRPr="00D45B1C">
              <w:rPr>
                <w:rFonts w:cs="Arial"/>
                <w:sz w:val="20"/>
                <w:szCs w:val="20"/>
              </w:rPr>
              <w:t>-Msr001-FULL</w:t>
            </w:r>
            <w:r w:rsidR="004F6E80">
              <w:rPr>
                <w:rFonts w:cs="Arial"/>
                <w:sz w:val="20"/>
                <w:szCs w:val="20"/>
              </w:rPr>
              <w:t xml:space="preserve"> = $1,132.00</w:t>
            </w:r>
          </w:p>
          <w:p w14:paraId="151599BD" w14:textId="77777777" w:rsidR="000923C0" w:rsidRDefault="000923C0">
            <w:pPr>
              <w:tabs>
                <w:tab w:val="right" w:pos="6732"/>
              </w:tabs>
              <w:rPr>
                <w:rFonts w:cs="Arial"/>
                <w:sz w:val="20"/>
                <w:szCs w:val="20"/>
              </w:rPr>
            </w:pPr>
          </w:p>
          <w:p w14:paraId="78B7A0D4" w14:textId="725D2A36" w:rsidR="000923C0" w:rsidRDefault="00441DC6">
            <w:pPr>
              <w:tabs>
                <w:tab w:val="right" w:pos="6732"/>
              </w:tabs>
              <w:rPr>
                <w:rFonts w:cs="Arial"/>
                <w:sz w:val="20"/>
                <w:szCs w:val="20"/>
              </w:rPr>
            </w:pPr>
            <w:r>
              <w:rPr>
                <w:rFonts w:cs="Arial"/>
                <w:sz w:val="20"/>
                <w:szCs w:val="20"/>
              </w:rPr>
              <w:t>464086</w:t>
            </w:r>
            <w:r w:rsidR="000923C0">
              <w:rPr>
                <w:rFonts w:cs="Arial"/>
                <w:sz w:val="20"/>
                <w:szCs w:val="20"/>
              </w:rPr>
              <w:t>:</w:t>
            </w:r>
          </w:p>
          <w:p w14:paraId="37A1D58F" w14:textId="461362D8" w:rsidR="00A61271" w:rsidRPr="00476F40" w:rsidRDefault="00973097">
            <w:pPr>
              <w:tabs>
                <w:tab w:val="right" w:pos="6732"/>
              </w:tabs>
              <w:rPr>
                <w:rFonts w:cs="Arial"/>
                <w:sz w:val="20"/>
                <w:szCs w:val="20"/>
              </w:rPr>
            </w:pPr>
            <w:r>
              <w:rPr>
                <w:rFonts w:cs="Arial"/>
                <w:sz w:val="20"/>
                <w:szCs w:val="20"/>
              </w:rPr>
              <w:t>WPSDGEREWH0022-Rev0</w:t>
            </w:r>
            <w:r w:rsidR="00EA35A2">
              <w:rPr>
                <w:rFonts w:cs="Arial"/>
                <w:sz w:val="20"/>
                <w:szCs w:val="20"/>
              </w:rPr>
              <w:t>2</w:t>
            </w:r>
            <w:r w:rsidR="000923C0" w:rsidRPr="00D45B1C">
              <w:rPr>
                <w:rFonts w:cs="Arial"/>
                <w:sz w:val="20"/>
                <w:szCs w:val="20"/>
              </w:rPr>
              <w:t>-Msr002-FULL</w:t>
            </w:r>
            <w:r w:rsidR="000923C0">
              <w:rPr>
                <w:rFonts w:cs="Arial"/>
                <w:sz w:val="20"/>
                <w:szCs w:val="20"/>
              </w:rPr>
              <w:t xml:space="preserve"> = $</w:t>
            </w:r>
            <w:r w:rsidR="004F6E80">
              <w:rPr>
                <w:rFonts w:cs="Arial"/>
                <w:sz w:val="20"/>
                <w:szCs w:val="20"/>
              </w:rPr>
              <w:t>1,099.00</w:t>
            </w:r>
            <w:r w:rsidR="00A61271">
              <w:rPr>
                <w:rFonts w:cs="Arial"/>
                <w:sz w:val="20"/>
                <w:szCs w:val="20"/>
              </w:rPr>
              <w:tab/>
            </w:r>
          </w:p>
        </w:tc>
      </w:tr>
    </w:tbl>
    <w:p w14:paraId="1F7D2A70" w14:textId="77777777" w:rsidR="001B5D6C" w:rsidRDefault="001B5D6C" w:rsidP="00FE636E">
      <w:pPr>
        <w:spacing w:after="200" w:line="276" w:lineRule="auto"/>
      </w:pPr>
    </w:p>
    <w:p w14:paraId="1FD1CF19" w14:textId="1624288A" w:rsidR="00C228B0" w:rsidRPr="00FD3D43" w:rsidRDefault="00C228B0" w:rsidP="00567FEF"/>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29BCA" w14:textId="77777777" w:rsidR="00C31F84" w:rsidRDefault="00C31F84" w:rsidP="00FE520B">
      <w:r>
        <w:separator/>
      </w:r>
    </w:p>
  </w:endnote>
  <w:endnote w:type="continuationSeparator" w:id="0">
    <w:p w14:paraId="6B5D8DA6" w14:textId="77777777" w:rsidR="00C31F84" w:rsidRDefault="00C31F84"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59517" w14:textId="77777777" w:rsidR="00320328" w:rsidRDefault="003203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BF433" w14:textId="77777777" w:rsidR="00B148E9" w:rsidRPr="00241A1F" w:rsidRDefault="00B148E9" w:rsidP="00241A1F">
    <w:pPr>
      <w:pStyle w:val="Footer"/>
      <w:rPr>
        <w:rFonts w:cstheme="minorHAnsi"/>
        <w:b/>
        <w:szCs w:val="22"/>
      </w:rPr>
    </w:pPr>
    <w:r>
      <w:rPr>
        <w:b/>
      </w:rPr>
      <w:t>Workpaper WPSDGEREWH0022, Revision 2</w:t>
    </w:r>
    <w:r>
      <w:rPr>
        <w:b/>
      </w:rPr>
      <w:tab/>
    </w:r>
    <w:r>
      <w:rPr>
        <w:b/>
      </w:rPr>
      <w:tab/>
    </w:r>
    <w:r>
      <w:rPr>
        <w:rFonts w:cstheme="minorHAnsi"/>
        <w:b/>
        <w:szCs w:val="22"/>
      </w:rPr>
      <w:t>November 15, 2017</w:t>
    </w:r>
  </w:p>
  <w:p w14:paraId="2F6429A3" w14:textId="49DD3BE6" w:rsidR="00B148E9" w:rsidRPr="009500DC" w:rsidRDefault="00B148E9" w:rsidP="00241A1F">
    <w:pPr>
      <w:pStyle w:val="Footer"/>
      <w:tabs>
        <w:tab w:val="clear" w:pos="4680"/>
        <w:tab w:val="clear" w:pos="9360"/>
        <w:tab w:val="left" w:pos="5274"/>
      </w:tabs>
      <w:rPr>
        <w:rFonts w:cstheme="minorHAnsi"/>
      </w:rPr>
    </w:pPr>
    <w:r>
      <w:rPr>
        <w:b/>
      </w:rPr>
      <w:t>San Diego Gas &amp; Electric</w:t>
    </w:r>
    <w:r>
      <w:rPr>
        <w:b/>
      </w:rPr>
      <w:tab/>
    </w:r>
    <w:r w:rsidRPr="00C7215A">
      <w:rPr>
        <w:b/>
      </w:rPr>
      <w:fldChar w:fldCharType="begin"/>
    </w:r>
    <w:r w:rsidRPr="00C7215A">
      <w:rPr>
        <w:b/>
      </w:rPr>
      <w:instrText xml:space="preserve"> PAGE   \* MERGEFORMAT </w:instrText>
    </w:r>
    <w:r w:rsidRPr="00C7215A">
      <w:rPr>
        <w:b/>
      </w:rPr>
      <w:fldChar w:fldCharType="separate"/>
    </w:r>
    <w:r w:rsidR="00767D8B">
      <w:rPr>
        <w:b/>
        <w:noProof/>
      </w:rPr>
      <w:t>7</w:t>
    </w:r>
    <w:r w:rsidRPr="00C7215A">
      <w:rPr>
        <w:b/>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CB337" w14:textId="77777777" w:rsidR="00320328" w:rsidRDefault="003203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012D9A" w14:textId="77777777" w:rsidR="00C31F84" w:rsidRDefault="00C31F84" w:rsidP="00FE520B">
      <w:r>
        <w:separator/>
      </w:r>
    </w:p>
  </w:footnote>
  <w:footnote w:type="continuationSeparator" w:id="0">
    <w:p w14:paraId="0F0164E7" w14:textId="77777777" w:rsidR="00C31F84" w:rsidRDefault="00C31F84" w:rsidP="00FE5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D55D2" w14:textId="77777777" w:rsidR="00320328" w:rsidRDefault="003203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098038"/>
      <w:docPartObj>
        <w:docPartGallery w:val="Watermarks"/>
        <w:docPartUnique/>
      </w:docPartObj>
    </w:sdtPr>
    <w:sdtEndPr/>
    <w:sdtContent>
      <w:p w14:paraId="74E0E825" w14:textId="7E728048" w:rsidR="00320328" w:rsidRDefault="00767D8B">
        <w:pPr>
          <w:pStyle w:val="Header"/>
        </w:pPr>
        <w:r>
          <w:rPr>
            <w:noProof/>
          </w:rPr>
          <w:pict w14:anchorId="2B13BE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39A7" w14:textId="77777777" w:rsidR="00320328" w:rsidRDefault="003203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9408D2"/>
    <w:multiLevelType w:val="hybridMultilevel"/>
    <w:tmpl w:val="BFBE6D16"/>
    <w:lvl w:ilvl="0" w:tplc="D12AF5E4">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31231B"/>
    <w:multiLevelType w:val="hybridMultilevel"/>
    <w:tmpl w:val="AD74A80C"/>
    <w:lvl w:ilvl="0" w:tplc="21F8AAEC">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9D7D2A"/>
    <w:multiLevelType w:val="hybridMultilevel"/>
    <w:tmpl w:val="DCF8B6CC"/>
    <w:lvl w:ilvl="0" w:tplc="B8261A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334490F"/>
    <w:multiLevelType w:val="hybridMultilevel"/>
    <w:tmpl w:val="B84E18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A24B1D"/>
    <w:multiLevelType w:val="hybridMultilevel"/>
    <w:tmpl w:val="F2761DE6"/>
    <w:lvl w:ilvl="0" w:tplc="4A782C9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8917987"/>
    <w:multiLevelType w:val="hybridMultilevel"/>
    <w:tmpl w:val="C5C0E20A"/>
    <w:lvl w:ilvl="0" w:tplc="171CFAEC">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10"/>
  </w:num>
  <w:num w:numId="5">
    <w:abstractNumId w:val="16"/>
  </w:num>
  <w:num w:numId="6">
    <w:abstractNumId w:val="8"/>
  </w:num>
  <w:num w:numId="7">
    <w:abstractNumId w:val="22"/>
  </w:num>
  <w:num w:numId="8">
    <w:abstractNumId w:val="18"/>
  </w:num>
  <w:num w:numId="9">
    <w:abstractNumId w:val="9"/>
  </w:num>
  <w:num w:numId="10">
    <w:abstractNumId w:val="19"/>
  </w:num>
  <w:num w:numId="11">
    <w:abstractNumId w:val="21"/>
  </w:num>
  <w:num w:numId="12">
    <w:abstractNumId w:val="13"/>
  </w:num>
  <w:num w:numId="13">
    <w:abstractNumId w:val="23"/>
  </w:num>
  <w:num w:numId="14">
    <w:abstractNumId w:val="12"/>
  </w:num>
  <w:num w:numId="15">
    <w:abstractNumId w:val="14"/>
  </w:num>
  <w:num w:numId="16">
    <w:abstractNumId w:val="17"/>
  </w:num>
  <w:num w:numId="17">
    <w:abstractNumId w:val="11"/>
  </w:num>
  <w:num w:numId="18">
    <w:abstractNumId w:val="0"/>
  </w:num>
  <w:num w:numId="19">
    <w:abstractNumId w:val="3"/>
  </w:num>
  <w:num w:numId="20">
    <w:abstractNumId w:val="5"/>
  </w:num>
  <w:num w:numId="21">
    <w:abstractNumId w:val="1"/>
  </w:num>
  <w:num w:numId="22">
    <w:abstractNumId w:val="20"/>
  </w:num>
  <w:num w:numId="23">
    <w:abstractNumId w:val="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4D4E"/>
    <w:rsid w:val="00023C32"/>
    <w:rsid w:val="00031221"/>
    <w:rsid w:val="00031BA0"/>
    <w:rsid w:val="00052743"/>
    <w:rsid w:val="00052CE4"/>
    <w:rsid w:val="00067315"/>
    <w:rsid w:val="00067AF1"/>
    <w:rsid w:val="000719BF"/>
    <w:rsid w:val="000923C0"/>
    <w:rsid w:val="000B6542"/>
    <w:rsid w:val="000C13AE"/>
    <w:rsid w:val="000C441A"/>
    <w:rsid w:val="000D243C"/>
    <w:rsid w:val="000E19CA"/>
    <w:rsid w:val="000E2CA6"/>
    <w:rsid w:val="000F6BA3"/>
    <w:rsid w:val="000F72EF"/>
    <w:rsid w:val="001026F6"/>
    <w:rsid w:val="001046CB"/>
    <w:rsid w:val="00121B4E"/>
    <w:rsid w:val="0012271D"/>
    <w:rsid w:val="00131C78"/>
    <w:rsid w:val="00143843"/>
    <w:rsid w:val="00144D31"/>
    <w:rsid w:val="001458E6"/>
    <w:rsid w:val="001505DA"/>
    <w:rsid w:val="0016189C"/>
    <w:rsid w:val="001752E5"/>
    <w:rsid w:val="00183A2F"/>
    <w:rsid w:val="00194466"/>
    <w:rsid w:val="001979FF"/>
    <w:rsid w:val="001A11C1"/>
    <w:rsid w:val="001A4875"/>
    <w:rsid w:val="001B1C8A"/>
    <w:rsid w:val="001B5D6C"/>
    <w:rsid w:val="001C3663"/>
    <w:rsid w:val="001D0AB9"/>
    <w:rsid w:val="001D57D7"/>
    <w:rsid w:val="001D6A64"/>
    <w:rsid w:val="001E2146"/>
    <w:rsid w:val="00200310"/>
    <w:rsid w:val="00201A3F"/>
    <w:rsid w:val="00215828"/>
    <w:rsid w:val="00231DE1"/>
    <w:rsid w:val="0023550D"/>
    <w:rsid w:val="00241A1F"/>
    <w:rsid w:val="00244447"/>
    <w:rsid w:val="00275E08"/>
    <w:rsid w:val="00291B2B"/>
    <w:rsid w:val="002C1030"/>
    <w:rsid w:val="002C15E6"/>
    <w:rsid w:val="002D0BD6"/>
    <w:rsid w:val="002D7B3E"/>
    <w:rsid w:val="002E0948"/>
    <w:rsid w:val="002E24BE"/>
    <w:rsid w:val="00315E66"/>
    <w:rsid w:val="00320328"/>
    <w:rsid w:val="00323C28"/>
    <w:rsid w:val="00324368"/>
    <w:rsid w:val="0032761E"/>
    <w:rsid w:val="00360CFA"/>
    <w:rsid w:val="00384B27"/>
    <w:rsid w:val="003A0D2B"/>
    <w:rsid w:val="003A4277"/>
    <w:rsid w:val="003A7B4E"/>
    <w:rsid w:val="003B5DCF"/>
    <w:rsid w:val="003C2EE4"/>
    <w:rsid w:val="003D1C21"/>
    <w:rsid w:val="003E0DC8"/>
    <w:rsid w:val="003E122A"/>
    <w:rsid w:val="003E6E57"/>
    <w:rsid w:val="003E6FA5"/>
    <w:rsid w:val="003F1F0D"/>
    <w:rsid w:val="00402B3D"/>
    <w:rsid w:val="00413EF4"/>
    <w:rsid w:val="00431763"/>
    <w:rsid w:val="004402EE"/>
    <w:rsid w:val="00441DC6"/>
    <w:rsid w:val="0044686E"/>
    <w:rsid w:val="004519B4"/>
    <w:rsid w:val="00467DB3"/>
    <w:rsid w:val="00492365"/>
    <w:rsid w:val="004A6215"/>
    <w:rsid w:val="004B6B1C"/>
    <w:rsid w:val="004D0326"/>
    <w:rsid w:val="004D5D19"/>
    <w:rsid w:val="004E13B2"/>
    <w:rsid w:val="004E63B1"/>
    <w:rsid w:val="004F6E80"/>
    <w:rsid w:val="00513723"/>
    <w:rsid w:val="00515AD9"/>
    <w:rsid w:val="005428E1"/>
    <w:rsid w:val="00543687"/>
    <w:rsid w:val="00555671"/>
    <w:rsid w:val="005613FC"/>
    <w:rsid w:val="00567FEF"/>
    <w:rsid w:val="00580664"/>
    <w:rsid w:val="0059117D"/>
    <w:rsid w:val="00591D85"/>
    <w:rsid w:val="0059663B"/>
    <w:rsid w:val="005B5614"/>
    <w:rsid w:val="005C1518"/>
    <w:rsid w:val="005D5D5A"/>
    <w:rsid w:val="005E18A1"/>
    <w:rsid w:val="00636490"/>
    <w:rsid w:val="00650C31"/>
    <w:rsid w:val="00650F0D"/>
    <w:rsid w:val="00653C4B"/>
    <w:rsid w:val="00666CDA"/>
    <w:rsid w:val="00682E19"/>
    <w:rsid w:val="00684ABA"/>
    <w:rsid w:val="00686789"/>
    <w:rsid w:val="006875B3"/>
    <w:rsid w:val="00695478"/>
    <w:rsid w:val="006A3E63"/>
    <w:rsid w:val="006B0D5C"/>
    <w:rsid w:val="006D03F9"/>
    <w:rsid w:val="006D2B70"/>
    <w:rsid w:val="00707736"/>
    <w:rsid w:val="00711B58"/>
    <w:rsid w:val="007270EA"/>
    <w:rsid w:val="00727839"/>
    <w:rsid w:val="00762D81"/>
    <w:rsid w:val="00767D8B"/>
    <w:rsid w:val="00785AC8"/>
    <w:rsid w:val="00786E32"/>
    <w:rsid w:val="00787D7C"/>
    <w:rsid w:val="007927B6"/>
    <w:rsid w:val="00792928"/>
    <w:rsid w:val="00797B54"/>
    <w:rsid w:val="007B18FE"/>
    <w:rsid w:val="007D1A21"/>
    <w:rsid w:val="007D1F1E"/>
    <w:rsid w:val="007D3A21"/>
    <w:rsid w:val="007D4F8E"/>
    <w:rsid w:val="007D6FF1"/>
    <w:rsid w:val="007E7E00"/>
    <w:rsid w:val="008137B0"/>
    <w:rsid w:val="0081521B"/>
    <w:rsid w:val="00856FA4"/>
    <w:rsid w:val="00862113"/>
    <w:rsid w:val="008724D6"/>
    <w:rsid w:val="008775D7"/>
    <w:rsid w:val="008806EF"/>
    <w:rsid w:val="00884B9C"/>
    <w:rsid w:val="00895D80"/>
    <w:rsid w:val="008A1557"/>
    <w:rsid w:val="008A1D1C"/>
    <w:rsid w:val="008A4224"/>
    <w:rsid w:val="008B5184"/>
    <w:rsid w:val="008C01F7"/>
    <w:rsid w:val="008C2C8A"/>
    <w:rsid w:val="008D0B3C"/>
    <w:rsid w:val="008D74B6"/>
    <w:rsid w:val="008E0850"/>
    <w:rsid w:val="008E5CD5"/>
    <w:rsid w:val="0090016E"/>
    <w:rsid w:val="00910D54"/>
    <w:rsid w:val="0093657B"/>
    <w:rsid w:val="0094267E"/>
    <w:rsid w:val="00950249"/>
    <w:rsid w:val="00950898"/>
    <w:rsid w:val="009554D7"/>
    <w:rsid w:val="00957C01"/>
    <w:rsid w:val="009618BA"/>
    <w:rsid w:val="00973097"/>
    <w:rsid w:val="00986A83"/>
    <w:rsid w:val="00992548"/>
    <w:rsid w:val="009B3354"/>
    <w:rsid w:val="009C3F2D"/>
    <w:rsid w:val="009C6AE8"/>
    <w:rsid w:val="009E1662"/>
    <w:rsid w:val="009F0CF0"/>
    <w:rsid w:val="009F3770"/>
    <w:rsid w:val="00A051D9"/>
    <w:rsid w:val="00A05AEF"/>
    <w:rsid w:val="00A21710"/>
    <w:rsid w:val="00A3401B"/>
    <w:rsid w:val="00A578F7"/>
    <w:rsid w:val="00A61271"/>
    <w:rsid w:val="00A66572"/>
    <w:rsid w:val="00A75EDC"/>
    <w:rsid w:val="00A90F14"/>
    <w:rsid w:val="00A9441E"/>
    <w:rsid w:val="00AA43C4"/>
    <w:rsid w:val="00AB7E3A"/>
    <w:rsid w:val="00AD74B2"/>
    <w:rsid w:val="00AE4353"/>
    <w:rsid w:val="00B148E9"/>
    <w:rsid w:val="00B16652"/>
    <w:rsid w:val="00B471CC"/>
    <w:rsid w:val="00B47B58"/>
    <w:rsid w:val="00B51E0C"/>
    <w:rsid w:val="00B57F32"/>
    <w:rsid w:val="00B61FCD"/>
    <w:rsid w:val="00B75260"/>
    <w:rsid w:val="00B9234D"/>
    <w:rsid w:val="00B9551F"/>
    <w:rsid w:val="00BB2D80"/>
    <w:rsid w:val="00BB4B25"/>
    <w:rsid w:val="00BB5D3A"/>
    <w:rsid w:val="00BC6454"/>
    <w:rsid w:val="00BD1795"/>
    <w:rsid w:val="00BD4AFD"/>
    <w:rsid w:val="00BD5433"/>
    <w:rsid w:val="00C048F4"/>
    <w:rsid w:val="00C05E32"/>
    <w:rsid w:val="00C06B9E"/>
    <w:rsid w:val="00C131CB"/>
    <w:rsid w:val="00C15F66"/>
    <w:rsid w:val="00C228B0"/>
    <w:rsid w:val="00C23CAB"/>
    <w:rsid w:val="00C31F84"/>
    <w:rsid w:val="00C414A6"/>
    <w:rsid w:val="00C425CA"/>
    <w:rsid w:val="00C44E5A"/>
    <w:rsid w:val="00C462C1"/>
    <w:rsid w:val="00C52867"/>
    <w:rsid w:val="00C54AC6"/>
    <w:rsid w:val="00C62A00"/>
    <w:rsid w:val="00C7215A"/>
    <w:rsid w:val="00C75814"/>
    <w:rsid w:val="00CA48A0"/>
    <w:rsid w:val="00CA5B8F"/>
    <w:rsid w:val="00CB10BC"/>
    <w:rsid w:val="00CF295D"/>
    <w:rsid w:val="00CF2ABA"/>
    <w:rsid w:val="00D45B1C"/>
    <w:rsid w:val="00D60240"/>
    <w:rsid w:val="00D645DB"/>
    <w:rsid w:val="00D73600"/>
    <w:rsid w:val="00D73723"/>
    <w:rsid w:val="00DA5D17"/>
    <w:rsid w:val="00DB544A"/>
    <w:rsid w:val="00DB71F1"/>
    <w:rsid w:val="00DC42DE"/>
    <w:rsid w:val="00DC4D1E"/>
    <w:rsid w:val="00DC7243"/>
    <w:rsid w:val="00DE1C5D"/>
    <w:rsid w:val="00DE364E"/>
    <w:rsid w:val="00E048EA"/>
    <w:rsid w:val="00E05871"/>
    <w:rsid w:val="00E05B9C"/>
    <w:rsid w:val="00E159C8"/>
    <w:rsid w:val="00E165FC"/>
    <w:rsid w:val="00E3247B"/>
    <w:rsid w:val="00E33C12"/>
    <w:rsid w:val="00E372B8"/>
    <w:rsid w:val="00E408A9"/>
    <w:rsid w:val="00E56CE7"/>
    <w:rsid w:val="00E6385A"/>
    <w:rsid w:val="00E6631C"/>
    <w:rsid w:val="00E733C7"/>
    <w:rsid w:val="00E76853"/>
    <w:rsid w:val="00E84938"/>
    <w:rsid w:val="00E859F0"/>
    <w:rsid w:val="00EA35A2"/>
    <w:rsid w:val="00EC34A0"/>
    <w:rsid w:val="00EC38B0"/>
    <w:rsid w:val="00ED3B34"/>
    <w:rsid w:val="00ED65C0"/>
    <w:rsid w:val="00EE38DA"/>
    <w:rsid w:val="00EE6CFE"/>
    <w:rsid w:val="00F117C6"/>
    <w:rsid w:val="00F22251"/>
    <w:rsid w:val="00F3167F"/>
    <w:rsid w:val="00F4328B"/>
    <w:rsid w:val="00F77C08"/>
    <w:rsid w:val="00F855DD"/>
    <w:rsid w:val="00F915C5"/>
    <w:rsid w:val="00FA3359"/>
    <w:rsid w:val="00FB4B16"/>
    <w:rsid w:val="00FC1793"/>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6899C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45DB"/>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uiPriority w:val="99"/>
    <w:semiHidden/>
    <w:rsid w:val="007E7E00"/>
    <w:rPr>
      <w:vertAlign w:val="superscript"/>
    </w:rPr>
  </w:style>
  <w:style w:type="table" w:styleId="TableContemporary">
    <w:name w:val="Table Contemporary"/>
    <w:aliases w:val="WP Table"/>
    <w:basedOn w:val="TableNormal"/>
    <w:unhideWhenUsed/>
    <w:rsid w:val="000B654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Normal1">
    <w:name w:val="Normal1"/>
    <w:basedOn w:val="Normal"/>
    <w:rsid w:val="009554D7"/>
    <w:pPr>
      <w:overflowPunct w:val="0"/>
      <w:autoSpaceDE w:val="0"/>
      <w:autoSpaceDN w:val="0"/>
      <w:adjustRightInd w:val="0"/>
      <w:spacing w:after="120" w:line="360" w:lineRule="atLeast"/>
      <w:textAlignment w:val="baseline"/>
    </w:pPr>
    <w:rPr>
      <w:rFonts w:ascii="Times New Roman" w:eastAsia="Batang"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154907948">
      <w:bodyDiv w:val="1"/>
      <w:marLeft w:val="0"/>
      <w:marRight w:val="0"/>
      <w:marTop w:val="0"/>
      <w:marBottom w:val="0"/>
      <w:divBdr>
        <w:top w:val="none" w:sz="0" w:space="0" w:color="auto"/>
        <w:left w:val="none" w:sz="0" w:space="0" w:color="auto"/>
        <w:bottom w:val="none" w:sz="0" w:space="0" w:color="auto"/>
        <w:right w:val="none" w:sz="0" w:space="0" w:color="auto"/>
      </w:divBdr>
    </w:div>
    <w:div w:id="1826554107">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tmp"/><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image" Target="media/image5.tmp"/><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7B8E8B9-15E6-4303-8660-6993BB219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874</Words>
  <Characters>4982</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2017-11-21T00:48:00Z</dcterms:created>
  <dcterms:modified xsi:type="dcterms:W3CDTF">2017-11-21T00:48:00Z</dcterms:modified>
</cp:coreProperties>
</file>