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C502B" w14:textId="77777777"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A86375" w:rsidRPr="00A86375">
        <w:t>WPSDGERERN001</w:t>
      </w:r>
    </w:p>
    <w:p w14:paraId="37CC6367" w14:textId="11E65B6E"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8B685C">
        <w:rPr>
          <w:rStyle w:val="CaptionChar"/>
          <w:b/>
          <w:bCs w:val="0"/>
        </w:rPr>
        <w:t>4</w:t>
      </w:r>
    </w:p>
    <w:bookmarkEnd w:id="0"/>
    <w:p w14:paraId="370E41D5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14:paraId="390052EF" w14:textId="77777777" w:rsidR="00E6385A" w:rsidRPr="00E6385A" w:rsidRDefault="006875B3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San Diego Gas &amp; Electric</w:t>
      </w:r>
    </w:p>
    <w:p w14:paraId="5C7A6A66" w14:textId="77777777"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14:paraId="5F50A125" w14:textId="77777777" w:rsidR="00F117C6" w:rsidRPr="00500C4E" w:rsidRDefault="00F117C6" w:rsidP="00F117C6">
      <w:pPr>
        <w:rPr>
          <w:rFonts w:cstheme="minorHAnsi"/>
        </w:rPr>
      </w:pPr>
    </w:p>
    <w:p w14:paraId="3342FD55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2BFD6725" w14:textId="77777777" w:rsidR="00F117C6" w:rsidRPr="00500C4E" w:rsidRDefault="00F117C6" w:rsidP="00F117C6">
      <w:pPr>
        <w:rPr>
          <w:rFonts w:cstheme="minorHAnsi"/>
        </w:rPr>
      </w:pPr>
    </w:p>
    <w:p w14:paraId="336AB1F0" w14:textId="77777777" w:rsidR="00F117C6" w:rsidRPr="00500C4E" w:rsidRDefault="00F117C6" w:rsidP="00F117C6">
      <w:pPr>
        <w:rPr>
          <w:rFonts w:cstheme="minorHAnsi"/>
        </w:rPr>
      </w:pPr>
    </w:p>
    <w:p w14:paraId="1F390035" w14:textId="77777777" w:rsidR="00F117C6" w:rsidRPr="00500C4E" w:rsidRDefault="00F117C6" w:rsidP="00F117C6">
      <w:pPr>
        <w:rPr>
          <w:rFonts w:cstheme="minorHAnsi"/>
        </w:rPr>
      </w:pPr>
    </w:p>
    <w:p w14:paraId="68C9B7AF" w14:textId="77777777" w:rsidR="00F117C6" w:rsidRPr="00500C4E" w:rsidRDefault="00F117C6" w:rsidP="00F117C6">
      <w:pPr>
        <w:rPr>
          <w:rFonts w:cstheme="minorHAnsi"/>
        </w:rPr>
      </w:pPr>
    </w:p>
    <w:p w14:paraId="1D98AAE3" w14:textId="77777777" w:rsidR="00F117C6" w:rsidRPr="00500C4E" w:rsidRDefault="00F117C6" w:rsidP="00F117C6">
      <w:pPr>
        <w:rPr>
          <w:rFonts w:cstheme="minorHAnsi"/>
        </w:rPr>
      </w:pPr>
    </w:p>
    <w:p w14:paraId="04E0990A" w14:textId="77777777" w:rsidR="00A86375" w:rsidRDefault="00A86375" w:rsidP="00A86375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Residential Single Family and Multi-Family</w:t>
      </w:r>
    </w:p>
    <w:p w14:paraId="375BCE8E" w14:textId="77777777" w:rsidR="00A86375" w:rsidRDefault="00A86375" w:rsidP="00A86375">
      <w:pPr>
        <w:rPr>
          <w:rFonts w:cstheme="minorHAnsi"/>
          <w:szCs w:val="22"/>
        </w:rPr>
      </w:pPr>
      <w:r>
        <w:rPr>
          <w:rFonts w:cstheme="minorHAnsi"/>
          <w:b/>
          <w:sz w:val="72"/>
          <w:szCs w:val="72"/>
        </w:rPr>
        <w:t>Condenser Coil Cleaning</w:t>
      </w:r>
    </w:p>
    <w:p w14:paraId="580FE0B8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42CE974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A04F59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B4E4B7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5B100B2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27493EB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D5B5D8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5202F54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EC48C5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548FC3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C00813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A697CCA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BE4FD2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AD02AE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F0B2EDF" w14:textId="77777777"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14:paraId="7B11EF29" w14:textId="436023E5" w:rsidR="00E372B8" w:rsidRDefault="006642F9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November 05</w:t>
      </w:r>
      <w:r w:rsidR="00C75814">
        <w:rPr>
          <w:rFonts w:cstheme="minorHAnsi"/>
          <w:b/>
          <w:sz w:val="28"/>
          <w:szCs w:val="28"/>
        </w:rPr>
        <w:t>, 201</w:t>
      </w:r>
      <w:r>
        <w:rPr>
          <w:rFonts w:cstheme="minorHAnsi"/>
          <w:b/>
          <w:sz w:val="28"/>
          <w:szCs w:val="28"/>
        </w:rPr>
        <w:t>8</w:t>
      </w:r>
    </w:p>
    <w:p w14:paraId="7A10E30A" w14:textId="77777777" w:rsidR="00E372B8" w:rsidRPr="000F72EF" w:rsidRDefault="00E372B8" w:rsidP="006642F9">
      <w:pPr>
        <w:jc w:val="center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40B4520B" w14:textId="77777777" w:rsidR="00413EF4" w:rsidRDefault="00413EF4" w:rsidP="00413EF4">
      <w:pPr>
        <w:pStyle w:val="Heading2"/>
      </w:pPr>
      <w:r>
        <w:lastRenderedPageBreak/>
        <w:t>Introduction</w:t>
      </w:r>
    </w:p>
    <w:p w14:paraId="60BC46D6" w14:textId="75077BF3" w:rsidR="003E035B" w:rsidRPr="002717A2" w:rsidRDefault="006642F9" w:rsidP="005248E2">
      <w:pPr>
        <w:jc w:val="both"/>
        <w:rPr>
          <w:sz w:val="20"/>
          <w:szCs w:val="20"/>
        </w:rPr>
      </w:pPr>
      <w:r w:rsidRPr="00FC760B">
        <w:rPr>
          <w:sz w:val="20"/>
          <w:szCs w:val="20"/>
        </w:rPr>
        <w:t xml:space="preserve">This short form workpaper </w:t>
      </w:r>
      <w:r>
        <w:rPr>
          <w:sz w:val="20"/>
          <w:szCs w:val="20"/>
        </w:rPr>
        <w:t>updates WPSDGERERN001 Rev3 based on a discussion with CPUC staff on August 8</w:t>
      </w:r>
      <w:r w:rsidRPr="009646A6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, 2018 during the monthly SDG&amp;E call with the CPUC EAR team. CPUC staff stated the incidence factor from </w:t>
      </w:r>
      <w:r w:rsidRPr="00FC760B">
        <w:rPr>
          <w:sz w:val="20"/>
          <w:szCs w:val="20"/>
        </w:rPr>
        <w:t>Energy Division Workpaper Disposition for Residential HVAC Quality Maintenance dated May 2, 2013</w:t>
      </w:r>
      <w:r>
        <w:rPr>
          <w:sz w:val="20"/>
          <w:szCs w:val="20"/>
        </w:rPr>
        <w:t xml:space="preserve"> only was to be applied to bundled QM measures and was not intended for stand-alone measures</w:t>
      </w:r>
      <w:r w:rsidR="005248E2" w:rsidRPr="002717A2">
        <w:rPr>
          <w:sz w:val="20"/>
          <w:szCs w:val="20"/>
        </w:rPr>
        <w:t xml:space="preserve">. </w:t>
      </w:r>
      <w:r w:rsidR="005E18A1" w:rsidRPr="002717A2">
        <w:rPr>
          <w:sz w:val="20"/>
          <w:szCs w:val="20"/>
        </w:rPr>
        <w:t xml:space="preserve">SDG&amp;E </w:t>
      </w:r>
      <w:r w:rsidR="00555671" w:rsidRPr="002717A2">
        <w:rPr>
          <w:sz w:val="20"/>
          <w:szCs w:val="20"/>
        </w:rPr>
        <w:t>a</w:t>
      </w:r>
      <w:r w:rsidR="005E18A1" w:rsidRPr="002717A2">
        <w:rPr>
          <w:sz w:val="20"/>
          <w:szCs w:val="20"/>
        </w:rPr>
        <w:t>d</w:t>
      </w:r>
      <w:r w:rsidR="00555671" w:rsidRPr="002717A2">
        <w:rPr>
          <w:sz w:val="20"/>
          <w:szCs w:val="20"/>
        </w:rPr>
        <w:t>op</w:t>
      </w:r>
      <w:r w:rsidR="005E18A1" w:rsidRPr="002717A2">
        <w:rPr>
          <w:sz w:val="20"/>
          <w:szCs w:val="20"/>
        </w:rPr>
        <w:t xml:space="preserve">ts the values in </w:t>
      </w:r>
      <w:r>
        <w:rPr>
          <w:sz w:val="20"/>
          <w:szCs w:val="20"/>
        </w:rPr>
        <w:t>READI v2.5.1</w:t>
      </w:r>
      <w:r w:rsidR="00A86375" w:rsidRPr="002717A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assuming </w:t>
      </w:r>
      <w:r>
        <w:rPr>
          <w:rFonts w:cs="Calibri"/>
          <w:sz w:val="20"/>
          <w:szCs w:val="20"/>
        </w:rPr>
        <w:t xml:space="preserve">that </w:t>
      </w:r>
      <w:r w:rsidRPr="00D131E7">
        <w:rPr>
          <w:rFonts w:cs="Calibri"/>
          <w:sz w:val="20"/>
          <w:szCs w:val="20"/>
        </w:rPr>
        <w:t>non-charge related services may account for an additional 25% savings on top of RCA</w:t>
      </w:r>
      <w:r>
        <w:rPr>
          <w:rFonts w:cs="Calibri"/>
          <w:sz w:val="20"/>
          <w:szCs w:val="20"/>
        </w:rPr>
        <w:t xml:space="preserve"> per</w:t>
      </w:r>
      <w:r w:rsidR="00251A7E" w:rsidRPr="005D568F">
        <w:rPr>
          <w:sz w:val="20"/>
          <w:szCs w:val="20"/>
        </w:rPr>
        <w:t xml:space="preserve"> Energy Division Workpaper Disposition for Residential HVAC Qualit</w:t>
      </w:r>
      <w:r w:rsidR="00251A7E">
        <w:rPr>
          <w:sz w:val="20"/>
          <w:szCs w:val="20"/>
        </w:rPr>
        <w:t>y Maintenance dated May 2, 2013</w:t>
      </w:r>
      <w:r w:rsidR="00027C83" w:rsidRPr="002717A2">
        <w:rPr>
          <w:rStyle w:val="EndnoteReference"/>
          <w:sz w:val="20"/>
          <w:szCs w:val="20"/>
        </w:rPr>
        <w:endnoteReference w:id="1"/>
      </w:r>
      <w:r w:rsidR="008C12AC">
        <w:rPr>
          <w:sz w:val="20"/>
          <w:szCs w:val="20"/>
        </w:rPr>
        <w:t xml:space="preserve"> and</w:t>
      </w:r>
      <w:r>
        <w:rPr>
          <w:sz w:val="20"/>
          <w:szCs w:val="20"/>
        </w:rPr>
        <w:t xml:space="preserve"> detailed in Section 2 below</w:t>
      </w:r>
      <w:r w:rsidR="005248E2" w:rsidRPr="002717A2">
        <w:rPr>
          <w:sz w:val="20"/>
          <w:szCs w:val="20"/>
        </w:rPr>
        <w:t>.</w:t>
      </w:r>
      <w:r w:rsidR="002717A2" w:rsidRPr="002717A2">
        <w:rPr>
          <w:sz w:val="20"/>
          <w:szCs w:val="20"/>
        </w:rPr>
        <w:t xml:space="preserve"> The costs are </w:t>
      </w:r>
      <w:r w:rsidR="008B685C">
        <w:rPr>
          <w:sz w:val="20"/>
          <w:szCs w:val="20"/>
        </w:rPr>
        <w:t xml:space="preserve">still </w:t>
      </w:r>
      <w:r w:rsidR="002717A2" w:rsidRPr="002717A2">
        <w:rPr>
          <w:sz w:val="20"/>
          <w:szCs w:val="20"/>
        </w:rPr>
        <w:t>adopted from 2010-2012 WO17 Ex Ante Measure Cost Study</w:t>
      </w:r>
      <w:r w:rsidR="002717A2" w:rsidRPr="002717A2">
        <w:rPr>
          <w:rStyle w:val="EndnoteReference"/>
          <w:sz w:val="20"/>
          <w:szCs w:val="20"/>
        </w:rPr>
        <w:endnoteReference w:id="2"/>
      </w:r>
      <w:r w:rsidR="002717A2" w:rsidRPr="002717A2">
        <w:rPr>
          <w:sz w:val="20"/>
          <w:szCs w:val="20"/>
        </w:rPr>
        <w:t>.</w:t>
      </w:r>
    </w:p>
    <w:p w14:paraId="31F66D97" w14:textId="77777777"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66"/>
        <w:gridCol w:w="1754"/>
        <w:gridCol w:w="5806"/>
      </w:tblGrid>
      <w:tr w:rsidR="00B57F32" w:rsidRPr="00500C4E" w14:paraId="432417F7" w14:textId="77777777" w:rsidTr="00C131CB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55D6F845" w14:textId="77777777" w:rsidR="00B57F32" w:rsidRPr="000E2B6B" w:rsidRDefault="00B57F32" w:rsidP="00BE39B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32FF54AC" w14:textId="77777777" w:rsidR="00B57F32" w:rsidRPr="000E2B6B" w:rsidRDefault="00B57F32" w:rsidP="00BE39B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38" w:type="pct"/>
            <w:shd w:val="clear" w:color="auto" w:fill="D9D9D9" w:themeFill="background1" w:themeFillShade="D9"/>
          </w:tcPr>
          <w:p w14:paraId="086009A7" w14:textId="77777777" w:rsidR="00B57F32" w:rsidRPr="000E2B6B" w:rsidRDefault="00B57F32" w:rsidP="00BE39B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05" w:type="pct"/>
            <w:shd w:val="clear" w:color="auto" w:fill="D9D9D9" w:themeFill="background1" w:themeFillShade="D9"/>
          </w:tcPr>
          <w:p w14:paraId="675F03DD" w14:textId="77777777" w:rsidR="00B57F32" w:rsidRPr="000E2B6B" w:rsidRDefault="00B57F32" w:rsidP="00BE39B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A86375" w:rsidRPr="00500C4E" w14:paraId="47BC4C97" w14:textId="77777777" w:rsidTr="00C131CB">
        <w:trPr>
          <w:trHeight w:val="20"/>
        </w:trPr>
        <w:tc>
          <w:tcPr>
            <w:tcW w:w="280" w:type="pct"/>
          </w:tcPr>
          <w:p w14:paraId="5AB84109" w14:textId="77777777" w:rsidR="00A86375" w:rsidRDefault="00A86375" w:rsidP="00A86375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69A3DC18" w14:textId="77777777" w:rsidR="00A86375" w:rsidRDefault="00A86375" w:rsidP="00A86375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06/15/2012</w:t>
            </w:r>
          </w:p>
        </w:tc>
        <w:tc>
          <w:tcPr>
            <w:tcW w:w="938" w:type="pct"/>
          </w:tcPr>
          <w:p w14:paraId="4E3F7F27" w14:textId="77777777" w:rsidR="00A86375" w:rsidRDefault="00A86375" w:rsidP="00A86375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Unknown / SDG&amp;E</w:t>
            </w:r>
          </w:p>
        </w:tc>
        <w:tc>
          <w:tcPr>
            <w:tcW w:w="3105" w:type="pct"/>
          </w:tcPr>
          <w:p w14:paraId="74FDCD5D" w14:textId="77777777" w:rsidR="00A86375" w:rsidRDefault="00A86375" w:rsidP="00A86375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Adopted from KEMA Services Inc, Residential Single Family and Multifamily Condenser Coil Cleaning WPKEM-RES-CON, Revision 1 dated November 2009.  Updated NTGR to DEER 2011</w:t>
            </w:r>
          </w:p>
        </w:tc>
      </w:tr>
      <w:tr w:rsidR="00A86375" w:rsidRPr="00500C4E" w14:paraId="0D73E5B1" w14:textId="77777777" w:rsidTr="00C131CB">
        <w:trPr>
          <w:trHeight w:val="20"/>
        </w:trPr>
        <w:tc>
          <w:tcPr>
            <w:tcW w:w="280" w:type="pct"/>
          </w:tcPr>
          <w:p w14:paraId="1DD31499" w14:textId="77777777" w:rsidR="00A86375" w:rsidRDefault="00A86375" w:rsidP="00A86375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0.1</w:t>
            </w:r>
          </w:p>
        </w:tc>
        <w:tc>
          <w:tcPr>
            <w:tcW w:w="677" w:type="pct"/>
          </w:tcPr>
          <w:p w14:paraId="45C9FFF5" w14:textId="77777777" w:rsidR="00A86375" w:rsidRDefault="00A86375" w:rsidP="00A86375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06/27/2014</w:t>
            </w:r>
          </w:p>
        </w:tc>
        <w:tc>
          <w:tcPr>
            <w:tcW w:w="938" w:type="pct"/>
          </w:tcPr>
          <w:p w14:paraId="716D33B1" w14:textId="77777777" w:rsidR="00A86375" w:rsidRDefault="00A86375" w:rsidP="00A86375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Judelson Enriquez / RMS Energy Consulting, LLC</w:t>
            </w:r>
          </w:p>
        </w:tc>
        <w:tc>
          <w:tcPr>
            <w:tcW w:w="3105" w:type="pct"/>
          </w:tcPr>
          <w:p w14:paraId="0564F767" w14:textId="77777777" w:rsidR="00A86375" w:rsidRDefault="00A86375" w:rsidP="00A86375">
            <w:pPr>
              <w:tabs>
                <w:tab w:val="left" w:pos="1027"/>
              </w:tabs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INTERNAL REVISION ONLY – no material impacts made</w:t>
            </w:r>
          </w:p>
        </w:tc>
      </w:tr>
      <w:tr w:rsidR="00A86375" w:rsidRPr="00500C4E" w14:paraId="48C5BC47" w14:textId="77777777" w:rsidTr="00C131CB">
        <w:trPr>
          <w:trHeight w:val="20"/>
        </w:trPr>
        <w:tc>
          <w:tcPr>
            <w:tcW w:w="280" w:type="pct"/>
          </w:tcPr>
          <w:p w14:paraId="323F5E6A" w14:textId="77777777" w:rsidR="00A86375" w:rsidRPr="000E2B6B" w:rsidRDefault="00A86375" w:rsidP="00A86375">
            <w:pPr>
              <w:jc w:val="center"/>
              <w:rPr>
                <w:rFonts w:cstheme="minorHAnsi"/>
                <w:szCs w:val="20"/>
              </w:rPr>
            </w:pPr>
            <w:r>
              <w:t>1</w:t>
            </w:r>
          </w:p>
        </w:tc>
        <w:tc>
          <w:tcPr>
            <w:tcW w:w="677" w:type="pct"/>
          </w:tcPr>
          <w:p w14:paraId="4415DB4E" w14:textId="77777777" w:rsidR="00A86375" w:rsidRPr="00180D3D" w:rsidRDefault="00A86375" w:rsidP="00A86375">
            <w:pPr>
              <w:jc w:val="center"/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938" w:type="pct"/>
          </w:tcPr>
          <w:p w14:paraId="158B0E2A" w14:textId="77777777" w:rsidR="00A86375" w:rsidRPr="00180D3D" w:rsidRDefault="00A86375" w:rsidP="00A86375">
            <w:pPr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3105" w:type="pct"/>
          </w:tcPr>
          <w:p w14:paraId="12AB1809" w14:textId="77777777" w:rsidR="00A86375" w:rsidRPr="00180D3D" w:rsidRDefault="00A86375" w:rsidP="00A86375">
            <w:pPr>
              <w:rPr>
                <w:rFonts w:cstheme="minorHAnsi"/>
                <w:szCs w:val="20"/>
                <w:highlight w:val="yellow"/>
              </w:rPr>
            </w:pPr>
          </w:p>
        </w:tc>
      </w:tr>
      <w:tr w:rsidR="00076A20" w:rsidRPr="00500C4E" w14:paraId="0E165D30" w14:textId="77777777" w:rsidTr="00C131CB">
        <w:trPr>
          <w:trHeight w:val="20"/>
        </w:trPr>
        <w:tc>
          <w:tcPr>
            <w:tcW w:w="280" w:type="pct"/>
          </w:tcPr>
          <w:p w14:paraId="64D4D3AC" w14:textId="77777777" w:rsidR="00076A20" w:rsidRDefault="00076A20" w:rsidP="00076A20">
            <w:pPr>
              <w:jc w:val="center"/>
            </w:pPr>
            <w:r>
              <w:t>2</w:t>
            </w:r>
          </w:p>
        </w:tc>
        <w:tc>
          <w:tcPr>
            <w:tcW w:w="677" w:type="pct"/>
          </w:tcPr>
          <w:p w14:paraId="53C94C31" w14:textId="77777777" w:rsidR="00076A20" w:rsidRPr="000E2B6B" w:rsidRDefault="00076A20" w:rsidP="00076A20">
            <w:pPr>
              <w:jc w:val="center"/>
              <w:rPr>
                <w:rFonts w:cstheme="minorHAnsi"/>
                <w:szCs w:val="20"/>
              </w:rPr>
            </w:pPr>
            <w:r>
              <w:rPr>
                <w:szCs w:val="20"/>
              </w:rPr>
              <w:t>12/01/17</w:t>
            </w:r>
          </w:p>
        </w:tc>
        <w:tc>
          <w:tcPr>
            <w:tcW w:w="938" w:type="pct"/>
          </w:tcPr>
          <w:p w14:paraId="6C7CE46A" w14:textId="77777777" w:rsidR="00076A20" w:rsidRPr="000E2B6B" w:rsidRDefault="00076A20" w:rsidP="00076A2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 Keith Valenzuela/SDGE Contractor </w:t>
            </w:r>
          </w:p>
        </w:tc>
        <w:tc>
          <w:tcPr>
            <w:tcW w:w="3105" w:type="pct"/>
          </w:tcPr>
          <w:p w14:paraId="3C9DD58D" w14:textId="22EE6101" w:rsidR="00076A20" w:rsidRPr="00E63BCA" w:rsidRDefault="00076A20" w:rsidP="00076A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Adopted </w:t>
            </w:r>
            <w:r>
              <w:t>READI v.2.4.7 energy impacts for DEER 2014</w:t>
            </w:r>
            <w:r w:rsidR="00E63BCA">
              <w:t xml:space="preserve"> </w:t>
            </w:r>
            <w:r>
              <w:t>updates in accordance with Energy Division Workpaper Disposition for Residential HVAC Quality Maintenance dated May 2, 2013.</w:t>
            </w:r>
          </w:p>
        </w:tc>
      </w:tr>
      <w:tr w:rsidR="00E63BCA" w:rsidRPr="00500C4E" w14:paraId="536D3A8B" w14:textId="77777777" w:rsidTr="00C131CB">
        <w:trPr>
          <w:trHeight w:val="20"/>
        </w:trPr>
        <w:tc>
          <w:tcPr>
            <w:tcW w:w="280" w:type="pct"/>
          </w:tcPr>
          <w:p w14:paraId="6BC4D636" w14:textId="6704E753" w:rsidR="00E63BCA" w:rsidRDefault="00E63BCA" w:rsidP="00E63BCA">
            <w:pPr>
              <w:jc w:val="center"/>
            </w:pPr>
            <w:r>
              <w:t>3</w:t>
            </w:r>
          </w:p>
        </w:tc>
        <w:tc>
          <w:tcPr>
            <w:tcW w:w="677" w:type="pct"/>
          </w:tcPr>
          <w:p w14:paraId="795AC4CF" w14:textId="22AD1D2C" w:rsidR="00E63BCA" w:rsidRDefault="00E63BCA" w:rsidP="00E63BC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12/15/17</w:t>
            </w:r>
          </w:p>
        </w:tc>
        <w:tc>
          <w:tcPr>
            <w:tcW w:w="938" w:type="pct"/>
          </w:tcPr>
          <w:p w14:paraId="2A3D2852" w14:textId="0DB02939" w:rsidR="00E63BCA" w:rsidRDefault="00E63BCA" w:rsidP="00E63BCA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 Keith Valenzuela/SDGE Contractor </w:t>
            </w:r>
          </w:p>
        </w:tc>
        <w:tc>
          <w:tcPr>
            <w:tcW w:w="3105" w:type="pct"/>
          </w:tcPr>
          <w:p w14:paraId="074093A8" w14:textId="7BA32281" w:rsidR="00E63BCA" w:rsidRDefault="00E63BCA" w:rsidP="00E63BC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Adopted </w:t>
            </w:r>
            <w:r>
              <w:t xml:space="preserve">READI v.2.4.7 energy impacts for DEER 2018 updates </w:t>
            </w:r>
            <w:r w:rsidR="00251A7E">
              <w:t xml:space="preserve">with adjustment factors from </w:t>
            </w:r>
            <w:r>
              <w:t>Energy Division Workpaper Disposition for Residential HVAC Quality Maintenance dated May 2, 2013.</w:t>
            </w:r>
          </w:p>
        </w:tc>
      </w:tr>
      <w:tr w:rsidR="000A63E9" w:rsidRPr="00500C4E" w14:paraId="62E863FA" w14:textId="77777777" w:rsidTr="00C131CB">
        <w:trPr>
          <w:trHeight w:val="20"/>
        </w:trPr>
        <w:tc>
          <w:tcPr>
            <w:tcW w:w="280" w:type="pct"/>
          </w:tcPr>
          <w:p w14:paraId="5E2470EB" w14:textId="335BA3B7" w:rsidR="000A63E9" w:rsidRDefault="000A63E9" w:rsidP="00E63BCA">
            <w:pPr>
              <w:jc w:val="center"/>
            </w:pPr>
            <w:r>
              <w:t>3.1</w:t>
            </w:r>
          </w:p>
        </w:tc>
        <w:tc>
          <w:tcPr>
            <w:tcW w:w="677" w:type="pct"/>
          </w:tcPr>
          <w:p w14:paraId="370CDFA2" w14:textId="33C75894" w:rsidR="000A63E9" w:rsidRDefault="000A63E9" w:rsidP="00E63BC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02/28/2018</w:t>
            </w:r>
          </w:p>
        </w:tc>
        <w:tc>
          <w:tcPr>
            <w:tcW w:w="938" w:type="pct"/>
          </w:tcPr>
          <w:p w14:paraId="03EC11C9" w14:textId="70B43715" w:rsidR="000A63E9" w:rsidRDefault="000A63E9" w:rsidP="00E63BCA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</w:rPr>
              <w:t>Keith Valenzuela/SDGE Contractor</w:t>
            </w:r>
          </w:p>
        </w:tc>
        <w:tc>
          <w:tcPr>
            <w:tcW w:w="3105" w:type="pct"/>
          </w:tcPr>
          <w:p w14:paraId="0DD62BA5" w14:textId="77777777" w:rsidR="000A63E9" w:rsidRDefault="000A63E9" w:rsidP="000A63E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Updated Delivery Type to include downstream</w:t>
            </w:r>
          </w:p>
          <w:p w14:paraId="12730DE2" w14:textId="77777777" w:rsidR="000A63E9" w:rsidRDefault="000A63E9" w:rsidP="00E63BCA">
            <w:pPr>
              <w:rPr>
                <w:bCs/>
                <w:szCs w:val="20"/>
              </w:rPr>
            </w:pPr>
          </w:p>
        </w:tc>
      </w:tr>
      <w:tr w:rsidR="006642F9" w:rsidRPr="00500C4E" w14:paraId="2C2CE252" w14:textId="77777777" w:rsidTr="00C131CB">
        <w:trPr>
          <w:trHeight w:val="20"/>
        </w:trPr>
        <w:tc>
          <w:tcPr>
            <w:tcW w:w="280" w:type="pct"/>
          </w:tcPr>
          <w:p w14:paraId="396EC27B" w14:textId="50F32C3E" w:rsidR="006642F9" w:rsidRDefault="006642F9" w:rsidP="00E63BCA">
            <w:pPr>
              <w:jc w:val="center"/>
            </w:pPr>
            <w:r>
              <w:t>4</w:t>
            </w:r>
          </w:p>
        </w:tc>
        <w:tc>
          <w:tcPr>
            <w:tcW w:w="677" w:type="pct"/>
          </w:tcPr>
          <w:p w14:paraId="6927BA6E" w14:textId="4D9D88B4" w:rsidR="006642F9" w:rsidRDefault="006642F9" w:rsidP="00E63BCA">
            <w:pPr>
              <w:jc w:val="center"/>
              <w:rPr>
                <w:szCs w:val="20"/>
              </w:rPr>
            </w:pPr>
            <w:r>
              <w:t>11/05/18</w:t>
            </w:r>
          </w:p>
        </w:tc>
        <w:tc>
          <w:tcPr>
            <w:tcW w:w="938" w:type="pct"/>
          </w:tcPr>
          <w:p w14:paraId="3427EE52" w14:textId="7B7DB922" w:rsidR="006642F9" w:rsidRDefault="006642F9" w:rsidP="00E63BCA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</w:rPr>
              <w:t>Keith Valenzuela/SDGE Contractor</w:t>
            </w:r>
          </w:p>
        </w:tc>
        <w:tc>
          <w:tcPr>
            <w:tcW w:w="3105" w:type="pct"/>
          </w:tcPr>
          <w:p w14:paraId="0FF98B50" w14:textId="4FEE4588" w:rsidR="006642F9" w:rsidRPr="00C131CB" w:rsidRDefault="006642F9" w:rsidP="006642F9">
            <w:pPr>
              <w:rPr>
                <w:bCs/>
              </w:rPr>
            </w:pPr>
            <w:r>
              <w:rPr>
                <w:bCs/>
              </w:rPr>
              <w:t>Updated workpaper to remove incidence factor adjust</w:t>
            </w:r>
            <w:r w:rsidR="00C874B7">
              <w:rPr>
                <w:bCs/>
              </w:rPr>
              <w:t>ment from savings calculations.</w:t>
            </w:r>
          </w:p>
          <w:p w14:paraId="7AEE89E4" w14:textId="77777777" w:rsidR="006642F9" w:rsidRDefault="006642F9" w:rsidP="00E63BCA">
            <w:pPr>
              <w:rPr>
                <w:bCs/>
                <w:szCs w:val="20"/>
              </w:rPr>
            </w:pPr>
          </w:p>
        </w:tc>
      </w:tr>
    </w:tbl>
    <w:p w14:paraId="0B01C18C" w14:textId="77777777" w:rsidR="00DB71F1" w:rsidRDefault="00DB71F1" w:rsidP="00413EF4"/>
    <w:p w14:paraId="5D6AD9CB" w14:textId="77777777" w:rsidR="00DB71F1" w:rsidRDefault="00DB71F1">
      <w:pPr>
        <w:spacing w:after="200" w:line="276" w:lineRule="auto"/>
      </w:pPr>
      <w:r>
        <w:br w:type="page"/>
      </w:r>
    </w:p>
    <w:p w14:paraId="67323AF4" w14:textId="77777777"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0D0C864C" w14:textId="77777777" w:rsidR="00EE6CFE" w:rsidRPr="00EE6CFE" w:rsidRDefault="00EE6CFE" w:rsidP="0081521B"/>
    <w:p w14:paraId="3488DB6A" w14:textId="77777777" w:rsidR="00DB71F1" w:rsidRDefault="00DB71F1" w:rsidP="00DB71F1">
      <w:pPr>
        <w:pStyle w:val="Caption"/>
        <w:keepNext/>
        <w:jc w:val="center"/>
      </w:pPr>
      <w:r>
        <w:t xml:space="preserve">Table </w:t>
      </w:r>
      <w:r w:rsidR="00266379">
        <w:fldChar w:fldCharType="begin"/>
      </w:r>
      <w:r w:rsidR="00266379">
        <w:instrText xml:space="preserve"> SEQ Table \* ARABIC </w:instrText>
      </w:r>
      <w:r w:rsidR="00266379">
        <w:fldChar w:fldCharType="separate"/>
      </w:r>
      <w:r w:rsidR="00C6110B">
        <w:rPr>
          <w:noProof/>
        </w:rPr>
        <w:t>1</w:t>
      </w:r>
      <w:r w:rsidR="00266379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75"/>
        <w:gridCol w:w="7375"/>
      </w:tblGrid>
      <w:tr w:rsidR="00DB71F1" w14:paraId="06C9A176" w14:textId="77777777" w:rsidTr="00F52060">
        <w:trPr>
          <w:cantSplit/>
          <w:tblHeader/>
        </w:trPr>
        <w:tc>
          <w:tcPr>
            <w:tcW w:w="1975" w:type="dxa"/>
          </w:tcPr>
          <w:p w14:paraId="01564821" w14:textId="77777777" w:rsidR="00DB71F1" w:rsidRPr="00D86243" w:rsidRDefault="00DB71F1" w:rsidP="00BE39B1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7375" w:type="dxa"/>
          </w:tcPr>
          <w:p w14:paraId="6619CC90" w14:textId="77777777" w:rsidR="00DB71F1" w:rsidRPr="00D86243" w:rsidRDefault="00DB71F1" w:rsidP="00BE39B1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14:paraId="47D56AB4" w14:textId="77777777" w:rsidTr="00F52060">
        <w:trPr>
          <w:cantSplit/>
        </w:trPr>
        <w:tc>
          <w:tcPr>
            <w:tcW w:w="1975" w:type="dxa"/>
            <w:vAlign w:val="center"/>
          </w:tcPr>
          <w:p w14:paraId="0043CF16" w14:textId="77777777" w:rsidR="00DB71F1" w:rsidRPr="001D77F7" w:rsidRDefault="00DB71F1" w:rsidP="00BE39B1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7375" w:type="dxa"/>
          </w:tcPr>
          <w:p w14:paraId="446C40B4" w14:textId="26458ED9" w:rsidR="00DE364E" w:rsidRPr="005D568F" w:rsidRDefault="00DB71F1" w:rsidP="005D568F">
            <w:pPr>
              <w:rPr>
                <w:bCs/>
                <w:sz w:val="20"/>
                <w:szCs w:val="20"/>
              </w:rPr>
            </w:pPr>
            <w:r w:rsidRPr="005D568F">
              <w:rPr>
                <w:rFonts w:cstheme="minorHAnsi"/>
                <w:sz w:val="20"/>
                <w:szCs w:val="20"/>
              </w:rPr>
              <w:t>This short form workpaper documents ex-ante load impact</w:t>
            </w:r>
            <w:r w:rsidR="00E733C7" w:rsidRPr="005D568F">
              <w:rPr>
                <w:rFonts w:cstheme="minorHAnsi"/>
                <w:sz w:val="20"/>
                <w:szCs w:val="20"/>
              </w:rPr>
              <w:t>s</w:t>
            </w:r>
            <w:r w:rsidRPr="005D568F">
              <w:rPr>
                <w:rFonts w:cstheme="minorHAnsi"/>
                <w:sz w:val="20"/>
                <w:szCs w:val="20"/>
              </w:rPr>
              <w:t xml:space="preserve"> and cost-effectiveness values for </w:t>
            </w:r>
            <w:r w:rsidR="00EB2DBB" w:rsidRPr="005D568F">
              <w:rPr>
                <w:rFonts w:cstheme="minorHAnsi"/>
                <w:sz w:val="20"/>
                <w:szCs w:val="20"/>
              </w:rPr>
              <w:t xml:space="preserve">only </w:t>
            </w:r>
            <w:r w:rsidR="00A86375" w:rsidRPr="005D568F">
              <w:rPr>
                <w:rFonts w:cstheme="minorHAnsi"/>
                <w:sz w:val="20"/>
                <w:szCs w:val="20"/>
              </w:rPr>
              <w:t>cleaning the condenser coil</w:t>
            </w:r>
            <w:r w:rsidR="00764A26" w:rsidRPr="005D568F">
              <w:rPr>
                <w:rFonts w:cstheme="minorHAnsi"/>
                <w:sz w:val="20"/>
                <w:szCs w:val="20"/>
              </w:rPr>
              <w:t xml:space="preserve"> in residential AC units</w:t>
            </w:r>
            <w:r w:rsidR="00A86375" w:rsidRPr="005D568F">
              <w:rPr>
                <w:rFonts w:cstheme="minorHAnsi"/>
                <w:sz w:val="20"/>
                <w:szCs w:val="20"/>
              </w:rPr>
              <w:t xml:space="preserve">. </w:t>
            </w:r>
            <w:r w:rsidR="00C228B0" w:rsidRPr="005D568F">
              <w:rPr>
                <w:rFonts w:cstheme="minorHAnsi"/>
                <w:sz w:val="20"/>
                <w:szCs w:val="20"/>
              </w:rPr>
              <w:t>The base energy consumption</w:t>
            </w:r>
            <w:r w:rsidR="00067315" w:rsidRPr="005D568F">
              <w:rPr>
                <w:rFonts w:cstheme="minorHAnsi"/>
                <w:sz w:val="20"/>
                <w:szCs w:val="20"/>
              </w:rPr>
              <w:t xml:space="preserve"> and </w:t>
            </w:r>
            <w:r w:rsidR="00C228B0" w:rsidRPr="005D568F">
              <w:rPr>
                <w:rFonts w:cstheme="minorHAnsi"/>
                <w:sz w:val="20"/>
                <w:szCs w:val="20"/>
              </w:rPr>
              <w:t>measure energy consumption</w:t>
            </w:r>
            <w:r w:rsidR="00067315" w:rsidRPr="005D568F">
              <w:rPr>
                <w:rFonts w:cstheme="minorHAnsi"/>
                <w:sz w:val="20"/>
                <w:szCs w:val="20"/>
              </w:rPr>
              <w:t xml:space="preserve"> values</w:t>
            </w:r>
            <w:r w:rsidR="00C228B0" w:rsidRPr="005D568F">
              <w:rPr>
                <w:rFonts w:cstheme="minorHAnsi"/>
                <w:sz w:val="20"/>
                <w:szCs w:val="20"/>
              </w:rPr>
              <w:t xml:space="preserve"> are fr</w:t>
            </w:r>
            <w:r w:rsidR="00201A3F" w:rsidRPr="005D568F">
              <w:rPr>
                <w:rFonts w:cstheme="minorHAnsi"/>
                <w:sz w:val="20"/>
                <w:szCs w:val="20"/>
              </w:rPr>
              <w:t xml:space="preserve">om </w:t>
            </w:r>
            <w:r w:rsidR="006642F9">
              <w:rPr>
                <w:sz w:val="20"/>
                <w:szCs w:val="20"/>
              </w:rPr>
              <w:t>READI v.2.5.1</w:t>
            </w:r>
            <w:r w:rsidR="00A86375" w:rsidRPr="005D568F">
              <w:rPr>
                <w:sz w:val="20"/>
                <w:szCs w:val="20"/>
              </w:rPr>
              <w:t xml:space="preserve"> DEER ID Res-RCA-wtd</w:t>
            </w:r>
            <w:r w:rsidR="005D568F" w:rsidRPr="005D568F">
              <w:rPr>
                <w:sz w:val="20"/>
                <w:szCs w:val="20"/>
              </w:rPr>
              <w:t xml:space="preserve"> with </w:t>
            </w:r>
            <w:r w:rsidR="006642F9">
              <w:rPr>
                <w:sz w:val="20"/>
                <w:szCs w:val="20"/>
              </w:rPr>
              <w:t>assumptions</w:t>
            </w:r>
            <w:r w:rsidR="005D568F" w:rsidRPr="005D568F">
              <w:rPr>
                <w:sz w:val="20"/>
                <w:szCs w:val="20"/>
              </w:rPr>
              <w:t xml:space="preserve"> from Energy Division Workpaper Disposition for Residential HVAC Quality Maintenance dated May 2, 2013.</w:t>
            </w:r>
          </w:p>
          <w:p w14:paraId="07FB1EB3" w14:textId="77777777" w:rsidR="00DB71F1" w:rsidRPr="00D86243" w:rsidRDefault="00DB71F1" w:rsidP="00555671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F368D" w14:paraId="70270DC8" w14:textId="77777777" w:rsidTr="00BE39B1">
        <w:trPr>
          <w:cantSplit/>
        </w:trPr>
        <w:tc>
          <w:tcPr>
            <w:tcW w:w="9350" w:type="dxa"/>
            <w:gridSpan w:val="2"/>
            <w:vAlign w:val="center"/>
          </w:tcPr>
          <w:p w14:paraId="616B65A3" w14:textId="77777777" w:rsidR="00AF368D" w:rsidRPr="00241A1F" w:rsidRDefault="00AF368D" w:rsidP="00AF368D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1.1 Measure &amp; Baseline Data</w:t>
            </w:r>
          </w:p>
        </w:tc>
      </w:tr>
      <w:tr w:rsidR="00DB71F1" w14:paraId="7AFB6C92" w14:textId="77777777" w:rsidTr="00F52060">
        <w:trPr>
          <w:cantSplit/>
        </w:trPr>
        <w:tc>
          <w:tcPr>
            <w:tcW w:w="1975" w:type="dxa"/>
            <w:vAlign w:val="center"/>
          </w:tcPr>
          <w:p w14:paraId="25489D41" w14:textId="77777777" w:rsidR="00DB71F1" w:rsidRPr="001D77F7" w:rsidRDefault="00DB71F1" w:rsidP="00BE39B1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7375" w:type="dxa"/>
          </w:tcPr>
          <w:p w14:paraId="6DC59A28" w14:textId="77777777" w:rsidR="00D4142C" w:rsidRPr="00D4142C" w:rsidRDefault="00D4142C" w:rsidP="00D4142C">
            <w:pPr>
              <w:pStyle w:val="NoSpacing"/>
              <w:rPr>
                <w:sz w:val="20"/>
                <w:szCs w:val="20"/>
              </w:rPr>
            </w:pPr>
            <w:r w:rsidRPr="00D4142C">
              <w:rPr>
                <w:sz w:val="20"/>
                <w:szCs w:val="20"/>
              </w:rPr>
              <w:t xml:space="preserve">This measure involves </w:t>
            </w:r>
            <w:r w:rsidR="005D568F">
              <w:rPr>
                <w:sz w:val="20"/>
                <w:szCs w:val="20"/>
              </w:rPr>
              <w:t>cleaning the condenser coils in</w:t>
            </w:r>
            <w:r w:rsidRPr="00D4142C">
              <w:rPr>
                <w:sz w:val="20"/>
                <w:szCs w:val="20"/>
              </w:rPr>
              <w:t xml:space="preserve"> residential </w:t>
            </w:r>
            <w:r>
              <w:rPr>
                <w:sz w:val="20"/>
                <w:szCs w:val="20"/>
              </w:rPr>
              <w:t xml:space="preserve">AC </w:t>
            </w:r>
            <w:r w:rsidRPr="00D4142C">
              <w:rPr>
                <w:sz w:val="20"/>
                <w:szCs w:val="20"/>
              </w:rPr>
              <w:t>units</w:t>
            </w:r>
            <w:r w:rsidR="005D568F">
              <w:rPr>
                <w:sz w:val="20"/>
                <w:szCs w:val="20"/>
              </w:rPr>
              <w:t xml:space="preserve">. </w:t>
            </w:r>
            <w:r w:rsidRPr="00D4142C">
              <w:rPr>
                <w:sz w:val="20"/>
                <w:szCs w:val="20"/>
              </w:rPr>
              <w:t xml:space="preserve">When an </w:t>
            </w:r>
            <w:r>
              <w:rPr>
                <w:sz w:val="20"/>
                <w:szCs w:val="20"/>
              </w:rPr>
              <w:t>AC</w:t>
            </w:r>
            <w:r w:rsidRPr="00D4142C">
              <w:rPr>
                <w:sz w:val="20"/>
                <w:szCs w:val="20"/>
              </w:rPr>
              <w:t xml:space="preserve"> </w:t>
            </w:r>
            <w:r w:rsidR="005D568F">
              <w:rPr>
                <w:sz w:val="20"/>
                <w:szCs w:val="20"/>
              </w:rPr>
              <w:t>unit’s condenser coils are dirty</w:t>
            </w:r>
            <w:r w:rsidRPr="00D4142C">
              <w:rPr>
                <w:sz w:val="20"/>
                <w:szCs w:val="20"/>
              </w:rPr>
              <w:t xml:space="preserve"> it results in a decrease in the unit’s </w:t>
            </w:r>
            <w:r>
              <w:rPr>
                <w:sz w:val="20"/>
                <w:szCs w:val="20"/>
              </w:rPr>
              <w:t>energy efficiency.</w:t>
            </w:r>
            <w:r w:rsidR="005D568F">
              <w:rPr>
                <w:sz w:val="20"/>
                <w:szCs w:val="20"/>
              </w:rPr>
              <w:t xml:space="preserve"> E</w:t>
            </w:r>
            <w:r w:rsidRPr="00D4142C">
              <w:rPr>
                <w:sz w:val="20"/>
                <w:szCs w:val="20"/>
              </w:rPr>
              <w:t xml:space="preserve">nergy savings can be achieved by </w:t>
            </w:r>
            <w:r w:rsidR="005D568F">
              <w:rPr>
                <w:sz w:val="20"/>
                <w:szCs w:val="20"/>
              </w:rPr>
              <w:t>cleaning the condenser coils to allow proper airflow.</w:t>
            </w:r>
            <w:r w:rsidRPr="00D4142C">
              <w:rPr>
                <w:sz w:val="20"/>
                <w:szCs w:val="20"/>
              </w:rPr>
              <w:t xml:space="preserve"> </w:t>
            </w:r>
          </w:p>
          <w:p w14:paraId="50B7DEAD" w14:textId="77777777" w:rsidR="00752529" w:rsidRPr="00D4142C" w:rsidRDefault="00752529" w:rsidP="00752529">
            <w:pPr>
              <w:rPr>
                <w:rFonts w:cs="Arial"/>
                <w:sz w:val="20"/>
                <w:szCs w:val="20"/>
              </w:rPr>
            </w:pPr>
            <w:bookmarkStart w:id="1" w:name="OLE_LINK3"/>
          </w:p>
          <w:bookmarkEnd w:id="1"/>
          <w:p w14:paraId="38E66D49" w14:textId="77777777" w:rsidR="00DB71F1" w:rsidRPr="00D4142C" w:rsidRDefault="00DB71F1" w:rsidP="00D4142C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14:paraId="07828679" w14:textId="77777777" w:rsidTr="00F52060">
        <w:trPr>
          <w:cantSplit/>
        </w:trPr>
        <w:tc>
          <w:tcPr>
            <w:tcW w:w="1975" w:type="dxa"/>
          </w:tcPr>
          <w:p w14:paraId="1A812230" w14:textId="77777777"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7375" w:type="dxa"/>
          </w:tcPr>
          <w:p w14:paraId="03985517" w14:textId="5231D522" w:rsidR="00394991" w:rsidRDefault="00E63BCA" w:rsidP="00394991">
            <w:pPr>
              <w:rPr>
                <w:rFonts w:cs="Arial"/>
                <w:sz w:val="20"/>
                <w:szCs w:val="20"/>
              </w:rPr>
            </w:pPr>
            <w:bookmarkStart w:id="2" w:name="_GoBack"/>
            <w:bookmarkEnd w:id="2"/>
            <w:r>
              <w:rPr>
                <w:rFonts w:cs="Arial"/>
                <w:sz w:val="20"/>
                <w:szCs w:val="20"/>
              </w:rPr>
              <w:t>Measure 1</w:t>
            </w:r>
            <w:r w:rsidR="00394991">
              <w:rPr>
                <w:rFonts w:cs="Arial"/>
                <w:sz w:val="20"/>
                <w:szCs w:val="20"/>
              </w:rPr>
              <w:t>: 420138-Residential SF Condenser Coil Cleaning (DEER2018)</w:t>
            </w:r>
          </w:p>
          <w:p w14:paraId="0604F6F3" w14:textId="4C8B7459" w:rsidR="008775D7" w:rsidRPr="00E733C7" w:rsidRDefault="000A63E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2: 464288-Residential SF Condenser Coil Cleaning (DEER2018) - Downstream</w:t>
            </w:r>
          </w:p>
        </w:tc>
      </w:tr>
      <w:tr w:rsidR="008775D7" w:rsidRPr="008775D7" w14:paraId="7521920B" w14:textId="77777777" w:rsidTr="00F52060">
        <w:trPr>
          <w:cantSplit/>
        </w:trPr>
        <w:tc>
          <w:tcPr>
            <w:tcW w:w="1975" w:type="dxa"/>
          </w:tcPr>
          <w:p w14:paraId="356D7A4B" w14:textId="77777777"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7375" w:type="dxa"/>
          </w:tcPr>
          <w:p w14:paraId="43F95AC6" w14:textId="77777777" w:rsidR="000E65D6" w:rsidRPr="000E65D6" w:rsidRDefault="000E65D6" w:rsidP="000E65D6">
            <w:pPr>
              <w:jc w:val="both"/>
              <w:rPr>
                <w:rFonts w:cs="Arial"/>
                <w:sz w:val="20"/>
                <w:szCs w:val="20"/>
              </w:rPr>
            </w:pPr>
            <w:r w:rsidRPr="000E65D6">
              <w:rPr>
                <w:rFonts w:cs="Arial"/>
                <w:sz w:val="20"/>
                <w:szCs w:val="20"/>
              </w:rPr>
              <w:t xml:space="preserve">There are no energy efficiency standards or energy design standards for this measure. </w:t>
            </w:r>
          </w:p>
          <w:p w14:paraId="501C3B5D" w14:textId="77777777" w:rsidR="000E65D6" w:rsidRPr="000E65D6" w:rsidRDefault="000E65D6" w:rsidP="000E65D6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661E4C07" w14:textId="77777777" w:rsidR="000E65D6" w:rsidRPr="000E65D6" w:rsidRDefault="000E65D6" w:rsidP="000E65D6">
            <w:pPr>
              <w:jc w:val="both"/>
              <w:rPr>
                <w:rFonts w:cs="Arial"/>
                <w:sz w:val="20"/>
                <w:szCs w:val="20"/>
              </w:rPr>
            </w:pPr>
            <w:r w:rsidRPr="000E65D6">
              <w:rPr>
                <w:rFonts w:cs="Arial"/>
                <w:sz w:val="20"/>
                <w:szCs w:val="20"/>
              </w:rPr>
              <w:t>The measure involves only residential retrofit, therefore, 2016 Title-24 code for non-residential efficiency requirements do not apply to this work paper.</w:t>
            </w:r>
          </w:p>
          <w:p w14:paraId="3357A24D" w14:textId="77777777" w:rsidR="000E65D6" w:rsidRPr="000E65D6" w:rsidRDefault="000E65D6" w:rsidP="000E65D6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43FA442E" w14:textId="77777777" w:rsidR="000E65D6" w:rsidRPr="000E65D6" w:rsidRDefault="007252C7" w:rsidP="000E65D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2016 Title 20 </w:t>
            </w:r>
            <w:r w:rsidR="000E65D6" w:rsidRPr="0000540F">
              <w:rPr>
                <w:rFonts w:cs="Arial"/>
                <w:sz w:val="20"/>
                <w:szCs w:val="20"/>
              </w:rPr>
              <w:t xml:space="preserve">does not </w:t>
            </w:r>
            <w:r w:rsidR="0000540F" w:rsidRPr="0000540F">
              <w:rPr>
                <w:rFonts w:cs="Arial"/>
                <w:sz w:val="20"/>
                <w:szCs w:val="20"/>
              </w:rPr>
              <w:t>address</w:t>
            </w:r>
            <w:r w:rsidR="0000540F">
              <w:rPr>
                <w:rFonts w:cs="Arial"/>
                <w:sz w:val="20"/>
                <w:szCs w:val="20"/>
              </w:rPr>
              <w:t xml:space="preserve"> </w:t>
            </w:r>
            <w:r w:rsidR="00235AFB">
              <w:rPr>
                <w:rFonts w:cs="Arial"/>
                <w:sz w:val="20"/>
                <w:szCs w:val="20"/>
              </w:rPr>
              <w:t xml:space="preserve">the </w:t>
            </w:r>
            <w:r w:rsidR="005D568F">
              <w:rPr>
                <w:rFonts w:cs="Arial"/>
                <w:sz w:val="20"/>
                <w:szCs w:val="20"/>
              </w:rPr>
              <w:t xml:space="preserve">state of the condenser coil </w:t>
            </w:r>
            <w:r w:rsidR="00235AFB">
              <w:rPr>
                <w:rFonts w:cs="Arial"/>
                <w:sz w:val="20"/>
                <w:szCs w:val="20"/>
              </w:rPr>
              <w:t>as it is a code for new equi</w:t>
            </w:r>
            <w:r w:rsidR="00D204BF">
              <w:rPr>
                <w:rFonts w:cs="Arial"/>
                <w:sz w:val="20"/>
                <w:szCs w:val="20"/>
              </w:rPr>
              <w:t>pment it is assumed the AC unit</w:t>
            </w:r>
            <w:r w:rsidR="00235AFB">
              <w:rPr>
                <w:rFonts w:cs="Arial"/>
                <w:sz w:val="20"/>
                <w:szCs w:val="20"/>
              </w:rPr>
              <w:t xml:space="preserve"> is installed with </w:t>
            </w:r>
            <w:r w:rsidR="005D568F">
              <w:rPr>
                <w:sz w:val="20"/>
                <w:szCs w:val="20"/>
              </w:rPr>
              <w:t>a clean condenser coil.</w:t>
            </w:r>
          </w:p>
          <w:p w14:paraId="73167B3D" w14:textId="77777777" w:rsidR="000E65D6" w:rsidRPr="000E65D6" w:rsidRDefault="000E65D6" w:rsidP="000E65D6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4082CDE5" w14:textId="77777777" w:rsidR="000E65D6" w:rsidRPr="00653C4B" w:rsidRDefault="000E65D6" w:rsidP="005C1518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84938" w14:paraId="044CC826" w14:textId="77777777" w:rsidTr="00F52060">
        <w:trPr>
          <w:cantSplit/>
        </w:trPr>
        <w:tc>
          <w:tcPr>
            <w:tcW w:w="1975" w:type="dxa"/>
          </w:tcPr>
          <w:p w14:paraId="23ECB79E" w14:textId="77777777"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7375" w:type="dxa"/>
          </w:tcPr>
          <w:p w14:paraId="4B4CF98C" w14:textId="77777777" w:rsidR="009374BC" w:rsidRPr="009374BC" w:rsidRDefault="009374BC" w:rsidP="009374B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Per the SDG&amp;E Quality Assurance and Quality Control Plan (QAQCP) technicians must </w:t>
            </w:r>
            <w:r w:rsidR="00CD0F98">
              <w:rPr>
                <w:rFonts w:cstheme="minorHAnsi"/>
                <w:sz w:val="20"/>
                <w:szCs w:val="20"/>
              </w:rPr>
              <w:t>receive training as follows:</w:t>
            </w:r>
          </w:p>
          <w:p w14:paraId="630E3ED5" w14:textId="77777777" w:rsidR="00CD0F98" w:rsidRDefault="00CD0F98" w:rsidP="009374BC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48D5C74" w14:textId="77777777" w:rsidR="009374BC" w:rsidRPr="009374BC" w:rsidRDefault="00CD0F98" w:rsidP="009374B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“</w:t>
            </w:r>
            <w:r w:rsidR="009374BC" w:rsidRPr="009374BC">
              <w:rPr>
                <w:rFonts w:cstheme="minorHAnsi"/>
                <w:sz w:val="20"/>
                <w:szCs w:val="20"/>
              </w:rPr>
              <w:t xml:space="preserve">New technicians receive individual classroom training from the production supervisor and on-the-job training by serving as a helper from a certified trainer.  </w:t>
            </w:r>
          </w:p>
          <w:p w14:paraId="2E209746" w14:textId="77777777" w:rsidR="009374BC" w:rsidRDefault="009374BC" w:rsidP="009374BC">
            <w:pPr>
              <w:rPr>
                <w:rFonts w:cstheme="minorHAnsi"/>
                <w:sz w:val="20"/>
                <w:szCs w:val="20"/>
              </w:rPr>
            </w:pPr>
            <w:r w:rsidRPr="009374BC">
              <w:rPr>
                <w:rFonts w:cstheme="minorHAnsi"/>
                <w:sz w:val="20"/>
                <w:szCs w:val="20"/>
              </w:rPr>
              <w:t>All technicians receive electrical training and follow safe electrical protocols, standards and practices.</w:t>
            </w:r>
          </w:p>
          <w:p w14:paraId="335816B2" w14:textId="77777777" w:rsidR="00850189" w:rsidRPr="009374BC" w:rsidRDefault="00850189" w:rsidP="009374BC">
            <w:pPr>
              <w:rPr>
                <w:rFonts w:cstheme="minorHAnsi"/>
                <w:sz w:val="20"/>
                <w:szCs w:val="20"/>
              </w:rPr>
            </w:pPr>
          </w:p>
          <w:p w14:paraId="556B8254" w14:textId="650C913F" w:rsidR="009374BC" w:rsidRPr="009374BC" w:rsidRDefault="001E30C2" w:rsidP="009374B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Contractor</w:t>
            </w:r>
            <w:r w:rsidRPr="009374BC">
              <w:rPr>
                <w:rFonts w:cstheme="minorHAnsi"/>
                <w:sz w:val="20"/>
                <w:szCs w:val="20"/>
              </w:rPr>
              <w:t xml:space="preserve"> regularly</w:t>
            </w:r>
            <w:r w:rsidR="009374BC" w:rsidRPr="009374BC">
              <w:rPr>
                <w:rFonts w:cstheme="minorHAnsi"/>
                <w:sz w:val="20"/>
                <w:szCs w:val="20"/>
              </w:rPr>
              <w:t xml:space="preserve"> enrolls its technicians in technical training.</w:t>
            </w:r>
          </w:p>
          <w:p w14:paraId="1873BE4A" w14:textId="77777777" w:rsidR="009374BC" w:rsidRPr="009374BC" w:rsidRDefault="009374BC" w:rsidP="009374BC">
            <w:pPr>
              <w:rPr>
                <w:rFonts w:cstheme="minorHAnsi"/>
                <w:sz w:val="20"/>
                <w:szCs w:val="20"/>
              </w:rPr>
            </w:pPr>
            <w:r w:rsidRPr="009374BC">
              <w:rPr>
                <w:rFonts w:cstheme="minorHAnsi"/>
                <w:sz w:val="20"/>
                <w:szCs w:val="20"/>
              </w:rPr>
              <w:t>All technicians are required to attend a weekly tailgate meeting, plus a monthly technicians meeting for on-going training.  The type of information that is covered in these training sessions would include measure and service standards, review of safety standards, motivation, customer service, and quality control instruction.</w:t>
            </w:r>
          </w:p>
          <w:p w14:paraId="2B57D455" w14:textId="77777777" w:rsidR="009374BC" w:rsidRDefault="009374BC" w:rsidP="009374BC">
            <w:pPr>
              <w:rPr>
                <w:rFonts w:cstheme="minorHAnsi"/>
                <w:sz w:val="20"/>
                <w:szCs w:val="20"/>
              </w:rPr>
            </w:pPr>
            <w:r w:rsidRPr="009374BC">
              <w:rPr>
                <w:rFonts w:cstheme="minorHAnsi"/>
                <w:sz w:val="20"/>
                <w:szCs w:val="20"/>
              </w:rPr>
              <w:t>The production supervisor or assistant production manager also provides one-on-one training to technicians in the field.</w:t>
            </w:r>
            <w:r w:rsidR="00CD0F98">
              <w:rPr>
                <w:rFonts w:cstheme="minorHAnsi"/>
                <w:sz w:val="20"/>
                <w:szCs w:val="20"/>
              </w:rPr>
              <w:t>”</w:t>
            </w:r>
          </w:p>
          <w:p w14:paraId="6379843D" w14:textId="77777777" w:rsidR="00CD0F98" w:rsidRDefault="00CD0F98" w:rsidP="009374BC">
            <w:pPr>
              <w:rPr>
                <w:rFonts w:cstheme="minorHAnsi"/>
                <w:sz w:val="20"/>
                <w:szCs w:val="20"/>
              </w:rPr>
            </w:pPr>
          </w:p>
          <w:p w14:paraId="47D2FD50" w14:textId="77777777" w:rsidR="00AF368D" w:rsidRPr="00555671" w:rsidRDefault="00AF368D" w:rsidP="001D6A64">
            <w:pPr>
              <w:jc w:val="both"/>
              <w:rPr>
                <w:sz w:val="20"/>
                <w:szCs w:val="20"/>
              </w:rPr>
            </w:pPr>
          </w:p>
        </w:tc>
      </w:tr>
      <w:tr w:rsidR="00AF368D" w14:paraId="725F4437" w14:textId="77777777" w:rsidTr="00BE39B1">
        <w:trPr>
          <w:cantSplit/>
        </w:trPr>
        <w:tc>
          <w:tcPr>
            <w:tcW w:w="9350" w:type="dxa"/>
            <w:gridSpan w:val="2"/>
          </w:tcPr>
          <w:p w14:paraId="10A7045E" w14:textId="77777777" w:rsidR="00AF368D" w:rsidRPr="00D86243" w:rsidRDefault="00AF368D" w:rsidP="00BE39B1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</w:tr>
      <w:tr w:rsidR="00DB71F1" w14:paraId="674FC14F" w14:textId="77777777" w:rsidTr="00F52060">
        <w:trPr>
          <w:cantSplit/>
        </w:trPr>
        <w:tc>
          <w:tcPr>
            <w:tcW w:w="1975" w:type="dxa"/>
            <w:vAlign w:val="center"/>
          </w:tcPr>
          <w:p w14:paraId="4BC8E96A" w14:textId="77777777" w:rsidR="00DB71F1" w:rsidRPr="00822B6F" w:rsidRDefault="00DB71F1" w:rsidP="00BE39B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7375" w:type="dxa"/>
          </w:tcPr>
          <w:p w14:paraId="75AF7606" w14:textId="77777777" w:rsidR="00CF2ABA" w:rsidRPr="00F52060" w:rsidRDefault="00F52060" w:rsidP="00FE636E">
            <w:pPr>
              <w:rPr>
                <w:rFonts w:cs="Arial"/>
                <w:sz w:val="20"/>
                <w:szCs w:val="20"/>
              </w:rPr>
            </w:pPr>
            <w:r w:rsidRPr="00F52060">
              <w:rPr>
                <w:sz w:val="20"/>
                <w:szCs w:val="20"/>
              </w:rPr>
              <w:t>Retrofit Add-on (REA)</w:t>
            </w:r>
          </w:p>
        </w:tc>
      </w:tr>
      <w:tr w:rsidR="00DB71F1" w14:paraId="76429D21" w14:textId="77777777" w:rsidTr="00F52060">
        <w:trPr>
          <w:cantSplit/>
        </w:trPr>
        <w:tc>
          <w:tcPr>
            <w:tcW w:w="1975" w:type="dxa"/>
            <w:vAlign w:val="center"/>
          </w:tcPr>
          <w:p w14:paraId="79B7DAB9" w14:textId="77777777" w:rsidR="00DB71F1" w:rsidRPr="00822B6F" w:rsidRDefault="00DB71F1" w:rsidP="00BE39B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7375" w:type="dxa"/>
          </w:tcPr>
          <w:p w14:paraId="6FA27B9F" w14:textId="77777777" w:rsidR="00B9551F" w:rsidRDefault="001046CB" w:rsidP="00FE636E">
            <w:pPr>
              <w:rPr>
                <w:rFonts w:cs="Arial"/>
                <w:sz w:val="20"/>
                <w:szCs w:val="20"/>
              </w:rPr>
            </w:pPr>
            <w:r w:rsidRPr="00B00846">
              <w:rPr>
                <w:rFonts w:cs="Arial"/>
                <w:sz w:val="20"/>
                <w:szCs w:val="20"/>
              </w:rPr>
              <w:t>Direct Install</w:t>
            </w:r>
          </w:p>
          <w:p w14:paraId="1D4EE20C" w14:textId="1B461965" w:rsidR="000A63E9" w:rsidRPr="00FE636E" w:rsidRDefault="000A63E9" w:rsidP="00FE636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Downstream</w:t>
            </w:r>
          </w:p>
        </w:tc>
      </w:tr>
      <w:tr w:rsidR="00DD2F3D" w14:paraId="4476873D" w14:textId="77777777" w:rsidTr="00BE39B1">
        <w:trPr>
          <w:cantSplit/>
        </w:trPr>
        <w:tc>
          <w:tcPr>
            <w:tcW w:w="9350" w:type="dxa"/>
            <w:gridSpan w:val="2"/>
          </w:tcPr>
          <w:p w14:paraId="7492F2B9" w14:textId="77777777" w:rsidR="00DD2F3D" w:rsidRDefault="00DD2F3D" w:rsidP="00BE39B1">
            <w:r w:rsidRPr="001D77F7">
              <w:rPr>
                <w:b/>
              </w:rPr>
              <w:t>1.4.1 DEER Data</w:t>
            </w:r>
          </w:p>
        </w:tc>
      </w:tr>
      <w:tr w:rsidR="00A61271" w14:paraId="019EF3E3" w14:textId="77777777" w:rsidTr="00F52060">
        <w:trPr>
          <w:cantSplit/>
        </w:trPr>
        <w:tc>
          <w:tcPr>
            <w:tcW w:w="1975" w:type="dxa"/>
            <w:vAlign w:val="center"/>
          </w:tcPr>
          <w:p w14:paraId="122EF585" w14:textId="77777777" w:rsidR="00A61271" w:rsidRPr="00822B6F" w:rsidRDefault="00A61271" w:rsidP="00BE39B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7375" w:type="dxa"/>
          </w:tcPr>
          <w:p w14:paraId="2E8DB84C" w14:textId="77777777" w:rsidR="00841DA8" w:rsidRDefault="00841DA8" w:rsidP="00841DA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Res-sAll-mHVAC-RCA</w:t>
            </w:r>
          </w:p>
          <w:p w14:paraId="0DE4124E" w14:textId="77777777" w:rsidR="0090016E" w:rsidRPr="00D86243" w:rsidRDefault="0090016E" w:rsidP="00BE39B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14:paraId="2CCDFD18" w14:textId="77777777" w:rsidTr="00AF368D">
        <w:trPr>
          <w:cantSplit/>
          <w:trHeight w:val="845"/>
        </w:trPr>
        <w:tc>
          <w:tcPr>
            <w:tcW w:w="1975" w:type="dxa"/>
            <w:vAlign w:val="center"/>
          </w:tcPr>
          <w:p w14:paraId="49FEEBC2" w14:textId="77777777" w:rsidR="00A61271" w:rsidRPr="00822B6F" w:rsidRDefault="00A61271" w:rsidP="00BE39B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lastRenderedPageBreak/>
              <w:t>Effective and Remaining Useful Life</w:t>
            </w:r>
          </w:p>
        </w:tc>
        <w:tc>
          <w:tcPr>
            <w:tcW w:w="7375" w:type="dxa"/>
          </w:tcPr>
          <w:p w14:paraId="53A75655" w14:textId="77777777" w:rsidR="00402B3D" w:rsidRDefault="00991BBA" w:rsidP="004748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DEER EUL_ID: HV-ResAC-CleanCoil</w:t>
            </w:r>
          </w:p>
          <w:p w14:paraId="55A7CC8D" w14:textId="77777777" w:rsidR="004748BE" w:rsidRDefault="00991BBA" w:rsidP="004748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EUL= 3</w:t>
            </w:r>
            <w:r w:rsidR="004748BE">
              <w:rPr>
                <w:rFonts w:cs="Arial"/>
                <w:sz w:val="20"/>
                <w:szCs w:val="20"/>
              </w:rPr>
              <w:t xml:space="preserve"> years</w:t>
            </w:r>
          </w:p>
          <w:p w14:paraId="215F169D" w14:textId="77777777" w:rsidR="004748BE" w:rsidRDefault="004748BE" w:rsidP="004748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RUL=</w:t>
            </w:r>
            <w:r w:rsidR="00991BBA">
              <w:rPr>
                <w:rFonts w:cs="Arial"/>
                <w:sz w:val="20"/>
                <w:szCs w:val="20"/>
              </w:rPr>
              <w:t>1</w:t>
            </w:r>
          </w:p>
          <w:p w14:paraId="57F35342" w14:textId="637D3FD2" w:rsidR="00991BBA" w:rsidRPr="00991BBA" w:rsidRDefault="00991BBA" w:rsidP="004748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Per </w:t>
            </w:r>
            <w:r w:rsidR="00F94612">
              <w:t>READI v.2.5.1</w:t>
            </w:r>
          </w:p>
        </w:tc>
      </w:tr>
      <w:tr w:rsidR="00AF368D" w14:paraId="6378868B" w14:textId="77777777" w:rsidTr="00AF368D">
        <w:trPr>
          <w:cantSplit/>
          <w:trHeight w:val="458"/>
        </w:trPr>
        <w:tc>
          <w:tcPr>
            <w:tcW w:w="9350" w:type="dxa"/>
            <w:gridSpan w:val="2"/>
            <w:vAlign w:val="center"/>
          </w:tcPr>
          <w:p w14:paraId="75734DB1" w14:textId="77777777" w:rsidR="00AF368D" w:rsidRPr="00241A1F" w:rsidRDefault="00AF368D" w:rsidP="00AF368D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Section 2. Calculation Methodology</w:t>
            </w:r>
          </w:p>
        </w:tc>
      </w:tr>
      <w:tr w:rsidR="00A61271" w14:paraId="22493BEF" w14:textId="77777777" w:rsidTr="00F52060">
        <w:trPr>
          <w:cantSplit/>
        </w:trPr>
        <w:tc>
          <w:tcPr>
            <w:tcW w:w="1975" w:type="dxa"/>
            <w:vAlign w:val="center"/>
          </w:tcPr>
          <w:p w14:paraId="21CE7D75" w14:textId="77777777"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7375" w:type="dxa"/>
          </w:tcPr>
          <w:p w14:paraId="09AFA7C1" w14:textId="5CEBC8C7" w:rsidR="00AF368D" w:rsidRDefault="00AF368D" w:rsidP="00AF368D">
            <w:pPr>
              <w:rPr>
                <w:sz w:val="20"/>
                <w:szCs w:val="20"/>
              </w:rPr>
            </w:pPr>
            <w:r w:rsidRPr="00D131E7">
              <w:rPr>
                <w:rFonts w:cs="Arial"/>
                <w:sz w:val="20"/>
                <w:szCs w:val="20"/>
              </w:rPr>
              <w:t>The annual energy and demand savings for the residenti</w:t>
            </w:r>
            <w:r w:rsidR="00BE39B1" w:rsidRPr="00D131E7">
              <w:rPr>
                <w:rFonts w:cs="Arial"/>
                <w:sz w:val="20"/>
                <w:szCs w:val="20"/>
              </w:rPr>
              <w:t xml:space="preserve">al sector are based on adjusted </w:t>
            </w:r>
            <w:r w:rsidRPr="00D131E7">
              <w:rPr>
                <w:rFonts w:cs="Arial"/>
                <w:sz w:val="20"/>
                <w:szCs w:val="20"/>
              </w:rPr>
              <w:t>DEER measure savings from</w:t>
            </w:r>
            <w:r w:rsidR="00BE39B1" w:rsidRPr="00D131E7">
              <w:rPr>
                <w:sz w:val="20"/>
                <w:szCs w:val="20"/>
              </w:rPr>
              <w:t xml:space="preserve"> Res-RCA-wtd. The </w:t>
            </w:r>
            <w:r w:rsidR="00F94612">
              <w:rPr>
                <w:rFonts w:cs="Arial"/>
                <w:sz w:val="20"/>
                <w:szCs w:val="20"/>
              </w:rPr>
              <w:t>READI v.2.5.1</w:t>
            </w:r>
            <w:r w:rsidR="00BE39B1" w:rsidRPr="00D131E7">
              <w:rPr>
                <w:rFonts w:cs="Arial"/>
                <w:sz w:val="20"/>
                <w:szCs w:val="20"/>
              </w:rPr>
              <w:t xml:space="preserve"> values are adjusted based on </w:t>
            </w:r>
            <w:r w:rsidR="00BE39B1" w:rsidRPr="00D131E7">
              <w:rPr>
                <w:sz w:val="20"/>
                <w:szCs w:val="20"/>
              </w:rPr>
              <w:t>Energy Division Workpaper Disposition for Residential HVAC Quality Maintenance dated May 2, 2013.</w:t>
            </w:r>
          </w:p>
          <w:p w14:paraId="32C35E12" w14:textId="77777777" w:rsidR="00D131E7" w:rsidRDefault="00D131E7" w:rsidP="00AF368D">
            <w:pPr>
              <w:rPr>
                <w:sz w:val="20"/>
                <w:szCs w:val="20"/>
              </w:rPr>
            </w:pPr>
          </w:p>
          <w:p w14:paraId="0BFCB2E8" w14:textId="77777777" w:rsidR="00D131E7" w:rsidRDefault="00D131E7" w:rsidP="00AF36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 Workpaper Disposition:</w:t>
            </w:r>
          </w:p>
          <w:p w14:paraId="78682400" w14:textId="77777777" w:rsidR="00D131E7" w:rsidRDefault="00D131E7" w:rsidP="00AF368D">
            <w:pPr>
              <w:rPr>
                <w:sz w:val="20"/>
                <w:szCs w:val="20"/>
              </w:rPr>
            </w:pPr>
          </w:p>
          <w:p w14:paraId="4E3A1D45" w14:textId="77777777" w:rsidR="00D131E7" w:rsidRPr="00D131E7" w:rsidRDefault="00D131E7" w:rsidP="00D131E7">
            <w:pPr>
              <w:ind w:left="36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“</w:t>
            </w:r>
            <w:r w:rsidRPr="00D131E7">
              <w:rPr>
                <w:rFonts w:cs="Calibri"/>
                <w:sz w:val="20"/>
                <w:szCs w:val="20"/>
              </w:rPr>
              <w:t>Staff estimate that non-charge related services may account for an additional 25% savings on top of RCA.  Based on this assessment, published DEER benefits are segregated into charge adjustment and non-charge adjustment remedies as follows:</w:t>
            </w:r>
          </w:p>
          <w:p w14:paraId="2681B0EA" w14:textId="77777777" w:rsidR="00D131E7" w:rsidRPr="00D131E7" w:rsidRDefault="00D131E7" w:rsidP="00D131E7">
            <w:pPr>
              <w:keepNext/>
              <w:ind w:left="360"/>
              <w:jc w:val="right"/>
              <w:rPr>
                <w:rFonts w:cs="Calibri"/>
                <w:sz w:val="20"/>
                <w:szCs w:val="20"/>
              </w:rPr>
            </w:pPr>
            <w:bookmarkStart w:id="3" w:name="_Ref348963438"/>
            <w:r w:rsidRPr="00D131E7">
              <w:rPr>
                <w:rFonts w:cs="Calibri"/>
                <w:sz w:val="20"/>
                <w:szCs w:val="20"/>
              </w:rPr>
              <w:t>Gross Charge Adjustment Savings = DEER values</w:t>
            </w:r>
            <w:r w:rsidRPr="00D131E7">
              <w:rPr>
                <w:sz w:val="20"/>
                <w:szCs w:val="20"/>
              </w:rPr>
              <w:t xml:space="preserve"> </w:t>
            </w:r>
            <w:r w:rsidRPr="00D131E7">
              <w:rPr>
                <w:sz w:val="20"/>
                <w:szCs w:val="20"/>
              </w:rPr>
              <w:tab/>
              <w:t xml:space="preserve"> </w:t>
            </w:r>
            <w:r w:rsidRPr="00D131E7">
              <w:rPr>
                <w:sz w:val="20"/>
                <w:szCs w:val="20"/>
              </w:rPr>
              <w:tab/>
            </w:r>
            <w:r w:rsidRPr="00D131E7">
              <w:rPr>
                <w:rFonts w:cs="Calibri"/>
                <w:sz w:val="20"/>
                <w:szCs w:val="20"/>
              </w:rPr>
              <w:t xml:space="preserve">           </w:t>
            </w:r>
            <w:bookmarkEnd w:id="3"/>
          </w:p>
          <w:p w14:paraId="586CDA79" w14:textId="77777777" w:rsidR="00D131E7" w:rsidRDefault="00D131E7" w:rsidP="00D131E7">
            <w:pPr>
              <w:ind w:left="360"/>
              <w:jc w:val="right"/>
              <w:rPr>
                <w:rFonts w:cs="Calibri"/>
              </w:rPr>
            </w:pPr>
            <w:r w:rsidRPr="00D131E7">
              <w:rPr>
                <w:rFonts w:cs="Calibri"/>
                <w:sz w:val="20"/>
                <w:szCs w:val="20"/>
              </w:rPr>
              <w:t>Gross Non-Charge Adjustment Savings = DEER values * 0.25</w:t>
            </w:r>
            <w:r>
              <w:rPr>
                <w:rFonts w:cs="Calibri"/>
              </w:rPr>
              <w:t xml:space="preserve">  </w:t>
            </w:r>
            <w:r>
              <w:rPr>
                <w:rFonts w:cs="Calibri"/>
              </w:rPr>
              <w:tab/>
            </w:r>
            <w:r>
              <w:rPr>
                <w:rFonts w:cs="Calibri"/>
              </w:rPr>
              <w:tab/>
            </w:r>
          </w:p>
          <w:p w14:paraId="63062926" w14:textId="77777777" w:rsidR="00D131E7" w:rsidRPr="00D131E7" w:rsidRDefault="00D131E7" w:rsidP="00AF368D">
            <w:pPr>
              <w:rPr>
                <w:sz w:val="20"/>
                <w:szCs w:val="20"/>
              </w:rPr>
            </w:pPr>
          </w:p>
          <w:p w14:paraId="7E6584CC" w14:textId="77777777" w:rsidR="00D131E7" w:rsidRPr="00D131E7" w:rsidRDefault="00D131E7" w:rsidP="00AF368D">
            <w:pPr>
              <w:rPr>
                <w:sz w:val="20"/>
                <w:szCs w:val="20"/>
              </w:rPr>
            </w:pPr>
          </w:p>
          <w:p w14:paraId="17A478D4" w14:textId="77777777" w:rsidR="00D131E7" w:rsidRPr="00D131E7" w:rsidRDefault="00D131E7" w:rsidP="00D131E7">
            <w:pPr>
              <w:pStyle w:val="ListParagraph"/>
              <w:keepNext/>
              <w:spacing w:after="200" w:line="276" w:lineRule="auto"/>
              <w:ind w:left="360"/>
              <w:contextualSpacing w:val="0"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 w:rsidRPr="00D131E7">
              <w:rPr>
                <w:rFonts w:cs="Calibri"/>
                <w:b/>
                <w:bCs/>
                <w:sz w:val="20"/>
                <w:szCs w:val="20"/>
                <w:u w:val="single"/>
              </w:rPr>
              <w:t>Non-Charge Adjustment Savings Modifiers:</w:t>
            </w:r>
          </w:p>
          <w:p w14:paraId="1BBC1417" w14:textId="77777777" w:rsidR="00D131E7" w:rsidRPr="00D131E7" w:rsidRDefault="00D131E7" w:rsidP="00D131E7">
            <w:pPr>
              <w:ind w:left="360"/>
              <w:rPr>
                <w:rFonts w:cs="Calibri"/>
                <w:sz w:val="20"/>
                <w:szCs w:val="20"/>
              </w:rPr>
            </w:pPr>
            <w:r w:rsidRPr="00D131E7">
              <w:rPr>
                <w:rFonts w:cs="Calibri"/>
                <w:sz w:val="20"/>
                <w:szCs w:val="20"/>
              </w:rPr>
              <w:t>There is no known evidence as to the relative impact from the three measures – condenser coil cleaning, evaporator coil cleaning and air flow adjustment - that generate non-charge adjustment savings.  It is generally recognized that typical efficiency improvements associated with condenser coil cleaning is much larger than the other two.  Given a paucity of direct measurements of field conditions, Commission staff recommends the following apportioning of non-charge adjustment savings among the three possible measures:</w:t>
            </w:r>
          </w:p>
          <w:p w14:paraId="195B7D3E" w14:textId="77777777" w:rsidR="00D131E7" w:rsidRPr="00D131E7" w:rsidRDefault="00D131E7" w:rsidP="00D131E7">
            <w:pPr>
              <w:keepNext/>
              <w:tabs>
                <w:tab w:val="right" w:pos="3600"/>
                <w:tab w:val="left" w:pos="3690"/>
              </w:tabs>
              <w:rPr>
                <w:rFonts w:cs="Calibri"/>
                <w:sz w:val="20"/>
                <w:szCs w:val="20"/>
              </w:rPr>
            </w:pPr>
            <w:r w:rsidRPr="00D131E7">
              <w:rPr>
                <w:rFonts w:cs="Calibri"/>
                <w:sz w:val="20"/>
                <w:szCs w:val="20"/>
              </w:rPr>
              <w:tab/>
              <w:t>Condenser Coil Cleaning:</w:t>
            </w:r>
            <w:r w:rsidRPr="00D131E7">
              <w:rPr>
                <w:rFonts w:cs="Calibri"/>
                <w:sz w:val="20"/>
                <w:szCs w:val="20"/>
              </w:rPr>
              <w:tab/>
              <w:t>50% of the total</w:t>
            </w:r>
          </w:p>
          <w:p w14:paraId="65E0608E" w14:textId="77777777" w:rsidR="00D131E7" w:rsidRPr="00D131E7" w:rsidRDefault="00D131E7" w:rsidP="00D131E7">
            <w:pPr>
              <w:keepNext/>
              <w:tabs>
                <w:tab w:val="right" w:pos="3600"/>
                <w:tab w:val="left" w:pos="3690"/>
              </w:tabs>
              <w:rPr>
                <w:rFonts w:cs="Calibri"/>
                <w:sz w:val="20"/>
                <w:szCs w:val="20"/>
              </w:rPr>
            </w:pPr>
            <w:r w:rsidRPr="00D131E7">
              <w:rPr>
                <w:rFonts w:cs="Calibri"/>
                <w:sz w:val="20"/>
                <w:szCs w:val="20"/>
              </w:rPr>
              <w:tab/>
              <w:t>Evaporator Coil Cleaning:</w:t>
            </w:r>
            <w:r w:rsidRPr="00D131E7">
              <w:rPr>
                <w:rFonts w:cs="Calibri"/>
                <w:sz w:val="20"/>
                <w:szCs w:val="20"/>
              </w:rPr>
              <w:tab/>
              <w:t>25% of the total</w:t>
            </w:r>
          </w:p>
          <w:p w14:paraId="6BE507CB" w14:textId="77777777" w:rsidR="00D131E7" w:rsidRPr="00D131E7" w:rsidRDefault="00D131E7" w:rsidP="00D131E7">
            <w:pPr>
              <w:keepNext/>
              <w:tabs>
                <w:tab w:val="right" w:pos="3600"/>
                <w:tab w:val="left" w:pos="3690"/>
              </w:tabs>
              <w:rPr>
                <w:rFonts w:cs="Calibri"/>
                <w:sz w:val="20"/>
                <w:szCs w:val="20"/>
              </w:rPr>
            </w:pPr>
            <w:r w:rsidRPr="00D131E7">
              <w:rPr>
                <w:rFonts w:cs="Calibri"/>
                <w:sz w:val="20"/>
                <w:szCs w:val="20"/>
              </w:rPr>
              <w:tab/>
              <w:t>Air Flow Adjustment:</w:t>
            </w:r>
            <w:r w:rsidRPr="00D131E7">
              <w:rPr>
                <w:rFonts w:cs="Calibri"/>
                <w:sz w:val="20"/>
                <w:szCs w:val="20"/>
              </w:rPr>
              <w:tab/>
              <w:t>25% of the total.”</w:t>
            </w:r>
          </w:p>
          <w:p w14:paraId="54364B2C" w14:textId="5C825541" w:rsidR="007252C7" w:rsidRDefault="007252C7" w:rsidP="007252C7">
            <w:pPr>
              <w:rPr>
                <w:rFonts w:cs="Arial"/>
                <w:sz w:val="20"/>
                <w:szCs w:val="20"/>
              </w:rPr>
            </w:pPr>
          </w:p>
          <w:p w14:paraId="41EEB565" w14:textId="5E41D4C6" w:rsidR="007252C7" w:rsidRDefault="007252C7" w:rsidP="007252C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Workpaper Saving</w:t>
            </w:r>
            <w:r w:rsidR="00F94612">
              <w:rPr>
                <w:rFonts w:cs="Arial"/>
                <w:sz w:val="20"/>
                <w:szCs w:val="20"/>
              </w:rPr>
              <w:t>s = DEER values * 0.25*0.50</w:t>
            </w:r>
          </w:p>
          <w:p w14:paraId="7DB1C612" w14:textId="77777777" w:rsidR="00D131E7" w:rsidRDefault="00D131E7" w:rsidP="00AF368D">
            <w:pPr>
              <w:rPr>
                <w:rFonts w:cs="Arial"/>
                <w:sz w:val="20"/>
                <w:szCs w:val="20"/>
              </w:rPr>
            </w:pPr>
          </w:p>
          <w:p w14:paraId="60FE993A" w14:textId="59577100" w:rsidR="00EB2DBB" w:rsidRPr="00D131E7" w:rsidRDefault="00EB2DBB" w:rsidP="00F94612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D2F3D" w14:paraId="348352ED" w14:textId="77777777" w:rsidTr="00BE39B1">
        <w:trPr>
          <w:cantSplit/>
        </w:trPr>
        <w:tc>
          <w:tcPr>
            <w:tcW w:w="9350" w:type="dxa"/>
            <w:gridSpan w:val="2"/>
            <w:vAlign w:val="center"/>
          </w:tcPr>
          <w:p w14:paraId="6E8D0EF2" w14:textId="77777777" w:rsidR="00DD2F3D" w:rsidRPr="00476F40" w:rsidRDefault="00DD2F3D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Section 3. Load Shapes</w:t>
            </w:r>
          </w:p>
        </w:tc>
      </w:tr>
      <w:tr w:rsidR="00DD2F3D" w14:paraId="5B87C49C" w14:textId="77777777" w:rsidTr="00F52060">
        <w:trPr>
          <w:cantSplit/>
        </w:trPr>
        <w:tc>
          <w:tcPr>
            <w:tcW w:w="1975" w:type="dxa"/>
            <w:vAlign w:val="center"/>
          </w:tcPr>
          <w:p w14:paraId="2D110F10" w14:textId="77777777" w:rsidR="00DD2F3D" w:rsidRPr="00DD2F3D" w:rsidRDefault="00DD2F3D" w:rsidP="00BE39B1">
            <w:r>
              <w:t>Load Shape</w:t>
            </w:r>
          </w:p>
        </w:tc>
        <w:tc>
          <w:tcPr>
            <w:tcW w:w="7375" w:type="dxa"/>
          </w:tcPr>
          <w:p w14:paraId="027B9ECD" w14:textId="77777777" w:rsidR="00DD2F3D" w:rsidRDefault="00DD2F3D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SDGE:DEER:HVAC_Eff_AC</w:t>
            </w:r>
            <w:r>
              <w:rPr>
                <w:rFonts w:cstheme="minorHAnsi"/>
                <w:bCs/>
                <w:sz w:val="20"/>
              </w:rPr>
              <w:br/>
              <w:t>Annual</w:t>
            </w:r>
          </w:p>
        </w:tc>
      </w:tr>
      <w:tr w:rsidR="00AF368D" w14:paraId="2FD04222" w14:textId="77777777" w:rsidTr="00BE39B1">
        <w:trPr>
          <w:cantSplit/>
        </w:trPr>
        <w:tc>
          <w:tcPr>
            <w:tcW w:w="9350" w:type="dxa"/>
            <w:gridSpan w:val="2"/>
            <w:vAlign w:val="center"/>
          </w:tcPr>
          <w:p w14:paraId="028E7FFA" w14:textId="77777777" w:rsidR="00AF368D" w:rsidRDefault="00AF368D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b/>
              </w:rPr>
              <w:t>Section 4</w:t>
            </w:r>
            <w:r w:rsidRPr="00244805">
              <w:rPr>
                <w:b/>
              </w:rPr>
              <w:t xml:space="preserve">. </w:t>
            </w:r>
            <w:r>
              <w:rPr>
                <w:b/>
              </w:rPr>
              <w:t>Cost</w:t>
            </w:r>
          </w:p>
        </w:tc>
      </w:tr>
      <w:tr w:rsidR="00AF368D" w14:paraId="222ACED8" w14:textId="77777777" w:rsidTr="00BE39B1">
        <w:trPr>
          <w:cantSplit/>
        </w:trPr>
        <w:tc>
          <w:tcPr>
            <w:tcW w:w="9350" w:type="dxa"/>
            <w:gridSpan w:val="2"/>
            <w:vAlign w:val="center"/>
          </w:tcPr>
          <w:p w14:paraId="6385E18D" w14:textId="77777777" w:rsidR="00AF368D" w:rsidRDefault="00AF368D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b/>
              </w:rPr>
              <w:t>Section 4.1 Base and Measure Costs</w:t>
            </w:r>
          </w:p>
        </w:tc>
      </w:tr>
      <w:tr w:rsidR="00244805" w14:paraId="1E42C3F0" w14:textId="77777777" w:rsidTr="00F52060">
        <w:trPr>
          <w:cantSplit/>
        </w:trPr>
        <w:tc>
          <w:tcPr>
            <w:tcW w:w="1975" w:type="dxa"/>
          </w:tcPr>
          <w:p w14:paraId="5F4DE82B" w14:textId="77777777" w:rsidR="00244805" w:rsidRPr="00D91B6C" w:rsidRDefault="00244805" w:rsidP="00244805">
            <w:r w:rsidRPr="00D91B6C">
              <w:t>Base Cost</w:t>
            </w:r>
          </w:p>
        </w:tc>
        <w:tc>
          <w:tcPr>
            <w:tcW w:w="7375" w:type="dxa"/>
          </w:tcPr>
          <w:p w14:paraId="4AD0A033" w14:textId="77777777" w:rsidR="00B90F97" w:rsidRPr="00A854EE" w:rsidRDefault="00B90F97" w:rsidP="00B90F97">
            <w:pPr>
              <w:rPr>
                <w:sz w:val="20"/>
                <w:szCs w:val="20"/>
              </w:rPr>
            </w:pPr>
            <w:r w:rsidRPr="00A854EE">
              <w:rPr>
                <w:sz w:val="20"/>
                <w:szCs w:val="20"/>
              </w:rPr>
              <w:t>The base case is the customer’s existing equipment; therefore, the base case cost is $0.00.</w:t>
            </w:r>
          </w:p>
          <w:p w14:paraId="409E918E" w14:textId="77777777" w:rsidR="00244805" w:rsidRPr="003B7A13" w:rsidRDefault="00244805" w:rsidP="00244805">
            <w:pPr>
              <w:rPr>
                <w:highlight w:val="yellow"/>
              </w:rPr>
            </w:pPr>
          </w:p>
        </w:tc>
      </w:tr>
      <w:tr w:rsidR="00244805" w14:paraId="06905C5E" w14:textId="77777777" w:rsidTr="00F52060">
        <w:trPr>
          <w:cantSplit/>
        </w:trPr>
        <w:tc>
          <w:tcPr>
            <w:tcW w:w="1975" w:type="dxa"/>
          </w:tcPr>
          <w:p w14:paraId="02638F61" w14:textId="77777777" w:rsidR="00244805" w:rsidRPr="00D91B6C" w:rsidRDefault="00244805" w:rsidP="00244805">
            <w:r w:rsidRPr="00D91B6C">
              <w:lastRenderedPageBreak/>
              <w:t xml:space="preserve">Measure Cost </w:t>
            </w:r>
          </w:p>
        </w:tc>
        <w:tc>
          <w:tcPr>
            <w:tcW w:w="7375" w:type="dxa"/>
          </w:tcPr>
          <w:p w14:paraId="408030C3" w14:textId="7B7C8E69" w:rsidR="00B90F97" w:rsidRDefault="00B90F97" w:rsidP="00B90F97">
            <w:pPr>
              <w:rPr>
                <w:sz w:val="20"/>
                <w:szCs w:val="20"/>
              </w:rPr>
            </w:pPr>
            <w:r w:rsidRPr="00A854EE">
              <w:rPr>
                <w:sz w:val="20"/>
                <w:szCs w:val="20"/>
              </w:rPr>
              <w:t>The 2010-2012 WO17 Ex Ante Measure Cost Study</w:t>
            </w:r>
            <w:r w:rsidR="00AF368D" w:rsidRPr="00A854EE">
              <w:rPr>
                <w:sz w:val="20"/>
                <w:szCs w:val="20"/>
              </w:rPr>
              <w:t xml:space="preserve"> </w:t>
            </w:r>
            <w:r w:rsidRPr="00A854EE">
              <w:rPr>
                <w:sz w:val="20"/>
                <w:szCs w:val="20"/>
              </w:rPr>
              <w:t xml:space="preserve">provides </w:t>
            </w:r>
            <w:r w:rsidR="00B929C1">
              <w:rPr>
                <w:sz w:val="20"/>
                <w:szCs w:val="20"/>
              </w:rPr>
              <w:t>condenser coil cleaning</w:t>
            </w:r>
            <w:r w:rsidRPr="00A854EE">
              <w:rPr>
                <w:sz w:val="20"/>
                <w:szCs w:val="20"/>
              </w:rPr>
              <w:t xml:space="preserve"> per-ton costs by leveraging a sample size of ten direct install (DI) primary price data points from utilities over the past two program cycles (2010-2012 and 2013-2014). </w:t>
            </w:r>
            <w:r w:rsidR="00722C9C">
              <w:rPr>
                <w:sz w:val="20"/>
                <w:szCs w:val="20"/>
              </w:rPr>
              <w:t xml:space="preserve"> </w:t>
            </w:r>
          </w:p>
          <w:p w14:paraId="10DB8F59" w14:textId="77777777" w:rsidR="00CA1C3F" w:rsidRPr="00A854EE" w:rsidRDefault="00CA1C3F" w:rsidP="00B90F97">
            <w:pPr>
              <w:rPr>
                <w:sz w:val="20"/>
                <w:szCs w:val="20"/>
              </w:rPr>
            </w:pPr>
          </w:p>
          <w:p w14:paraId="52170007" w14:textId="77777777" w:rsidR="00B90F97" w:rsidRPr="00A854EE" w:rsidRDefault="00AF368D" w:rsidP="00B90F97">
            <w:pPr>
              <w:rPr>
                <w:sz w:val="20"/>
                <w:szCs w:val="20"/>
              </w:rPr>
            </w:pPr>
            <w:r w:rsidRPr="00A854EE">
              <w:rPr>
                <w:sz w:val="20"/>
                <w:szCs w:val="20"/>
              </w:rPr>
              <w:t>The study</w:t>
            </w:r>
            <w:r w:rsidR="00B90F97" w:rsidRPr="00A854EE">
              <w:rPr>
                <w:sz w:val="20"/>
                <w:szCs w:val="20"/>
              </w:rPr>
              <w:t xml:space="preserve"> provides costs per</w:t>
            </w:r>
            <w:r w:rsidR="00B929C1">
              <w:rPr>
                <w:sz w:val="20"/>
                <w:szCs w:val="20"/>
              </w:rPr>
              <w:t xml:space="preserve"> ton cooling for coil cleaning of $6.73 for materials and $25.65</w:t>
            </w:r>
            <w:r w:rsidR="00B90F97" w:rsidRPr="00A854EE">
              <w:rPr>
                <w:sz w:val="20"/>
                <w:szCs w:val="20"/>
              </w:rPr>
              <w:t xml:space="preserve"> for </w:t>
            </w:r>
            <w:r w:rsidR="00B929C1">
              <w:rPr>
                <w:sz w:val="20"/>
                <w:szCs w:val="20"/>
              </w:rPr>
              <w:t>labor for a total cost of $32.38</w:t>
            </w:r>
            <w:r w:rsidR="00B90F97" w:rsidRPr="00A854EE">
              <w:rPr>
                <w:sz w:val="20"/>
                <w:szCs w:val="20"/>
              </w:rPr>
              <w:t>/ton.</w:t>
            </w:r>
            <w:r w:rsidR="00B90F97" w:rsidRPr="00A854EE">
              <w:rPr>
                <w:rFonts w:eastAsia="Calibri" w:cs="Calibri"/>
                <w:sz w:val="20"/>
                <w:szCs w:val="20"/>
              </w:rPr>
              <w:t xml:space="preserve"> </w:t>
            </w:r>
          </w:p>
          <w:p w14:paraId="5768FD4F" w14:textId="77777777" w:rsidR="00B90F97" w:rsidRDefault="00B90F97" w:rsidP="00B90F97">
            <w:pPr>
              <w:rPr>
                <w:rFonts w:ascii="Times New Roman" w:eastAsiaTheme="minorHAnsi" w:hAnsi="Times New Roman"/>
                <w:sz w:val="24"/>
              </w:rPr>
            </w:pPr>
          </w:p>
          <w:p w14:paraId="71CAA7B2" w14:textId="77777777" w:rsidR="00244805" w:rsidRPr="003B7A13" w:rsidRDefault="00B90F97" w:rsidP="00B90F97">
            <w:pPr>
              <w:rPr>
                <w:highlight w:val="yellow"/>
              </w:rPr>
            </w:pPr>
            <w:r w:rsidRPr="003B7A13">
              <w:rPr>
                <w:highlight w:val="yellow"/>
              </w:rPr>
              <w:t xml:space="preserve"> </w:t>
            </w:r>
          </w:p>
        </w:tc>
      </w:tr>
    </w:tbl>
    <w:p w14:paraId="6B3429A2" w14:textId="77777777" w:rsidR="001B5D6C" w:rsidRDefault="001B5D6C" w:rsidP="00FE636E">
      <w:pPr>
        <w:spacing w:after="200" w:line="276" w:lineRule="auto"/>
      </w:pPr>
    </w:p>
    <w:p w14:paraId="4B2E217D" w14:textId="77777777" w:rsidR="00C228B0" w:rsidRPr="00FD3D43" w:rsidRDefault="00C228B0" w:rsidP="00567FEF"/>
    <w:sectPr w:rsidR="00C228B0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17F1F" w14:textId="77777777" w:rsidR="007A0D4A" w:rsidRDefault="007A0D4A" w:rsidP="00FE520B">
      <w:r>
        <w:separator/>
      </w:r>
    </w:p>
  </w:endnote>
  <w:endnote w:type="continuationSeparator" w:id="0">
    <w:p w14:paraId="5D26DABE" w14:textId="77777777" w:rsidR="007A0D4A" w:rsidRDefault="007A0D4A" w:rsidP="00FE520B">
      <w:r>
        <w:continuationSeparator/>
      </w:r>
    </w:p>
  </w:endnote>
  <w:endnote w:id="1">
    <w:p w14:paraId="602DB582" w14:textId="77777777" w:rsidR="00027C83" w:rsidRPr="00027C83" w:rsidRDefault="00027C83" w:rsidP="00027C83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 w:rsidRPr="00027C83">
        <w:t>California Public Utilities Commission, Energy Division</w:t>
      </w:r>
      <w:r>
        <w:t>. W</w:t>
      </w:r>
      <w:r>
        <w:rPr>
          <w:lang w:val="en-US"/>
        </w:rPr>
        <w:t>orkpaper Disposition for</w:t>
      </w:r>
    </w:p>
    <w:p w14:paraId="5499232D" w14:textId="77777777" w:rsidR="00027C83" w:rsidRDefault="00027C83" w:rsidP="00027C83">
      <w:pPr>
        <w:pStyle w:val="EndnoteText"/>
        <w:rPr>
          <w:rFonts w:ascii="Arial" w:hAnsi="Arial"/>
        </w:rPr>
      </w:pPr>
      <w:r>
        <w:t>Residential HVAC Quality Maintenance. Sa</w:t>
      </w:r>
      <w:r>
        <w:rPr>
          <w:lang w:val="en-US"/>
        </w:rPr>
        <w:t>cramento</w:t>
      </w:r>
      <w:r>
        <w:t>, CA (201</w:t>
      </w:r>
      <w:r>
        <w:rPr>
          <w:lang w:val="en-US"/>
        </w:rPr>
        <w:t>3</w:t>
      </w:r>
      <w:r>
        <w:t xml:space="preserve">, May </w:t>
      </w:r>
      <w:r>
        <w:rPr>
          <w:lang w:val="en-US"/>
        </w:rPr>
        <w:t>2</w:t>
      </w:r>
      <w:r>
        <w:t xml:space="preserve">). Retrieved </w:t>
      </w:r>
      <w:r>
        <w:rPr>
          <w:lang w:val="en-US"/>
        </w:rPr>
        <w:t>12/1/17</w:t>
      </w:r>
      <w:r>
        <w:t xml:space="preserve"> at </w:t>
      </w:r>
      <w:hyperlink r:id="rId1" w:history="1">
        <w:r>
          <w:rPr>
            <w:rStyle w:val="Hyperlink"/>
          </w:rPr>
          <w:t>http://deeresources.com/index.php/non-deer-workpapers</w:t>
        </w:r>
      </w:hyperlink>
      <w:r>
        <w:t>.</w:t>
      </w:r>
    </w:p>
  </w:endnote>
  <w:endnote w:id="2">
    <w:p w14:paraId="6EACFE40" w14:textId="77777777" w:rsidR="002717A2" w:rsidRDefault="002717A2" w:rsidP="002717A2">
      <w:pPr>
        <w:pStyle w:val="EndnoteText"/>
        <w:rPr>
          <w:rFonts w:ascii="Arial" w:hAnsi="Arial"/>
        </w:rPr>
      </w:pPr>
      <w:r>
        <w:rPr>
          <w:rStyle w:val="EndnoteReference"/>
        </w:rPr>
        <w:endnoteRef/>
      </w:r>
      <w:r>
        <w:t xml:space="preserve"> Itron. 2010-2012 WO017 Ex Ante Measure Cost Study Final Report. San Francisco, CA (2014, May 27). Retrieved </w:t>
      </w:r>
      <w:r>
        <w:rPr>
          <w:lang w:val="en-US"/>
        </w:rPr>
        <w:t>12/1/17</w:t>
      </w:r>
      <w:r>
        <w:t xml:space="preserve"> at </w:t>
      </w:r>
      <w:hyperlink r:id="rId2" w:history="1">
        <w:r>
          <w:rPr>
            <w:rStyle w:val="Hyperlink"/>
          </w:rPr>
          <w:t>http://www.energydataweb.com/cpucFiles/pdaDocs/1100/2010-2012%20WO017%20Ex%20Ante%20Measure%20Cost%20Study%20-%20Final%20Report.pdf</w:t>
        </w:r>
      </w:hyperlink>
      <w: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C1064" w14:textId="4DAD9B80" w:rsidR="00BE39B1" w:rsidRPr="00241A1F" w:rsidRDefault="00BE39B1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WPSDGERERN001, Revision </w:t>
    </w:r>
    <w:r w:rsidR="00F94612">
      <w:rPr>
        <w:b/>
      </w:rPr>
      <w:t>4</w:t>
    </w:r>
    <w:r>
      <w:rPr>
        <w:b/>
      </w:rPr>
      <w:tab/>
    </w:r>
    <w:r>
      <w:rPr>
        <w:b/>
      </w:rPr>
      <w:tab/>
    </w:r>
    <w:r w:rsidR="00F94612">
      <w:rPr>
        <w:rFonts w:cstheme="minorHAnsi"/>
        <w:b/>
        <w:szCs w:val="22"/>
      </w:rPr>
      <w:t>November 05, 2018</w:t>
    </w:r>
  </w:p>
  <w:p w14:paraId="283D8892" w14:textId="4E5ABAF3" w:rsidR="00BE39B1" w:rsidRPr="009500DC" w:rsidRDefault="00BE39B1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  <w:r w:rsidRPr="00C7215A">
      <w:rPr>
        <w:b/>
      </w:rPr>
      <w:fldChar w:fldCharType="begin"/>
    </w:r>
    <w:r w:rsidRPr="00C7215A">
      <w:rPr>
        <w:b/>
      </w:rPr>
      <w:instrText xml:space="preserve"> PAGE   \* MERGEFORMAT </w:instrText>
    </w:r>
    <w:r w:rsidRPr="00C7215A">
      <w:rPr>
        <w:b/>
      </w:rPr>
      <w:fldChar w:fldCharType="separate"/>
    </w:r>
    <w:r w:rsidR="00251A7E">
      <w:rPr>
        <w:b/>
        <w:noProof/>
      </w:rPr>
      <w:t>3</w:t>
    </w:r>
    <w:r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7D181" w14:textId="77777777" w:rsidR="007A0D4A" w:rsidRDefault="007A0D4A" w:rsidP="00FE520B">
      <w:r>
        <w:separator/>
      </w:r>
    </w:p>
  </w:footnote>
  <w:footnote w:type="continuationSeparator" w:id="0">
    <w:p w14:paraId="1683D345" w14:textId="77777777" w:rsidR="007A0D4A" w:rsidRDefault="007A0D4A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7E23"/>
    <w:multiLevelType w:val="hybridMultilevel"/>
    <w:tmpl w:val="B68A63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579B7"/>
    <w:multiLevelType w:val="hybridMultilevel"/>
    <w:tmpl w:val="1C6838F8"/>
    <w:lvl w:ilvl="0" w:tplc="1500155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34A65"/>
    <w:multiLevelType w:val="hybridMultilevel"/>
    <w:tmpl w:val="9F10B4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92E4B"/>
    <w:multiLevelType w:val="hybridMultilevel"/>
    <w:tmpl w:val="DA28CA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8E7A2A"/>
    <w:multiLevelType w:val="hybridMultilevel"/>
    <w:tmpl w:val="E45A16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64252B"/>
    <w:multiLevelType w:val="hybridMultilevel"/>
    <w:tmpl w:val="03F4E6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2E77CD"/>
    <w:multiLevelType w:val="multilevel"/>
    <w:tmpl w:val="C0F656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9" w15:restartNumberingAfterBreak="0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13"/>
  </w:num>
  <w:num w:numId="6">
    <w:abstractNumId w:val="4"/>
  </w:num>
  <w:num w:numId="7">
    <w:abstractNumId w:val="20"/>
  </w:num>
  <w:num w:numId="8">
    <w:abstractNumId w:val="16"/>
  </w:num>
  <w:num w:numId="9">
    <w:abstractNumId w:val="5"/>
  </w:num>
  <w:num w:numId="10">
    <w:abstractNumId w:val="17"/>
  </w:num>
  <w:num w:numId="11">
    <w:abstractNumId w:val="19"/>
  </w:num>
  <w:num w:numId="12">
    <w:abstractNumId w:val="11"/>
  </w:num>
  <w:num w:numId="13">
    <w:abstractNumId w:val="21"/>
  </w:num>
  <w:num w:numId="14">
    <w:abstractNumId w:val="10"/>
  </w:num>
  <w:num w:numId="15">
    <w:abstractNumId w:val="12"/>
  </w:num>
  <w:num w:numId="16">
    <w:abstractNumId w:val="15"/>
  </w:num>
  <w:num w:numId="17">
    <w:abstractNumId w:val="9"/>
  </w:num>
  <w:num w:numId="18">
    <w:abstractNumId w:val="0"/>
  </w:num>
  <w:num w:numId="19">
    <w:abstractNumId w:val="6"/>
  </w:num>
  <w:num w:numId="20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7C6"/>
    <w:rsid w:val="00004D4E"/>
    <w:rsid w:val="0000540F"/>
    <w:rsid w:val="00007291"/>
    <w:rsid w:val="00023C32"/>
    <w:rsid w:val="00027C83"/>
    <w:rsid w:val="00031221"/>
    <w:rsid w:val="00031BA0"/>
    <w:rsid w:val="00036A2C"/>
    <w:rsid w:val="00051762"/>
    <w:rsid w:val="00052743"/>
    <w:rsid w:val="00052CE4"/>
    <w:rsid w:val="00067315"/>
    <w:rsid w:val="00067AF1"/>
    <w:rsid w:val="000719BF"/>
    <w:rsid w:val="00076A20"/>
    <w:rsid w:val="000A2B83"/>
    <w:rsid w:val="000A3A47"/>
    <w:rsid w:val="000A63E9"/>
    <w:rsid w:val="000B6542"/>
    <w:rsid w:val="000C13AE"/>
    <w:rsid w:val="000C19C4"/>
    <w:rsid w:val="000C441A"/>
    <w:rsid w:val="000D243C"/>
    <w:rsid w:val="000E19CA"/>
    <w:rsid w:val="000E2CA6"/>
    <w:rsid w:val="000E65D6"/>
    <w:rsid w:val="000F6BA3"/>
    <w:rsid w:val="000F72EF"/>
    <w:rsid w:val="001039B0"/>
    <w:rsid w:val="001046CB"/>
    <w:rsid w:val="00121B4E"/>
    <w:rsid w:val="0012271D"/>
    <w:rsid w:val="00131C78"/>
    <w:rsid w:val="00143843"/>
    <w:rsid w:val="001505DA"/>
    <w:rsid w:val="0016189C"/>
    <w:rsid w:val="001752E5"/>
    <w:rsid w:val="00180D3D"/>
    <w:rsid w:val="00183A2F"/>
    <w:rsid w:val="00194466"/>
    <w:rsid w:val="001979FF"/>
    <w:rsid w:val="001A11C1"/>
    <w:rsid w:val="001A4875"/>
    <w:rsid w:val="001B1C8A"/>
    <w:rsid w:val="001B5D6C"/>
    <w:rsid w:val="001C3663"/>
    <w:rsid w:val="001D0AB9"/>
    <w:rsid w:val="001D57D7"/>
    <w:rsid w:val="001D6A64"/>
    <w:rsid w:val="001E30C2"/>
    <w:rsid w:val="001F64F8"/>
    <w:rsid w:val="00200310"/>
    <w:rsid w:val="00201A3F"/>
    <w:rsid w:val="00215828"/>
    <w:rsid w:val="00231DE1"/>
    <w:rsid w:val="00235AFB"/>
    <w:rsid w:val="00241A1F"/>
    <w:rsid w:val="00244447"/>
    <w:rsid w:val="00244805"/>
    <w:rsid w:val="00251A7E"/>
    <w:rsid w:val="00266379"/>
    <w:rsid w:val="002717A2"/>
    <w:rsid w:val="00291B2B"/>
    <w:rsid w:val="002B30C9"/>
    <w:rsid w:val="002C1030"/>
    <w:rsid w:val="002C15E6"/>
    <w:rsid w:val="002D0BD6"/>
    <w:rsid w:val="002D7B3E"/>
    <w:rsid w:val="002E0948"/>
    <w:rsid w:val="002E24BE"/>
    <w:rsid w:val="002F24CE"/>
    <w:rsid w:val="002F3597"/>
    <w:rsid w:val="00323C28"/>
    <w:rsid w:val="0032761E"/>
    <w:rsid w:val="0034557D"/>
    <w:rsid w:val="00360CFA"/>
    <w:rsid w:val="00373EC5"/>
    <w:rsid w:val="00394991"/>
    <w:rsid w:val="003A0D2B"/>
    <w:rsid w:val="003A4277"/>
    <w:rsid w:val="003A7B4E"/>
    <w:rsid w:val="003B5806"/>
    <w:rsid w:val="003B5DCF"/>
    <w:rsid w:val="003B6A2A"/>
    <w:rsid w:val="003B7A13"/>
    <w:rsid w:val="003C2EE4"/>
    <w:rsid w:val="003D1C21"/>
    <w:rsid w:val="003E035B"/>
    <w:rsid w:val="003E0DC8"/>
    <w:rsid w:val="003E122A"/>
    <w:rsid w:val="003E591F"/>
    <w:rsid w:val="003E6E57"/>
    <w:rsid w:val="003E6FA5"/>
    <w:rsid w:val="003F1F0D"/>
    <w:rsid w:val="00402B3D"/>
    <w:rsid w:val="00404A43"/>
    <w:rsid w:val="00413EF4"/>
    <w:rsid w:val="00416118"/>
    <w:rsid w:val="00431763"/>
    <w:rsid w:val="004402EE"/>
    <w:rsid w:val="004452CE"/>
    <w:rsid w:val="0044686E"/>
    <w:rsid w:val="00446BE5"/>
    <w:rsid w:val="004519B4"/>
    <w:rsid w:val="004553AF"/>
    <w:rsid w:val="00467DB3"/>
    <w:rsid w:val="004748BE"/>
    <w:rsid w:val="00492365"/>
    <w:rsid w:val="004A6215"/>
    <w:rsid w:val="004B6CE4"/>
    <w:rsid w:val="004D0326"/>
    <w:rsid w:val="004D5D19"/>
    <w:rsid w:val="004E13B2"/>
    <w:rsid w:val="00513723"/>
    <w:rsid w:val="005248E2"/>
    <w:rsid w:val="005428E1"/>
    <w:rsid w:val="00543687"/>
    <w:rsid w:val="00555671"/>
    <w:rsid w:val="005613FC"/>
    <w:rsid w:val="00567FEF"/>
    <w:rsid w:val="00580664"/>
    <w:rsid w:val="0059117D"/>
    <w:rsid w:val="00591D85"/>
    <w:rsid w:val="0059663B"/>
    <w:rsid w:val="005B5614"/>
    <w:rsid w:val="005C1518"/>
    <w:rsid w:val="005C3DF3"/>
    <w:rsid w:val="005D568F"/>
    <w:rsid w:val="005D5D5A"/>
    <w:rsid w:val="005E18A1"/>
    <w:rsid w:val="0061470F"/>
    <w:rsid w:val="00636490"/>
    <w:rsid w:val="006374F1"/>
    <w:rsid w:val="00650C31"/>
    <w:rsid w:val="00650F0D"/>
    <w:rsid w:val="00653C4B"/>
    <w:rsid w:val="006642F9"/>
    <w:rsid w:val="00666CDA"/>
    <w:rsid w:val="00682E19"/>
    <w:rsid w:val="00684ABA"/>
    <w:rsid w:val="00686789"/>
    <w:rsid w:val="0068727F"/>
    <w:rsid w:val="006875B3"/>
    <w:rsid w:val="00695478"/>
    <w:rsid w:val="006A3E63"/>
    <w:rsid w:val="006B0D5C"/>
    <w:rsid w:val="006B4F62"/>
    <w:rsid w:val="006D03F9"/>
    <w:rsid w:val="006D2B70"/>
    <w:rsid w:val="00707736"/>
    <w:rsid w:val="00711B58"/>
    <w:rsid w:val="00722C9C"/>
    <w:rsid w:val="007252C7"/>
    <w:rsid w:val="00727839"/>
    <w:rsid w:val="00752529"/>
    <w:rsid w:val="00762D81"/>
    <w:rsid w:val="00764A26"/>
    <w:rsid w:val="00785AC8"/>
    <w:rsid w:val="00786E32"/>
    <w:rsid w:val="0078749E"/>
    <w:rsid w:val="00787D7C"/>
    <w:rsid w:val="00792928"/>
    <w:rsid w:val="00794FFB"/>
    <w:rsid w:val="00797B54"/>
    <w:rsid w:val="007A0D4A"/>
    <w:rsid w:val="007B18FE"/>
    <w:rsid w:val="007D1A21"/>
    <w:rsid w:val="007D1F1E"/>
    <w:rsid w:val="007D3A21"/>
    <w:rsid w:val="007D4F8E"/>
    <w:rsid w:val="007D6FF1"/>
    <w:rsid w:val="007E7E00"/>
    <w:rsid w:val="007F4569"/>
    <w:rsid w:val="008137B0"/>
    <w:rsid w:val="0081521B"/>
    <w:rsid w:val="00841DA8"/>
    <w:rsid w:val="00850189"/>
    <w:rsid w:val="00856FA4"/>
    <w:rsid w:val="00862113"/>
    <w:rsid w:val="0086500E"/>
    <w:rsid w:val="008724D6"/>
    <w:rsid w:val="008775D7"/>
    <w:rsid w:val="00884B9C"/>
    <w:rsid w:val="00895D80"/>
    <w:rsid w:val="008A1557"/>
    <w:rsid w:val="008A1D1C"/>
    <w:rsid w:val="008A4224"/>
    <w:rsid w:val="008B5184"/>
    <w:rsid w:val="008B55C2"/>
    <w:rsid w:val="008B685C"/>
    <w:rsid w:val="008C01F7"/>
    <w:rsid w:val="008C12AC"/>
    <w:rsid w:val="008C2C8A"/>
    <w:rsid w:val="008D0B3C"/>
    <w:rsid w:val="008E0850"/>
    <w:rsid w:val="008E5CD5"/>
    <w:rsid w:val="0090016E"/>
    <w:rsid w:val="00910D54"/>
    <w:rsid w:val="009114E6"/>
    <w:rsid w:val="00925509"/>
    <w:rsid w:val="0093657B"/>
    <w:rsid w:val="009374BC"/>
    <w:rsid w:val="0094267E"/>
    <w:rsid w:val="00950249"/>
    <w:rsid w:val="00957C01"/>
    <w:rsid w:val="009618BA"/>
    <w:rsid w:val="00985CB7"/>
    <w:rsid w:val="00986A83"/>
    <w:rsid w:val="00991BBA"/>
    <w:rsid w:val="009A122E"/>
    <w:rsid w:val="009C3F2D"/>
    <w:rsid w:val="009C6AE8"/>
    <w:rsid w:val="009E1662"/>
    <w:rsid w:val="009F3770"/>
    <w:rsid w:val="00A051D9"/>
    <w:rsid w:val="00A21710"/>
    <w:rsid w:val="00A3401B"/>
    <w:rsid w:val="00A578F7"/>
    <w:rsid w:val="00A61271"/>
    <w:rsid w:val="00A75EDC"/>
    <w:rsid w:val="00A854EE"/>
    <w:rsid w:val="00A86375"/>
    <w:rsid w:val="00A90F14"/>
    <w:rsid w:val="00A9441E"/>
    <w:rsid w:val="00A9551F"/>
    <w:rsid w:val="00A96751"/>
    <w:rsid w:val="00AA43C4"/>
    <w:rsid w:val="00AB5449"/>
    <w:rsid w:val="00AD034F"/>
    <w:rsid w:val="00AD41D5"/>
    <w:rsid w:val="00AD74B2"/>
    <w:rsid w:val="00AE4353"/>
    <w:rsid w:val="00AF368D"/>
    <w:rsid w:val="00B00846"/>
    <w:rsid w:val="00B079DA"/>
    <w:rsid w:val="00B16652"/>
    <w:rsid w:val="00B26A01"/>
    <w:rsid w:val="00B26A30"/>
    <w:rsid w:val="00B471CC"/>
    <w:rsid w:val="00B47B58"/>
    <w:rsid w:val="00B521D4"/>
    <w:rsid w:val="00B57F32"/>
    <w:rsid w:val="00B61FCD"/>
    <w:rsid w:val="00B75260"/>
    <w:rsid w:val="00B7668F"/>
    <w:rsid w:val="00B774AB"/>
    <w:rsid w:val="00B90F97"/>
    <w:rsid w:val="00B9234D"/>
    <w:rsid w:val="00B929C1"/>
    <w:rsid w:val="00B9551F"/>
    <w:rsid w:val="00BA1B6B"/>
    <w:rsid w:val="00BB2979"/>
    <w:rsid w:val="00BB2D80"/>
    <w:rsid w:val="00BC237D"/>
    <w:rsid w:val="00BC6454"/>
    <w:rsid w:val="00BD4AFD"/>
    <w:rsid w:val="00BD5433"/>
    <w:rsid w:val="00BE39B1"/>
    <w:rsid w:val="00C048F4"/>
    <w:rsid w:val="00C05E32"/>
    <w:rsid w:val="00C06B9E"/>
    <w:rsid w:val="00C131CB"/>
    <w:rsid w:val="00C14DCC"/>
    <w:rsid w:val="00C15F66"/>
    <w:rsid w:val="00C228B0"/>
    <w:rsid w:val="00C23CAB"/>
    <w:rsid w:val="00C414A6"/>
    <w:rsid w:val="00C44E5A"/>
    <w:rsid w:val="00C462C1"/>
    <w:rsid w:val="00C52867"/>
    <w:rsid w:val="00C54AC6"/>
    <w:rsid w:val="00C6110B"/>
    <w:rsid w:val="00C62A00"/>
    <w:rsid w:val="00C7215A"/>
    <w:rsid w:val="00C75814"/>
    <w:rsid w:val="00C874B7"/>
    <w:rsid w:val="00CA1C3F"/>
    <w:rsid w:val="00CA48A0"/>
    <w:rsid w:val="00CB10BC"/>
    <w:rsid w:val="00CD0996"/>
    <w:rsid w:val="00CD0F98"/>
    <w:rsid w:val="00CF295D"/>
    <w:rsid w:val="00CF2ABA"/>
    <w:rsid w:val="00D02F02"/>
    <w:rsid w:val="00D131E7"/>
    <w:rsid w:val="00D204BF"/>
    <w:rsid w:val="00D4142C"/>
    <w:rsid w:val="00D60240"/>
    <w:rsid w:val="00D63D7F"/>
    <w:rsid w:val="00D645DB"/>
    <w:rsid w:val="00D73600"/>
    <w:rsid w:val="00D73723"/>
    <w:rsid w:val="00D85774"/>
    <w:rsid w:val="00DA1B13"/>
    <w:rsid w:val="00DA4D9F"/>
    <w:rsid w:val="00DA5D17"/>
    <w:rsid w:val="00DB544A"/>
    <w:rsid w:val="00DB71F1"/>
    <w:rsid w:val="00DC42DE"/>
    <w:rsid w:val="00DC7243"/>
    <w:rsid w:val="00DD2F3D"/>
    <w:rsid w:val="00DE0A32"/>
    <w:rsid w:val="00DE1C5D"/>
    <w:rsid w:val="00DE364E"/>
    <w:rsid w:val="00E048EA"/>
    <w:rsid w:val="00E05871"/>
    <w:rsid w:val="00E05B9C"/>
    <w:rsid w:val="00E159C8"/>
    <w:rsid w:val="00E165FC"/>
    <w:rsid w:val="00E33C12"/>
    <w:rsid w:val="00E372B8"/>
    <w:rsid w:val="00E408A9"/>
    <w:rsid w:val="00E455B7"/>
    <w:rsid w:val="00E56CE7"/>
    <w:rsid w:val="00E6385A"/>
    <w:rsid w:val="00E63BCA"/>
    <w:rsid w:val="00E6631C"/>
    <w:rsid w:val="00E733C7"/>
    <w:rsid w:val="00E76853"/>
    <w:rsid w:val="00E84938"/>
    <w:rsid w:val="00E859F0"/>
    <w:rsid w:val="00EB2DBB"/>
    <w:rsid w:val="00EC34A0"/>
    <w:rsid w:val="00EC38B0"/>
    <w:rsid w:val="00EC550F"/>
    <w:rsid w:val="00EC57D8"/>
    <w:rsid w:val="00ED3B34"/>
    <w:rsid w:val="00ED65C0"/>
    <w:rsid w:val="00EE38DA"/>
    <w:rsid w:val="00EE6CFE"/>
    <w:rsid w:val="00F117C6"/>
    <w:rsid w:val="00F214FA"/>
    <w:rsid w:val="00F22251"/>
    <w:rsid w:val="00F3167F"/>
    <w:rsid w:val="00F4328B"/>
    <w:rsid w:val="00F52060"/>
    <w:rsid w:val="00F77C08"/>
    <w:rsid w:val="00F855DD"/>
    <w:rsid w:val="00F915C5"/>
    <w:rsid w:val="00F94612"/>
    <w:rsid w:val="00FA3359"/>
    <w:rsid w:val="00FB4B16"/>
    <w:rsid w:val="00FB6C42"/>
    <w:rsid w:val="00FC1793"/>
    <w:rsid w:val="00FD0565"/>
    <w:rsid w:val="00FD3D43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3C36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45DB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7E7E00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7E7E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semiHidden/>
    <w:rsid w:val="007E7E00"/>
    <w:rPr>
      <w:vertAlign w:val="superscript"/>
    </w:rPr>
  </w:style>
  <w:style w:type="table" w:styleId="TableContemporary">
    <w:name w:val="Table Contemporary"/>
    <w:aliases w:val="WP Table"/>
    <w:basedOn w:val="TableNormal"/>
    <w:unhideWhenUsed/>
    <w:rsid w:val="000B6542"/>
    <w:pPr>
      <w:spacing w:after="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Spacing">
    <w:name w:val="No Spacing"/>
    <w:uiPriority w:val="1"/>
    <w:qFormat/>
    <w:rsid w:val="00D4142C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90F9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7C8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ergydataweb.com/cpucFiles/pdaDocs/1100/2010-2012%20WO017%20Ex%20Ante%20Measure%20Cost%20Study%20-%20Final%20Report.pdf" TargetMode="External"/><Relationship Id="rId1" Type="http://schemas.openxmlformats.org/officeDocument/2006/relationships/hyperlink" Target="http://deeresources.com/index.php/non-deer-workpap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09F588A-A8B0-4E91-A917-9EFEE8BE8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2018-11-05T20:16:00Z</dcterms:created>
  <dcterms:modified xsi:type="dcterms:W3CDTF">2018-11-05T20:20:00Z</dcterms:modified>
</cp:coreProperties>
</file>