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9CA" w:rsidRPr="00500C4E" w:rsidRDefault="00E6385A" w:rsidP="000E19CA">
      <w:pPr>
        <w:pStyle w:val="WPnumber"/>
      </w:pPr>
      <w:bookmarkStart w:id="0" w:name="_Toc153189647"/>
      <w:r>
        <w:t xml:space="preserve">Short Form </w:t>
      </w:r>
      <w:r w:rsidR="00F117C6" w:rsidRPr="00500C4E">
        <w:t>Work Paper</w:t>
      </w:r>
      <w:r>
        <w:t xml:space="preserve"> </w:t>
      </w:r>
      <w:r w:rsidR="000A52E2" w:rsidRPr="000A52E2">
        <w:t>WPSDGEREHC1067</w:t>
      </w:r>
    </w:p>
    <w:p w:rsidR="00E6385A" w:rsidRPr="00500C4E" w:rsidRDefault="00E6385A" w:rsidP="00F117C6">
      <w:pPr>
        <w:pStyle w:val="WPnumber"/>
      </w:pPr>
      <w:r>
        <w:tab/>
      </w:r>
      <w:r w:rsidR="000E19CA">
        <w:rPr>
          <w:rStyle w:val="CaptionChar"/>
          <w:b/>
          <w:bCs w:val="0"/>
        </w:rPr>
        <w:t xml:space="preserve">Revision </w:t>
      </w:r>
      <w:r w:rsidR="00BA1B6B">
        <w:rPr>
          <w:rStyle w:val="CaptionChar"/>
          <w:b/>
          <w:bCs w:val="0"/>
        </w:rPr>
        <w:t>0</w:t>
      </w:r>
    </w:p>
    <w:bookmarkEnd w:id="0"/>
    <w:p w:rsidR="00F117C6" w:rsidRPr="00500C4E" w:rsidRDefault="00F117C6" w:rsidP="00F117C6">
      <w:pPr>
        <w:jc w:val="right"/>
        <w:rPr>
          <w:rFonts w:cstheme="minorHAnsi"/>
          <w:b/>
          <w:sz w:val="48"/>
          <w:szCs w:val="48"/>
        </w:rPr>
      </w:pPr>
    </w:p>
    <w:p w:rsidR="00E6385A" w:rsidRPr="00E6385A" w:rsidRDefault="006875B3" w:rsidP="00E6385A">
      <w:pPr>
        <w:pBdr>
          <w:bottom w:val="single" w:sz="4" w:space="1" w:color="auto"/>
        </w:pBdr>
        <w:rPr>
          <w:rFonts w:cstheme="minorHAnsi"/>
          <w:b/>
          <w:sz w:val="36"/>
          <w:szCs w:val="36"/>
        </w:rPr>
      </w:pPr>
      <w:r>
        <w:rPr>
          <w:rFonts w:cstheme="minorHAnsi"/>
          <w:b/>
          <w:sz w:val="36"/>
          <w:szCs w:val="36"/>
        </w:rPr>
        <w:t>San Diego Gas &amp; Electric</w:t>
      </w:r>
    </w:p>
    <w:p w:rsidR="00E6385A" w:rsidRPr="00E6385A" w:rsidRDefault="00E6385A" w:rsidP="00E6385A">
      <w:pPr>
        <w:rPr>
          <w:rFonts w:cstheme="minorHAnsi"/>
          <w:b/>
          <w:sz w:val="32"/>
        </w:rPr>
      </w:pPr>
      <w:r w:rsidRPr="00E6385A">
        <w:rPr>
          <w:rFonts w:cstheme="minorHAnsi"/>
          <w:b/>
          <w:sz w:val="32"/>
        </w:rPr>
        <w:t>Energy Efficiency Engineering</w:t>
      </w:r>
    </w:p>
    <w:p w:rsidR="00F117C6" w:rsidRPr="00500C4E" w:rsidRDefault="00F117C6" w:rsidP="00F117C6">
      <w:pPr>
        <w:rPr>
          <w:rFonts w:cstheme="minorHAnsi"/>
        </w:rPr>
      </w:pPr>
    </w:p>
    <w:p w:rsidR="00F117C6" w:rsidRPr="00500C4E" w:rsidRDefault="00F117C6" w:rsidP="00F117C6">
      <w:pPr>
        <w:tabs>
          <w:tab w:val="left" w:pos="8190"/>
        </w:tabs>
        <w:rPr>
          <w:rFonts w:cstheme="minorHAnsi"/>
        </w:rPr>
      </w:pPr>
      <w:r w:rsidRPr="00500C4E">
        <w:rPr>
          <w:rFonts w:cstheme="minorHAnsi"/>
        </w:rPr>
        <w:tab/>
      </w: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0E19CA" w:rsidRDefault="00476CBA" w:rsidP="000E19CA">
      <w:pPr>
        <w:jc w:val="right"/>
        <w:rPr>
          <w:rFonts w:cstheme="minorHAnsi"/>
          <w:b/>
          <w:sz w:val="28"/>
          <w:szCs w:val="28"/>
        </w:rPr>
      </w:pPr>
      <w:r>
        <w:rPr>
          <w:rFonts w:cstheme="minorHAnsi"/>
          <w:b/>
          <w:sz w:val="72"/>
          <w:szCs w:val="72"/>
        </w:rPr>
        <w:t>Duct Seal and Test</w:t>
      </w: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E372B8" w:rsidRDefault="009B5444" w:rsidP="00241A1F">
      <w:pPr>
        <w:jc w:val="right"/>
        <w:rPr>
          <w:rFonts w:cstheme="minorHAnsi"/>
          <w:b/>
          <w:sz w:val="28"/>
          <w:szCs w:val="28"/>
        </w:rPr>
      </w:pPr>
      <w:r>
        <w:rPr>
          <w:rFonts w:cstheme="minorHAnsi"/>
          <w:b/>
          <w:sz w:val="28"/>
          <w:szCs w:val="28"/>
        </w:rPr>
        <w:t>D</w:t>
      </w:r>
      <w:r w:rsidR="00870139">
        <w:rPr>
          <w:rFonts w:cstheme="minorHAnsi"/>
          <w:b/>
          <w:sz w:val="28"/>
          <w:szCs w:val="28"/>
        </w:rPr>
        <w:t xml:space="preserve">ecember </w:t>
      </w:r>
      <w:r w:rsidR="007F525E">
        <w:rPr>
          <w:rFonts w:cstheme="minorHAnsi"/>
          <w:b/>
          <w:sz w:val="28"/>
          <w:szCs w:val="28"/>
        </w:rPr>
        <w:t>28</w:t>
      </w:r>
      <w:r w:rsidR="00C75814">
        <w:rPr>
          <w:rFonts w:cstheme="minorHAnsi"/>
          <w:b/>
          <w:sz w:val="28"/>
          <w:szCs w:val="28"/>
        </w:rPr>
        <w:t>, 2017</w:t>
      </w:r>
    </w:p>
    <w:p w:rsidR="00E372B8" w:rsidRPr="000F72EF" w:rsidRDefault="00E372B8" w:rsidP="00241A1F">
      <w:pPr>
        <w:jc w:val="right"/>
        <w:rPr>
          <w:rFonts w:cstheme="minorHAnsi"/>
          <w:b/>
          <w:sz w:val="72"/>
          <w:szCs w:val="72"/>
        </w:rPr>
        <w:sectPr w:rsidR="00E372B8" w:rsidRPr="000F72EF" w:rsidSect="00241A1F">
          <w:footerReference w:type="default" r:id="rId9"/>
          <w:headerReference w:type="first" r:id="rId10"/>
          <w:pgSz w:w="12240" w:h="15840"/>
          <w:pgMar w:top="1440" w:right="1440" w:bottom="1440" w:left="1440" w:header="720" w:footer="720" w:gutter="0"/>
          <w:cols w:space="720"/>
          <w:titlePg/>
          <w:docGrid w:linePitch="360"/>
        </w:sectPr>
      </w:pPr>
    </w:p>
    <w:p w:rsidR="00FE520B" w:rsidRPr="006374F1" w:rsidRDefault="0059117D" w:rsidP="00FE520B">
      <w:pPr>
        <w:pStyle w:val="Heading1"/>
        <w:rPr>
          <w:szCs w:val="36"/>
        </w:rPr>
      </w:pPr>
      <w:r w:rsidRPr="006374F1">
        <w:rPr>
          <w:szCs w:val="36"/>
        </w:rPr>
        <w:lastRenderedPageBreak/>
        <w:t xml:space="preserve">SDG&amp;E </w:t>
      </w:r>
      <w:r w:rsidR="00476CBA">
        <w:rPr>
          <w:rFonts w:cstheme="minorHAnsi"/>
          <w:szCs w:val="36"/>
        </w:rPr>
        <w:t>Duct Seal and Test</w:t>
      </w:r>
      <w:r w:rsidR="00884B9C" w:rsidRPr="006374F1">
        <w:rPr>
          <w:szCs w:val="36"/>
        </w:rPr>
        <w:t xml:space="preserve"> </w:t>
      </w:r>
    </w:p>
    <w:p w:rsidR="00413EF4" w:rsidRDefault="00413EF4" w:rsidP="00413EF4">
      <w:pPr>
        <w:pStyle w:val="Heading2"/>
      </w:pPr>
      <w:r>
        <w:t>Introduction</w:t>
      </w:r>
    </w:p>
    <w:p w:rsidR="00276A67" w:rsidRPr="00FC760B" w:rsidRDefault="00C23CAB" w:rsidP="00276A67">
      <w:pPr>
        <w:jc w:val="both"/>
        <w:rPr>
          <w:sz w:val="20"/>
          <w:szCs w:val="20"/>
        </w:rPr>
      </w:pPr>
      <w:r w:rsidRPr="00FC760B">
        <w:rPr>
          <w:sz w:val="20"/>
          <w:szCs w:val="20"/>
        </w:rPr>
        <w:t>Thi</w:t>
      </w:r>
      <w:r w:rsidR="00AE4353" w:rsidRPr="00FC760B">
        <w:rPr>
          <w:sz w:val="20"/>
          <w:szCs w:val="20"/>
        </w:rPr>
        <w:t>s short form workpaper</w:t>
      </w:r>
      <w:r w:rsidR="00F44876" w:rsidRPr="00FC760B">
        <w:rPr>
          <w:sz w:val="20"/>
          <w:szCs w:val="20"/>
        </w:rPr>
        <w:t xml:space="preserve"> </w:t>
      </w:r>
      <w:r w:rsidR="00276A67" w:rsidRPr="00FC760B">
        <w:rPr>
          <w:sz w:val="20"/>
          <w:szCs w:val="20"/>
        </w:rPr>
        <w:t xml:space="preserve">adopts the methodology of PGE workpaper PGE3PHVC159 Rev5 and </w:t>
      </w:r>
      <w:r w:rsidR="00AE4353" w:rsidRPr="00FC760B">
        <w:rPr>
          <w:sz w:val="20"/>
          <w:szCs w:val="20"/>
        </w:rPr>
        <w:t>documents</w:t>
      </w:r>
      <w:r w:rsidR="00C75814" w:rsidRPr="00FC760B">
        <w:rPr>
          <w:sz w:val="20"/>
          <w:szCs w:val="20"/>
        </w:rPr>
        <w:t xml:space="preserve"> the values</w:t>
      </w:r>
      <w:r w:rsidR="006374F1" w:rsidRPr="00FC760B">
        <w:rPr>
          <w:sz w:val="20"/>
          <w:szCs w:val="20"/>
        </w:rPr>
        <w:t xml:space="preserve"> from the RE</w:t>
      </w:r>
      <w:r w:rsidR="005248E2" w:rsidRPr="00FC760B">
        <w:rPr>
          <w:sz w:val="20"/>
          <w:szCs w:val="20"/>
        </w:rPr>
        <w:t>ADI v.2.4.7</w:t>
      </w:r>
      <w:r w:rsidR="00C75814" w:rsidRPr="00FC760B">
        <w:rPr>
          <w:sz w:val="20"/>
          <w:szCs w:val="20"/>
        </w:rPr>
        <w:t xml:space="preserve"> </w:t>
      </w:r>
      <w:r w:rsidR="005248E2" w:rsidRPr="00FC760B">
        <w:rPr>
          <w:sz w:val="20"/>
          <w:szCs w:val="20"/>
        </w:rPr>
        <w:t xml:space="preserve">energy impacts for </w:t>
      </w:r>
      <w:r w:rsidR="00476CBA" w:rsidRPr="00FC760B">
        <w:rPr>
          <w:sz w:val="20"/>
          <w:szCs w:val="20"/>
        </w:rPr>
        <w:t>Res-</w:t>
      </w:r>
      <w:proofErr w:type="spellStart"/>
      <w:r w:rsidR="00476CBA" w:rsidRPr="00FC760B">
        <w:rPr>
          <w:sz w:val="20"/>
          <w:szCs w:val="20"/>
        </w:rPr>
        <w:t>DuctSeal</w:t>
      </w:r>
      <w:proofErr w:type="spellEnd"/>
      <w:r w:rsidR="00476CBA" w:rsidRPr="00FC760B">
        <w:rPr>
          <w:sz w:val="20"/>
          <w:szCs w:val="20"/>
        </w:rPr>
        <w:t>-</w:t>
      </w:r>
      <w:proofErr w:type="spellStart"/>
      <w:r w:rsidR="00476CBA" w:rsidRPr="00FC760B">
        <w:rPr>
          <w:sz w:val="20"/>
          <w:szCs w:val="20"/>
        </w:rPr>
        <w:t>MedToLow-wtd</w:t>
      </w:r>
      <w:proofErr w:type="spellEnd"/>
      <w:r w:rsidR="00EB2DBB" w:rsidRPr="00FC760B">
        <w:rPr>
          <w:sz w:val="20"/>
          <w:szCs w:val="20"/>
        </w:rPr>
        <w:t xml:space="preserve">- Residential </w:t>
      </w:r>
      <w:r w:rsidR="00476CBA" w:rsidRPr="00FC760B">
        <w:rPr>
          <w:sz w:val="20"/>
          <w:szCs w:val="20"/>
        </w:rPr>
        <w:t>duct seal and test</w:t>
      </w:r>
      <w:r w:rsidR="005248E2" w:rsidRPr="00FC760B">
        <w:rPr>
          <w:sz w:val="20"/>
          <w:szCs w:val="20"/>
        </w:rPr>
        <w:t xml:space="preserve">. </w:t>
      </w:r>
      <w:r w:rsidR="00276A67" w:rsidRPr="00FC760B">
        <w:rPr>
          <w:sz w:val="20"/>
          <w:szCs w:val="20"/>
        </w:rPr>
        <w:t>SDG&amp;E adopts all the values in PGE3PHVC159 Rev5, with the following exceptions:</w:t>
      </w:r>
    </w:p>
    <w:p w:rsidR="00276A67" w:rsidRPr="00FC760B" w:rsidRDefault="00276A67" w:rsidP="00276A67">
      <w:pPr>
        <w:pStyle w:val="ListParagraph"/>
        <w:numPr>
          <w:ilvl w:val="0"/>
          <w:numId w:val="18"/>
        </w:numPr>
        <w:jc w:val="both"/>
        <w:rPr>
          <w:sz w:val="20"/>
          <w:szCs w:val="20"/>
        </w:rPr>
      </w:pPr>
      <w:r w:rsidRPr="00FC760B">
        <w:rPr>
          <w:sz w:val="20"/>
          <w:szCs w:val="20"/>
        </w:rPr>
        <w:t>SDG&amp;E will only reference SDG&amp;E climate zones of CZ06, CZ07, CZ08, CZ10, CZ14 and CZ15.</w:t>
      </w:r>
    </w:p>
    <w:p w:rsidR="00FC760B" w:rsidRDefault="00FC760B" w:rsidP="00276A67">
      <w:pPr>
        <w:pStyle w:val="ListParagraph"/>
        <w:numPr>
          <w:ilvl w:val="0"/>
          <w:numId w:val="18"/>
        </w:numPr>
        <w:jc w:val="both"/>
        <w:rPr>
          <w:sz w:val="20"/>
          <w:szCs w:val="20"/>
        </w:rPr>
      </w:pPr>
      <w:r w:rsidRPr="00B5539B">
        <w:rPr>
          <w:sz w:val="20"/>
          <w:szCs w:val="20"/>
        </w:rPr>
        <w:t xml:space="preserve">GSIA ID of EUC_GSIA_0.75 is used to comply with </w:t>
      </w:r>
      <w:r w:rsidR="00B5539B" w:rsidRPr="00B5539B">
        <w:rPr>
          <w:sz w:val="20"/>
          <w:szCs w:val="20"/>
        </w:rPr>
        <w:t>Energy Division Workpaper Disposition for Residential HVAC Quality Maintenance dated May 2, 2013</w:t>
      </w:r>
      <w:r w:rsidR="00B5539B" w:rsidRPr="00B5539B">
        <w:rPr>
          <w:rStyle w:val="EndnoteReference"/>
          <w:sz w:val="20"/>
          <w:szCs w:val="20"/>
        </w:rPr>
        <w:endnoteReference w:id="1"/>
      </w:r>
      <w:r w:rsidR="00B5539B" w:rsidRPr="00B5539B">
        <w:rPr>
          <w:sz w:val="20"/>
          <w:szCs w:val="20"/>
        </w:rPr>
        <w:t>.</w:t>
      </w:r>
    </w:p>
    <w:p w:rsidR="00F64752" w:rsidRPr="00F64752" w:rsidRDefault="00F64752" w:rsidP="00F64752">
      <w:pPr>
        <w:jc w:val="both"/>
        <w:rPr>
          <w:sz w:val="20"/>
          <w:szCs w:val="20"/>
        </w:rPr>
      </w:pPr>
      <w:r>
        <w:rPr>
          <w:sz w:val="20"/>
          <w:szCs w:val="20"/>
        </w:rPr>
        <w:t xml:space="preserve">The costs are adopted from </w:t>
      </w:r>
      <w:r w:rsidRPr="006F7639">
        <w:rPr>
          <w:sz w:val="20"/>
          <w:szCs w:val="20"/>
        </w:rPr>
        <w:t>2010-2012 WO17 Ex Ante Measure Cost Study</w:t>
      </w:r>
      <w:r w:rsidRPr="006F7639">
        <w:rPr>
          <w:rStyle w:val="EndnoteReference"/>
          <w:sz w:val="20"/>
          <w:szCs w:val="20"/>
        </w:rPr>
        <w:endnoteReference w:id="2"/>
      </w:r>
      <w:r>
        <w:rPr>
          <w:sz w:val="20"/>
          <w:szCs w:val="20"/>
        </w:rPr>
        <w:t xml:space="preserve">. </w:t>
      </w:r>
    </w:p>
    <w:p w:rsidR="00B57F32" w:rsidRDefault="00B57F32" w:rsidP="00B57F32">
      <w:pPr>
        <w:pStyle w:val="Heading2"/>
      </w:pPr>
      <w:r w:rsidRPr="005734A4">
        <w:t>Document Revision History</w:t>
      </w:r>
      <w:r w:rsidRPr="0025216C">
        <w:t xml:space="preserve"> </w:t>
      </w:r>
    </w:p>
    <w:tbl>
      <w:tblPr>
        <w:tblStyle w:val="TableGrid11"/>
        <w:tblW w:w="4618" w:type="pct"/>
        <w:tblLook w:val="01E0" w:firstRow="1" w:lastRow="1" w:firstColumn="1" w:lastColumn="1" w:noHBand="0" w:noVBand="0"/>
      </w:tblPr>
      <w:tblGrid>
        <w:gridCol w:w="524"/>
        <w:gridCol w:w="1265"/>
        <w:gridCol w:w="1755"/>
        <w:gridCol w:w="5092"/>
      </w:tblGrid>
      <w:tr w:rsidR="00B57F32" w:rsidRPr="00500C4E" w:rsidTr="00476CBA">
        <w:trPr>
          <w:trHeight w:val="20"/>
        </w:trPr>
        <w:tc>
          <w:tcPr>
            <w:tcW w:w="303" w:type="pct"/>
            <w:shd w:val="clear" w:color="auto" w:fill="D9D9D9" w:themeFill="background1" w:themeFillShade="D9"/>
          </w:tcPr>
          <w:p w:rsidR="00B57F32" w:rsidRPr="000E2B6B" w:rsidRDefault="00B57F32" w:rsidP="00294471">
            <w:pPr>
              <w:rPr>
                <w:rStyle w:val="Strong"/>
                <w:bCs w:val="0"/>
              </w:rPr>
            </w:pPr>
            <w:r w:rsidRPr="000E2B6B">
              <w:rPr>
                <w:rStyle w:val="Strong"/>
              </w:rPr>
              <w:t>Rev</w:t>
            </w:r>
          </w:p>
        </w:tc>
        <w:tc>
          <w:tcPr>
            <w:tcW w:w="733" w:type="pct"/>
            <w:shd w:val="clear" w:color="auto" w:fill="D9D9D9" w:themeFill="background1" w:themeFillShade="D9"/>
          </w:tcPr>
          <w:p w:rsidR="00B57F32" w:rsidRPr="000E2B6B" w:rsidRDefault="00B57F32" w:rsidP="00294471">
            <w:pPr>
              <w:rPr>
                <w:rStyle w:val="Strong"/>
                <w:bCs w:val="0"/>
              </w:rPr>
            </w:pPr>
            <w:r w:rsidRPr="000E2B6B">
              <w:rPr>
                <w:rStyle w:val="Strong"/>
              </w:rPr>
              <w:t>Date</w:t>
            </w:r>
          </w:p>
        </w:tc>
        <w:tc>
          <w:tcPr>
            <w:tcW w:w="1016" w:type="pct"/>
            <w:shd w:val="clear" w:color="auto" w:fill="D9D9D9" w:themeFill="background1" w:themeFillShade="D9"/>
          </w:tcPr>
          <w:p w:rsidR="00B57F32" w:rsidRPr="000E2B6B" w:rsidRDefault="00B57F32" w:rsidP="00294471">
            <w:pPr>
              <w:rPr>
                <w:rStyle w:val="Strong"/>
                <w:bCs w:val="0"/>
              </w:rPr>
            </w:pPr>
            <w:r w:rsidRPr="000E2B6B">
              <w:rPr>
                <w:rStyle w:val="Strong"/>
              </w:rPr>
              <w:t>Author</w:t>
            </w:r>
          </w:p>
        </w:tc>
        <w:tc>
          <w:tcPr>
            <w:tcW w:w="2948" w:type="pct"/>
            <w:shd w:val="clear" w:color="auto" w:fill="D9D9D9" w:themeFill="background1" w:themeFillShade="D9"/>
          </w:tcPr>
          <w:p w:rsidR="00B57F32" w:rsidRPr="000E2B6B" w:rsidRDefault="00B57F32" w:rsidP="00294471">
            <w:pPr>
              <w:rPr>
                <w:rStyle w:val="Strong"/>
                <w:bCs w:val="0"/>
              </w:rPr>
            </w:pPr>
            <w:r w:rsidRPr="000E2B6B">
              <w:rPr>
                <w:rStyle w:val="Strong"/>
              </w:rPr>
              <w:t>Summary of Changes</w:t>
            </w:r>
          </w:p>
        </w:tc>
      </w:tr>
      <w:tr w:rsidR="00884B9C" w:rsidRPr="00500C4E" w:rsidTr="00476CBA">
        <w:trPr>
          <w:trHeight w:val="20"/>
        </w:trPr>
        <w:tc>
          <w:tcPr>
            <w:tcW w:w="303" w:type="pct"/>
          </w:tcPr>
          <w:p w:rsidR="00884B9C" w:rsidRPr="000E2B6B" w:rsidRDefault="00762D81">
            <w:pPr>
              <w:jc w:val="center"/>
              <w:rPr>
                <w:rFonts w:cstheme="minorHAnsi"/>
              </w:rPr>
            </w:pPr>
            <w:r>
              <w:t>0</w:t>
            </w:r>
          </w:p>
        </w:tc>
        <w:tc>
          <w:tcPr>
            <w:tcW w:w="733" w:type="pct"/>
          </w:tcPr>
          <w:p w:rsidR="00884B9C" w:rsidRPr="000E2B6B" w:rsidRDefault="001518E0" w:rsidP="00294471">
            <w:pPr>
              <w:jc w:val="center"/>
              <w:rPr>
                <w:rFonts w:cstheme="minorHAnsi"/>
              </w:rPr>
            </w:pPr>
            <w:r>
              <w:t>12/</w:t>
            </w:r>
            <w:r w:rsidR="007F525E">
              <w:t>28</w:t>
            </w:r>
            <w:r w:rsidR="003E035B">
              <w:t>/17</w:t>
            </w:r>
          </w:p>
        </w:tc>
        <w:tc>
          <w:tcPr>
            <w:tcW w:w="1016" w:type="pct"/>
          </w:tcPr>
          <w:p w:rsidR="00884B9C" w:rsidRPr="000E2B6B" w:rsidRDefault="005248E2" w:rsidP="00294471">
            <w:pPr>
              <w:rPr>
                <w:rFonts w:cstheme="minorHAnsi"/>
              </w:rPr>
            </w:pPr>
            <w:r>
              <w:rPr>
                <w:rFonts w:cstheme="minorHAnsi"/>
              </w:rPr>
              <w:t xml:space="preserve"> Keith </w:t>
            </w:r>
            <w:r w:rsidR="003E035B">
              <w:rPr>
                <w:rFonts w:cstheme="minorHAnsi"/>
              </w:rPr>
              <w:t>Valenzuela/SDGE</w:t>
            </w:r>
            <w:r>
              <w:rPr>
                <w:rFonts w:cstheme="minorHAnsi"/>
              </w:rPr>
              <w:t xml:space="preserve"> Contractor </w:t>
            </w:r>
          </w:p>
        </w:tc>
        <w:tc>
          <w:tcPr>
            <w:tcW w:w="2948" w:type="pct"/>
          </w:tcPr>
          <w:p w:rsidR="00C131CB" w:rsidRPr="00C131CB" w:rsidRDefault="00985CB7" w:rsidP="00C131CB">
            <w:pPr>
              <w:numPr>
                <w:ilvl w:val="0"/>
                <w:numId w:val="17"/>
              </w:numPr>
              <w:rPr>
                <w:bCs/>
              </w:rPr>
            </w:pPr>
            <w:r>
              <w:rPr>
                <w:bCs/>
              </w:rPr>
              <w:t>Ado</w:t>
            </w:r>
            <w:r w:rsidR="003E035B">
              <w:rPr>
                <w:bCs/>
              </w:rPr>
              <w:t xml:space="preserve">pted </w:t>
            </w:r>
            <w:r w:rsidR="005248E2">
              <w:t>READI v.2.</w:t>
            </w:r>
            <w:r w:rsidR="00476CBA">
              <w:t>4.7 energy impacts for DEER 2017</w:t>
            </w:r>
            <w:r w:rsidR="005248E2">
              <w:t xml:space="preserve"> </w:t>
            </w:r>
            <w:r w:rsidR="00476CBA">
              <w:t>Res-</w:t>
            </w:r>
            <w:proofErr w:type="spellStart"/>
            <w:r w:rsidR="00476CBA">
              <w:t>DuctSeal</w:t>
            </w:r>
            <w:proofErr w:type="spellEnd"/>
            <w:r w:rsidR="00476CBA">
              <w:t>-</w:t>
            </w:r>
            <w:proofErr w:type="spellStart"/>
            <w:r w:rsidR="00476CBA">
              <w:t>MedToLow-wtd</w:t>
            </w:r>
            <w:proofErr w:type="spellEnd"/>
          </w:p>
          <w:p w:rsidR="003E035B" w:rsidRPr="005734A4" w:rsidRDefault="003E035B" w:rsidP="005248E2">
            <w:pPr>
              <w:rPr>
                <w:rFonts w:cstheme="minorHAnsi"/>
              </w:rPr>
            </w:pPr>
          </w:p>
        </w:tc>
      </w:tr>
      <w:tr w:rsidR="00884B9C" w:rsidRPr="00500C4E" w:rsidTr="00476CBA">
        <w:trPr>
          <w:trHeight w:val="20"/>
        </w:trPr>
        <w:tc>
          <w:tcPr>
            <w:tcW w:w="303" w:type="pct"/>
          </w:tcPr>
          <w:p w:rsidR="00884B9C" w:rsidRPr="000E2B6B" w:rsidRDefault="00884B9C">
            <w:pPr>
              <w:jc w:val="center"/>
              <w:rPr>
                <w:rStyle w:val="Strong"/>
                <w:b w:val="0"/>
              </w:rPr>
            </w:pPr>
          </w:p>
        </w:tc>
        <w:tc>
          <w:tcPr>
            <w:tcW w:w="733" w:type="pct"/>
          </w:tcPr>
          <w:p w:rsidR="00884B9C" w:rsidRPr="000E2B6B" w:rsidRDefault="00884B9C" w:rsidP="00294471">
            <w:pPr>
              <w:jc w:val="center"/>
              <w:rPr>
                <w:rStyle w:val="Strong"/>
                <w:b w:val="0"/>
              </w:rPr>
            </w:pPr>
          </w:p>
        </w:tc>
        <w:tc>
          <w:tcPr>
            <w:tcW w:w="1016" w:type="pct"/>
          </w:tcPr>
          <w:p w:rsidR="00884B9C" w:rsidRPr="000E2B6B" w:rsidRDefault="00884B9C" w:rsidP="00294471">
            <w:pPr>
              <w:rPr>
                <w:rStyle w:val="Strong"/>
                <w:b w:val="0"/>
              </w:rPr>
            </w:pPr>
          </w:p>
        </w:tc>
        <w:tc>
          <w:tcPr>
            <w:tcW w:w="2948" w:type="pct"/>
          </w:tcPr>
          <w:p w:rsidR="00762D81" w:rsidRPr="00762D81" w:rsidRDefault="00762D81" w:rsidP="00762D81">
            <w:pPr>
              <w:rPr>
                <w:rStyle w:val="Strong"/>
                <w:b w:val="0"/>
              </w:rPr>
            </w:pPr>
          </w:p>
        </w:tc>
      </w:tr>
      <w:tr w:rsidR="00DB544A" w:rsidRPr="00500C4E" w:rsidTr="00476CBA">
        <w:trPr>
          <w:trHeight w:val="20"/>
        </w:trPr>
        <w:tc>
          <w:tcPr>
            <w:tcW w:w="303" w:type="pct"/>
          </w:tcPr>
          <w:p w:rsidR="00DB544A" w:rsidRPr="00F2079F" w:rsidRDefault="00DB544A" w:rsidP="008C2C8A">
            <w:pPr>
              <w:jc w:val="center"/>
            </w:pPr>
          </w:p>
        </w:tc>
        <w:tc>
          <w:tcPr>
            <w:tcW w:w="733" w:type="pct"/>
          </w:tcPr>
          <w:p w:rsidR="00DB544A" w:rsidRDefault="00DB544A" w:rsidP="00294471">
            <w:pPr>
              <w:jc w:val="center"/>
            </w:pPr>
          </w:p>
        </w:tc>
        <w:tc>
          <w:tcPr>
            <w:tcW w:w="1016" w:type="pct"/>
          </w:tcPr>
          <w:p w:rsidR="00DB544A" w:rsidRDefault="00DB544A" w:rsidP="00294471"/>
        </w:tc>
        <w:tc>
          <w:tcPr>
            <w:tcW w:w="2948" w:type="pct"/>
          </w:tcPr>
          <w:p w:rsidR="00762D81" w:rsidRPr="006A478E" w:rsidRDefault="00762D81" w:rsidP="00C131CB">
            <w:pPr>
              <w:rPr>
                <w:bCs/>
              </w:rPr>
            </w:pPr>
          </w:p>
        </w:tc>
      </w:tr>
    </w:tbl>
    <w:p w:rsidR="00DB71F1" w:rsidRDefault="00DB71F1" w:rsidP="00413EF4"/>
    <w:p w:rsidR="00DB71F1" w:rsidRDefault="00DB71F1">
      <w:r>
        <w:br w:type="page"/>
      </w:r>
    </w:p>
    <w:p w:rsidR="00DB71F1" w:rsidRDefault="00DB71F1" w:rsidP="00DB71F1">
      <w:pPr>
        <w:pStyle w:val="Heading2"/>
      </w:pPr>
      <w:r>
        <w:lastRenderedPageBreak/>
        <w:t>Measure Summary</w:t>
      </w:r>
      <w:r w:rsidRPr="0025216C">
        <w:t xml:space="preserve"> </w:t>
      </w:r>
    </w:p>
    <w:p w:rsidR="00EE6CFE" w:rsidRPr="00EE6CFE" w:rsidRDefault="00EE6CFE" w:rsidP="0081521B"/>
    <w:p w:rsidR="00DB71F1" w:rsidRDefault="00DB71F1" w:rsidP="00DB71F1">
      <w:pPr>
        <w:pStyle w:val="Caption"/>
        <w:keepNext/>
        <w:jc w:val="center"/>
      </w:pPr>
      <w:r>
        <w:t xml:space="preserve">Table </w:t>
      </w:r>
      <w:r w:rsidR="00F64752">
        <w:fldChar w:fldCharType="begin"/>
      </w:r>
      <w:r w:rsidR="00F64752">
        <w:instrText xml:space="preserve"> SEQ Table \* ARABIC </w:instrText>
      </w:r>
      <w:r w:rsidR="00F64752">
        <w:fldChar w:fldCharType="separate"/>
      </w:r>
      <w:r w:rsidR="00C6110B">
        <w:rPr>
          <w:noProof/>
        </w:rPr>
        <w:t>1</w:t>
      </w:r>
      <w:r w:rsidR="00F64752">
        <w:rPr>
          <w:noProof/>
        </w:rPr>
        <w:fldChar w:fldCharType="end"/>
      </w:r>
      <w:r>
        <w:t>: Measure Summary Table</w:t>
      </w:r>
    </w:p>
    <w:tbl>
      <w:tblPr>
        <w:tblStyle w:val="TableGrid"/>
        <w:tblW w:w="0" w:type="auto"/>
        <w:tblLayout w:type="fixed"/>
        <w:tblLook w:val="04A0" w:firstRow="1" w:lastRow="0" w:firstColumn="1" w:lastColumn="0" w:noHBand="0" w:noVBand="1"/>
      </w:tblPr>
      <w:tblGrid>
        <w:gridCol w:w="1975"/>
        <w:gridCol w:w="7375"/>
      </w:tblGrid>
      <w:tr w:rsidR="00DB71F1" w:rsidTr="00F52060">
        <w:trPr>
          <w:cantSplit/>
          <w:tblHeader/>
        </w:trPr>
        <w:tc>
          <w:tcPr>
            <w:tcW w:w="1975" w:type="dxa"/>
          </w:tcPr>
          <w:p w:rsidR="00DB71F1" w:rsidRPr="00D86243" w:rsidRDefault="00DB71F1" w:rsidP="00294471">
            <w:pPr>
              <w:jc w:val="center"/>
              <w:rPr>
                <w:b/>
              </w:rPr>
            </w:pPr>
            <w:r w:rsidRPr="00D86243">
              <w:rPr>
                <w:b/>
              </w:rPr>
              <w:t>Section</w:t>
            </w:r>
          </w:p>
        </w:tc>
        <w:tc>
          <w:tcPr>
            <w:tcW w:w="7375" w:type="dxa"/>
          </w:tcPr>
          <w:p w:rsidR="00DB71F1" w:rsidRPr="00D86243" w:rsidRDefault="00DB71F1" w:rsidP="00294471">
            <w:pPr>
              <w:jc w:val="center"/>
              <w:rPr>
                <w:b/>
              </w:rPr>
            </w:pPr>
            <w:r w:rsidRPr="00D86243">
              <w:rPr>
                <w:b/>
              </w:rPr>
              <w:t>Value</w:t>
            </w:r>
          </w:p>
        </w:tc>
      </w:tr>
      <w:tr w:rsidR="00DB71F1" w:rsidTr="00F52060">
        <w:trPr>
          <w:cantSplit/>
        </w:trPr>
        <w:tc>
          <w:tcPr>
            <w:tcW w:w="1975" w:type="dxa"/>
            <w:vAlign w:val="center"/>
          </w:tcPr>
          <w:p w:rsidR="00DB71F1" w:rsidRPr="001D77F7" w:rsidRDefault="00DB71F1" w:rsidP="00294471">
            <w:pPr>
              <w:rPr>
                <w:b/>
              </w:rPr>
            </w:pPr>
            <w:r>
              <w:rPr>
                <w:b/>
              </w:rPr>
              <w:t>Summary &amp; Purpose</w:t>
            </w:r>
          </w:p>
        </w:tc>
        <w:tc>
          <w:tcPr>
            <w:tcW w:w="7375" w:type="dxa"/>
          </w:tcPr>
          <w:p w:rsidR="00DE364E" w:rsidRPr="00B521D4" w:rsidRDefault="00DB71F1" w:rsidP="008E0850">
            <w:pPr>
              <w:jc w:val="both"/>
              <w:rPr>
                <w:rFonts w:cstheme="minorHAnsi"/>
                <w:sz w:val="20"/>
                <w:szCs w:val="20"/>
              </w:rPr>
            </w:pPr>
            <w:r w:rsidRPr="00B521D4">
              <w:rPr>
                <w:rFonts w:cstheme="minorHAnsi"/>
                <w:sz w:val="20"/>
                <w:szCs w:val="20"/>
              </w:rPr>
              <w:t>This short form workpaper documents ex-ante load impact</w:t>
            </w:r>
            <w:r w:rsidR="00E733C7" w:rsidRPr="00B521D4">
              <w:rPr>
                <w:rFonts w:cstheme="minorHAnsi"/>
                <w:sz w:val="20"/>
                <w:szCs w:val="20"/>
              </w:rPr>
              <w:t>s</w:t>
            </w:r>
            <w:r w:rsidRPr="00B521D4">
              <w:rPr>
                <w:rFonts w:cstheme="minorHAnsi"/>
                <w:sz w:val="20"/>
                <w:szCs w:val="20"/>
              </w:rPr>
              <w:t xml:space="preserve"> and cost-effectiveness values for</w:t>
            </w:r>
            <w:r w:rsidR="00476CBA">
              <w:rPr>
                <w:rFonts w:cstheme="minorHAnsi"/>
                <w:sz w:val="20"/>
                <w:szCs w:val="20"/>
              </w:rPr>
              <w:t xml:space="preserve"> testing and sealing </w:t>
            </w:r>
            <w:r w:rsidR="008E65C6">
              <w:rPr>
                <w:rFonts w:cstheme="minorHAnsi"/>
                <w:sz w:val="20"/>
                <w:szCs w:val="20"/>
              </w:rPr>
              <w:t xml:space="preserve">the ducts of </w:t>
            </w:r>
            <w:r w:rsidR="00476CBA">
              <w:rPr>
                <w:rFonts w:cstheme="minorHAnsi"/>
                <w:sz w:val="20"/>
                <w:szCs w:val="20"/>
              </w:rPr>
              <w:t>residential central forced air HVAC systems</w:t>
            </w:r>
            <w:r w:rsidRPr="00B521D4">
              <w:rPr>
                <w:rFonts w:cstheme="minorHAnsi"/>
                <w:sz w:val="20"/>
                <w:szCs w:val="20"/>
              </w:rPr>
              <w:t xml:space="preserve">. </w:t>
            </w:r>
            <w:r w:rsidR="00C228B0" w:rsidRPr="00B521D4">
              <w:rPr>
                <w:rFonts w:cstheme="minorHAnsi"/>
                <w:sz w:val="20"/>
                <w:szCs w:val="20"/>
              </w:rPr>
              <w:t>The base energy consumption</w:t>
            </w:r>
            <w:r w:rsidR="00067315" w:rsidRPr="00B521D4">
              <w:rPr>
                <w:rFonts w:cstheme="minorHAnsi"/>
                <w:sz w:val="20"/>
                <w:szCs w:val="20"/>
              </w:rPr>
              <w:t xml:space="preserve"> and </w:t>
            </w:r>
            <w:r w:rsidR="00C228B0" w:rsidRPr="00B521D4">
              <w:rPr>
                <w:rFonts w:cstheme="minorHAnsi"/>
                <w:sz w:val="20"/>
                <w:szCs w:val="20"/>
              </w:rPr>
              <w:t>measure energy consumption</w:t>
            </w:r>
            <w:r w:rsidR="00067315" w:rsidRPr="00B521D4">
              <w:rPr>
                <w:rFonts w:cstheme="minorHAnsi"/>
                <w:sz w:val="20"/>
                <w:szCs w:val="20"/>
              </w:rPr>
              <w:t xml:space="preserve"> values</w:t>
            </w:r>
            <w:r w:rsidR="00C228B0" w:rsidRPr="00B521D4">
              <w:rPr>
                <w:rFonts w:cstheme="minorHAnsi"/>
                <w:sz w:val="20"/>
                <w:szCs w:val="20"/>
              </w:rPr>
              <w:t xml:space="preserve"> are fr</w:t>
            </w:r>
            <w:r w:rsidR="00201A3F" w:rsidRPr="00B521D4">
              <w:rPr>
                <w:rFonts w:cstheme="minorHAnsi"/>
                <w:sz w:val="20"/>
                <w:szCs w:val="20"/>
              </w:rPr>
              <w:t xml:space="preserve">om </w:t>
            </w:r>
            <w:r w:rsidR="00764A26" w:rsidRPr="00B521D4">
              <w:rPr>
                <w:sz w:val="20"/>
                <w:szCs w:val="20"/>
              </w:rPr>
              <w:t>READI v.2.4.7.</w:t>
            </w:r>
          </w:p>
          <w:p w:rsidR="00A21710" w:rsidRPr="00B521D4" w:rsidRDefault="00A21710" w:rsidP="008E0850">
            <w:pPr>
              <w:jc w:val="both"/>
              <w:rPr>
                <w:rFonts w:cs="Arial"/>
                <w:sz w:val="20"/>
                <w:szCs w:val="20"/>
              </w:rPr>
            </w:pPr>
          </w:p>
          <w:p w:rsidR="00BD4AFD" w:rsidRPr="00B521D4" w:rsidRDefault="00764A26" w:rsidP="00A21710">
            <w:pPr>
              <w:jc w:val="both"/>
              <w:rPr>
                <w:rFonts w:cs="Arial"/>
                <w:sz w:val="20"/>
                <w:szCs w:val="20"/>
              </w:rPr>
            </w:pPr>
            <w:r w:rsidRPr="00B521D4">
              <w:rPr>
                <w:rFonts w:cs="Arial"/>
                <w:sz w:val="20"/>
                <w:szCs w:val="20"/>
              </w:rPr>
              <w:t xml:space="preserve">This short form workpaper </w:t>
            </w:r>
            <w:r w:rsidR="00752529" w:rsidRPr="00B521D4">
              <w:rPr>
                <w:rFonts w:cs="Arial"/>
                <w:sz w:val="20"/>
                <w:szCs w:val="20"/>
              </w:rPr>
              <w:t>details the</w:t>
            </w:r>
            <w:r w:rsidRPr="00B521D4">
              <w:rPr>
                <w:rFonts w:cs="Arial"/>
                <w:sz w:val="20"/>
                <w:szCs w:val="20"/>
              </w:rPr>
              <w:t xml:space="preserve"> energy impacts of </w:t>
            </w:r>
            <w:r w:rsidR="008E65C6">
              <w:rPr>
                <w:rFonts w:cs="Arial"/>
                <w:sz w:val="20"/>
                <w:szCs w:val="20"/>
              </w:rPr>
              <w:t>testing the leakage of the duct system and when necessary sealing the ducts to prevent c</w:t>
            </w:r>
            <w:r w:rsidR="00800353">
              <w:rPr>
                <w:rFonts w:cs="Arial"/>
                <w:sz w:val="20"/>
                <w:szCs w:val="20"/>
              </w:rPr>
              <w:t>onditioned</w:t>
            </w:r>
            <w:r w:rsidR="008E65C6">
              <w:rPr>
                <w:rFonts w:cs="Arial"/>
                <w:sz w:val="20"/>
                <w:szCs w:val="20"/>
              </w:rPr>
              <w:t xml:space="preserve"> air from leaking from the ducts and cooling unconditioned spaces which waste energy. In </w:t>
            </w:r>
            <w:r w:rsidR="00294471">
              <w:rPr>
                <w:rFonts w:cs="Arial"/>
                <w:sz w:val="20"/>
                <w:szCs w:val="20"/>
              </w:rPr>
              <w:t>addition,</w:t>
            </w:r>
            <w:r w:rsidR="008E65C6">
              <w:rPr>
                <w:rFonts w:cs="Arial"/>
                <w:sz w:val="20"/>
                <w:szCs w:val="20"/>
              </w:rPr>
              <w:t xml:space="preserve"> leaky return ducts can bring in air from unconditioned spaces which wastes energy by making the HVAC system work harder to cool the space.</w:t>
            </w:r>
            <w:r w:rsidR="00D4142C" w:rsidRPr="00B521D4">
              <w:rPr>
                <w:rFonts w:cs="Arial"/>
                <w:sz w:val="20"/>
                <w:szCs w:val="20"/>
              </w:rPr>
              <w:t xml:space="preserve"> </w:t>
            </w:r>
          </w:p>
          <w:p w:rsidR="00DB71F1" w:rsidRPr="00D86243" w:rsidRDefault="00DB71F1" w:rsidP="00555671">
            <w:pPr>
              <w:jc w:val="both"/>
              <w:rPr>
                <w:rFonts w:cs="Arial"/>
                <w:sz w:val="20"/>
                <w:szCs w:val="20"/>
              </w:rPr>
            </w:pPr>
          </w:p>
        </w:tc>
      </w:tr>
      <w:tr w:rsidR="00AF368D" w:rsidTr="00294471">
        <w:trPr>
          <w:cantSplit/>
        </w:trPr>
        <w:tc>
          <w:tcPr>
            <w:tcW w:w="9350" w:type="dxa"/>
            <w:gridSpan w:val="2"/>
            <w:vAlign w:val="center"/>
          </w:tcPr>
          <w:p w:rsidR="00AF368D" w:rsidRPr="00241A1F" w:rsidRDefault="00AF368D" w:rsidP="00AF368D">
            <w:pPr>
              <w:rPr>
                <w:rFonts w:cs="Arial"/>
                <w:sz w:val="20"/>
                <w:szCs w:val="20"/>
              </w:rPr>
            </w:pPr>
            <w:r w:rsidRPr="001D77F7">
              <w:rPr>
                <w:b/>
              </w:rPr>
              <w:t>1.1 Measure &amp; Baseline Data</w:t>
            </w:r>
          </w:p>
        </w:tc>
      </w:tr>
      <w:tr w:rsidR="00DB71F1" w:rsidTr="00F52060">
        <w:trPr>
          <w:cantSplit/>
        </w:trPr>
        <w:tc>
          <w:tcPr>
            <w:tcW w:w="1975" w:type="dxa"/>
            <w:vAlign w:val="center"/>
          </w:tcPr>
          <w:p w:rsidR="00DB71F1" w:rsidRPr="001D77F7" w:rsidRDefault="00DB71F1" w:rsidP="00294471">
            <w:pPr>
              <w:rPr>
                <w:b/>
              </w:rPr>
            </w:pPr>
            <w:r w:rsidRPr="001D77F7">
              <w:rPr>
                <w:b/>
              </w:rPr>
              <w:t xml:space="preserve">1.2 Technical Description </w:t>
            </w:r>
          </w:p>
        </w:tc>
        <w:tc>
          <w:tcPr>
            <w:tcW w:w="7375" w:type="dxa"/>
          </w:tcPr>
          <w:p w:rsidR="00294471" w:rsidRPr="00B521D4" w:rsidRDefault="00D4142C" w:rsidP="00294471">
            <w:pPr>
              <w:jc w:val="both"/>
              <w:rPr>
                <w:rFonts w:cs="Arial"/>
                <w:sz w:val="20"/>
                <w:szCs w:val="20"/>
              </w:rPr>
            </w:pPr>
            <w:r w:rsidRPr="00D4142C">
              <w:rPr>
                <w:sz w:val="20"/>
                <w:szCs w:val="20"/>
              </w:rPr>
              <w:t xml:space="preserve">This measure involves </w:t>
            </w:r>
            <w:r w:rsidR="00294471">
              <w:rPr>
                <w:rFonts w:cs="Arial"/>
                <w:sz w:val="20"/>
                <w:szCs w:val="20"/>
              </w:rPr>
              <w:t xml:space="preserve">testing the leakage of the duct system and when necessary sealing the ducts to prevent </w:t>
            </w:r>
            <w:r w:rsidR="00800353">
              <w:rPr>
                <w:rFonts w:cs="Arial"/>
                <w:sz w:val="20"/>
                <w:szCs w:val="20"/>
              </w:rPr>
              <w:t>conditioned</w:t>
            </w:r>
            <w:r w:rsidR="00294471">
              <w:rPr>
                <w:rFonts w:cs="Arial"/>
                <w:sz w:val="20"/>
                <w:szCs w:val="20"/>
              </w:rPr>
              <w:t xml:space="preserve"> air from leaking from the ducts and cooling unconditioned spaces which waste energy. In addition, leaky return ducts can bring in air from unconditioned spaces which wastes energy by making the HVAC system work harder to cool the space.</w:t>
            </w:r>
            <w:r w:rsidR="00294471" w:rsidRPr="00B521D4">
              <w:rPr>
                <w:rFonts w:cs="Arial"/>
                <w:sz w:val="20"/>
                <w:szCs w:val="20"/>
              </w:rPr>
              <w:t xml:space="preserve"> </w:t>
            </w:r>
          </w:p>
          <w:p w:rsidR="00752529" w:rsidRPr="00D4142C" w:rsidRDefault="00752529" w:rsidP="00752529">
            <w:pPr>
              <w:rPr>
                <w:rFonts w:cs="Arial"/>
                <w:sz w:val="20"/>
                <w:szCs w:val="20"/>
              </w:rPr>
            </w:pPr>
            <w:bookmarkStart w:id="2" w:name="OLE_LINK3"/>
          </w:p>
          <w:bookmarkEnd w:id="2"/>
          <w:p w:rsidR="00DB71F1" w:rsidRPr="00D4142C" w:rsidRDefault="00DB71F1" w:rsidP="00D4142C">
            <w:pPr>
              <w:rPr>
                <w:rFonts w:cs="Arial"/>
                <w:sz w:val="20"/>
                <w:szCs w:val="20"/>
              </w:rPr>
            </w:pPr>
          </w:p>
        </w:tc>
      </w:tr>
      <w:tr w:rsidR="008775D7" w:rsidRPr="008775D7" w:rsidTr="00F52060">
        <w:trPr>
          <w:cantSplit/>
        </w:trPr>
        <w:tc>
          <w:tcPr>
            <w:tcW w:w="1975" w:type="dxa"/>
          </w:tcPr>
          <w:p w:rsidR="008775D7" w:rsidRPr="00241A1F" w:rsidRDefault="008775D7" w:rsidP="00241A1F">
            <w:pPr>
              <w:jc w:val="right"/>
              <w:rPr>
                <w:sz w:val="20"/>
                <w:szCs w:val="20"/>
              </w:rPr>
            </w:pPr>
            <w:r w:rsidRPr="00241A1F">
              <w:rPr>
                <w:sz w:val="20"/>
                <w:szCs w:val="20"/>
              </w:rPr>
              <w:t>Measures</w:t>
            </w:r>
          </w:p>
        </w:tc>
        <w:tc>
          <w:tcPr>
            <w:tcW w:w="7375" w:type="dxa"/>
          </w:tcPr>
          <w:p w:rsidR="00AF368D" w:rsidRPr="00555671" w:rsidRDefault="00AF368D" w:rsidP="00AF368D">
            <w:pPr>
              <w:rPr>
                <w:rFonts w:cs="Arial"/>
                <w:sz w:val="20"/>
                <w:szCs w:val="20"/>
              </w:rPr>
            </w:pPr>
            <w:r w:rsidRPr="00555671">
              <w:rPr>
                <w:rFonts w:cs="Arial"/>
                <w:sz w:val="20"/>
                <w:szCs w:val="20"/>
              </w:rPr>
              <w:t>Measure</w:t>
            </w:r>
            <w:r w:rsidR="00636CF9">
              <w:rPr>
                <w:rFonts w:cs="Arial"/>
                <w:sz w:val="20"/>
                <w:szCs w:val="20"/>
              </w:rPr>
              <w:t>s</w:t>
            </w:r>
            <w:r w:rsidRPr="00555671">
              <w:rPr>
                <w:rFonts w:cs="Arial"/>
                <w:sz w:val="20"/>
                <w:szCs w:val="20"/>
              </w:rPr>
              <w:t xml:space="preserve">: </w:t>
            </w:r>
          </w:p>
          <w:p w:rsidR="00EB2DBB" w:rsidRDefault="00294471" w:rsidP="00AF368D">
            <w:pPr>
              <w:rPr>
                <w:rFonts w:cs="Arial"/>
                <w:sz w:val="20"/>
                <w:szCs w:val="20"/>
              </w:rPr>
            </w:pPr>
            <w:r>
              <w:rPr>
                <w:rFonts w:cs="Arial"/>
                <w:sz w:val="20"/>
                <w:szCs w:val="20"/>
              </w:rPr>
              <w:t>421023-Duct Test and Seal 1976-1994</w:t>
            </w:r>
            <w:r w:rsidR="004428E4">
              <w:rPr>
                <w:rFonts w:cs="Arial"/>
                <w:sz w:val="20"/>
                <w:szCs w:val="20"/>
              </w:rPr>
              <w:t xml:space="preserve"> (</w:t>
            </w:r>
            <w:r w:rsidR="004428E4" w:rsidRPr="00FC760B">
              <w:rPr>
                <w:sz w:val="20"/>
                <w:szCs w:val="20"/>
              </w:rPr>
              <w:t>Res-</w:t>
            </w:r>
            <w:proofErr w:type="spellStart"/>
            <w:r w:rsidR="004428E4" w:rsidRPr="00FC760B">
              <w:rPr>
                <w:sz w:val="20"/>
                <w:szCs w:val="20"/>
              </w:rPr>
              <w:t>DuctSeal</w:t>
            </w:r>
            <w:proofErr w:type="spellEnd"/>
            <w:r w:rsidR="004428E4" w:rsidRPr="00FC760B">
              <w:rPr>
                <w:sz w:val="20"/>
                <w:szCs w:val="20"/>
              </w:rPr>
              <w:t>-</w:t>
            </w:r>
            <w:proofErr w:type="spellStart"/>
            <w:r w:rsidR="004428E4" w:rsidRPr="00FC760B">
              <w:rPr>
                <w:sz w:val="20"/>
                <w:szCs w:val="20"/>
              </w:rPr>
              <w:t>MedToLow-wtd</w:t>
            </w:r>
            <w:proofErr w:type="spellEnd"/>
            <w:r w:rsidR="004428E4">
              <w:rPr>
                <w:sz w:val="20"/>
                <w:szCs w:val="20"/>
              </w:rPr>
              <w:t>)</w:t>
            </w:r>
          </w:p>
          <w:p w:rsidR="00294471" w:rsidRDefault="00094FD5" w:rsidP="00294471">
            <w:pPr>
              <w:rPr>
                <w:rFonts w:cs="Arial"/>
                <w:sz w:val="20"/>
                <w:szCs w:val="20"/>
              </w:rPr>
            </w:pPr>
            <w:r>
              <w:rPr>
                <w:rFonts w:cs="Arial"/>
                <w:sz w:val="20"/>
                <w:szCs w:val="20"/>
              </w:rPr>
              <w:t>421024</w:t>
            </w:r>
            <w:r w:rsidR="00294471">
              <w:rPr>
                <w:rFonts w:cs="Arial"/>
                <w:sz w:val="20"/>
                <w:szCs w:val="20"/>
              </w:rPr>
              <w:t>-Duct Test and Seal 1995-2005</w:t>
            </w:r>
            <w:r w:rsidR="004428E4">
              <w:rPr>
                <w:rFonts w:cs="Arial"/>
                <w:sz w:val="20"/>
                <w:szCs w:val="20"/>
              </w:rPr>
              <w:t xml:space="preserve"> (</w:t>
            </w:r>
            <w:r w:rsidR="004428E4" w:rsidRPr="00FC760B">
              <w:rPr>
                <w:sz w:val="20"/>
                <w:szCs w:val="20"/>
              </w:rPr>
              <w:t>Res-</w:t>
            </w:r>
            <w:proofErr w:type="spellStart"/>
            <w:r w:rsidR="004428E4" w:rsidRPr="00FC760B">
              <w:rPr>
                <w:sz w:val="20"/>
                <w:szCs w:val="20"/>
              </w:rPr>
              <w:t>DuctSeal</w:t>
            </w:r>
            <w:proofErr w:type="spellEnd"/>
            <w:r w:rsidR="004428E4" w:rsidRPr="00FC760B">
              <w:rPr>
                <w:sz w:val="20"/>
                <w:szCs w:val="20"/>
              </w:rPr>
              <w:t>-</w:t>
            </w:r>
            <w:proofErr w:type="spellStart"/>
            <w:r w:rsidR="004428E4" w:rsidRPr="00FC760B">
              <w:rPr>
                <w:sz w:val="20"/>
                <w:szCs w:val="20"/>
              </w:rPr>
              <w:t>MedToLow-wtd</w:t>
            </w:r>
            <w:proofErr w:type="spellEnd"/>
            <w:r w:rsidR="004428E4">
              <w:rPr>
                <w:sz w:val="20"/>
                <w:szCs w:val="20"/>
              </w:rPr>
              <w:t>)</w:t>
            </w:r>
          </w:p>
          <w:p w:rsidR="00294471" w:rsidRDefault="00294471" w:rsidP="00AF368D">
            <w:pPr>
              <w:rPr>
                <w:rFonts w:cs="Arial"/>
                <w:sz w:val="20"/>
                <w:szCs w:val="20"/>
              </w:rPr>
            </w:pPr>
          </w:p>
          <w:p w:rsidR="00EB2DBB" w:rsidRDefault="00EB2DBB" w:rsidP="00AF368D">
            <w:pPr>
              <w:rPr>
                <w:rFonts w:cs="Arial"/>
                <w:sz w:val="20"/>
                <w:szCs w:val="20"/>
              </w:rPr>
            </w:pPr>
          </w:p>
          <w:p w:rsidR="008775D7" w:rsidRPr="00E733C7" w:rsidRDefault="008775D7">
            <w:pPr>
              <w:rPr>
                <w:rFonts w:cs="Arial"/>
                <w:sz w:val="20"/>
                <w:szCs w:val="20"/>
              </w:rPr>
            </w:pPr>
          </w:p>
        </w:tc>
      </w:tr>
      <w:tr w:rsidR="008775D7" w:rsidRPr="008775D7" w:rsidTr="00F52060">
        <w:trPr>
          <w:cantSplit/>
        </w:trPr>
        <w:tc>
          <w:tcPr>
            <w:tcW w:w="1975" w:type="dxa"/>
          </w:tcPr>
          <w:p w:rsidR="008775D7" w:rsidRPr="00653C4B" w:rsidRDefault="008775D7" w:rsidP="00241A1F">
            <w:pPr>
              <w:jc w:val="right"/>
              <w:rPr>
                <w:sz w:val="20"/>
                <w:szCs w:val="20"/>
              </w:rPr>
            </w:pPr>
            <w:r w:rsidRPr="00653C4B">
              <w:rPr>
                <w:sz w:val="20"/>
                <w:szCs w:val="20"/>
              </w:rPr>
              <w:t>Code for All Measures</w:t>
            </w:r>
          </w:p>
        </w:tc>
        <w:tc>
          <w:tcPr>
            <w:tcW w:w="7375" w:type="dxa"/>
          </w:tcPr>
          <w:p w:rsidR="00294471" w:rsidRPr="00294471" w:rsidRDefault="00294471" w:rsidP="00294471">
            <w:pPr>
              <w:pStyle w:val="BodyText"/>
              <w:rPr>
                <w:rFonts w:asciiTheme="minorHAnsi" w:hAnsiTheme="minorHAnsi" w:cstheme="minorHAnsi"/>
                <w:sz w:val="20"/>
                <w:szCs w:val="20"/>
              </w:rPr>
            </w:pPr>
            <w:r w:rsidRPr="00294471">
              <w:rPr>
                <w:rFonts w:asciiTheme="minorHAnsi" w:hAnsiTheme="minorHAnsi" w:cstheme="minorHAnsi"/>
                <w:b/>
                <w:i/>
                <w:sz w:val="20"/>
                <w:szCs w:val="20"/>
              </w:rPr>
              <w:t>Title 20:</w:t>
            </w:r>
            <w:r w:rsidRPr="00294471">
              <w:rPr>
                <w:rFonts w:asciiTheme="minorHAnsi" w:hAnsiTheme="minorHAnsi" w:cstheme="minorHAnsi"/>
                <w:sz w:val="20"/>
                <w:szCs w:val="20"/>
              </w:rPr>
              <w:t xml:space="preserve"> This measure does not fall under Title 20 of the California Energy Regulations.</w:t>
            </w:r>
          </w:p>
          <w:p w:rsidR="00294471" w:rsidRDefault="00294471" w:rsidP="006678E0">
            <w:pPr>
              <w:rPr>
                <w:rFonts w:asciiTheme="minorHAnsi" w:hAnsiTheme="minorHAnsi" w:cstheme="minorHAnsi"/>
                <w:sz w:val="20"/>
                <w:szCs w:val="20"/>
              </w:rPr>
            </w:pPr>
            <w:r w:rsidRPr="00294471">
              <w:rPr>
                <w:rFonts w:asciiTheme="minorHAnsi" w:hAnsiTheme="minorHAnsi" w:cstheme="minorHAnsi"/>
                <w:b/>
                <w:i/>
                <w:sz w:val="20"/>
                <w:szCs w:val="20"/>
              </w:rPr>
              <w:t>Title 24:</w:t>
            </w:r>
            <w:r w:rsidRPr="00294471">
              <w:rPr>
                <w:rFonts w:asciiTheme="minorHAnsi" w:hAnsiTheme="minorHAnsi" w:cstheme="minorHAnsi"/>
                <w:sz w:val="20"/>
                <w:szCs w:val="20"/>
              </w:rPr>
              <w:t xml:space="preserve"> </w:t>
            </w:r>
            <w:r>
              <w:rPr>
                <w:rFonts w:asciiTheme="minorHAnsi" w:hAnsiTheme="minorHAnsi" w:cstheme="minorHAnsi"/>
                <w:sz w:val="20"/>
                <w:szCs w:val="20"/>
              </w:rPr>
              <w:t>These</w:t>
            </w:r>
            <w:r w:rsidRPr="00294471">
              <w:rPr>
                <w:rFonts w:asciiTheme="minorHAnsi" w:hAnsiTheme="minorHAnsi" w:cstheme="minorHAnsi"/>
                <w:sz w:val="20"/>
                <w:szCs w:val="20"/>
              </w:rPr>
              <w:t xml:space="preserve"> meas</w:t>
            </w:r>
            <w:r w:rsidR="006678E0">
              <w:rPr>
                <w:rFonts w:asciiTheme="minorHAnsi" w:hAnsiTheme="minorHAnsi" w:cstheme="minorHAnsi"/>
                <w:sz w:val="20"/>
                <w:szCs w:val="20"/>
              </w:rPr>
              <w:t>ures do fall under Title 24 2016</w:t>
            </w:r>
            <w:r w:rsidRPr="00294471">
              <w:rPr>
                <w:rFonts w:asciiTheme="minorHAnsi" w:hAnsiTheme="minorHAnsi" w:cstheme="minorHAnsi"/>
                <w:sz w:val="20"/>
                <w:szCs w:val="20"/>
              </w:rPr>
              <w:t xml:space="preserve"> of the California E</w:t>
            </w:r>
            <w:r w:rsidR="006678E0">
              <w:rPr>
                <w:rFonts w:asciiTheme="minorHAnsi" w:hAnsiTheme="minorHAnsi" w:cstheme="minorHAnsi"/>
                <w:sz w:val="20"/>
                <w:szCs w:val="20"/>
              </w:rPr>
              <w:t xml:space="preserve">nergy Regulations.  Under this </w:t>
            </w:r>
            <w:r w:rsidRPr="00294471">
              <w:rPr>
                <w:rFonts w:asciiTheme="minorHAnsi" w:hAnsiTheme="minorHAnsi" w:cstheme="minorHAnsi"/>
                <w:sz w:val="20"/>
                <w:szCs w:val="20"/>
              </w:rPr>
              <w:t>regulation, the following is required for any new installation of air-cooled air conditioners and air-source heat pumps:</w:t>
            </w:r>
          </w:p>
          <w:p w:rsidR="006678E0" w:rsidRPr="00294471" w:rsidRDefault="006678E0" w:rsidP="006678E0">
            <w:pPr>
              <w:rPr>
                <w:rFonts w:asciiTheme="minorHAnsi" w:hAnsiTheme="minorHAnsi" w:cstheme="minorHAnsi"/>
                <w:sz w:val="20"/>
                <w:szCs w:val="20"/>
              </w:rPr>
            </w:pPr>
          </w:p>
          <w:p w:rsidR="00294471" w:rsidRPr="00294471" w:rsidRDefault="00294471" w:rsidP="00294471">
            <w:pPr>
              <w:pStyle w:val="BodyText"/>
              <w:rPr>
                <w:rFonts w:asciiTheme="minorHAnsi" w:hAnsiTheme="minorHAnsi" w:cstheme="minorHAnsi"/>
                <w:sz w:val="20"/>
                <w:szCs w:val="20"/>
              </w:rPr>
            </w:pPr>
            <w:r w:rsidRPr="00294471">
              <w:rPr>
                <w:rFonts w:asciiTheme="minorHAnsi" w:hAnsiTheme="minorHAnsi" w:cstheme="minorHAnsi"/>
                <w:sz w:val="20"/>
                <w:szCs w:val="20"/>
              </w:rPr>
              <w:t>Duct systems must be sealed and verified if &gt;40 feet of ducts in unconditioned space.  Duct system leakage must be ≤15% in total, or ≤10% to the outside.  Or, if unable to meet the sealing requirements, all accessible leaks must be sealed and verified by a HERS rater</w:t>
            </w:r>
          </w:p>
          <w:p w:rsidR="00294471" w:rsidRPr="00294471" w:rsidRDefault="00294471" w:rsidP="00294471">
            <w:pPr>
              <w:pStyle w:val="BodyText"/>
              <w:rPr>
                <w:rFonts w:asciiTheme="minorHAnsi" w:hAnsiTheme="minorHAnsi" w:cstheme="minorHAnsi"/>
                <w:sz w:val="20"/>
                <w:szCs w:val="20"/>
              </w:rPr>
            </w:pPr>
            <w:r w:rsidRPr="00294471">
              <w:rPr>
                <w:rFonts w:asciiTheme="minorHAnsi" w:hAnsiTheme="minorHAnsi" w:cstheme="minorHAnsi"/>
                <w:sz w:val="20"/>
                <w:szCs w:val="20"/>
              </w:rPr>
              <w:t xml:space="preserve">Mandatory duct insulation requirements (R-6) apply to all new or replacement ducts (not existing or unaltered ducts). When replacing &gt;40 feet of ducts in unconditioned space: CZ1-10 and 12-13: R-6 CZ11 and 14-16; R-8.  HERS verification is required for insulated ducts </w:t>
            </w:r>
            <w:r w:rsidR="006678E0">
              <w:rPr>
                <w:rFonts w:asciiTheme="minorHAnsi" w:hAnsiTheme="minorHAnsi" w:cstheme="minorHAnsi"/>
                <w:sz w:val="20"/>
                <w:szCs w:val="20"/>
              </w:rPr>
              <w:t>i</w:t>
            </w:r>
            <w:r w:rsidRPr="00294471">
              <w:rPr>
                <w:rFonts w:asciiTheme="minorHAnsi" w:hAnsiTheme="minorHAnsi" w:cstheme="minorHAnsi"/>
                <w:sz w:val="20"/>
                <w:szCs w:val="20"/>
              </w:rPr>
              <w:t>n conditioned space.</w:t>
            </w:r>
          </w:p>
          <w:p w:rsidR="00294471" w:rsidRPr="00294471" w:rsidRDefault="00294471" w:rsidP="00294471">
            <w:pPr>
              <w:pStyle w:val="BodyText"/>
              <w:rPr>
                <w:rFonts w:asciiTheme="minorHAnsi" w:hAnsiTheme="minorHAnsi" w:cstheme="minorHAnsi"/>
                <w:sz w:val="20"/>
                <w:szCs w:val="20"/>
              </w:rPr>
            </w:pPr>
            <w:r w:rsidRPr="00294471">
              <w:rPr>
                <w:rFonts w:asciiTheme="minorHAnsi" w:hAnsiTheme="minorHAnsi" w:cstheme="minorHAnsi"/>
                <w:sz w:val="20"/>
                <w:szCs w:val="20"/>
              </w:rPr>
              <w:t>In all climate zones, when new duct systems are installed in unconditioned space, leakage must be ≤6% of the air handler airflow.</w:t>
            </w:r>
          </w:p>
          <w:p w:rsidR="00294471" w:rsidRPr="00294471" w:rsidRDefault="00294471" w:rsidP="00294471">
            <w:pPr>
              <w:pStyle w:val="BodyText"/>
              <w:rPr>
                <w:rFonts w:asciiTheme="minorHAnsi" w:hAnsiTheme="minorHAnsi" w:cstheme="minorHAnsi"/>
                <w:i/>
                <w:sz w:val="20"/>
                <w:szCs w:val="20"/>
              </w:rPr>
            </w:pPr>
            <w:r w:rsidRPr="00294471">
              <w:rPr>
                <w:rFonts w:asciiTheme="minorHAnsi" w:hAnsiTheme="minorHAnsi" w:cstheme="minorHAnsi"/>
                <w:b/>
                <w:i/>
                <w:sz w:val="20"/>
                <w:szCs w:val="20"/>
              </w:rPr>
              <w:t>Federal Standards:</w:t>
            </w:r>
            <w:r w:rsidRPr="00294471">
              <w:rPr>
                <w:rFonts w:asciiTheme="minorHAnsi" w:hAnsiTheme="minorHAnsi" w:cstheme="minorHAnsi"/>
                <w:sz w:val="20"/>
                <w:szCs w:val="20"/>
              </w:rPr>
              <w:t xml:space="preserve"> This measure does not fall under Federal DOE or EPA Energy Regulations.</w:t>
            </w:r>
          </w:p>
          <w:p w:rsidR="000E65D6" w:rsidRPr="00294471" w:rsidRDefault="000E65D6" w:rsidP="005C1518">
            <w:pPr>
              <w:jc w:val="both"/>
              <w:rPr>
                <w:rFonts w:asciiTheme="minorHAnsi" w:hAnsiTheme="minorHAnsi" w:cstheme="minorHAnsi"/>
                <w:sz w:val="20"/>
                <w:szCs w:val="20"/>
              </w:rPr>
            </w:pPr>
          </w:p>
        </w:tc>
      </w:tr>
      <w:tr w:rsidR="00E84938" w:rsidTr="00F52060">
        <w:trPr>
          <w:cantSplit/>
        </w:trPr>
        <w:tc>
          <w:tcPr>
            <w:tcW w:w="1975" w:type="dxa"/>
          </w:tcPr>
          <w:p w:rsidR="00E84938" w:rsidRPr="001D77F7" w:rsidRDefault="00E84938" w:rsidP="008724D6">
            <w:pPr>
              <w:jc w:val="right"/>
              <w:rPr>
                <w:b/>
              </w:rPr>
            </w:pPr>
            <w:r w:rsidRPr="00197677">
              <w:rPr>
                <w:rFonts w:cs="Arial"/>
                <w:sz w:val="20"/>
                <w:szCs w:val="20"/>
              </w:rPr>
              <w:lastRenderedPageBreak/>
              <w:t>Requirements</w:t>
            </w:r>
          </w:p>
        </w:tc>
        <w:tc>
          <w:tcPr>
            <w:tcW w:w="7375" w:type="dxa"/>
          </w:tcPr>
          <w:p w:rsidR="009374BC" w:rsidRPr="006F7639" w:rsidRDefault="009374BC" w:rsidP="009374BC">
            <w:pPr>
              <w:widowControl w:val="0"/>
              <w:overflowPunct w:val="0"/>
              <w:autoSpaceDE w:val="0"/>
              <w:autoSpaceDN w:val="0"/>
              <w:adjustRightInd w:val="0"/>
              <w:textAlignment w:val="baseline"/>
              <w:rPr>
                <w:rFonts w:cstheme="minorHAnsi"/>
                <w:sz w:val="20"/>
                <w:szCs w:val="20"/>
              </w:rPr>
            </w:pPr>
            <w:r w:rsidRPr="006F7639">
              <w:rPr>
                <w:rFonts w:cstheme="minorHAnsi"/>
                <w:sz w:val="20"/>
                <w:szCs w:val="20"/>
              </w:rPr>
              <w:t xml:space="preserve">Per the SDG&amp;E Quality Assurance and Quality Control Plan (QAQCP) technicians must </w:t>
            </w:r>
            <w:r w:rsidR="00CD0F98" w:rsidRPr="006F7639">
              <w:rPr>
                <w:rFonts w:cstheme="minorHAnsi"/>
                <w:sz w:val="20"/>
                <w:szCs w:val="20"/>
              </w:rPr>
              <w:t>receive training as follows:</w:t>
            </w:r>
          </w:p>
          <w:p w:rsidR="00CD0F98" w:rsidRPr="006F7639" w:rsidRDefault="00CD0F98" w:rsidP="009374BC">
            <w:pPr>
              <w:rPr>
                <w:rFonts w:cstheme="minorHAnsi"/>
                <w:b/>
                <w:sz w:val="20"/>
                <w:szCs w:val="20"/>
              </w:rPr>
            </w:pPr>
          </w:p>
          <w:p w:rsidR="009374BC" w:rsidRPr="006F7639" w:rsidRDefault="00CD0F98" w:rsidP="009374BC">
            <w:pPr>
              <w:rPr>
                <w:rFonts w:cstheme="minorHAnsi"/>
                <w:sz w:val="20"/>
                <w:szCs w:val="20"/>
              </w:rPr>
            </w:pPr>
            <w:r w:rsidRPr="006F7639">
              <w:rPr>
                <w:rFonts w:cstheme="minorHAnsi"/>
                <w:b/>
                <w:sz w:val="20"/>
                <w:szCs w:val="20"/>
              </w:rPr>
              <w:t>“</w:t>
            </w:r>
            <w:r w:rsidR="009374BC" w:rsidRPr="006F7639">
              <w:rPr>
                <w:rFonts w:cstheme="minorHAnsi"/>
                <w:sz w:val="20"/>
                <w:szCs w:val="20"/>
              </w:rPr>
              <w:t xml:space="preserve">New technicians receive individual classroom training from the production supervisor and on-the-job training by serving as a helper from a certified trainer.  </w:t>
            </w:r>
          </w:p>
          <w:p w:rsidR="009374BC" w:rsidRDefault="009374BC" w:rsidP="009374BC">
            <w:pPr>
              <w:rPr>
                <w:rFonts w:cstheme="minorHAnsi"/>
                <w:sz w:val="20"/>
                <w:szCs w:val="20"/>
              </w:rPr>
            </w:pPr>
            <w:r w:rsidRPr="006F7639">
              <w:rPr>
                <w:rFonts w:cstheme="minorHAnsi"/>
                <w:sz w:val="20"/>
                <w:szCs w:val="20"/>
              </w:rPr>
              <w:t>All technicians receive electrical training and follow safe electrical protocols, standards and practices.</w:t>
            </w:r>
          </w:p>
          <w:p w:rsidR="003E01C3" w:rsidRPr="006F7639" w:rsidRDefault="003E01C3" w:rsidP="009374BC">
            <w:pPr>
              <w:rPr>
                <w:rFonts w:cstheme="minorHAnsi"/>
                <w:sz w:val="20"/>
                <w:szCs w:val="20"/>
              </w:rPr>
            </w:pPr>
          </w:p>
          <w:p w:rsidR="009374BC" w:rsidRPr="006F7639" w:rsidRDefault="00094FD5" w:rsidP="009374BC">
            <w:pPr>
              <w:rPr>
                <w:rFonts w:cstheme="minorHAnsi"/>
                <w:sz w:val="20"/>
                <w:szCs w:val="20"/>
              </w:rPr>
            </w:pPr>
            <w:r>
              <w:rPr>
                <w:rFonts w:cstheme="minorHAnsi"/>
                <w:sz w:val="20"/>
                <w:szCs w:val="20"/>
              </w:rPr>
              <w:t>The contractor</w:t>
            </w:r>
            <w:r w:rsidR="009374BC" w:rsidRPr="006F7639">
              <w:rPr>
                <w:rFonts w:cstheme="minorHAnsi"/>
                <w:sz w:val="20"/>
                <w:szCs w:val="20"/>
              </w:rPr>
              <w:t xml:space="preserve"> regularly enrolls its technicians in technical training.</w:t>
            </w:r>
          </w:p>
          <w:p w:rsidR="009374BC" w:rsidRPr="006F7639" w:rsidRDefault="009374BC" w:rsidP="009374BC">
            <w:pPr>
              <w:rPr>
                <w:rFonts w:cstheme="minorHAnsi"/>
                <w:sz w:val="20"/>
                <w:szCs w:val="20"/>
              </w:rPr>
            </w:pPr>
            <w:r w:rsidRPr="006F7639">
              <w:rPr>
                <w:rFonts w:cstheme="minorHAnsi"/>
                <w:sz w:val="20"/>
                <w:szCs w:val="20"/>
              </w:rPr>
              <w:t>All technicians are required to attend a weekly tailgate meeting, plus a monthly technicians meeting for on-going training.  The type of information that is covered in these training sessions would include measure and service standards, review of safety standards, motivation, customer service, and quality control instruction.</w:t>
            </w:r>
          </w:p>
          <w:p w:rsidR="00AF368D" w:rsidRPr="006F7639" w:rsidRDefault="009374BC" w:rsidP="006F7639">
            <w:pPr>
              <w:rPr>
                <w:rFonts w:cstheme="minorHAnsi"/>
                <w:sz w:val="20"/>
                <w:szCs w:val="20"/>
                <w:highlight w:val="yellow"/>
              </w:rPr>
            </w:pPr>
            <w:r w:rsidRPr="006F7639">
              <w:rPr>
                <w:rFonts w:cstheme="minorHAnsi"/>
                <w:sz w:val="20"/>
                <w:szCs w:val="20"/>
              </w:rPr>
              <w:t>The production supervisor or assistant production manager also provides one-on-one training to technicians in the field.</w:t>
            </w:r>
            <w:r w:rsidR="00CD0F98" w:rsidRPr="006F7639">
              <w:rPr>
                <w:rFonts w:cstheme="minorHAnsi"/>
                <w:sz w:val="20"/>
                <w:szCs w:val="20"/>
              </w:rPr>
              <w:t>”</w:t>
            </w:r>
          </w:p>
        </w:tc>
      </w:tr>
      <w:tr w:rsidR="00AF368D" w:rsidTr="00294471">
        <w:trPr>
          <w:cantSplit/>
        </w:trPr>
        <w:tc>
          <w:tcPr>
            <w:tcW w:w="9350" w:type="dxa"/>
            <w:gridSpan w:val="2"/>
          </w:tcPr>
          <w:p w:rsidR="00AF368D" w:rsidRPr="00D86243" w:rsidRDefault="00AF368D" w:rsidP="00294471">
            <w:pPr>
              <w:rPr>
                <w:rFonts w:cs="Arial"/>
                <w:sz w:val="20"/>
                <w:szCs w:val="20"/>
              </w:rPr>
            </w:pPr>
            <w:r w:rsidRPr="001D77F7">
              <w:rPr>
                <w:b/>
              </w:rPr>
              <w:t>1.3 Installation Type and Delivery Mechanisms</w:t>
            </w:r>
          </w:p>
        </w:tc>
      </w:tr>
      <w:tr w:rsidR="00DB71F1" w:rsidTr="00F52060">
        <w:trPr>
          <w:cantSplit/>
        </w:trPr>
        <w:tc>
          <w:tcPr>
            <w:tcW w:w="1975" w:type="dxa"/>
            <w:vAlign w:val="center"/>
          </w:tcPr>
          <w:p w:rsidR="00DB71F1" w:rsidRPr="00822B6F" w:rsidRDefault="00DB71F1" w:rsidP="00294471">
            <w:pPr>
              <w:jc w:val="right"/>
              <w:rPr>
                <w:sz w:val="20"/>
                <w:szCs w:val="20"/>
              </w:rPr>
            </w:pPr>
            <w:r w:rsidRPr="00822B6F">
              <w:rPr>
                <w:sz w:val="20"/>
                <w:szCs w:val="20"/>
              </w:rPr>
              <w:t>Installation Type</w:t>
            </w:r>
          </w:p>
        </w:tc>
        <w:tc>
          <w:tcPr>
            <w:tcW w:w="7375" w:type="dxa"/>
          </w:tcPr>
          <w:p w:rsidR="00CF2ABA" w:rsidRPr="00F52060" w:rsidRDefault="00F52060" w:rsidP="00FE636E">
            <w:pPr>
              <w:rPr>
                <w:rFonts w:cs="Arial"/>
                <w:sz w:val="20"/>
                <w:szCs w:val="20"/>
              </w:rPr>
            </w:pPr>
            <w:r w:rsidRPr="00F52060">
              <w:rPr>
                <w:sz w:val="20"/>
                <w:szCs w:val="20"/>
              </w:rPr>
              <w:t>Retrofit Add-on (REA)</w:t>
            </w:r>
          </w:p>
        </w:tc>
      </w:tr>
      <w:tr w:rsidR="00DB71F1" w:rsidTr="00F52060">
        <w:trPr>
          <w:cantSplit/>
        </w:trPr>
        <w:tc>
          <w:tcPr>
            <w:tcW w:w="1975" w:type="dxa"/>
            <w:vAlign w:val="center"/>
          </w:tcPr>
          <w:p w:rsidR="00DB71F1" w:rsidRPr="00822B6F" w:rsidRDefault="00DB71F1" w:rsidP="00294471">
            <w:pPr>
              <w:jc w:val="right"/>
              <w:rPr>
                <w:sz w:val="20"/>
                <w:szCs w:val="20"/>
              </w:rPr>
            </w:pPr>
            <w:r w:rsidRPr="00822B6F">
              <w:rPr>
                <w:sz w:val="20"/>
                <w:szCs w:val="20"/>
              </w:rPr>
              <w:t>Delivery Mechanisms</w:t>
            </w:r>
          </w:p>
        </w:tc>
        <w:tc>
          <w:tcPr>
            <w:tcW w:w="7375" w:type="dxa"/>
          </w:tcPr>
          <w:p w:rsidR="00B9551F" w:rsidRPr="00FE636E" w:rsidRDefault="001046CB" w:rsidP="00FE636E">
            <w:pPr>
              <w:rPr>
                <w:rFonts w:cs="Arial"/>
                <w:sz w:val="20"/>
                <w:szCs w:val="20"/>
              </w:rPr>
            </w:pPr>
            <w:r w:rsidRPr="00B00846">
              <w:rPr>
                <w:rFonts w:cs="Arial"/>
                <w:sz w:val="20"/>
                <w:szCs w:val="20"/>
              </w:rPr>
              <w:t>Direct Install</w:t>
            </w:r>
          </w:p>
        </w:tc>
      </w:tr>
      <w:tr w:rsidR="00DD2F3D" w:rsidTr="00294471">
        <w:trPr>
          <w:cantSplit/>
        </w:trPr>
        <w:tc>
          <w:tcPr>
            <w:tcW w:w="9350" w:type="dxa"/>
            <w:gridSpan w:val="2"/>
          </w:tcPr>
          <w:p w:rsidR="00DD2F3D" w:rsidRDefault="00DD2F3D" w:rsidP="00294471">
            <w:r w:rsidRPr="001D77F7">
              <w:rPr>
                <w:b/>
              </w:rPr>
              <w:t>1.4.1 DEER Data</w:t>
            </w:r>
          </w:p>
        </w:tc>
      </w:tr>
      <w:tr w:rsidR="00A61271" w:rsidTr="00F52060">
        <w:trPr>
          <w:cantSplit/>
        </w:trPr>
        <w:tc>
          <w:tcPr>
            <w:tcW w:w="1975" w:type="dxa"/>
            <w:vAlign w:val="center"/>
          </w:tcPr>
          <w:p w:rsidR="00A61271" w:rsidRPr="00822B6F" w:rsidRDefault="00A61271" w:rsidP="00294471">
            <w:pPr>
              <w:jc w:val="right"/>
              <w:rPr>
                <w:sz w:val="20"/>
                <w:szCs w:val="20"/>
              </w:rPr>
            </w:pPr>
            <w:r w:rsidRPr="00822B6F">
              <w:rPr>
                <w:sz w:val="20"/>
                <w:szCs w:val="20"/>
              </w:rPr>
              <w:t>Net-to-Gross Ratio</w:t>
            </w:r>
          </w:p>
        </w:tc>
        <w:tc>
          <w:tcPr>
            <w:tcW w:w="7375" w:type="dxa"/>
          </w:tcPr>
          <w:p w:rsidR="0090016E" w:rsidRPr="003E01C3" w:rsidRDefault="00276A67" w:rsidP="00294471">
            <w:pPr>
              <w:tabs>
                <w:tab w:val="right" w:pos="6732"/>
              </w:tabs>
              <w:rPr>
                <w:rFonts w:cs="Arial"/>
                <w:sz w:val="20"/>
                <w:szCs w:val="20"/>
              </w:rPr>
            </w:pPr>
            <w:r w:rsidRPr="003E01C3">
              <w:rPr>
                <w:rFonts w:cs="Arial"/>
                <w:color w:val="000000"/>
                <w:sz w:val="20"/>
                <w:szCs w:val="20"/>
              </w:rPr>
              <w:t>Res-</w:t>
            </w:r>
            <w:proofErr w:type="spellStart"/>
            <w:r w:rsidRPr="003E01C3">
              <w:rPr>
                <w:rFonts w:cs="Arial"/>
                <w:color w:val="000000"/>
                <w:sz w:val="20"/>
                <w:szCs w:val="20"/>
              </w:rPr>
              <w:t>sAll</w:t>
            </w:r>
            <w:proofErr w:type="spellEnd"/>
            <w:r w:rsidRPr="003E01C3">
              <w:rPr>
                <w:rFonts w:cs="Arial"/>
                <w:color w:val="000000"/>
                <w:sz w:val="20"/>
                <w:szCs w:val="20"/>
              </w:rPr>
              <w:t>-</w:t>
            </w:r>
            <w:proofErr w:type="spellStart"/>
            <w:r w:rsidRPr="003E01C3">
              <w:rPr>
                <w:rFonts w:cs="Arial"/>
                <w:color w:val="000000"/>
                <w:sz w:val="20"/>
                <w:szCs w:val="20"/>
              </w:rPr>
              <w:t>mDuctSeal</w:t>
            </w:r>
            <w:proofErr w:type="spellEnd"/>
            <w:r w:rsidRPr="003E01C3">
              <w:rPr>
                <w:rFonts w:cs="Arial"/>
                <w:sz w:val="20"/>
                <w:szCs w:val="20"/>
              </w:rPr>
              <w:t xml:space="preserve"> </w:t>
            </w:r>
          </w:p>
        </w:tc>
      </w:tr>
      <w:tr w:rsidR="00A61271" w:rsidTr="00AF368D">
        <w:trPr>
          <w:cantSplit/>
          <w:trHeight w:val="845"/>
        </w:trPr>
        <w:tc>
          <w:tcPr>
            <w:tcW w:w="1975" w:type="dxa"/>
            <w:vAlign w:val="center"/>
          </w:tcPr>
          <w:p w:rsidR="00A61271" w:rsidRPr="00822B6F" w:rsidRDefault="00A61271" w:rsidP="00294471">
            <w:pPr>
              <w:jc w:val="right"/>
              <w:rPr>
                <w:sz w:val="20"/>
                <w:szCs w:val="20"/>
              </w:rPr>
            </w:pPr>
            <w:r w:rsidRPr="00822B6F">
              <w:rPr>
                <w:sz w:val="20"/>
                <w:szCs w:val="20"/>
              </w:rPr>
              <w:t>Effective and Remaining Useful Life</w:t>
            </w:r>
          </w:p>
        </w:tc>
        <w:tc>
          <w:tcPr>
            <w:tcW w:w="7375" w:type="dxa"/>
          </w:tcPr>
          <w:p w:rsidR="00402B3D" w:rsidRDefault="00636CF9" w:rsidP="004748BE">
            <w:pPr>
              <w:tabs>
                <w:tab w:val="right" w:pos="6732"/>
              </w:tabs>
              <w:rPr>
                <w:rFonts w:cs="Arial"/>
                <w:sz w:val="20"/>
                <w:szCs w:val="20"/>
              </w:rPr>
            </w:pPr>
            <w:r>
              <w:rPr>
                <w:rFonts w:cs="Arial"/>
                <w:sz w:val="20"/>
                <w:szCs w:val="20"/>
              </w:rPr>
              <w:t>HV-</w:t>
            </w:r>
            <w:proofErr w:type="spellStart"/>
            <w:r>
              <w:rPr>
                <w:rFonts w:cs="Arial"/>
                <w:sz w:val="20"/>
                <w:szCs w:val="20"/>
              </w:rPr>
              <w:t>DuctSeal</w:t>
            </w:r>
            <w:proofErr w:type="spellEnd"/>
          </w:p>
          <w:p w:rsidR="004748BE" w:rsidRDefault="00636CF9" w:rsidP="004748BE">
            <w:pPr>
              <w:tabs>
                <w:tab w:val="right" w:pos="6732"/>
              </w:tabs>
              <w:rPr>
                <w:rFonts w:cs="Arial"/>
                <w:sz w:val="20"/>
                <w:szCs w:val="20"/>
              </w:rPr>
            </w:pPr>
            <w:r>
              <w:rPr>
                <w:rFonts w:cs="Arial"/>
                <w:sz w:val="20"/>
                <w:szCs w:val="20"/>
              </w:rPr>
              <w:t>EUL= 18</w:t>
            </w:r>
            <w:r w:rsidR="004748BE">
              <w:rPr>
                <w:rFonts w:cs="Arial"/>
                <w:sz w:val="20"/>
                <w:szCs w:val="20"/>
              </w:rPr>
              <w:t xml:space="preserve"> years</w:t>
            </w:r>
          </w:p>
          <w:p w:rsidR="004748BE" w:rsidRPr="00D86243" w:rsidRDefault="00636CF9" w:rsidP="004748BE">
            <w:pPr>
              <w:tabs>
                <w:tab w:val="right" w:pos="6732"/>
              </w:tabs>
              <w:rPr>
                <w:rFonts w:cs="Arial"/>
                <w:sz w:val="20"/>
                <w:szCs w:val="20"/>
              </w:rPr>
            </w:pPr>
            <w:r>
              <w:rPr>
                <w:rFonts w:cs="Arial"/>
                <w:sz w:val="20"/>
                <w:szCs w:val="20"/>
              </w:rPr>
              <w:t>RUL=EUL/3=6</w:t>
            </w:r>
          </w:p>
        </w:tc>
      </w:tr>
      <w:tr w:rsidR="002D7807" w:rsidTr="00AF368D">
        <w:trPr>
          <w:cantSplit/>
          <w:trHeight w:val="845"/>
        </w:trPr>
        <w:tc>
          <w:tcPr>
            <w:tcW w:w="1975" w:type="dxa"/>
            <w:vAlign w:val="center"/>
          </w:tcPr>
          <w:p w:rsidR="002D7807" w:rsidRPr="00822B6F" w:rsidRDefault="002D7807" w:rsidP="00294471">
            <w:pPr>
              <w:jc w:val="right"/>
              <w:rPr>
                <w:sz w:val="20"/>
                <w:szCs w:val="20"/>
              </w:rPr>
            </w:pPr>
            <w:r>
              <w:rPr>
                <w:sz w:val="20"/>
                <w:szCs w:val="20"/>
              </w:rPr>
              <w:lastRenderedPageBreak/>
              <w:t>GSIA</w:t>
            </w:r>
          </w:p>
        </w:tc>
        <w:tc>
          <w:tcPr>
            <w:tcW w:w="7375" w:type="dxa"/>
          </w:tcPr>
          <w:p w:rsidR="002D7807" w:rsidRDefault="002D7807" w:rsidP="004748BE">
            <w:pPr>
              <w:tabs>
                <w:tab w:val="right" w:pos="6732"/>
              </w:tabs>
              <w:rPr>
                <w:sz w:val="20"/>
                <w:szCs w:val="20"/>
              </w:rPr>
            </w:pPr>
            <w:r w:rsidRPr="00FC760B">
              <w:rPr>
                <w:rFonts w:cs="Arial"/>
                <w:sz w:val="20"/>
                <w:szCs w:val="20"/>
              </w:rPr>
              <w:t xml:space="preserve">Per </w:t>
            </w:r>
            <w:r w:rsidR="00870139" w:rsidRPr="00FC760B">
              <w:rPr>
                <w:sz w:val="20"/>
                <w:szCs w:val="20"/>
              </w:rPr>
              <w:t>Energy Division Workpaper Disposition for Residential HVAC Quality Maintenance dated May 2, 2013</w:t>
            </w:r>
          </w:p>
          <w:p w:rsidR="003E01C3" w:rsidRPr="00FC760B" w:rsidRDefault="003E01C3" w:rsidP="004748BE">
            <w:pPr>
              <w:tabs>
                <w:tab w:val="right" w:pos="6732"/>
              </w:tabs>
              <w:rPr>
                <w:sz w:val="20"/>
                <w:szCs w:val="20"/>
              </w:rPr>
            </w:pPr>
          </w:p>
          <w:p w:rsidR="00FC760B" w:rsidRDefault="00FC760B" w:rsidP="00FC760B">
            <w:pPr>
              <w:rPr>
                <w:rFonts w:cs="Calibri"/>
                <w:sz w:val="20"/>
                <w:szCs w:val="20"/>
              </w:rPr>
            </w:pPr>
            <w:r w:rsidRPr="00FC760B">
              <w:rPr>
                <w:sz w:val="20"/>
                <w:szCs w:val="20"/>
              </w:rPr>
              <w:t>“</w:t>
            </w:r>
            <w:r w:rsidRPr="00FC760B">
              <w:rPr>
                <w:rFonts w:cs="Calibri"/>
                <w:sz w:val="20"/>
                <w:szCs w:val="20"/>
              </w:rPr>
              <w:t>The statewide installation rate for DTS measures from the 2006-2008 evaluations is 0.463. This essentially means that more than half the installations have no benefit, even if, on those installations, some amount of duct sealing was performed that did not result in requisite reduction in duct leakage. In consideration of partial benefits as well as the likelihood that utilities have instituted improvements to installation and verification, staff believe that the installation rate should be increased by 50%, according to the following equation:</w:t>
            </w:r>
          </w:p>
          <w:p w:rsidR="003E01C3" w:rsidRPr="00FC760B" w:rsidRDefault="003E01C3" w:rsidP="00FC760B">
            <w:pPr>
              <w:rPr>
                <w:rFonts w:cs="Calibri"/>
                <w:sz w:val="20"/>
                <w:szCs w:val="20"/>
              </w:rPr>
            </w:pPr>
          </w:p>
          <w:p w:rsidR="00FC760B" w:rsidRPr="00FC760B" w:rsidRDefault="00FC760B" w:rsidP="00FC760B">
            <w:pPr>
              <w:ind w:left="720"/>
              <w:rPr>
                <w:rFonts w:cs="Calibri"/>
                <w:sz w:val="20"/>
                <w:szCs w:val="20"/>
              </w:rPr>
            </w:pPr>
            <w:proofErr w:type="spellStart"/>
            <w:r w:rsidRPr="00FC760B">
              <w:rPr>
                <w:rFonts w:cs="Calibri"/>
                <w:sz w:val="20"/>
                <w:szCs w:val="20"/>
              </w:rPr>
              <w:t>IR</w:t>
            </w:r>
            <w:r w:rsidRPr="00FC760B">
              <w:rPr>
                <w:rFonts w:cs="Calibri"/>
                <w:sz w:val="20"/>
                <w:szCs w:val="20"/>
                <w:vertAlign w:val="subscript"/>
              </w:rPr>
              <w:t>adj</w:t>
            </w:r>
            <w:proofErr w:type="spellEnd"/>
            <w:r w:rsidRPr="00FC760B">
              <w:rPr>
                <w:rFonts w:cs="Calibri"/>
                <w:sz w:val="20"/>
                <w:szCs w:val="20"/>
                <w:vertAlign w:val="subscript"/>
              </w:rPr>
              <w:t xml:space="preserve"> </w:t>
            </w:r>
            <w:r w:rsidRPr="00FC760B">
              <w:rPr>
                <w:rFonts w:cs="Calibri"/>
                <w:sz w:val="20"/>
                <w:szCs w:val="20"/>
              </w:rPr>
              <w:t xml:space="preserve">= 0.463 + 0.50 * </w:t>
            </w:r>
            <w:proofErr w:type="gramStart"/>
            <w:r w:rsidRPr="00FC760B">
              <w:rPr>
                <w:rFonts w:cs="Calibri"/>
                <w:sz w:val="20"/>
                <w:szCs w:val="20"/>
              </w:rPr>
              <w:t>( 1</w:t>
            </w:r>
            <w:proofErr w:type="gramEnd"/>
            <w:r w:rsidRPr="00FC760B">
              <w:rPr>
                <w:rFonts w:cs="Calibri"/>
                <w:sz w:val="20"/>
                <w:szCs w:val="20"/>
              </w:rPr>
              <w:t xml:space="preserve"> – 0.463 ) = 0.73</w:t>
            </w:r>
          </w:p>
          <w:p w:rsidR="00FC760B" w:rsidRPr="00FC760B" w:rsidRDefault="00FC760B" w:rsidP="00FC760B">
            <w:pPr>
              <w:rPr>
                <w:rFonts w:cs="Calibri"/>
                <w:b/>
                <w:bCs/>
                <w:sz w:val="20"/>
                <w:szCs w:val="20"/>
                <w:u w:val="single"/>
              </w:rPr>
            </w:pPr>
            <w:r w:rsidRPr="00FC760B">
              <w:rPr>
                <w:rFonts w:cs="Calibri"/>
                <w:sz w:val="20"/>
                <w:szCs w:val="20"/>
              </w:rPr>
              <w:t>Given the lack of precision in the analysis of installation rates, staff has used an installation rate of 0.75 for DTS measures.</w:t>
            </w:r>
            <w:r w:rsidRPr="00FC760B">
              <w:rPr>
                <w:rFonts w:cs="Calibri"/>
                <w:b/>
                <w:bCs/>
                <w:sz w:val="20"/>
                <w:szCs w:val="20"/>
                <w:u w:val="single"/>
              </w:rPr>
              <w:br w:type="page"/>
              <w:t>”</w:t>
            </w:r>
          </w:p>
          <w:p w:rsidR="00FC760B" w:rsidRPr="00FC760B" w:rsidRDefault="00FC760B" w:rsidP="004748BE">
            <w:pPr>
              <w:tabs>
                <w:tab w:val="right" w:pos="6732"/>
              </w:tabs>
              <w:rPr>
                <w:sz w:val="20"/>
                <w:szCs w:val="20"/>
              </w:rPr>
            </w:pPr>
          </w:p>
          <w:p w:rsidR="00FC760B" w:rsidRPr="00FC760B" w:rsidRDefault="00047026" w:rsidP="00FC760B">
            <w:pPr>
              <w:tabs>
                <w:tab w:val="right" w:pos="6732"/>
              </w:tabs>
              <w:rPr>
                <w:sz w:val="20"/>
                <w:szCs w:val="20"/>
              </w:rPr>
            </w:pPr>
            <w:r w:rsidRPr="00047026">
              <w:rPr>
                <w:rFonts w:cs="Arial"/>
                <w:b/>
                <w:sz w:val="20"/>
                <w:szCs w:val="20"/>
              </w:rPr>
              <w:t>*Note:</w:t>
            </w:r>
            <w:r>
              <w:rPr>
                <w:rFonts w:cs="Arial"/>
                <w:sz w:val="20"/>
                <w:szCs w:val="20"/>
              </w:rPr>
              <w:t xml:space="preserve"> </w:t>
            </w:r>
            <w:r w:rsidR="00FC760B">
              <w:rPr>
                <w:rFonts w:cs="Arial"/>
                <w:sz w:val="20"/>
                <w:szCs w:val="20"/>
              </w:rPr>
              <w:t xml:space="preserve">The GSIA listed in READI </w:t>
            </w:r>
            <w:r w:rsidR="00FC760B" w:rsidRPr="00B521D4">
              <w:rPr>
                <w:sz w:val="20"/>
                <w:szCs w:val="20"/>
              </w:rPr>
              <w:t>v.2.4.7</w:t>
            </w:r>
            <w:r w:rsidR="00FC760B">
              <w:rPr>
                <w:sz w:val="20"/>
                <w:szCs w:val="20"/>
              </w:rPr>
              <w:t xml:space="preserve"> for GSIA ID Res-</w:t>
            </w:r>
            <w:proofErr w:type="spellStart"/>
            <w:r w:rsidR="00FC760B">
              <w:rPr>
                <w:sz w:val="20"/>
                <w:szCs w:val="20"/>
              </w:rPr>
              <w:t>DuctSeal</w:t>
            </w:r>
            <w:proofErr w:type="spellEnd"/>
            <w:r w:rsidR="00FC760B">
              <w:rPr>
                <w:sz w:val="20"/>
                <w:szCs w:val="20"/>
              </w:rPr>
              <w:t xml:space="preserve">-All is still 0.463 as referenced in the Energy </w:t>
            </w:r>
            <w:r w:rsidR="00FC760B" w:rsidRPr="00FC760B">
              <w:rPr>
                <w:sz w:val="20"/>
                <w:szCs w:val="20"/>
              </w:rPr>
              <w:t>Division Workpaper Disposition for Residential HVAC Quality Maintenance dated May 2, 2013</w:t>
            </w:r>
            <w:r w:rsidR="00FC760B">
              <w:rPr>
                <w:sz w:val="20"/>
                <w:szCs w:val="20"/>
              </w:rPr>
              <w:t>. Therefore,</w:t>
            </w:r>
            <w:r>
              <w:rPr>
                <w:sz w:val="20"/>
                <w:szCs w:val="20"/>
              </w:rPr>
              <w:t xml:space="preserve"> we recommend the CPUC Staff to update</w:t>
            </w:r>
            <w:r w:rsidR="00FC760B">
              <w:rPr>
                <w:sz w:val="20"/>
                <w:szCs w:val="20"/>
              </w:rPr>
              <w:t xml:space="preserve"> the GSIA ID</w:t>
            </w:r>
            <w:r>
              <w:rPr>
                <w:sz w:val="20"/>
                <w:szCs w:val="20"/>
              </w:rPr>
              <w:t xml:space="preserve">s to include a Duct Seal ID to have a value of 0.75.  The closest available GSIA ID would be </w:t>
            </w:r>
            <w:r w:rsidR="00FC760B">
              <w:rPr>
                <w:sz w:val="20"/>
                <w:szCs w:val="20"/>
              </w:rPr>
              <w:t>EUC_GSIA_0.7</w:t>
            </w:r>
            <w:r>
              <w:rPr>
                <w:sz w:val="20"/>
                <w:szCs w:val="20"/>
              </w:rPr>
              <w:t>5 but given its program specific, SDG&amp;E will update once Commission Staff updates or creates a new GSIA ID for all Residential Duct Seal measures.</w:t>
            </w:r>
          </w:p>
          <w:p w:rsidR="00870139" w:rsidRDefault="00870139" w:rsidP="004748BE">
            <w:pPr>
              <w:tabs>
                <w:tab w:val="right" w:pos="6732"/>
              </w:tabs>
              <w:rPr>
                <w:sz w:val="20"/>
                <w:szCs w:val="20"/>
              </w:rPr>
            </w:pPr>
          </w:p>
          <w:p w:rsidR="006F7639" w:rsidRDefault="006F7639" w:rsidP="004748BE">
            <w:pPr>
              <w:tabs>
                <w:tab w:val="right" w:pos="6732"/>
              </w:tabs>
              <w:rPr>
                <w:rFonts w:cs="Arial"/>
                <w:sz w:val="20"/>
                <w:szCs w:val="20"/>
              </w:rPr>
            </w:pPr>
          </w:p>
          <w:p w:rsidR="006F7639" w:rsidRDefault="006F7639" w:rsidP="004748BE">
            <w:pPr>
              <w:tabs>
                <w:tab w:val="right" w:pos="6732"/>
              </w:tabs>
              <w:rPr>
                <w:rFonts w:cs="Arial"/>
                <w:sz w:val="20"/>
                <w:szCs w:val="20"/>
              </w:rPr>
            </w:pPr>
          </w:p>
          <w:p w:rsidR="006F7639" w:rsidRDefault="006F7639" w:rsidP="004748BE">
            <w:pPr>
              <w:tabs>
                <w:tab w:val="right" w:pos="6732"/>
              </w:tabs>
              <w:rPr>
                <w:rFonts w:cs="Arial"/>
                <w:sz w:val="20"/>
                <w:szCs w:val="20"/>
              </w:rPr>
            </w:pPr>
          </w:p>
          <w:p w:rsidR="006F7639" w:rsidRDefault="006F7639" w:rsidP="004748BE">
            <w:pPr>
              <w:tabs>
                <w:tab w:val="right" w:pos="6732"/>
              </w:tabs>
              <w:rPr>
                <w:rFonts w:cs="Arial"/>
                <w:sz w:val="20"/>
                <w:szCs w:val="20"/>
              </w:rPr>
            </w:pPr>
          </w:p>
          <w:p w:rsidR="006F7639" w:rsidRDefault="006F7639" w:rsidP="004748BE">
            <w:pPr>
              <w:tabs>
                <w:tab w:val="right" w:pos="6732"/>
              </w:tabs>
              <w:rPr>
                <w:rFonts w:cs="Arial"/>
                <w:sz w:val="20"/>
                <w:szCs w:val="20"/>
              </w:rPr>
            </w:pPr>
          </w:p>
          <w:p w:rsidR="006F7639" w:rsidRDefault="006F7639" w:rsidP="004748BE">
            <w:pPr>
              <w:tabs>
                <w:tab w:val="right" w:pos="6732"/>
              </w:tabs>
              <w:rPr>
                <w:rFonts w:cs="Arial"/>
                <w:sz w:val="20"/>
                <w:szCs w:val="20"/>
              </w:rPr>
            </w:pPr>
          </w:p>
          <w:p w:rsidR="006F7639" w:rsidRDefault="006F7639" w:rsidP="004748BE">
            <w:pPr>
              <w:tabs>
                <w:tab w:val="right" w:pos="6732"/>
              </w:tabs>
              <w:rPr>
                <w:rFonts w:cs="Arial"/>
                <w:sz w:val="20"/>
                <w:szCs w:val="20"/>
              </w:rPr>
            </w:pPr>
          </w:p>
          <w:p w:rsidR="006F7639" w:rsidRPr="00FC760B" w:rsidRDefault="006F7639" w:rsidP="004748BE">
            <w:pPr>
              <w:tabs>
                <w:tab w:val="right" w:pos="6732"/>
              </w:tabs>
              <w:rPr>
                <w:rFonts w:cs="Arial"/>
                <w:sz w:val="20"/>
                <w:szCs w:val="20"/>
              </w:rPr>
            </w:pPr>
          </w:p>
        </w:tc>
      </w:tr>
      <w:tr w:rsidR="00AF368D" w:rsidTr="00AF368D">
        <w:trPr>
          <w:cantSplit/>
          <w:trHeight w:val="458"/>
        </w:trPr>
        <w:tc>
          <w:tcPr>
            <w:tcW w:w="9350" w:type="dxa"/>
            <w:gridSpan w:val="2"/>
            <w:vAlign w:val="center"/>
          </w:tcPr>
          <w:p w:rsidR="00AF368D" w:rsidRPr="00241A1F" w:rsidRDefault="00AF368D" w:rsidP="00AF368D">
            <w:pPr>
              <w:rPr>
                <w:rFonts w:cs="Arial"/>
                <w:sz w:val="20"/>
                <w:szCs w:val="20"/>
              </w:rPr>
            </w:pPr>
            <w:r w:rsidRPr="001D77F7">
              <w:rPr>
                <w:b/>
              </w:rPr>
              <w:t>Section 2. Calculation Methodology</w:t>
            </w:r>
          </w:p>
        </w:tc>
      </w:tr>
      <w:tr w:rsidR="00A61271" w:rsidTr="00F52060">
        <w:trPr>
          <w:cantSplit/>
        </w:trPr>
        <w:tc>
          <w:tcPr>
            <w:tcW w:w="1975" w:type="dxa"/>
            <w:vAlign w:val="center"/>
          </w:tcPr>
          <w:p w:rsidR="00A61271" w:rsidRDefault="00A61271" w:rsidP="00787D7C">
            <w:pPr>
              <w:jc w:val="right"/>
            </w:pPr>
            <w:r>
              <w:rPr>
                <w:rFonts w:cs="Arial"/>
                <w:sz w:val="20"/>
                <w:szCs w:val="20"/>
              </w:rPr>
              <w:t>Energy Savings/Peak Demand Reduction – All Measures</w:t>
            </w:r>
          </w:p>
        </w:tc>
        <w:tc>
          <w:tcPr>
            <w:tcW w:w="7375" w:type="dxa"/>
          </w:tcPr>
          <w:p w:rsidR="00E037BE" w:rsidRDefault="00AF368D" w:rsidP="00E037BE">
            <w:pPr>
              <w:rPr>
                <w:sz w:val="20"/>
                <w:szCs w:val="20"/>
              </w:rPr>
            </w:pPr>
            <w:r w:rsidRPr="000E65D6">
              <w:rPr>
                <w:rFonts w:cs="Arial"/>
                <w:sz w:val="20"/>
                <w:szCs w:val="20"/>
              </w:rPr>
              <w:t>The annual energy and demand savings for the residenti</w:t>
            </w:r>
            <w:r w:rsidR="00E037BE">
              <w:rPr>
                <w:rFonts w:cs="Arial"/>
                <w:sz w:val="20"/>
                <w:szCs w:val="20"/>
              </w:rPr>
              <w:t xml:space="preserve">al sector are based on the </w:t>
            </w:r>
            <w:r w:rsidRPr="000E65D6">
              <w:rPr>
                <w:rFonts w:cs="Arial"/>
                <w:sz w:val="20"/>
                <w:szCs w:val="20"/>
              </w:rPr>
              <w:t xml:space="preserve">DEER measure savings from </w:t>
            </w:r>
            <w:r w:rsidR="00636CF9" w:rsidRPr="00FC760B">
              <w:rPr>
                <w:rFonts w:cs="Calibri"/>
                <w:i/>
                <w:sz w:val="20"/>
                <w:szCs w:val="20"/>
              </w:rPr>
              <w:t>Res-</w:t>
            </w:r>
            <w:proofErr w:type="spellStart"/>
            <w:r w:rsidR="00636CF9" w:rsidRPr="00FC760B">
              <w:rPr>
                <w:rFonts w:cs="Calibri"/>
                <w:i/>
                <w:sz w:val="20"/>
                <w:szCs w:val="20"/>
              </w:rPr>
              <w:t>DuctSeal</w:t>
            </w:r>
            <w:proofErr w:type="spellEnd"/>
            <w:r w:rsidR="00636CF9" w:rsidRPr="00FC760B">
              <w:rPr>
                <w:rFonts w:cs="Calibri"/>
                <w:i/>
                <w:sz w:val="20"/>
                <w:szCs w:val="20"/>
              </w:rPr>
              <w:t>-</w:t>
            </w:r>
            <w:proofErr w:type="spellStart"/>
            <w:r w:rsidR="00636CF9" w:rsidRPr="00FC760B">
              <w:rPr>
                <w:rFonts w:cs="Calibri"/>
                <w:i/>
                <w:sz w:val="20"/>
                <w:szCs w:val="20"/>
              </w:rPr>
              <w:t>MedToLow-wtd</w:t>
            </w:r>
            <w:proofErr w:type="spellEnd"/>
            <w:r w:rsidR="00E037BE">
              <w:rPr>
                <w:rFonts w:cs="Arial"/>
                <w:sz w:val="20"/>
                <w:szCs w:val="20"/>
              </w:rPr>
              <w:t>, taken</w:t>
            </w:r>
            <w:r w:rsidR="00636CF9">
              <w:rPr>
                <w:rFonts w:cs="Arial"/>
                <w:sz w:val="20"/>
                <w:szCs w:val="20"/>
              </w:rPr>
              <w:t xml:space="preserve"> from the DEER 2017</w:t>
            </w:r>
            <w:r>
              <w:rPr>
                <w:rFonts w:cs="Arial"/>
                <w:sz w:val="20"/>
                <w:szCs w:val="20"/>
              </w:rPr>
              <w:t xml:space="preserve"> READI v.2.4.7.</w:t>
            </w:r>
            <w:r w:rsidR="00E037BE">
              <w:rPr>
                <w:rFonts w:cs="Arial"/>
                <w:sz w:val="20"/>
                <w:szCs w:val="20"/>
              </w:rPr>
              <w:t xml:space="preserve">  </w:t>
            </w:r>
            <w:r w:rsidR="00E037BE" w:rsidRPr="00D131E7">
              <w:rPr>
                <w:sz w:val="20"/>
                <w:szCs w:val="20"/>
              </w:rPr>
              <w:t xml:space="preserve">The </w:t>
            </w:r>
            <w:r w:rsidR="00E037BE" w:rsidRPr="00D131E7">
              <w:rPr>
                <w:rFonts w:cs="Arial"/>
                <w:sz w:val="20"/>
                <w:szCs w:val="20"/>
              </w:rPr>
              <w:t xml:space="preserve">READI v.2.4.7 values are adjusted based on </w:t>
            </w:r>
            <w:r w:rsidR="00E037BE" w:rsidRPr="00D131E7">
              <w:rPr>
                <w:sz w:val="20"/>
                <w:szCs w:val="20"/>
              </w:rPr>
              <w:t>Energy Division Workpaper Disposition for Residential HVAC Quality Maintenance dated May 2, 2013.</w:t>
            </w:r>
          </w:p>
          <w:p w:rsidR="00E037BE" w:rsidRDefault="00E037BE" w:rsidP="00AF368D">
            <w:pPr>
              <w:rPr>
                <w:rFonts w:cs="Arial"/>
                <w:sz w:val="20"/>
                <w:szCs w:val="20"/>
              </w:rPr>
            </w:pPr>
          </w:p>
          <w:p w:rsidR="00E037BE" w:rsidRDefault="00E037BE" w:rsidP="00E037BE">
            <w:pPr>
              <w:rPr>
                <w:sz w:val="20"/>
                <w:szCs w:val="20"/>
              </w:rPr>
            </w:pPr>
            <w:r>
              <w:rPr>
                <w:sz w:val="20"/>
                <w:szCs w:val="20"/>
              </w:rPr>
              <w:t>From Workpaper Disposition:</w:t>
            </w:r>
          </w:p>
          <w:p w:rsidR="00636CF9" w:rsidRPr="00FC760B" w:rsidRDefault="00636CF9" w:rsidP="00636CF9">
            <w:pPr>
              <w:rPr>
                <w:rFonts w:cs="Calibri"/>
                <w:sz w:val="20"/>
                <w:szCs w:val="20"/>
              </w:rPr>
            </w:pPr>
            <w:r w:rsidRPr="00FC760B">
              <w:rPr>
                <w:sz w:val="20"/>
                <w:szCs w:val="20"/>
              </w:rPr>
              <w:t xml:space="preserve"> “</w:t>
            </w:r>
            <w:r w:rsidRPr="00FC760B">
              <w:rPr>
                <w:rFonts w:cs="Calibri"/>
                <w:sz w:val="20"/>
                <w:szCs w:val="20"/>
              </w:rPr>
              <w:t xml:space="preserve">UES values for the DTS are taken directly from DEER.  There are two measures in DEER, one for high initial duct leakage (measure ID </w:t>
            </w:r>
            <w:r w:rsidRPr="00FC760B">
              <w:rPr>
                <w:rFonts w:cs="Calibri"/>
                <w:i/>
                <w:sz w:val="20"/>
                <w:szCs w:val="20"/>
              </w:rPr>
              <w:t>Res-</w:t>
            </w:r>
            <w:proofErr w:type="spellStart"/>
            <w:r w:rsidRPr="00FC760B">
              <w:rPr>
                <w:rFonts w:cs="Calibri"/>
                <w:i/>
                <w:sz w:val="20"/>
                <w:szCs w:val="20"/>
              </w:rPr>
              <w:t>DuctSeal</w:t>
            </w:r>
            <w:proofErr w:type="spellEnd"/>
            <w:r w:rsidRPr="00FC760B">
              <w:rPr>
                <w:rFonts w:cs="Calibri"/>
                <w:i/>
                <w:sz w:val="20"/>
                <w:szCs w:val="20"/>
              </w:rPr>
              <w:t>-</w:t>
            </w:r>
            <w:proofErr w:type="spellStart"/>
            <w:r w:rsidRPr="00FC760B">
              <w:rPr>
                <w:rFonts w:cs="Calibri"/>
                <w:i/>
                <w:sz w:val="20"/>
                <w:szCs w:val="20"/>
              </w:rPr>
              <w:t>HighToLow-wtd</w:t>
            </w:r>
            <w:proofErr w:type="spellEnd"/>
            <w:r w:rsidRPr="00FC760B">
              <w:rPr>
                <w:rFonts w:cs="Calibri"/>
                <w:sz w:val="20"/>
                <w:szCs w:val="20"/>
              </w:rPr>
              <w:t xml:space="preserve">) and medium initial duct leakage (measure ID </w:t>
            </w:r>
            <w:r w:rsidRPr="00FC760B">
              <w:rPr>
                <w:rFonts w:cs="Calibri"/>
                <w:i/>
                <w:sz w:val="20"/>
                <w:szCs w:val="20"/>
              </w:rPr>
              <w:t>Res-</w:t>
            </w:r>
            <w:proofErr w:type="spellStart"/>
            <w:r w:rsidRPr="00FC760B">
              <w:rPr>
                <w:rFonts w:cs="Calibri"/>
                <w:i/>
                <w:sz w:val="20"/>
                <w:szCs w:val="20"/>
              </w:rPr>
              <w:t>DuctSeal</w:t>
            </w:r>
            <w:proofErr w:type="spellEnd"/>
            <w:r w:rsidRPr="00FC760B">
              <w:rPr>
                <w:rFonts w:cs="Calibri"/>
                <w:i/>
                <w:sz w:val="20"/>
                <w:szCs w:val="20"/>
              </w:rPr>
              <w:t>-</w:t>
            </w:r>
            <w:proofErr w:type="spellStart"/>
            <w:r w:rsidRPr="00FC760B">
              <w:rPr>
                <w:rFonts w:cs="Calibri"/>
                <w:i/>
                <w:sz w:val="20"/>
                <w:szCs w:val="20"/>
              </w:rPr>
              <w:t>MedToLow-wtd</w:t>
            </w:r>
            <w:proofErr w:type="spellEnd"/>
            <w:r w:rsidRPr="00FC760B">
              <w:rPr>
                <w:rFonts w:cs="Calibri"/>
                <w:sz w:val="20"/>
                <w:szCs w:val="20"/>
              </w:rPr>
              <w:t>). Disposition UES values are the weighted average of those provided in the two measures.  Additionally, staff assigns the following incidence factors:</w:t>
            </w:r>
          </w:p>
          <w:p w:rsidR="00636CF9" w:rsidRPr="00FC760B" w:rsidRDefault="00636CF9" w:rsidP="00636CF9">
            <w:pPr>
              <w:tabs>
                <w:tab w:val="right" w:pos="3600"/>
                <w:tab w:val="left" w:pos="3690"/>
              </w:tabs>
              <w:rPr>
                <w:rFonts w:cs="Calibri"/>
                <w:sz w:val="20"/>
                <w:szCs w:val="20"/>
              </w:rPr>
            </w:pPr>
            <w:r w:rsidRPr="00FC760B">
              <w:rPr>
                <w:rFonts w:cs="Calibri"/>
                <w:sz w:val="20"/>
                <w:szCs w:val="20"/>
              </w:rPr>
              <w:tab/>
              <w:t>High initial leakage:</w:t>
            </w:r>
            <w:r w:rsidRPr="00FC760B">
              <w:rPr>
                <w:rFonts w:cs="Calibri"/>
                <w:sz w:val="20"/>
                <w:szCs w:val="20"/>
              </w:rPr>
              <w:tab/>
              <w:t>0.14</w:t>
            </w:r>
          </w:p>
          <w:p w:rsidR="00636CF9" w:rsidRPr="00FC760B" w:rsidRDefault="00636CF9" w:rsidP="00636CF9">
            <w:pPr>
              <w:tabs>
                <w:tab w:val="right" w:pos="3600"/>
                <w:tab w:val="left" w:pos="3690"/>
              </w:tabs>
              <w:rPr>
                <w:rFonts w:cs="Calibri"/>
                <w:sz w:val="20"/>
                <w:szCs w:val="20"/>
              </w:rPr>
            </w:pPr>
            <w:r w:rsidRPr="00FC760B">
              <w:rPr>
                <w:rFonts w:cs="Calibri"/>
                <w:sz w:val="20"/>
                <w:szCs w:val="20"/>
              </w:rPr>
              <w:tab/>
              <w:t>Medium initial leakage:</w:t>
            </w:r>
            <w:r w:rsidRPr="00FC760B">
              <w:rPr>
                <w:rFonts w:cs="Calibri"/>
                <w:sz w:val="20"/>
                <w:szCs w:val="20"/>
              </w:rPr>
              <w:tab/>
              <w:t>0.39</w:t>
            </w:r>
            <w:r>
              <w:rPr>
                <w:rFonts w:cs="Calibri"/>
                <w:sz w:val="20"/>
                <w:szCs w:val="20"/>
              </w:rPr>
              <w:t>”</w:t>
            </w:r>
          </w:p>
          <w:p w:rsidR="00E037BE" w:rsidRDefault="00E037BE" w:rsidP="00636CF9">
            <w:pPr>
              <w:rPr>
                <w:rFonts w:cs="Calibri"/>
              </w:rPr>
            </w:pPr>
          </w:p>
          <w:p w:rsidR="00E037BE" w:rsidRDefault="007F525E" w:rsidP="00E037BE">
            <w:pPr>
              <w:rPr>
                <w:rFonts w:cs="Arial"/>
                <w:sz w:val="20"/>
                <w:szCs w:val="20"/>
              </w:rPr>
            </w:pPr>
            <w:r>
              <w:rPr>
                <w:rFonts w:cs="Arial"/>
                <w:sz w:val="20"/>
                <w:szCs w:val="20"/>
              </w:rPr>
              <w:t xml:space="preserve">     </w:t>
            </w:r>
            <w:r w:rsidR="00F44876">
              <w:rPr>
                <w:rFonts w:cs="Arial"/>
                <w:sz w:val="20"/>
                <w:szCs w:val="20"/>
              </w:rPr>
              <w:t>Workpaper</w:t>
            </w:r>
            <w:r w:rsidR="00636CF9">
              <w:rPr>
                <w:rFonts w:cs="Arial"/>
                <w:sz w:val="20"/>
                <w:szCs w:val="20"/>
              </w:rPr>
              <w:t xml:space="preserve"> Savings = DEER values</w:t>
            </w:r>
            <w:r w:rsidR="007B62D9">
              <w:rPr>
                <w:rFonts w:cs="Arial"/>
                <w:sz w:val="20"/>
                <w:szCs w:val="20"/>
              </w:rPr>
              <w:t xml:space="preserve"> </w:t>
            </w:r>
            <w:r w:rsidR="00636CF9">
              <w:rPr>
                <w:rFonts w:cs="Arial"/>
                <w:sz w:val="20"/>
                <w:szCs w:val="20"/>
              </w:rPr>
              <w:t>* 0.39</w:t>
            </w:r>
          </w:p>
          <w:p w:rsidR="00EB2DBB" w:rsidRPr="00555671" w:rsidRDefault="00EB2DBB" w:rsidP="006678E0">
            <w:pPr>
              <w:rPr>
                <w:rFonts w:cs="Arial"/>
                <w:sz w:val="20"/>
                <w:szCs w:val="20"/>
              </w:rPr>
            </w:pPr>
          </w:p>
        </w:tc>
      </w:tr>
      <w:tr w:rsidR="00DD2F3D" w:rsidTr="00294471">
        <w:trPr>
          <w:cantSplit/>
        </w:trPr>
        <w:tc>
          <w:tcPr>
            <w:tcW w:w="9350" w:type="dxa"/>
            <w:gridSpan w:val="2"/>
            <w:vAlign w:val="center"/>
          </w:tcPr>
          <w:p w:rsidR="00DD2F3D" w:rsidRPr="00476F40" w:rsidRDefault="00DD2F3D">
            <w:pPr>
              <w:tabs>
                <w:tab w:val="right" w:pos="6732"/>
              </w:tabs>
              <w:rPr>
                <w:rFonts w:cs="Arial"/>
                <w:sz w:val="20"/>
                <w:szCs w:val="20"/>
              </w:rPr>
            </w:pPr>
            <w:r w:rsidRPr="001D77F7">
              <w:rPr>
                <w:b/>
              </w:rPr>
              <w:t>Section 3. Load Shapes</w:t>
            </w:r>
          </w:p>
        </w:tc>
      </w:tr>
      <w:tr w:rsidR="00DD2F3D" w:rsidTr="00F52060">
        <w:trPr>
          <w:cantSplit/>
        </w:trPr>
        <w:tc>
          <w:tcPr>
            <w:tcW w:w="1975" w:type="dxa"/>
            <w:vAlign w:val="center"/>
          </w:tcPr>
          <w:p w:rsidR="00DD2F3D" w:rsidRPr="00DD2F3D" w:rsidRDefault="00DD2F3D" w:rsidP="00294471">
            <w:r>
              <w:lastRenderedPageBreak/>
              <w:t>Load Shape</w:t>
            </w:r>
          </w:p>
        </w:tc>
        <w:tc>
          <w:tcPr>
            <w:tcW w:w="7375" w:type="dxa"/>
          </w:tcPr>
          <w:p w:rsidR="00DD2F3D" w:rsidRDefault="00DD2F3D">
            <w:pPr>
              <w:tabs>
                <w:tab w:val="right" w:pos="6732"/>
              </w:tabs>
              <w:rPr>
                <w:rFonts w:cstheme="minorHAnsi"/>
                <w:bCs/>
                <w:sz w:val="20"/>
              </w:rPr>
            </w:pPr>
            <w:proofErr w:type="spellStart"/>
            <w:proofErr w:type="gramStart"/>
            <w:r>
              <w:rPr>
                <w:rFonts w:cstheme="minorHAnsi"/>
                <w:bCs/>
                <w:sz w:val="20"/>
              </w:rPr>
              <w:t>SDGE:DEER</w:t>
            </w:r>
            <w:proofErr w:type="gramEnd"/>
            <w:r>
              <w:rPr>
                <w:rFonts w:cstheme="minorHAnsi"/>
                <w:bCs/>
                <w:sz w:val="20"/>
              </w:rPr>
              <w:t>:HVAC_Eff_AC</w:t>
            </w:r>
            <w:proofErr w:type="spellEnd"/>
            <w:r>
              <w:rPr>
                <w:rFonts w:cstheme="minorHAnsi"/>
                <w:bCs/>
                <w:sz w:val="20"/>
              </w:rPr>
              <w:br/>
              <w:t>Annual</w:t>
            </w:r>
          </w:p>
        </w:tc>
      </w:tr>
      <w:tr w:rsidR="00AF368D" w:rsidTr="00294471">
        <w:trPr>
          <w:cantSplit/>
        </w:trPr>
        <w:tc>
          <w:tcPr>
            <w:tcW w:w="9350" w:type="dxa"/>
            <w:gridSpan w:val="2"/>
            <w:vAlign w:val="center"/>
          </w:tcPr>
          <w:p w:rsidR="00AF368D" w:rsidRDefault="00AF368D">
            <w:pPr>
              <w:tabs>
                <w:tab w:val="right" w:pos="6732"/>
              </w:tabs>
              <w:rPr>
                <w:rFonts w:cstheme="minorHAnsi"/>
                <w:bCs/>
                <w:sz w:val="20"/>
              </w:rPr>
            </w:pPr>
            <w:r>
              <w:rPr>
                <w:b/>
              </w:rPr>
              <w:t>Section 4</w:t>
            </w:r>
            <w:r w:rsidRPr="00244805">
              <w:rPr>
                <w:b/>
              </w:rPr>
              <w:t xml:space="preserve">. </w:t>
            </w:r>
            <w:r>
              <w:rPr>
                <w:b/>
              </w:rPr>
              <w:t>Cost</w:t>
            </w:r>
          </w:p>
        </w:tc>
      </w:tr>
      <w:tr w:rsidR="00AF368D" w:rsidTr="00294471">
        <w:trPr>
          <w:cantSplit/>
        </w:trPr>
        <w:tc>
          <w:tcPr>
            <w:tcW w:w="9350" w:type="dxa"/>
            <w:gridSpan w:val="2"/>
            <w:vAlign w:val="center"/>
          </w:tcPr>
          <w:p w:rsidR="00AF368D" w:rsidRDefault="00AF368D">
            <w:pPr>
              <w:tabs>
                <w:tab w:val="right" w:pos="6732"/>
              </w:tabs>
              <w:rPr>
                <w:rFonts w:cstheme="minorHAnsi"/>
                <w:bCs/>
                <w:sz w:val="20"/>
              </w:rPr>
            </w:pPr>
            <w:r>
              <w:rPr>
                <w:b/>
              </w:rPr>
              <w:t>Section 4.1 Base and Measure Costs</w:t>
            </w:r>
          </w:p>
        </w:tc>
      </w:tr>
      <w:tr w:rsidR="00244805" w:rsidTr="00F44876">
        <w:trPr>
          <w:cantSplit/>
          <w:trHeight w:val="575"/>
        </w:trPr>
        <w:tc>
          <w:tcPr>
            <w:tcW w:w="1975" w:type="dxa"/>
          </w:tcPr>
          <w:p w:rsidR="00244805" w:rsidRPr="00D91B6C" w:rsidRDefault="00244805" w:rsidP="00244805">
            <w:r w:rsidRPr="00D91B6C">
              <w:t>Base Cost</w:t>
            </w:r>
          </w:p>
        </w:tc>
        <w:tc>
          <w:tcPr>
            <w:tcW w:w="7375" w:type="dxa"/>
          </w:tcPr>
          <w:p w:rsidR="00244805" w:rsidRPr="00F44876" w:rsidRDefault="00B90F97" w:rsidP="00244805">
            <w:pPr>
              <w:rPr>
                <w:sz w:val="20"/>
                <w:szCs w:val="20"/>
              </w:rPr>
            </w:pPr>
            <w:r w:rsidRPr="00A854EE">
              <w:rPr>
                <w:sz w:val="20"/>
                <w:szCs w:val="20"/>
              </w:rPr>
              <w:t xml:space="preserve">The base case is the customer’s existing </w:t>
            </w:r>
            <w:r w:rsidR="00636CF9">
              <w:rPr>
                <w:sz w:val="20"/>
                <w:szCs w:val="20"/>
              </w:rPr>
              <w:t>ducts</w:t>
            </w:r>
            <w:r w:rsidRPr="00A854EE">
              <w:rPr>
                <w:sz w:val="20"/>
                <w:szCs w:val="20"/>
              </w:rPr>
              <w:t>; therefore, the base case cost is $0.00.</w:t>
            </w:r>
          </w:p>
        </w:tc>
      </w:tr>
      <w:tr w:rsidR="00244805" w:rsidTr="00F52060">
        <w:trPr>
          <w:cantSplit/>
        </w:trPr>
        <w:tc>
          <w:tcPr>
            <w:tcW w:w="1975" w:type="dxa"/>
          </w:tcPr>
          <w:p w:rsidR="00244805" w:rsidRPr="00D91B6C" w:rsidRDefault="00244805" w:rsidP="00244805">
            <w:r w:rsidRPr="00D91B6C">
              <w:t xml:space="preserve">Measure Cost </w:t>
            </w:r>
          </w:p>
        </w:tc>
        <w:tc>
          <w:tcPr>
            <w:tcW w:w="7375" w:type="dxa"/>
          </w:tcPr>
          <w:p w:rsidR="00B90F97" w:rsidRPr="006F7639" w:rsidRDefault="00B90F97" w:rsidP="00B90F97">
            <w:pPr>
              <w:rPr>
                <w:sz w:val="20"/>
                <w:szCs w:val="20"/>
              </w:rPr>
            </w:pPr>
            <w:r w:rsidRPr="006F7639">
              <w:rPr>
                <w:sz w:val="20"/>
                <w:szCs w:val="20"/>
              </w:rPr>
              <w:t>The 2010-2012 WO17 Ex Ante Measure Cost Study</w:t>
            </w:r>
            <w:r w:rsidR="00F64752">
              <w:rPr>
                <w:sz w:val="20"/>
                <w:szCs w:val="20"/>
              </w:rPr>
              <w:t xml:space="preserve"> </w:t>
            </w:r>
            <w:r w:rsidRPr="006F7639">
              <w:rPr>
                <w:sz w:val="20"/>
                <w:szCs w:val="20"/>
              </w:rPr>
              <w:t xml:space="preserve">provides </w:t>
            </w:r>
            <w:r w:rsidR="006F7639">
              <w:rPr>
                <w:sz w:val="20"/>
                <w:szCs w:val="20"/>
              </w:rPr>
              <w:t>duct test and seal</w:t>
            </w:r>
            <w:r w:rsidRPr="006F7639">
              <w:rPr>
                <w:sz w:val="20"/>
                <w:szCs w:val="20"/>
              </w:rPr>
              <w:t xml:space="preserve"> per-</w:t>
            </w:r>
            <w:r w:rsidR="006F7639">
              <w:rPr>
                <w:sz w:val="20"/>
                <w:szCs w:val="20"/>
              </w:rPr>
              <w:t>dwelling costs.</w:t>
            </w:r>
          </w:p>
          <w:p w:rsidR="00CA1C3F" w:rsidRPr="006F7639" w:rsidRDefault="00CA1C3F" w:rsidP="00B90F97">
            <w:pPr>
              <w:rPr>
                <w:sz w:val="20"/>
                <w:szCs w:val="20"/>
              </w:rPr>
            </w:pPr>
          </w:p>
          <w:p w:rsidR="00244805" w:rsidRDefault="00AF368D" w:rsidP="00B90F97">
            <w:pPr>
              <w:rPr>
                <w:rFonts w:eastAsia="Calibri" w:cs="Calibri"/>
                <w:sz w:val="20"/>
                <w:szCs w:val="20"/>
              </w:rPr>
            </w:pPr>
            <w:r w:rsidRPr="006F7639">
              <w:rPr>
                <w:sz w:val="20"/>
                <w:szCs w:val="20"/>
              </w:rPr>
              <w:t>The study</w:t>
            </w:r>
            <w:r w:rsidR="00B90F97" w:rsidRPr="006F7639">
              <w:rPr>
                <w:sz w:val="20"/>
                <w:szCs w:val="20"/>
              </w:rPr>
              <w:t xml:space="preserve"> provides costs per </w:t>
            </w:r>
            <w:r w:rsidR="006F7639">
              <w:rPr>
                <w:sz w:val="20"/>
                <w:szCs w:val="20"/>
              </w:rPr>
              <w:t>dwelling</w:t>
            </w:r>
            <w:r w:rsidR="00B90F97" w:rsidRPr="006F7639">
              <w:rPr>
                <w:sz w:val="20"/>
                <w:szCs w:val="20"/>
              </w:rPr>
              <w:t xml:space="preserve"> for </w:t>
            </w:r>
            <w:r w:rsidR="006F7639">
              <w:rPr>
                <w:sz w:val="20"/>
                <w:szCs w:val="20"/>
              </w:rPr>
              <w:t>duct seal and test</w:t>
            </w:r>
            <w:r w:rsidR="00094FD5">
              <w:rPr>
                <w:sz w:val="20"/>
                <w:szCs w:val="20"/>
              </w:rPr>
              <w:t xml:space="preserve"> of $71.45</w:t>
            </w:r>
            <w:r w:rsidR="00B90F97" w:rsidRPr="006F7639">
              <w:rPr>
                <w:sz w:val="20"/>
                <w:szCs w:val="20"/>
              </w:rPr>
              <w:t xml:space="preserve"> for mat</w:t>
            </w:r>
            <w:r w:rsidR="00094FD5">
              <w:rPr>
                <w:sz w:val="20"/>
                <w:szCs w:val="20"/>
              </w:rPr>
              <w:t>erials and $181.24</w:t>
            </w:r>
            <w:r w:rsidR="00B90F97" w:rsidRPr="006F7639">
              <w:rPr>
                <w:sz w:val="20"/>
                <w:szCs w:val="20"/>
              </w:rPr>
              <w:t xml:space="preserve"> for labo</w:t>
            </w:r>
            <w:r w:rsidR="00094FD5">
              <w:rPr>
                <w:sz w:val="20"/>
                <w:szCs w:val="20"/>
              </w:rPr>
              <w:t>r for a total cost of $252.69/dwelling</w:t>
            </w:r>
            <w:r w:rsidR="00B90F97" w:rsidRPr="006F7639">
              <w:rPr>
                <w:sz w:val="20"/>
                <w:szCs w:val="20"/>
              </w:rPr>
              <w:t>.</w:t>
            </w:r>
            <w:r w:rsidR="00B90F97" w:rsidRPr="00A854EE">
              <w:rPr>
                <w:rFonts w:eastAsia="Calibri" w:cs="Calibri"/>
                <w:sz w:val="20"/>
                <w:szCs w:val="20"/>
              </w:rPr>
              <w:t xml:space="preserve"> </w:t>
            </w:r>
            <w:r w:rsidR="007B62D9">
              <w:rPr>
                <w:rFonts w:eastAsia="Calibri" w:cs="Calibri"/>
                <w:sz w:val="20"/>
                <w:szCs w:val="20"/>
              </w:rPr>
              <w:t xml:space="preserve">Since the savings are per cap-tons the average tonnage of 3.31 </w:t>
            </w:r>
            <w:r w:rsidR="007B62D9" w:rsidRPr="00C45224">
              <w:rPr>
                <w:rFonts w:cs="Calibri"/>
                <w:sz w:val="20"/>
                <w:szCs w:val="20"/>
              </w:rPr>
              <w:t xml:space="preserve">per household using the 2008 DEER tonnage listed in </w:t>
            </w:r>
            <w:r w:rsidR="007B62D9" w:rsidRPr="00C45224">
              <w:rPr>
                <w:sz w:val="20"/>
                <w:szCs w:val="20"/>
              </w:rPr>
              <w:t>the Energy Division Workpaper Disposition for Residential HVAC Quality Maintenance workbook titled “</w:t>
            </w:r>
            <w:r w:rsidR="007B62D9" w:rsidRPr="00C45224">
              <w:rPr>
                <w:i/>
                <w:sz w:val="20"/>
                <w:szCs w:val="20"/>
              </w:rPr>
              <w:t>20132014-ResidentialHVACMaintenance-SavingsValues-April2013-v1-2.xlsx</w:t>
            </w:r>
            <w:r w:rsidR="007B62D9">
              <w:rPr>
                <w:sz w:val="20"/>
                <w:szCs w:val="20"/>
              </w:rPr>
              <w:t>” was used to estimate the cost per ton of $76.34.</w:t>
            </w:r>
          </w:p>
          <w:p w:rsidR="007B62D9" w:rsidRPr="00F44876" w:rsidRDefault="007B62D9" w:rsidP="007B62D9">
            <w:pPr>
              <w:rPr>
                <w:sz w:val="20"/>
                <w:szCs w:val="20"/>
              </w:rPr>
            </w:pPr>
          </w:p>
        </w:tc>
      </w:tr>
    </w:tbl>
    <w:p w:rsidR="00C228B0" w:rsidRPr="00FD3D43" w:rsidRDefault="00C228B0" w:rsidP="00F44876"/>
    <w:sectPr w:rsidR="00C228B0" w:rsidRPr="00FD3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0EBB" w:rsidRDefault="00BC0EBB" w:rsidP="00FE520B">
      <w:r>
        <w:separator/>
      </w:r>
    </w:p>
  </w:endnote>
  <w:endnote w:type="continuationSeparator" w:id="0">
    <w:p w:rsidR="00BC0EBB" w:rsidRDefault="00BC0EBB" w:rsidP="00FE520B">
      <w:r>
        <w:continuationSeparator/>
      </w:r>
    </w:p>
  </w:endnote>
  <w:endnote w:id="1">
    <w:p w:rsidR="00B5539B" w:rsidRPr="00027C83" w:rsidRDefault="00B5539B" w:rsidP="00B5539B">
      <w:pPr>
        <w:pStyle w:val="EndnoteText"/>
        <w:rPr>
          <w:lang w:val="en-US"/>
        </w:rPr>
      </w:pPr>
      <w:r>
        <w:rPr>
          <w:rStyle w:val="EndnoteReference"/>
        </w:rPr>
        <w:endnoteRef/>
      </w:r>
      <w:r>
        <w:t xml:space="preserve"> </w:t>
      </w:r>
      <w:r w:rsidRPr="00027C83">
        <w:t>California Public Utilities Commission, Energy Division</w:t>
      </w:r>
      <w:r>
        <w:t>. W</w:t>
      </w:r>
      <w:r>
        <w:rPr>
          <w:lang w:val="en-US"/>
        </w:rPr>
        <w:t>orkpaper Disposition for</w:t>
      </w:r>
    </w:p>
    <w:p w:rsidR="00B5539B" w:rsidRDefault="00B5539B" w:rsidP="00B5539B">
      <w:pPr>
        <w:pStyle w:val="EndnoteText"/>
        <w:rPr>
          <w:rFonts w:ascii="Arial" w:hAnsi="Arial"/>
        </w:rPr>
      </w:pPr>
      <w:r>
        <w:t>Residential HVAC Quality Maintenance. Sa</w:t>
      </w:r>
      <w:r>
        <w:rPr>
          <w:lang w:val="en-US"/>
        </w:rPr>
        <w:t>cramento</w:t>
      </w:r>
      <w:r>
        <w:t>, CA (201</w:t>
      </w:r>
      <w:r>
        <w:rPr>
          <w:lang w:val="en-US"/>
        </w:rPr>
        <w:t>3</w:t>
      </w:r>
      <w:r>
        <w:t xml:space="preserve">, May </w:t>
      </w:r>
      <w:r>
        <w:rPr>
          <w:lang w:val="en-US"/>
        </w:rPr>
        <w:t>2</w:t>
      </w:r>
      <w:r>
        <w:t xml:space="preserve">). Retrieved </w:t>
      </w:r>
      <w:r>
        <w:rPr>
          <w:lang w:val="en-US"/>
        </w:rPr>
        <w:t>12/12/17</w:t>
      </w:r>
      <w:r>
        <w:t xml:space="preserve"> at </w:t>
      </w:r>
      <w:hyperlink r:id="rId1" w:history="1">
        <w:r>
          <w:rPr>
            <w:rStyle w:val="Hyperlink"/>
          </w:rPr>
          <w:t>http://deeresources.com/index.php/non-deer-workpapers</w:t>
        </w:r>
      </w:hyperlink>
      <w:r>
        <w:t>.</w:t>
      </w:r>
    </w:p>
  </w:endnote>
  <w:endnote w:id="2">
    <w:p w:rsidR="00F64752" w:rsidRDefault="00F64752" w:rsidP="00F64752">
      <w:pPr>
        <w:pStyle w:val="EndnoteText"/>
        <w:rPr>
          <w:rFonts w:ascii="Arial" w:hAnsi="Arial"/>
        </w:rPr>
      </w:pPr>
      <w:r>
        <w:rPr>
          <w:rStyle w:val="EndnoteReference"/>
        </w:rPr>
        <w:endnoteRef/>
      </w:r>
      <w:r>
        <w:t xml:space="preserve"> </w:t>
      </w:r>
      <w:proofErr w:type="spellStart"/>
      <w:r>
        <w:t>Itron</w:t>
      </w:r>
      <w:proofErr w:type="spellEnd"/>
      <w:r>
        <w:t xml:space="preserve">. 2010-2012 WO017 Ex Ante Measure Cost Study Final Report. San Francisco, CA (2014, May 27). </w:t>
      </w:r>
      <w:bookmarkStart w:id="1" w:name="_GoBack"/>
      <w:bookmarkEnd w:id="1"/>
      <w:r>
        <w:t xml:space="preserve">Retrieved </w:t>
      </w:r>
      <w:r>
        <w:rPr>
          <w:lang w:val="en-US"/>
        </w:rPr>
        <w:t>11/14/17</w:t>
      </w:r>
      <w:r>
        <w:t xml:space="preserve"> at </w:t>
      </w:r>
      <w:hyperlink r:id="rId2" w:history="1">
        <w:r>
          <w:rPr>
            <w:rStyle w:val="Hyperlink"/>
          </w:rPr>
          <w:t>http://www.energydataweb.com/cpucFiles/pdaDocs/1100/2010-2012%20WO017%20Ex%20Ante%20Measure%20Cost%20Study%20-%20Final%20Report.pdf</w:t>
        </w:r>
      </w:hyperlink>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471" w:rsidRPr="00241A1F" w:rsidRDefault="00294471" w:rsidP="00241A1F">
    <w:pPr>
      <w:pStyle w:val="Footer"/>
      <w:rPr>
        <w:rFonts w:cstheme="minorHAnsi"/>
        <w:b/>
        <w:szCs w:val="22"/>
      </w:rPr>
    </w:pPr>
    <w:r>
      <w:rPr>
        <w:b/>
      </w:rPr>
      <w:t xml:space="preserve">Workpaper </w:t>
    </w:r>
    <w:r w:rsidR="000A52E2" w:rsidRPr="000A52E2">
      <w:rPr>
        <w:b/>
      </w:rPr>
      <w:t>WPSDGEREHC1067</w:t>
    </w:r>
    <w:r>
      <w:rPr>
        <w:b/>
      </w:rPr>
      <w:t>, Revision 0</w:t>
    </w:r>
    <w:r>
      <w:rPr>
        <w:b/>
      </w:rPr>
      <w:tab/>
    </w:r>
    <w:r>
      <w:rPr>
        <w:b/>
      </w:rPr>
      <w:tab/>
    </w:r>
    <w:r w:rsidR="007F525E">
      <w:rPr>
        <w:rFonts w:cstheme="minorHAnsi"/>
        <w:b/>
        <w:szCs w:val="22"/>
      </w:rPr>
      <w:t>December 28</w:t>
    </w:r>
    <w:r>
      <w:rPr>
        <w:rFonts w:cstheme="minorHAnsi"/>
        <w:b/>
        <w:szCs w:val="22"/>
      </w:rPr>
      <w:t>, 2017</w:t>
    </w:r>
  </w:p>
  <w:p w:rsidR="00294471" w:rsidRPr="009500DC" w:rsidRDefault="00294471" w:rsidP="00241A1F">
    <w:pPr>
      <w:pStyle w:val="Footer"/>
      <w:tabs>
        <w:tab w:val="clear" w:pos="4680"/>
        <w:tab w:val="clear" w:pos="9360"/>
        <w:tab w:val="left" w:pos="5274"/>
      </w:tabs>
      <w:rPr>
        <w:rFonts w:cstheme="minorHAnsi"/>
      </w:rPr>
    </w:pPr>
    <w:r>
      <w:rPr>
        <w:b/>
      </w:rPr>
      <w:t>San Diego Gas &amp; Electric</w:t>
    </w:r>
    <w:r>
      <w:rPr>
        <w:b/>
      </w:rPr>
      <w:tab/>
    </w:r>
    <w:r w:rsidRPr="00C7215A">
      <w:rPr>
        <w:b/>
      </w:rPr>
      <w:fldChar w:fldCharType="begin"/>
    </w:r>
    <w:r w:rsidRPr="00C7215A">
      <w:rPr>
        <w:b/>
      </w:rPr>
      <w:instrText xml:space="preserve"> PAGE   \* MERGEFORMAT </w:instrText>
    </w:r>
    <w:r w:rsidRPr="00C7215A">
      <w:rPr>
        <w:b/>
      </w:rPr>
      <w:fldChar w:fldCharType="separate"/>
    </w:r>
    <w:r w:rsidR="00F64752">
      <w:rPr>
        <w:b/>
        <w:noProof/>
      </w:rPr>
      <w:t>2</w:t>
    </w:r>
    <w:r w:rsidRPr="00C7215A">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0EBB" w:rsidRDefault="00BC0EBB" w:rsidP="00FE520B">
      <w:r>
        <w:separator/>
      </w:r>
    </w:p>
  </w:footnote>
  <w:footnote w:type="continuationSeparator" w:id="0">
    <w:p w:rsidR="00BC0EBB" w:rsidRDefault="00BC0EBB" w:rsidP="00FE5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471" w:rsidRDefault="002944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26F85"/>
    <w:multiLevelType w:val="hybridMultilevel"/>
    <w:tmpl w:val="DEA2A312"/>
    <w:lvl w:ilvl="0" w:tplc="D19CFF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317E23"/>
    <w:multiLevelType w:val="hybridMultilevel"/>
    <w:tmpl w:val="B68A63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E579B7"/>
    <w:multiLevelType w:val="hybridMultilevel"/>
    <w:tmpl w:val="1C6838F8"/>
    <w:lvl w:ilvl="0" w:tplc="1500155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034A65"/>
    <w:multiLevelType w:val="hybridMultilevel"/>
    <w:tmpl w:val="9F10B4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1" w15:restartNumberingAfterBreak="0">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692E4B"/>
    <w:multiLevelType w:val="hybridMultilevel"/>
    <w:tmpl w:val="DA28CA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8E7A2A"/>
    <w:multiLevelType w:val="hybridMultilevel"/>
    <w:tmpl w:val="E45A16D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64252B"/>
    <w:multiLevelType w:val="hybridMultilevel"/>
    <w:tmpl w:val="03F4E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8"/>
  </w:num>
  <w:num w:numId="5">
    <w:abstractNumId w:val="13"/>
  </w:num>
  <w:num w:numId="6">
    <w:abstractNumId w:val="4"/>
  </w:num>
  <w:num w:numId="7">
    <w:abstractNumId w:val="19"/>
  </w:num>
  <w:num w:numId="8">
    <w:abstractNumId w:val="16"/>
  </w:num>
  <w:num w:numId="9">
    <w:abstractNumId w:val="5"/>
  </w:num>
  <w:num w:numId="10">
    <w:abstractNumId w:val="17"/>
  </w:num>
  <w:num w:numId="11">
    <w:abstractNumId w:val="18"/>
  </w:num>
  <w:num w:numId="12">
    <w:abstractNumId w:val="11"/>
  </w:num>
  <w:num w:numId="13">
    <w:abstractNumId w:val="20"/>
  </w:num>
  <w:num w:numId="14">
    <w:abstractNumId w:val="10"/>
  </w:num>
  <w:num w:numId="15">
    <w:abstractNumId w:val="12"/>
  </w:num>
  <w:num w:numId="16">
    <w:abstractNumId w:val="15"/>
  </w:num>
  <w:num w:numId="17">
    <w:abstractNumId w:val="9"/>
  </w:num>
  <w:num w:numId="18">
    <w:abstractNumId w:val="0"/>
  </w:num>
  <w:num w:numId="19">
    <w:abstractNumId w:val="6"/>
  </w:num>
  <w:num w:numId="20">
    <w:abstractNumId w:val="14"/>
    <w:lvlOverride w:ilvl="0"/>
    <w:lvlOverride w:ilvl="1">
      <w:startOverride w:val="1"/>
    </w:lvlOverride>
    <w:lvlOverride w:ilvl="2"/>
    <w:lvlOverride w:ilvl="3"/>
    <w:lvlOverride w:ilvl="4"/>
    <w:lvlOverride w:ilvl="5"/>
    <w:lvlOverride w:ilvl="6"/>
    <w:lvlOverride w:ilvl="7"/>
    <w:lvlOverride w:ilvl="8"/>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7C6"/>
    <w:rsid w:val="00004D4E"/>
    <w:rsid w:val="0000540F"/>
    <w:rsid w:val="00023C32"/>
    <w:rsid w:val="00031221"/>
    <w:rsid w:val="00031BA0"/>
    <w:rsid w:val="00036A2C"/>
    <w:rsid w:val="00047026"/>
    <w:rsid w:val="00051762"/>
    <w:rsid w:val="00052743"/>
    <w:rsid w:val="00052CE4"/>
    <w:rsid w:val="00067315"/>
    <w:rsid w:val="00067AF1"/>
    <w:rsid w:val="000719BF"/>
    <w:rsid w:val="00094FD5"/>
    <w:rsid w:val="000A2B83"/>
    <w:rsid w:val="000A3A47"/>
    <w:rsid w:val="000A52E2"/>
    <w:rsid w:val="000B6542"/>
    <w:rsid w:val="000C13AE"/>
    <w:rsid w:val="000C19C4"/>
    <w:rsid w:val="000C441A"/>
    <w:rsid w:val="000D243C"/>
    <w:rsid w:val="000E19CA"/>
    <w:rsid w:val="000E2CA6"/>
    <w:rsid w:val="000E65D6"/>
    <w:rsid w:val="000F6BA3"/>
    <w:rsid w:val="000F72EF"/>
    <w:rsid w:val="001039B0"/>
    <w:rsid w:val="001046CB"/>
    <w:rsid w:val="00121B4E"/>
    <w:rsid w:val="0012271D"/>
    <w:rsid w:val="00131C78"/>
    <w:rsid w:val="00132B69"/>
    <w:rsid w:val="00143843"/>
    <w:rsid w:val="001505DA"/>
    <w:rsid w:val="001518E0"/>
    <w:rsid w:val="0016189C"/>
    <w:rsid w:val="001752E5"/>
    <w:rsid w:val="00183A2F"/>
    <w:rsid w:val="00194466"/>
    <w:rsid w:val="001979FF"/>
    <w:rsid w:val="001A11C1"/>
    <w:rsid w:val="001A4875"/>
    <w:rsid w:val="001B1C8A"/>
    <w:rsid w:val="001B5D6C"/>
    <w:rsid w:val="001C3663"/>
    <w:rsid w:val="001D0AB9"/>
    <w:rsid w:val="001D57D7"/>
    <w:rsid w:val="001D6A64"/>
    <w:rsid w:val="001F64F8"/>
    <w:rsid w:val="00200310"/>
    <w:rsid w:val="00201A3F"/>
    <w:rsid w:val="00215828"/>
    <w:rsid w:val="00231DE1"/>
    <w:rsid w:val="00235AFB"/>
    <w:rsid w:val="00241A1F"/>
    <w:rsid w:val="00244447"/>
    <w:rsid w:val="00244805"/>
    <w:rsid w:val="00276A67"/>
    <w:rsid w:val="00291B2B"/>
    <w:rsid w:val="00294471"/>
    <w:rsid w:val="002C1030"/>
    <w:rsid w:val="002C15E6"/>
    <w:rsid w:val="002D0BD6"/>
    <w:rsid w:val="002D7807"/>
    <w:rsid w:val="002D7B3E"/>
    <w:rsid w:val="002E0948"/>
    <w:rsid w:val="002E24BE"/>
    <w:rsid w:val="002F24CE"/>
    <w:rsid w:val="00323C28"/>
    <w:rsid w:val="0032761E"/>
    <w:rsid w:val="0034557D"/>
    <w:rsid w:val="00360CFA"/>
    <w:rsid w:val="00373EC5"/>
    <w:rsid w:val="003A0D2B"/>
    <w:rsid w:val="003A4277"/>
    <w:rsid w:val="003A7B4E"/>
    <w:rsid w:val="003B5806"/>
    <w:rsid w:val="003B5DCF"/>
    <w:rsid w:val="003B6A2A"/>
    <w:rsid w:val="003B7A13"/>
    <w:rsid w:val="003C2EE4"/>
    <w:rsid w:val="003D1C21"/>
    <w:rsid w:val="003E01C3"/>
    <w:rsid w:val="003E035B"/>
    <w:rsid w:val="003E0DC8"/>
    <w:rsid w:val="003E122A"/>
    <w:rsid w:val="003E6E57"/>
    <w:rsid w:val="003E6FA5"/>
    <w:rsid w:val="003F1F0D"/>
    <w:rsid w:val="00402B3D"/>
    <w:rsid w:val="00404A43"/>
    <w:rsid w:val="00413EF4"/>
    <w:rsid w:val="00416118"/>
    <w:rsid w:val="00416F85"/>
    <w:rsid w:val="00431763"/>
    <w:rsid w:val="004402A9"/>
    <w:rsid w:val="004402EE"/>
    <w:rsid w:val="004428E4"/>
    <w:rsid w:val="004452CE"/>
    <w:rsid w:val="0044686E"/>
    <w:rsid w:val="00446BE5"/>
    <w:rsid w:val="004519B4"/>
    <w:rsid w:val="00467DB3"/>
    <w:rsid w:val="004748BE"/>
    <w:rsid w:val="00476CBA"/>
    <w:rsid w:val="00492365"/>
    <w:rsid w:val="004A6215"/>
    <w:rsid w:val="004B01C6"/>
    <w:rsid w:val="004D0326"/>
    <w:rsid w:val="004D5D19"/>
    <w:rsid w:val="004E13B2"/>
    <w:rsid w:val="00513723"/>
    <w:rsid w:val="005248E2"/>
    <w:rsid w:val="005428E1"/>
    <w:rsid w:val="00543687"/>
    <w:rsid w:val="00555671"/>
    <w:rsid w:val="005613FC"/>
    <w:rsid w:val="00567FEF"/>
    <w:rsid w:val="00580664"/>
    <w:rsid w:val="0059117D"/>
    <w:rsid w:val="00591D85"/>
    <w:rsid w:val="0059663B"/>
    <w:rsid w:val="005B5614"/>
    <w:rsid w:val="005C1518"/>
    <w:rsid w:val="005D5D5A"/>
    <w:rsid w:val="005E18A1"/>
    <w:rsid w:val="0062489A"/>
    <w:rsid w:val="00636490"/>
    <w:rsid w:val="00636CF9"/>
    <w:rsid w:val="006374F1"/>
    <w:rsid w:val="00650C31"/>
    <w:rsid w:val="00650F0D"/>
    <w:rsid w:val="0065373B"/>
    <w:rsid w:val="00653C4B"/>
    <w:rsid w:val="00666CDA"/>
    <w:rsid w:val="006678E0"/>
    <w:rsid w:val="00682E19"/>
    <w:rsid w:val="00684ABA"/>
    <w:rsid w:val="00686789"/>
    <w:rsid w:val="006875B3"/>
    <w:rsid w:val="00695478"/>
    <w:rsid w:val="006A2C49"/>
    <w:rsid w:val="006A3E63"/>
    <w:rsid w:val="006B0D5C"/>
    <w:rsid w:val="006B4F62"/>
    <w:rsid w:val="006D03F9"/>
    <w:rsid w:val="006D2B70"/>
    <w:rsid w:val="006F7639"/>
    <w:rsid w:val="00707736"/>
    <w:rsid w:val="00711B58"/>
    <w:rsid w:val="00722C9C"/>
    <w:rsid w:val="00727839"/>
    <w:rsid w:val="00752529"/>
    <w:rsid w:val="00757057"/>
    <w:rsid w:val="00762D81"/>
    <w:rsid w:val="00764A26"/>
    <w:rsid w:val="0078006D"/>
    <w:rsid w:val="0078177A"/>
    <w:rsid w:val="00785AC8"/>
    <w:rsid w:val="00786E32"/>
    <w:rsid w:val="00787D7C"/>
    <w:rsid w:val="00792928"/>
    <w:rsid w:val="00797B54"/>
    <w:rsid w:val="007B0E38"/>
    <w:rsid w:val="007B18FE"/>
    <w:rsid w:val="007B62D9"/>
    <w:rsid w:val="007C544A"/>
    <w:rsid w:val="007D1A21"/>
    <w:rsid w:val="007D1F1E"/>
    <w:rsid w:val="007D3A21"/>
    <w:rsid w:val="007D4F8E"/>
    <w:rsid w:val="007D6FF1"/>
    <w:rsid w:val="007E6B58"/>
    <w:rsid w:val="007E7E00"/>
    <w:rsid w:val="007F525E"/>
    <w:rsid w:val="00800353"/>
    <w:rsid w:val="008043F4"/>
    <w:rsid w:val="008137B0"/>
    <w:rsid w:val="0081521B"/>
    <w:rsid w:val="00821517"/>
    <w:rsid w:val="008301EC"/>
    <w:rsid w:val="00834C12"/>
    <w:rsid w:val="00856FA4"/>
    <w:rsid w:val="00862113"/>
    <w:rsid w:val="00870139"/>
    <w:rsid w:val="008724D6"/>
    <w:rsid w:val="008775D7"/>
    <w:rsid w:val="00884B9C"/>
    <w:rsid w:val="00895D80"/>
    <w:rsid w:val="008A1557"/>
    <w:rsid w:val="008A1D1C"/>
    <w:rsid w:val="008A4224"/>
    <w:rsid w:val="008B5184"/>
    <w:rsid w:val="008B55C2"/>
    <w:rsid w:val="008C01F7"/>
    <w:rsid w:val="008C1BDA"/>
    <w:rsid w:val="008C2C8A"/>
    <w:rsid w:val="008D0B3C"/>
    <w:rsid w:val="008E0850"/>
    <w:rsid w:val="008E5CD5"/>
    <w:rsid w:val="008E65C6"/>
    <w:rsid w:val="0090016E"/>
    <w:rsid w:val="00910D54"/>
    <w:rsid w:val="00920B07"/>
    <w:rsid w:val="00925509"/>
    <w:rsid w:val="0093460A"/>
    <w:rsid w:val="0093657B"/>
    <w:rsid w:val="009374BC"/>
    <w:rsid w:val="0094267E"/>
    <w:rsid w:val="00950249"/>
    <w:rsid w:val="00957C01"/>
    <w:rsid w:val="009618BA"/>
    <w:rsid w:val="00967C8E"/>
    <w:rsid w:val="00985CB7"/>
    <w:rsid w:val="00986A83"/>
    <w:rsid w:val="009B07B8"/>
    <w:rsid w:val="009B5444"/>
    <w:rsid w:val="009C3F2D"/>
    <w:rsid w:val="009C6AE8"/>
    <w:rsid w:val="009E1662"/>
    <w:rsid w:val="009F3770"/>
    <w:rsid w:val="00A051D9"/>
    <w:rsid w:val="00A21710"/>
    <w:rsid w:val="00A3401B"/>
    <w:rsid w:val="00A578F7"/>
    <w:rsid w:val="00A61271"/>
    <w:rsid w:val="00A741B2"/>
    <w:rsid w:val="00A75EDC"/>
    <w:rsid w:val="00A827AB"/>
    <w:rsid w:val="00A854EE"/>
    <w:rsid w:val="00A90F14"/>
    <w:rsid w:val="00A9441E"/>
    <w:rsid w:val="00A96751"/>
    <w:rsid w:val="00AA43C4"/>
    <w:rsid w:val="00AB5449"/>
    <w:rsid w:val="00AC3C21"/>
    <w:rsid w:val="00AD034F"/>
    <w:rsid w:val="00AD3663"/>
    <w:rsid w:val="00AD74B2"/>
    <w:rsid w:val="00AE4353"/>
    <w:rsid w:val="00AF368D"/>
    <w:rsid w:val="00B00846"/>
    <w:rsid w:val="00B05F97"/>
    <w:rsid w:val="00B079DA"/>
    <w:rsid w:val="00B16652"/>
    <w:rsid w:val="00B26A01"/>
    <w:rsid w:val="00B26A30"/>
    <w:rsid w:val="00B471CC"/>
    <w:rsid w:val="00B47B58"/>
    <w:rsid w:val="00B512B8"/>
    <w:rsid w:val="00B521D4"/>
    <w:rsid w:val="00B5539B"/>
    <w:rsid w:val="00B57F32"/>
    <w:rsid w:val="00B61FCD"/>
    <w:rsid w:val="00B75260"/>
    <w:rsid w:val="00B7668F"/>
    <w:rsid w:val="00B90F97"/>
    <w:rsid w:val="00B9234D"/>
    <w:rsid w:val="00B9551F"/>
    <w:rsid w:val="00BA1B6B"/>
    <w:rsid w:val="00BB2D80"/>
    <w:rsid w:val="00BC0EBB"/>
    <w:rsid w:val="00BC237D"/>
    <w:rsid w:val="00BC6454"/>
    <w:rsid w:val="00BD4AFD"/>
    <w:rsid w:val="00BD5433"/>
    <w:rsid w:val="00C00E12"/>
    <w:rsid w:val="00C048F4"/>
    <w:rsid w:val="00C05E32"/>
    <w:rsid w:val="00C06B9E"/>
    <w:rsid w:val="00C131CB"/>
    <w:rsid w:val="00C14DCC"/>
    <w:rsid w:val="00C15F66"/>
    <w:rsid w:val="00C169B4"/>
    <w:rsid w:val="00C228B0"/>
    <w:rsid w:val="00C23CAB"/>
    <w:rsid w:val="00C3641F"/>
    <w:rsid w:val="00C414A6"/>
    <w:rsid w:val="00C44E5A"/>
    <w:rsid w:val="00C45224"/>
    <w:rsid w:val="00C462C1"/>
    <w:rsid w:val="00C52867"/>
    <w:rsid w:val="00C54AC6"/>
    <w:rsid w:val="00C6110B"/>
    <w:rsid w:val="00C62A00"/>
    <w:rsid w:val="00C7215A"/>
    <w:rsid w:val="00C75814"/>
    <w:rsid w:val="00CA1C3F"/>
    <w:rsid w:val="00CA48A0"/>
    <w:rsid w:val="00CB10BC"/>
    <w:rsid w:val="00CD0996"/>
    <w:rsid w:val="00CD0F98"/>
    <w:rsid w:val="00CF295D"/>
    <w:rsid w:val="00CF2ABA"/>
    <w:rsid w:val="00D02F02"/>
    <w:rsid w:val="00D204BF"/>
    <w:rsid w:val="00D33B3A"/>
    <w:rsid w:val="00D4142C"/>
    <w:rsid w:val="00D60240"/>
    <w:rsid w:val="00D645DB"/>
    <w:rsid w:val="00D73600"/>
    <w:rsid w:val="00D73723"/>
    <w:rsid w:val="00DA4D9F"/>
    <w:rsid w:val="00DA5D17"/>
    <w:rsid w:val="00DB544A"/>
    <w:rsid w:val="00DB71F1"/>
    <w:rsid w:val="00DC42DE"/>
    <w:rsid w:val="00DC7243"/>
    <w:rsid w:val="00DD2F3D"/>
    <w:rsid w:val="00DD7BCB"/>
    <w:rsid w:val="00DE1C5D"/>
    <w:rsid w:val="00DE364E"/>
    <w:rsid w:val="00DE5AC3"/>
    <w:rsid w:val="00E037BE"/>
    <w:rsid w:val="00E048EA"/>
    <w:rsid w:val="00E05871"/>
    <w:rsid w:val="00E05B9C"/>
    <w:rsid w:val="00E159C8"/>
    <w:rsid w:val="00E165FC"/>
    <w:rsid w:val="00E21FEA"/>
    <w:rsid w:val="00E33C12"/>
    <w:rsid w:val="00E372B8"/>
    <w:rsid w:val="00E408A9"/>
    <w:rsid w:val="00E455B7"/>
    <w:rsid w:val="00E56CE7"/>
    <w:rsid w:val="00E6385A"/>
    <w:rsid w:val="00E6631C"/>
    <w:rsid w:val="00E733C7"/>
    <w:rsid w:val="00E76853"/>
    <w:rsid w:val="00E800A8"/>
    <w:rsid w:val="00E84938"/>
    <w:rsid w:val="00E859F0"/>
    <w:rsid w:val="00E9295E"/>
    <w:rsid w:val="00EB2DBB"/>
    <w:rsid w:val="00EC34A0"/>
    <w:rsid w:val="00EC38B0"/>
    <w:rsid w:val="00EC550F"/>
    <w:rsid w:val="00ED3B34"/>
    <w:rsid w:val="00ED65C0"/>
    <w:rsid w:val="00EE38DA"/>
    <w:rsid w:val="00EE6CFE"/>
    <w:rsid w:val="00F117C6"/>
    <w:rsid w:val="00F22251"/>
    <w:rsid w:val="00F3167F"/>
    <w:rsid w:val="00F4328B"/>
    <w:rsid w:val="00F44876"/>
    <w:rsid w:val="00F52060"/>
    <w:rsid w:val="00F64752"/>
    <w:rsid w:val="00F66B1B"/>
    <w:rsid w:val="00F7209B"/>
    <w:rsid w:val="00F77C08"/>
    <w:rsid w:val="00F855DD"/>
    <w:rsid w:val="00F915C5"/>
    <w:rsid w:val="00FA3359"/>
    <w:rsid w:val="00FB3F41"/>
    <w:rsid w:val="00FB4B16"/>
    <w:rsid w:val="00FB6C42"/>
    <w:rsid w:val="00FC1793"/>
    <w:rsid w:val="00FC760B"/>
    <w:rsid w:val="00FD0565"/>
    <w:rsid w:val="00FD3D43"/>
    <w:rsid w:val="00FE520B"/>
    <w:rsid w:val="00FE636E"/>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13E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41B2"/>
    <w:rPr>
      <w:rFonts w:ascii="Calibri" w:eastAsia="Times New Roman" w:hAnsi="Calibri" w:cs="Times New Roman"/>
    </w:rPr>
  </w:style>
  <w:style w:type="paragraph" w:styleId="Heading1">
    <w:name w:val="heading 1"/>
    <w:basedOn w:val="Normal"/>
    <w:next w:val="Normal"/>
    <w:link w:val="Heading1Char"/>
    <w:qFormat/>
    <w:rsid w:val="00F117C6"/>
    <w:pPr>
      <w:keepNext/>
      <w:spacing w:before="240" w:after="120" w:line="240" w:lineRule="auto"/>
      <w:outlineLvl w:val="0"/>
    </w:pPr>
    <w:rPr>
      <w:rFonts w:asciiTheme="minorHAnsi" w:hAnsiTheme="minorHAnsi" w:cs="Arial"/>
      <w:b/>
      <w:bCs/>
      <w:smallCaps/>
      <w:kern w:val="32"/>
      <w:sz w:val="36"/>
      <w:szCs w:val="32"/>
    </w:rPr>
  </w:style>
  <w:style w:type="paragraph" w:styleId="Heading2">
    <w:name w:val="heading 2"/>
    <w:basedOn w:val="Normal"/>
    <w:next w:val="Normal"/>
    <w:link w:val="Heading2Char"/>
    <w:qFormat/>
    <w:rsid w:val="00F117C6"/>
    <w:pPr>
      <w:keepNext/>
      <w:spacing w:before="240" w:after="60" w:line="240" w:lineRule="auto"/>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after="0" w:line="240" w:lineRule="auto"/>
      <w:outlineLvl w:val="2"/>
    </w:pPr>
    <w:rPr>
      <w:rFonts w:asciiTheme="majorHAnsi" w:eastAsiaTheme="majorEastAsia" w:hAnsiTheme="majorHAnsi" w:cstheme="majorBidi"/>
      <w:b/>
      <w:bCs/>
      <w:color w:val="4F81BD" w:themeColor="accen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line="240" w:lineRule="auto"/>
    </w:pPr>
    <w:rPr>
      <w:rFonts w:ascii="Trebuchet MS" w:hAnsi="Trebuchet MS"/>
      <w:i/>
      <w:color w:val="FF0000"/>
      <w:szCs w:val="24"/>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pPr>
      <w:spacing w:after="0" w:line="240" w:lineRule="auto"/>
    </w:pPr>
    <w:rPr>
      <w:rFonts w:asciiTheme="minorHAnsi" w:hAnsiTheme="minorHAnsi"/>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spacing w:after="0" w:line="240" w:lineRule="auto"/>
    </w:pPr>
    <w:rPr>
      <w:rFonts w:asciiTheme="minorHAnsi" w:hAnsiTheme="minorHAnsi"/>
      <w:szCs w:val="24"/>
    </w:r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spacing w:after="0" w:line="240" w:lineRule="auto"/>
      <w:jc w:val="right"/>
    </w:pPr>
    <w:rPr>
      <w:rFonts w:asciiTheme="minorHAnsi" w:hAnsiTheme="minorHAnsi"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spacing w:after="0" w:line="240" w:lineRule="auto"/>
      <w:ind w:left="720"/>
      <w:contextualSpacing/>
    </w:pPr>
    <w:rPr>
      <w:rFonts w:asciiTheme="minorHAnsi" w:hAnsiTheme="minorHAnsi"/>
      <w:szCs w:val="24"/>
    </w:rPr>
  </w:style>
  <w:style w:type="paragraph" w:styleId="Header">
    <w:name w:val="header"/>
    <w:basedOn w:val="Normal"/>
    <w:link w:val="HeaderChar"/>
    <w:uiPriority w:val="99"/>
    <w:unhideWhenUsed/>
    <w:rsid w:val="00FE520B"/>
    <w:pPr>
      <w:tabs>
        <w:tab w:val="center" w:pos="4680"/>
        <w:tab w:val="right" w:pos="9360"/>
      </w:tabs>
      <w:spacing w:after="0" w:line="240" w:lineRule="auto"/>
    </w:pPr>
    <w:rPr>
      <w:rFonts w:asciiTheme="minorHAnsi" w:hAnsiTheme="minorHAnsi"/>
      <w:szCs w:val="24"/>
    </w:r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pPr>
      <w:spacing w:after="0"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7E7E00"/>
    <w:pPr>
      <w:spacing w:after="0" w:line="240" w:lineRule="auto"/>
    </w:pPr>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7E7E00"/>
    <w:rPr>
      <w:rFonts w:ascii="Times New Roman" w:eastAsia="Times New Roman" w:hAnsi="Times New Roman" w:cs="Times New Roman"/>
      <w:sz w:val="20"/>
      <w:szCs w:val="20"/>
      <w:lang w:val="x-none" w:eastAsia="x-none"/>
    </w:rPr>
  </w:style>
  <w:style w:type="character" w:styleId="EndnoteReference">
    <w:name w:val="endnote reference"/>
    <w:semiHidden/>
    <w:rsid w:val="007E7E00"/>
    <w:rPr>
      <w:vertAlign w:val="superscript"/>
    </w:rPr>
  </w:style>
  <w:style w:type="table" w:styleId="TableContemporary">
    <w:name w:val="Table Contemporary"/>
    <w:aliases w:val="WP Table"/>
    <w:basedOn w:val="TableNormal"/>
    <w:unhideWhenUsed/>
    <w:rsid w:val="000B6542"/>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Spacing">
    <w:name w:val="No Spacing"/>
    <w:uiPriority w:val="1"/>
    <w:qFormat/>
    <w:rsid w:val="00D4142C"/>
    <w:pPr>
      <w:spacing w:after="0" w:line="240" w:lineRule="auto"/>
    </w:pPr>
  </w:style>
  <w:style w:type="character" w:styleId="FollowedHyperlink">
    <w:name w:val="FollowedHyperlink"/>
    <w:basedOn w:val="DefaultParagraphFont"/>
    <w:uiPriority w:val="99"/>
    <w:semiHidden/>
    <w:unhideWhenUsed/>
    <w:rsid w:val="00B90F97"/>
    <w:rPr>
      <w:color w:val="800080" w:themeColor="followedHyperlink"/>
      <w:u w:val="single"/>
    </w:rPr>
  </w:style>
  <w:style w:type="paragraph" w:styleId="BodyText">
    <w:name w:val="Body Text"/>
    <w:basedOn w:val="Normal"/>
    <w:link w:val="BodyTextChar"/>
    <w:semiHidden/>
    <w:unhideWhenUsed/>
    <w:rsid w:val="00294471"/>
    <w:pPr>
      <w:spacing w:after="120" w:line="240" w:lineRule="auto"/>
    </w:pPr>
    <w:rPr>
      <w:rFonts w:ascii="Times New Roman" w:hAnsi="Times New Roman"/>
      <w:sz w:val="24"/>
      <w:szCs w:val="24"/>
    </w:rPr>
  </w:style>
  <w:style w:type="character" w:customStyle="1" w:styleId="BodyTextChar">
    <w:name w:val="Body Text Char"/>
    <w:basedOn w:val="DefaultParagraphFont"/>
    <w:link w:val="BodyText"/>
    <w:semiHidden/>
    <w:rsid w:val="0029447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3429">
      <w:bodyDiv w:val="1"/>
      <w:marLeft w:val="0"/>
      <w:marRight w:val="0"/>
      <w:marTop w:val="0"/>
      <w:marBottom w:val="0"/>
      <w:divBdr>
        <w:top w:val="none" w:sz="0" w:space="0" w:color="auto"/>
        <w:left w:val="none" w:sz="0" w:space="0" w:color="auto"/>
        <w:bottom w:val="none" w:sz="0" w:space="0" w:color="auto"/>
        <w:right w:val="none" w:sz="0" w:space="0" w:color="auto"/>
      </w:divBdr>
    </w:div>
    <w:div w:id="29117222">
      <w:bodyDiv w:val="1"/>
      <w:marLeft w:val="0"/>
      <w:marRight w:val="0"/>
      <w:marTop w:val="0"/>
      <w:marBottom w:val="0"/>
      <w:divBdr>
        <w:top w:val="none" w:sz="0" w:space="0" w:color="auto"/>
        <w:left w:val="none" w:sz="0" w:space="0" w:color="auto"/>
        <w:bottom w:val="none" w:sz="0" w:space="0" w:color="auto"/>
        <w:right w:val="none" w:sz="0" w:space="0" w:color="auto"/>
      </w:divBdr>
    </w:div>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606741381">
      <w:bodyDiv w:val="1"/>
      <w:marLeft w:val="0"/>
      <w:marRight w:val="0"/>
      <w:marTop w:val="0"/>
      <w:marBottom w:val="0"/>
      <w:divBdr>
        <w:top w:val="none" w:sz="0" w:space="0" w:color="auto"/>
        <w:left w:val="none" w:sz="0" w:space="0" w:color="auto"/>
        <w:bottom w:val="none" w:sz="0" w:space="0" w:color="auto"/>
        <w:right w:val="none" w:sz="0" w:space="0" w:color="auto"/>
      </w:divBdr>
    </w:div>
    <w:div w:id="963729202">
      <w:bodyDiv w:val="1"/>
      <w:marLeft w:val="0"/>
      <w:marRight w:val="0"/>
      <w:marTop w:val="0"/>
      <w:marBottom w:val="0"/>
      <w:divBdr>
        <w:top w:val="none" w:sz="0" w:space="0" w:color="auto"/>
        <w:left w:val="none" w:sz="0" w:space="0" w:color="auto"/>
        <w:bottom w:val="none" w:sz="0" w:space="0" w:color="auto"/>
        <w:right w:val="none" w:sz="0" w:space="0" w:color="auto"/>
      </w:divBdr>
    </w:div>
    <w:div w:id="1327980647">
      <w:bodyDiv w:val="1"/>
      <w:marLeft w:val="0"/>
      <w:marRight w:val="0"/>
      <w:marTop w:val="0"/>
      <w:marBottom w:val="0"/>
      <w:divBdr>
        <w:top w:val="none" w:sz="0" w:space="0" w:color="auto"/>
        <w:left w:val="none" w:sz="0" w:space="0" w:color="auto"/>
        <w:bottom w:val="none" w:sz="0" w:space="0" w:color="auto"/>
        <w:right w:val="none" w:sz="0" w:space="0" w:color="auto"/>
      </w:divBdr>
    </w:div>
    <w:div w:id="1383090212">
      <w:bodyDiv w:val="1"/>
      <w:marLeft w:val="0"/>
      <w:marRight w:val="0"/>
      <w:marTop w:val="0"/>
      <w:marBottom w:val="0"/>
      <w:divBdr>
        <w:top w:val="none" w:sz="0" w:space="0" w:color="auto"/>
        <w:left w:val="none" w:sz="0" w:space="0" w:color="auto"/>
        <w:bottom w:val="none" w:sz="0" w:space="0" w:color="auto"/>
        <w:right w:val="none" w:sz="0" w:space="0" w:color="auto"/>
      </w:divBdr>
    </w:div>
    <w:div w:id="1660958125">
      <w:bodyDiv w:val="1"/>
      <w:marLeft w:val="0"/>
      <w:marRight w:val="0"/>
      <w:marTop w:val="0"/>
      <w:marBottom w:val="0"/>
      <w:divBdr>
        <w:top w:val="none" w:sz="0" w:space="0" w:color="auto"/>
        <w:left w:val="none" w:sz="0" w:space="0" w:color="auto"/>
        <w:bottom w:val="none" w:sz="0" w:space="0" w:color="auto"/>
        <w:right w:val="none" w:sz="0" w:space="0" w:color="auto"/>
      </w:divBdr>
    </w:div>
    <w:div w:id="1858302074">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endnotes.xml.rels><?xml version="1.0" encoding="UTF-8" standalone="yes"?>
<Relationships xmlns="http://schemas.openxmlformats.org/package/2006/relationships"><Relationship Id="rId2" Type="http://schemas.openxmlformats.org/officeDocument/2006/relationships/hyperlink" Target="http://www.energydataweb.com/cpucFiles/pdaDocs/1100/2010-2012%20WO017%20Ex%20Ante%20Measure%20Cost%20Study%20-%20Final%20Report.pdf" TargetMode="External"/><Relationship Id="rId1" Type="http://schemas.openxmlformats.org/officeDocument/2006/relationships/hyperlink" Target="http://deeresources.com/index.php/non-deer-workpap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12FDD22-5AF4-4269-9A3A-513EC2C83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1151</Words>
  <Characters>6561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2017-12-28T22:22:00Z</dcterms:created>
  <dcterms:modified xsi:type="dcterms:W3CDTF">2018-01-02T17:04:00Z</dcterms:modified>
</cp:coreProperties>
</file>