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9CA" w:rsidRPr="00500C4E" w:rsidRDefault="00E6385A" w:rsidP="000E19CA">
      <w:pPr>
        <w:pStyle w:val="WPnumber"/>
      </w:pPr>
      <w:bookmarkStart w:id="0" w:name="_Toc153189647"/>
      <w:bookmarkStart w:id="1" w:name="_GoBack"/>
      <w:bookmarkEnd w:id="1"/>
      <w:r>
        <w:t xml:space="preserve">Short Form </w:t>
      </w:r>
      <w:r w:rsidR="00F117C6" w:rsidRPr="00500C4E">
        <w:t>Work Paper</w:t>
      </w:r>
      <w:r>
        <w:t xml:space="preserve"> </w:t>
      </w:r>
      <w:r w:rsidR="00C14DCC">
        <w:t>WPSDG</w:t>
      </w:r>
      <w:r w:rsidR="002B2CB2">
        <w:t>EREHC1064</w:t>
      </w:r>
    </w:p>
    <w:p w:rsidR="00E6385A" w:rsidRPr="00500C4E" w:rsidRDefault="00E6385A" w:rsidP="00F117C6">
      <w:pPr>
        <w:pStyle w:val="WPnumber"/>
      </w:pPr>
      <w:r>
        <w:tab/>
      </w:r>
      <w:r w:rsidR="000E19CA">
        <w:rPr>
          <w:rStyle w:val="CaptionChar"/>
          <w:b/>
          <w:bCs w:val="0"/>
        </w:rPr>
        <w:t xml:space="preserve">Revision </w:t>
      </w:r>
      <w:r w:rsidR="002B2CB2">
        <w:rPr>
          <w:rStyle w:val="CaptionChar"/>
          <w:b/>
          <w:bCs w:val="0"/>
        </w:rPr>
        <w:t>1</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2B2CB2" w:rsidRPr="00E52A59" w:rsidRDefault="002B2CB2" w:rsidP="002B2CB2">
      <w:pPr>
        <w:rPr>
          <w:rFonts w:cstheme="minorHAnsi"/>
          <w:b/>
          <w:sz w:val="72"/>
          <w:szCs w:val="72"/>
        </w:rPr>
      </w:pPr>
      <w:r w:rsidRPr="00E52A59">
        <w:rPr>
          <w:rFonts w:cstheme="minorHAnsi"/>
          <w:b/>
          <w:sz w:val="72"/>
          <w:szCs w:val="72"/>
        </w:rPr>
        <w:t>Quality Installation for</w:t>
      </w:r>
    </w:p>
    <w:p w:rsidR="002B2CB2" w:rsidRPr="00E52A59" w:rsidRDefault="002B2CB2" w:rsidP="002B2CB2">
      <w:pPr>
        <w:rPr>
          <w:rFonts w:cstheme="minorHAnsi"/>
          <w:b/>
          <w:sz w:val="72"/>
          <w:szCs w:val="72"/>
        </w:rPr>
      </w:pPr>
      <w:r w:rsidRPr="00E52A59">
        <w:rPr>
          <w:rFonts w:cstheme="minorHAnsi"/>
          <w:b/>
          <w:sz w:val="72"/>
          <w:szCs w:val="72"/>
        </w:rPr>
        <w:t>Residential Split Systems and Packaged Units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72183E" w:rsidP="00241A1F">
      <w:pPr>
        <w:jc w:val="right"/>
        <w:rPr>
          <w:rFonts w:cstheme="minorHAnsi"/>
          <w:b/>
          <w:sz w:val="28"/>
          <w:szCs w:val="28"/>
        </w:rPr>
      </w:pPr>
      <w:r>
        <w:rPr>
          <w:rFonts w:cstheme="minorHAnsi"/>
          <w:b/>
          <w:sz w:val="28"/>
          <w:szCs w:val="28"/>
        </w:rPr>
        <w:t xml:space="preserve">December </w:t>
      </w:r>
      <w:r w:rsidR="00960E39">
        <w:rPr>
          <w:rFonts w:cstheme="minorHAnsi"/>
          <w:b/>
          <w:sz w:val="28"/>
          <w:szCs w:val="28"/>
        </w:rPr>
        <w:t>7</w:t>
      </w:r>
      <w:r w:rsidR="00C75814">
        <w:rPr>
          <w:rFonts w:cstheme="minorHAnsi"/>
          <w:b/>
          <w:sz w:val="28"/>
          <w:szCs w:val="28"/>
        </w:rPr>
        <w:t>, 2017</w:t>
      </w:r>
    </w:p>
    <w:p w:rsidR="00E372B8" w:rsidRPr="000F72EF" w:rsidRDefault="00E372B8" w:rsidP="00241A1F">
      <w:pPr>
        <w:jc w:val="right"/>
        <w:rPr>
          <w:rFonts w:cstheme="minorHAnsi"/>
          <w:b/>
          <w:sz w:val="72"/>
          <w:szCs w:val="72"/>
        </w:rPr>
        <w:sectPr w:rsidR="00E372B8" w:rsidRPr="000F72EF" w:rsidSect="00241A1F">
          <w:footerReference w:type="default" r:id="rId9"/>
          <w:headerReference w:type="first" r:id="rId10"/>
          <w:pgSz w:w="12240" w:h="15840"/>
          <w:pgMar w:top="1440" w:right="1440" w:bottom="1440" w:left="1440" w:header="720" w:footer="720" w:gutter="0"/>
          <w:cols w:space="720"/>
          <w:titlePg/>
          <w:docGrid w:linePitch="360"/>
        </w:sectPr>
      </w:pPr>
    </w:p>
    <w:p w:rsidR="002B2CB2" w:rsidRPr="002B2CB2" w:rsidRDefault="0059117D" w:rsidP="002B2CB2">
      <w:pPr>
        <w:rPr>
          <w:rFonts w:cstheme="minorHAnsi"/>
          <w:b/>
          <w:sz w:val="36"/>
          <w:szCs w:val="36"/>
        </w:rPr>
      </w:pPr>
      <w:r w:rsidRPr="002B2CB2">
        <w:rPr>
          <w:b/>
          <w:sz w:val="36"/>
          <w:szCs w:val="36"/>
        </w:rPr>
        <w:lastRenderedPageBreak/>
        <w:t xml:space="preserve">SDG&amp;E </w:t>
      </w:r>
      <w:bookmarkStart w:id="2" w:name="_Hlk500230861"/>
      <w:r w:rsidR="002B2CB2">
        <w:rPr>
          <w:rFonts w:cstheme="minorHAnsi"/>
          <w:b/>
          <w:sz w:val="36"/>
          <w:szCs w:val="36"/>
        </w:rPr>
        <w:t xml:space="preserve">Quality Installation for </w:t>
      </w:r>
      <w:r w:rsidR="002B2CB2" w:rsidRPr="002B2CB2">
        <w:rPr>
          <w:rFonts w:cstheme="minorHAnsi"/>
          <w:b/>
          <w:sz w:val="36"/>
          <w:szCs w:val="36"/>
        </w:rPr>
        <w:t>Residential Split Systems and Packaged Units</w:t>
      </w:r>
    </w:p>
    <w:bookmarkEnd w:id="2"/>
    <w:p w:rsidR="00413EF4" w:rsidRDefault="00413EF4" w:rsidP="00413EF4">
      <w:pPr>
        <w:pStyle w:val="Heading2"/>
      </w:pPr>
      <w:r>
        <w:t>Introduction</w:t>
      </w:r>
    </w:p>
    <w:p w:rsidR="002B2CB2" w:rsidRDefault="002B2CB2" w:rsidP="002B2CB2">
      <w:pPr>
        <w:jc w:val="both"/>
      </w:pPr>
      <w:r>
        <w:t>This short form workpaper docum</w:t>
      </w:r>
      <w:r w:rsidR="006A3AE7">
        <w:t>ents the values adopted from SCE</w:t>
      </w:r>
      <w:r>
        <w:t>’s workpaper entitled “Quality Installation for Residential Split Systems and System Upgrade” (</w:t>
      </w:r>
      <w:r w:rsidR="004A5E1F">
        <w:t>SCE17HC023.0-</w:t>
      </w:r>
      <w:r w:rsidRPr="002B2CB2">
        <w:t>QI For Residential Split Systems_Final</w:t>
      </w:r>
      <w:r w:rsidRPr="001F64F8">
        <w:t>.docx</w:t>
      </w:r>
      <w:r>
        <w:t xml:space="preserve">).  SDG&amp;E adopts all the values in </w:t>
      </w:r>
      <w:r w:rsidR="004A5E1F">
        <w:t>SCE17HC023.0-</w:t>
      </w:r>
      <w:r w:rsidRPr="002B2CB2">
        <w:t xml:space="preserve">QI </w:t>
      </w:r>
      <w:proofErr w:type="gramStart"/>
      <w:r w:rsidRPr="002B2CB2">
        <w:t>For</w:t>
      </w:r>
      <w:proofErr w:type="gramEnd"/>
      <w:r w:rsidRPr="002B2CB2">
        <w:t xml:space="preserve"> Residential Split </w:t>
      </w:r>
      <w:proofErr w:type="spellStart"/>
      <w:r w:rsidRPr="002B2CB2">
        <w:t>Systems_Final</w:t>
      </w:r>
      <w:proofErr w:type="spellEnd"/>
      <w:r>
        <w:t>, with the following exception</w:t>
      </w:r>
      <w:r w:rsidR="00621061">
        <w:t>s</w:t>
      </w:r>
      <w:r>
        <w:t>:</w:t>
      </w:r>
    </w:p>
    <w:p w:rsidR="002B2CB2" w:rsidRDefault="002B2CB2" w:rsidP="002B2CB2">
      <w:pPr>
        <w:jc w:val="both"/>
      </w:pPr>
    </w:p>
    <w:p w:rsidR="002B2CB2" w:rsidRDefault="002B2CB2" w:rsidP="002B2CB2">
      <w:pPr>
        <w:pStyle w:val="ListParagraph"/>
        <w:numPr>
          <w:ilvl w:val="0"/>
          <w:numId w:val="18"/>
        </w:numPr>
        <w:jc w:val="both"/>
      </w:pPr>
      <w:r>
        <w:t>SCE workpaper includes energy efficiency upgrade in addition to quality installation. SDG&amp;E has adjusted energy savings</w:t>
      </w:r>
      <w:r w:rsidR="001B09CD">
        <w:t xml:space="preserve"> and costs</w:t>
      </w:r>
      <w:r>
        <w:t xml:space="preserve"> to only include quality installation of a 15 SEER, 16 SEER or 17 SEER unit.</w:t>
      </w:r>
    </w:p>
    <w:p w:rsidR="002B2CB2" w:rsidRDefault="002B2CB2" w:rsidP="002B2CB2">
      <w:pPr>
        <w:pStyle w:val="ListParagraph"/>
        <w:numPr>
          <w:ilvl w:val="0"/>
          <w:numId w:val="18"/>
        </w:numPr>
        <w:jc w:val="both"/>
      </w:pPr>
      <w:r>
        <w:t>SDG&amp;E will only reference SDG&amp;E climate zones of CZ06, CZ07, CZ08, CZ10, CZ14 and CZ15.</w:t>
      </w:r>
    </w:p>
    <w:p w:rsidR="00B57F32" w:rsidRDefault="002B2CB2" w:rsidP="00B57F32">
      <w:pPr>
        <w:pStyle w:val="Heading2"/>
      </w:pPr>
      <w:r>
        <w:t>D</w:t>
      </w:r>
      <w:r w:rsidR="00B57F32" w:rsidRPr="005734A4">
        <w:t>ocument Revision History</w:t>
      </w:r>
      <w:r w:rsidR="00B57F32" w:rsidRPr="0025216C">
        <w:t xml:space="preserve"> </w:t>
      </w:r>
    </w:p>
    <w:tbl>
      <w:tblPr>
        <w:tblStyle w:val="TableGrid11"/>
        <w:tblW w:w="5000" w:type="pct"/>
        <w:tblLook w:val="01E0" w:firstRow="1" w:lastRow="1" w:firstColumn="1" w:lastColumn="1" w:noHBand="0" w:noVBand="0"/>
      </w:tblPr>
      <w:tblGrid>
        <w:gridCol w:w="524"/>
        <w:gridCol w:w="1266"/>
        <w:gridCol w:w="1894"/>
        <w:gridCol w:w="5666"/>
      </w:tblGrid>
      <w:tr w:rsidR="00B57F32" w:rsidRPr="00500C4E" w:rsidTr="00E6262B">
        <w:trPr>
          <w:trHeight w:val="20"/>
        </w:trPr>
        <w:tc>
          <w:tcPr>
            <w:tcW w:w="280" w:type="pct"/>
            <w:shd w:val="clear" w:color="auto" w:fill="D9D9D9" w:themeFill="background1" w:themeFillShade="D9"/>
          </w:tcPr>
          <w:p w:rsidR="00B57F32" w:rsidRPr="000E2B6B" w:rsidRDefault="00B57F32" w:rsidP="007F3C21">
            <w:pPr>
              <w:rPr>
                <w:rStyle w:val="Strong"/>
                <w:bCs w:val="0"/>
              </w:rPr>
            </w:pPr>
            <w:r w:rsidRPr="000E2B6B">
              <w:rPr>
                <w:rStyle w:val="Strong"/>
              </w:rPr>
              <w:t>Rev</w:t>
            </w:r>
          </w:p>
        </w:tc>
        <w:tc>
          <w:tcPr>
            <w:tcW w:w="677" w:type="pct"/>
            <w:shd w:val="clear" w:color="auto" w:fill="D9D9D9" w:themeFill="background1" w:themeFillShade="D9"/>
          </w:tcPr>
          <w:p w:rsidR="00B57F32" w:rsidRPr="000E2B6B" w:rsidRDefault="00B57F32" w:rsidP="007F3C21">
            <w:pPr>
              <w:rPr>
                <w:rStyle w:val="Strong"/>
                <w:bCs w:val="0"/>
              </w:rPr>
            </w:pPr>
            <w:r w:rsidRPr="000E2B6B">
              <w:rPr>
                <w:rStyle w:val="Strong"/>
              </w:rPr>
              <w:t>Date</w:t>
            </w:r>
          </w:p>
        </w:tc>
        <w:tc>
          <w:tcPr>
            <w:tcW w:w="1013" w:type="pct"/>
            <w:shd w:val="clear" w:color="auto" w:fill="D9D9D9" w:themeFill="background1" w:themeFillShade="D9"/>
          </w:tcPr>
          <w:p w:rsidR="00B57F32" w:rsidRPr="000E2B6B" w:rsidRDefault="00B57F32" w:rsidP="007F3C21">
            <w:pPr>
              <w:rPr>
                <w:rStyle w:val="Strong"/>
                <w:bCs w:val="0"/>
              </w:rPr>
            </w:pPr>
            <w:r w:rsidRPr="000E2B6B">
              <w:rPr>
                <w:rStyle w:val="Strong"/>
              </w:rPr>
              <w:t>Author</w:t>
            </w:r>
          </w:p>
        </w:tc>
        <w:tc>
          <w:tcPr>
            <w:tcW w:w="3029" w:type="pct"/>
            <w:shd w:val="clear" w:color="auto" w:fill="D9D9D9" w:themeFill="background1" w:themeFillShade="D9"/>
          </w:tcPr>
          <w:p w:rsidR="00B57F32" w:rsidRPr="000E2B6B" w:rsidRDefault="00B57F32" w:rsidP="007F3C21">
            <w:pPr>
              <w:rPr>
                <w:rStyle w:val="Strong"/>
                <w:bCs w:val="0"/>
              </w:rPr>
            </w:pPr>
            <w:r w:rsidRPr="000E2B6B">
              <w:rPr>
                <w:rStyle w:val="Strong"/>
              </w:rPr>
              <w:t>Summary of Changes</w:t>
            </w:r>
          </w:p>
        </w:tc>
      </w:tr>
      <w:tr w:rsidR="002B2CB2" w:rsidRPr="00500C4E" w:rsidTr="00E6262B">
        <w:trPr>
          <w:trHeight w:val="20"/>
        </w:trPr>
        <w:tc>
          <w:tcPr>
            <w:tcW w:w="280" w:type="pct"/>
          </w:tcPr>
          <w:p w:rsidR="002B2CB2" w:rsidRPr="005734A4" w:rsidRDefault="002B2CB2" w:rsidP="002B2CB2">
            <w:pPr>
              <w:jc w:val="center"/>
              <w:rPr>
                <w:rFonts w:cstheme="minorHAnsi"/>
                <w:szCs w:val="20"/>
              </w:rPr>
            </w:pPr>
            <w:r>
              <w:rPr>
                <w:rFonts w:cstheme="minorHAnsi"/>
                <w:szCs w:val="20"/>
              </w:rPr>
              <w:t>0</w:t>
            </w:r>
          </w:p>
        </w:tc>
        <w:tc>
          <w:tcPr>
            <w:tcW w:w="677" w:type="pct"/>
          </w:tcPr>
          <w:p w:rsidR="002B2CB2" w:rsidRDefault="002B2CB2" w:rsidP="002B2CB2">
            <w:pPr>
              <w:jc w:val="center"/>
              <w:rPr>
                <w:rFonts w:cstheme="minorHAnsi"/>
                <w:szCs w:val="20"/>
              </w:rPr>
            </w:pPr>
            <w:r>
              <w:rPr>
                <w:rFonts w:cstheme="minorHAnsi"/>
                <w:szCs w:val="20"/>
              </w:rPr>
              <w:t>Unknown</w:t>
            </w:r>
          </w:p>
          <w:p w:rsidR="002B2CB2" w:rsidRPr="005734A4" w:rsidRDefault="002B2CB2" w:rsidP="002B2CB2">
            <w:pPr>
              <w:jc w:val="center"/>
              <w:rPr>
                <w:rFonts w:cstheme="minorHAnsi"/>
                <w:szCs w:val="20"/>
              </w:rPr>
            </w:pPr>
            <w:r>
              <w:rPr>
                <w:rFonts w:cstheme="minorHAnsi"/>
                <w:szCs w:val="20"/>
              </w:rPr>
              <w:t>06/25/2012</w:t>
            </w:r>
          </w:p>
        </w:tc>
        <w:tc>
          <w:tcPr>
            <w:tcW w:w="1013" w:type="pct"/>
          </w:tcPr>
          <w:p w:rsidR="002B2CB2" w:rsidRDefault="002B2CB2" w:rsidP="002B2CB2">
            <w:pPr>
              <w:rPr>
                <w:rFonts w:cstheme="minorHAnsi"/>
                <w:szCs w:val="20"/>
              </w:rPr>
            </w:pPr>
            <w:r w:rsidRPr="00040558">
              <w:rPr>
                <w:rFonts w:cstheme="minorHAnsi"/>
                <w:szCs w:val="20"/>
              </w:rPr>
              <w:t>KEMA Services</w:t>
            </w:r>
            <w:r w:rsidR="00E6262B">
              <w:rPr>
                <w:rFonts w:cstheme="minorHAnsi"/>
                <w:szCs w:val="20"/>
              </w:rPr>
              <w:t>, Inc</w:t>
            </w:r>
          </w:p>
          <w:p w:rsidR="002B2CB2" w:rsidRPr="005734A4" w:rsidRDefault="002B2CB2" w:rsidP="002B2CB2">
            <w:pPr>
              <w:rPr>
                <w:rFonts w:cstheme="minorHAnsi"/>
                <w:szCs w:val="20"/>
              </w:rPr>
            </w:pPr>
            <w:r>
              <w:rPr>
                <w:rFonts w:cstheme="minorHAnsi"/>
                <w:szCs w:val="20"/>
              </w:rPr>
              <w:t xml:space="preserve">Peter Ford / </w:t>
            </w:r>
            <w:r w:rsidRPr="002B2B49">
              <w:rPr>
                <w:rFonts w:cstheme="minorHAnsi"/>
                <w:szCs w:val="20"/>
              </w:rPr>
              <w:t>SDG&amp;E</w:t>
            </w:r>
          </w:p>
        </w:tc>
        <w:tc>
          <w:tcPr>
            <w:tcW w:w="3029" w:type="pct"/>
          </w:tcPr>
          <w:p w:rsidR="007833EC" w:rsidRDefault="007833EC" w:rsidP="007833EC">
            <w:pPr>
              <w:numPr>
                <w:ilvl w:val="0"/>
                <w:numId w:val="17"/>
              </w:numPr>
              <w:rPr>
                <w:rFonts w:cstheme="minorHAnsi"/>
                <w:bCs/>
                <w:szCs w:val="20"/>
              </w:rPr>
            </w:pPr>
            <w:r>
              <w:rPr>
                <w:rFonts w:cstheme="minorHAnsi"/>
                <w:bCs/>
                <w:szCs w:val="20"/>
              </w:rPr>
              <w:t xml:space="preserve">Added climate zone 7 to </w:t>
            </w:r>
            <w:r w:rsidRPr="00040558">
              <w:rPr>
                <w:rFonts w:cstheme="minorHAnsi"/>
                <w:bCs/>
                <w:szCs w:val="20"/>
              </w:rPr>
              <w:t>WPSCRESH0023.3</w:t>
            </w:r>
          </w:p>
          <w:p w:rsidR="007833EC" w:rsidRPr="007833EC" w:rsidRDefault="007833EC" w:rsidP="007833EC">
            <w:pPr>
              <w:numPr>
                <w:ilvl w:val="0"/>
                <w:numId w:val="17"/>
              </w:numPr>
              <w:rPr>
                <w:rFonts w:cstheme="minorHAnsi"/>
                <w:szCs w:val="20"/>
              </w:rPr>
            </w:pPr>
            <w:r>
              <w:rPr>
                <w:rFonts w:cstheme="minorHAnsi"/>
                <w:bCs/>
                <w:szCs w:val="20"/>
              </w:rPr>
              <w:t xml:space="preserve">Adopted KEMA WP, corrected NTG to </w:t>
            </w:r>
            <w:r w:rsidRPr="00040558">
              <w:rPr>
                <w:rFonts w:cstheme="minorHAnsi"/>
                <w:szCs w:val="20"/>
              </w:rPr>
              <w:t>DEER 2011, and clarified TOU Adjustment Factor</w:t>
            </w:r>
          </w:p>
        </w:tc>
      </w:tr>
      <w:tr w:rsidR="002B2CB2" w:rsidRPr="00500C4E" w:rsidTr="00E6262B">
        <w:trPr>
          <w:trHeight w:val="20"/>
        </w:trPr>
        <w:tc>
          <w:tcPr>
            <w:tcW w:w="280" w:type="pct"/>
          </w:tcPr>
          <w:p w:rsidR="002B2CB2" w:rsidRDefault="002B2CB2" w:rsidP="002B2CB2">
            <w:pPr>
              <w:jc w:val="center"/>
              <w:rPr>
                <w:rFonts w:cstheme="minorHAnsi"/>
                <w:szCs w:val="20"/>
              </w:rPr>
            </w:pPr>
            <w:r>
              <w:rPr>
                <w:rFonts w:cstheme="minorHAnsi"/>
                <w:szCs w:val="20"/>
              </w:rPr>
              <w:t>0.1</w:t>
            </w:r>
          </w:p>
        </w:tc>
        <w:tc>
          <w:tcPr>
            <w:tcW w:w="677" w:type="pct"/>
          </w:tcPr>
          <w:p w:rsidR="002B2CB2" w:rsidRDefault="002B2CB2" w:rsidP="002B2CB2">
            <w:pPr>
              <w:jc w:val="center"/>
              <w:rPr>
                <w:rFonts w:cstheme="minorHAnsi"/>
                <w:szCs w:val="20"/>
              </w:rPr>
            </w:pPr>
            <w:r>
              <w:rPr>
                <w:rFonts w:cstheme="minorHAnsi"/>
                <w:szCs w:val="20"/>
              </w:rPr>
              <w:t>06/28/2014</w:t>
            </w:r>
          </w:p>
        </w:tc>
        <w:tc>
          <w:tcPr>
            <w:tcW w:w="1013" w:type="pct"/>
          </w:tcPr>
          <w:p w:rsidR="002B2CB2" w:rsidRPr="007C69D9" w:rsidRDefault="002B2CB2" w:rsidP="002B2CB2">
            <w:pPr>
              <w:rPr>
                <w:rFonts w:cstheme="minorHAnsi"/>
                <w:szCs w:val="20"/>
              </w:rPr>
            </w:pPr>
            <w:proofErr w:type="spellStart"/>
            <w:r w:rsidRPr="007C69D9">
              <w:rPr>
                <w:rFonts w:cstheme="minorHAnsi"/>
                <w:szCs w:val="20"/>
              </w:rPr>
              <w:t>Judelson</w:t>
            </w:r>
            <w:proofErr w:type="spellEnd"/>
            <w:r w:rsidRPr="007C69D9">
              <w:rPr>
                <w:rFonts w:cstheme="minorHAnsi"/>
                <w:szCs w:val="20"/>
              </w:rPr>
              <w:t xml:space="preserve"> Enriquez / RMS Energy Consulting, LLC</w:t>
            </w:r>
          </w:p>
        </w:tc>
        <w:tc>
          <w:tcPr>
            <w:tcW w:w="3029" w:type="pct"/>
          </w:tcPr>
          <w:p w:rsidR="002B2CB2" w:rsidRPr="007833EC" w:rsidRDefault="002B2CB2" w:rsidP="007833EC">
            <w:pPr>
              <w:numPr>
                <w:ilvl w:val="0"/>
                <w:numId w:val="17"/>
              </w:numPr>
              <w:rPr>
                <w:bCs/>
                <w:szCs w:val="20"/>
              </w:rPr>
            </w:pPr>
            <w:r w:rsidRPr="007833EC">
              <w:rPr>
                <w:rFonts w:cstheme="minorHAnsi"/>
                <w:bCs/>
                <w:szCs w:val="20"/>
              </w:rPr>
              <w:t>INTERNAL REVISION ONLY – no material impacts made</w:t>
            </w:r>
          </w:p>
          <w:p w:rsidR="002B2CB2" w:rsidRDefault="002B2CB2" w:rsidP="002B2CB2">
            <w:pPr>
              <w:tabs>
                <w:tab w:val="left" w:pos="1027"/>
              </w:tabs>
              <w:rPr>
                <w:rFonts w:cstheme="minorHAnsi"/>
                <w:bCs/>
                <w:szCs w:val="20"/>
              </w:rPr>
            </w:pPr>
            <w:r>
              <w:rPr>
                <w:rFonts w:cstheme="minorHAnsi"/>
                <w:bCs/>
                <w:szCs w:val="20"/>
              </w:rPr>
              <w:t>Updated DEER/Code language. Generated calculation template.</w:t>
            </w:r>
          </w:p>
        </w:tc>
      </w:tr>
      <w:tr w:rsidR="002B2CB2" w:rsidRPr="00500C4E" w:rsidTr="00E6262B">
        <w:trPr>
          <w:trHeight w:val="20"/>
        </w:trPr>
        <w:tc>
          <w:tcPr>
            <w:tcW w:w="280" w:type="pct"/>
          </w:tcPr>
          <w:p w:rsidR="002B2CB2" w:rsidRPr="000E2B6B" w:rsidRDefault="002B2CB2" w:rsidP="002B2CB2">
            <w:pPr>
              <w:jc w:val="center"/>
              <w:rPr>
                <w:rFonts w:cstheme="minorHAnsi"/>
                <w:szCs w:val="20"/>
              </w:rPr>
            </w:pPr>
            <w:r>
              <w:t>1</w:t>
            </w:r>
          </w:p>
        </w:tc>
        <w:tc>
          <w:tcPr>
            <w:tcW w:w="677" w:type="pct"/>
          </w:tcPr>
          <w:p w:rsidR="002B2CB2" w:rsidRPr="000E2B6B" w:rsidRDefault="002B2CB2" w:rsidP="002B2CB2">
            <w:pPr>
              <w:jc w:val="center"/>
              <w:rPr>
                <w:rFonts w:cstheme="minorHAnsi"/>
                <w:szCs w:val="20"/>
              </w:rPr>
            </w:pPr>
            <w:r>
              <w:rPr>
                <w:szCs w:val="20"/>
              </w:rPr>
              <w:t>12/</w:t>
            </w:r>
            <w:r w:rsidR="00960E39">
              <w:rPr>
                <w:szCs w:val="20"/>
              </w:rPr>
              <w:t>7</w:t>
            </w:r>
            <w:r>
              <w:rPr>
                <w:szCs w:val="20"/>
              </w:rPr>
              <w:t>/17</w:t>
            </w:r>
          </w:p>
        </w:tc>
        <w:tc>
          <w:tcPr>
            <w:tcW w:w="1013" w:type="pct"/>
          </w:tcPr>
          <w:p w:rsidR="002B2CB2" w:rsidRPr="000E2B6B" w:rsidRDefault="002B2CB2" w:rsidP="002B2CB2">
            <w:pPr>
              <w:rPr>
                <w:rFonts w:cstheme="minorHAnsi"/>
                <w:szCs w:val="20"/>
              </w:rPr>
            </w:pPr>
            <w:r>
              <w:rPr>
                <w:rFonts w:cstheme="minorHAnsi"/>
                <w:szCs w:val="20"/>
              </w:rPr>
              <w:t xml:space="preserve"> Keith Valenzuela/SDGE Contractor </w:t>
            </w:r>
          </w:p>
        </w:tc>
        <w:tc>
          <w:tcPr>
            <w:tcW w:w="3029" w:type="pct"/>
          </w:tcPr>
          <w:p w:rsidR="002B2CB2" w:rsidRPr="001036A0" w:rsidRDefault="007833EC" w:rsidP="001036A0">
            <w:pPr>
              <w:numPr>
                <w:ilvl w:val="0"/>
                <w:numId w:val="17"/>
              </w:numPr>
              <w:rPr>
                <w:rFonts w:cstheme="minorHAnsi"/>
                <w:szCs w:val="20"/>
              </w:rPr>
            </w:pPr>
            <w:r>
              <w:rPr>
                <w:bCs/>
                <w:szCs w:val="20"/>
              </w:rPr>
              <w:t>Adapted SCE’s workpaper SCE17HC013.0</w:t>
            </w:r>
            <w:r w:rsidR="001036A0">
              <w:rPr>
                <w:bCs/>
                <w:szCs w:val="20"/>
              </w:rPr>
              <w:t xml:space="preserve"> </w:t>
            </w:r>
            <w:r w:rsidR="001036A0">
              <w:rPr>
                <w:rFonts w:cstheme="minorHAnsi"/>
                <w:szCs w:val="20"/>
              </w:rPr>
              <w:t xml:space="preserve">but </w:t>
            </w:r>
            <w:r w:rsidR="001036A0">
              <w:t>only referenced SDG&amp;E climate zones of CZ06, CZ07, CZ08, CZ10, CZ14 and CZ15.</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C6110B">
          <w:rPr>
            <w:noProof/>
          </w:rPr>
          <w:t>1</w:t>
        </w:r>
      </w:fldSimple>
      <w:r>
        <w:t>: Measure Summary Table</w:t>
      </w:r>
    </w:p>
    <w:tbl>
      <w:tblPr>
        <w:tblStyle w:val="TableGrid"/>
        <w:tblW w:w="0" w:type="auto"/>
        <w:tblLayout w:type="fixed"/>
        <w:tblLook w:val="04A0" w:firstRow="1" w:lastRow="0" w:firstColumn="1" w:lastColumn="0" w:noHBand="0" w:noVBand="1"/>
      </w:tblPr>
      <w:tblGrid>
        <w:gridCol w:w="1975"/>
        <w:gridCol w:w="7375"/>
      </w:tblGrid>
      <w:tr w:rsidR="00DB71F1" w:rsidTr="00F52060">
        <w:trPr>
          <w:cantSplit/>
          <w:tblHeader/>
        </w:trPr>
        <w:tc>
          <w:tcPr>
            <w:tcW w:w="1975" w:type="dxa"/>
          </w:tcPr>
          <w:p w:rsidR="00DB71F1" w:rsidRPr="00D86243" w:rsidRDefault="00DB71F1" w:rsidP="007F3C21">
            <w:pPr>
              <w:jc w:val="center"/>
              <w:rPr>
                <w:b/>
              </w:rPr>
            </w:pPr>
            <w:r w:rsidRPr="00D86243">
              <w:rPr>
                <w:b/>
              </w:rPr>
              <w:t>Section</w:t>
            </w:r>
          </w:p>
        </w:tc>
        <w:tc>
          <w:tcPr>
            <w:tcW w:w="7375" w:type="dxa"/>
          </w:tcPr>
          <w:p w:rsidR="00DB71F1" w:rsidRPr="00D86243" w:rsidRDefault="00DB71F1" w:rsidP="007F3C21">
            <w:pPr>
              <w:jc w:val="center"/>
              <w:rPr>
                <w:b/>
              </w:rPr>
            </w:pPr>
            <w:r w:rsidRPr="00D86243">
              <w:rPr>
                <w:b/>
              </w:rPr>
              <w:t>Value</w:t>
            </w:r>
          </w:p>
        </w:tc>
      </w:tr>
      <w:tr w:rsidR="00DB71F1" w:rsidTr="00F52060">
        <w:trPr>
          <w:cantSplit/>
        </w:trPr>
        <w:tc>
          <w:tcPr>
            <w:tcW w:w="1975" w:type="dxa"/>
            <w:vAlign w:val="center"/>
          </w:tcPr>
          <w:p w:rsidR="00DB71F1" w:rsidRPr="001D77F7" w:rsidRDefault="00DB71F1" w:rsidP="007F3C21">
            <w:pPr>
              <w:rPr>
                <w:b/>
              </w:rPr>
            </w:pPr>
            <w:r>
              <w:rPr>
                <w:b/>
              </w:rPr>
              <w:t>Summary &amp; Purpose</w:t>
            </w:r>
          </w:p>
        </w:tc>
        <w:tc>
          <w:tcPr>
            <w:tcW w:w="7375" w:type="dxa"/>
          </w:tcPr>
          <w:p w:rsidR="00DE364E" w:rsidRPr="007833EC" w:rsidRDefault="00DB71F1" w:rsidP="008E0850">
            <w:pPr>
              <w:jc w:val="both"/>
              <w:rPr>
                <w:rFonts w:cstheme="minorHAnsi"/>
                <w:sz w:val="20"/>
                <w:szCs w:val="20"/>
              </w:rPr>
            </w:pPr>
            <w:r w:rsidRPr="007833EC">
              <w:rPr>
                <w:rFonts w:cstheme="minorHAnsi"/>
                <w:sz w:val="20"/>
                <w:szCs w:val="20"/>
              </w:rPr>
              <w:t>This short form workpaper documents ex-ante load impact</w:t>
            </w:r>
            <w:r w:rsidR="00E733C7" w:rsidRPr="007833EC">
              <w:rPr>
                <w:rFonts w:cstheme="minorHAnsi"/>
                <w:sz w:val="20"/>
                <w:szCs w:val="20"/>
              </w:rPr>
              <w:t>s</w:t>
            </w:r>
            <w:r w:rsidRPr="007833EC">
              <w:rPr>
                <w:rFonts w:cstheme="minorHAnsi"/>
                <w:sz w:val="20"/>
                <w:szCs w:val="20"/>
              </w:rPr>
              <w:t xml:space="preserve"> and cost-effectiveness values for </w:t>
            </w:r>
            <w:r w:rsidR="007833EC" w:rsidRPr="007833EC">
              <w:rPr>
                <w:sz w:val="20"/>
                <w:szCs w:val="20"/>
              </w:rPr>
              <w:t xml:space="preserve">quality installation of residential split system HVAC units. Quality installation is defined by Energy Star as having properly sized units, properly matched components, refrigerant charge, airflow, and sealed ducts. Given the magnitude of refrigerant charge loss required to impact the unit performance, the refrigerant charge is considered adequate in both the baseline and measure units for the purposes of this workpaper. The savings reported are based on the impact of properly sizing the unit, sealing the ducts, and setting the airflow to 400 cfm/ton. The </w:t>
            </w:r>
            <w:r w:rsidR="00F72C1A">
              <w:rPr>
                <w:sz w:val="20"/>
                <w:szCs w:val="20"/>
              </w:rPr>
              <w:t>base case</w:t>
            </w:r>
            <w:r w:rsidR="007833EC" w:rsidRPr="007833EC">
              <w:rPr>
                <w:sz w:val="20"/>
                <w:szCs w:val="20"/>
              </w:rPr>
              <w:t xml:space="preserve"> for this workpaper is considered an equally efficient (equivalent SEER), but poorly installed unit. As such, the base unit efficiency upgrades are not counted as part of this work paper.</w:t>
            </w:r>
          </w:p>
          <w:p w:rsidR="00DB71F1" w:rsidRPr="00D86243" w:rsidRDefault="00DB71F1" w:rsidP="007833EC">
            <w:pPr>
              <w:jc w:val="both"/>
              <w:rPr>
                <w:rFonts w:cs="Arial"/>
                <w:sz w:val="20"/>
                <w:szCs w:val="20"/>
              </w:rPr>
            </w:pPr>
          </w:p>
        </w:tc>
      </w:tr>
      <w:tr w:rsidR="00AF368D" w:rsidTr="007F3C21">
        <w:trPr>
          <w:cantSplit/>
        </w:trPr>
        <w:tc>
          <w:tcPr>
            <w:tcW w:w="9350" w:type="dxa"/>
            <w:gridSpan w:val="2"/>
            <w:vAlign w:val="center"/>
          </w:tcPr>
          <w:p w:rsidR="00AF368D" w:rsidRPr="00241A1F" w:rsidRDefault="00AF368D" w:rsidP="00AF368D">
            <w:pPr>
              <w:rPr>
                <w:rFonts w:cs="Arial"/>
                <w:sz w:val="20"/>
                <w:szCs w:val="20"/>
              </w:rPr>
            </w:pPr>
            <w:r w:rsidRPr="001D77F7">
              <w:rPr>
                <w:b/>
              </w:rPr>
              <w:t>1.1 Measure &amp; Baseline Data</w:t>
            </w:r>
          </w:p>
        </w:tc>
      </w:tr>
      <w:tr w:rsidR="00DB71F1" w:rsidTr="00F52060">
        <w:trPr>
          <w:cantSplit/>
        </w:trPr>
        <w:tc>
          <w:tcPr>
            <w:tcW w:w="1975" w:type="dxa"/>
            <w:vAlign w:val="center"/>
          </w:tcPr>
          <w:p w:rsidR="00DB71F1" w:rsidRPr="001D77F7" w:rsidRDefault="00DB71F1" w:rsidP="007F3C21">
            <w:pPr>
              <w:rPr>
                <w:b/>
              </w:rPr>
            </w:pPr>
            <w:r w:rsidRPr="001D77F7">
              <w:rPr>
                <w:b/>
              </w:rPr>
              <w:t xml:space="preserve">1.2 Technical Description </w:t>
            </w:r>
          </w:p>
        </w:tc>
        <w:tc>
          <w:tcPr>
            <w:tcW w:w="7375" w:type="dxa"/>
          </w:tcPr>
          <w:p w:rsidR="00062F50" w:rsidRPr="00062F50" w:rsidRDefault="005A7E71" w:rsidP="00062F50">
            <w:pPr>
              <w:rPr>
                <w:i/>
                <w:sz w:val="20"/>
                <w:szCs w:val="20"/>
              </w:rPr>
            </w:pPr>
            <w:bookmarkStart w:id="3" w:name="OLE_LINK3"/>
            <w:r>
              <w:rPr>
                <w:sz w:val="20"/>
                <w:szCs w:val="20"/>
              </w:rPr>
              <w:t>This work paper includes quality i</w:t>
            </w:r>
            <w:r w:rsidR="00062F50" w:rsidRPr="00062F50">
              <w:rPr>
                <w:sz w:val="20"/>
                <w:szCs w:val="20"/>
              </w:rPr>
              <w:t>nsta</w:t>
            </w:r>
            <w:r w:rsidR="00062F50">
              <w:rPr>
                <w:sz w:val="20"/>
                <w:szCs w:val="20"/>
              </w:rPr>
              <w:t xml:space="preserve">llation </w:t>
            </w:r>
            <w:r w:rsidR="00062F50" w:rsidRPr="00062F50">
              <w:rPr>
                <w:sz w:val="20"/>
                <w:szCs w:val="20"/>
              </w:rPr>
              <w:t xml:space="preserve">of HVAC units.  </w:t>
            </w:r>
            <w:r>
              <w:rPr>
                <w:sz w:val="20"/>
                <w:szCs w:val="20"/>
              </w:rPr>
              <w:t>The measure and base cases for r</w:t>
            </w:r>
            <w:r w:rsidR="00062F50" w:rsidRPr="00062F50">
              <w:rPr>
                <w:sz w:val="20"/>
                <w:szCs w:val="20"/>
              </w:rPr>
              <w:t>eside</w:t>
            </w:r>
            <w:r>
              <w:rPr>
                <w:sz w:val="20"/>
                <w:szCs w:val="20"/>
              </w:rPr>
              <w:t xml:space="preserve">ntial quality installation </w:t>
            </w:r>
            <w:r w:rsidR="00062F50" w:rsidRPr="00062F50">
              <w:rPr>
                <w:sz w:val="20"/>
                <w:szCs w:val="20"/>
              </w:rPr>
              <w:t xml:space="preserve">are based on the recommendations of Work Order 32 per </w:t>
            </w:r>
            <w:r w:rsidR="00062F50">
              <w:rPr>
                <w:sz w:val="20"/>
                <w:szCs w:val="20"/>
              </w:rPr>
              <w:t xml:space="preserve">SCE </w:t>
            </w:r>
            <w:r w:rsidR="00062F50" w:rsidRPr="00062F50">
              <w:rPr>
                <w:bCs/>
                <w:sz w:val="20"/>
                <w:szCs w:val="20"/>
              </w:rPr>
              <w:t>workpaper SCE17HC013.0</w:t>
            </w:r>
            <w:r w:rsidR="00062F50" w:rsidRPr="00062F50">
              <w:rPr>
                <w:sz w:val="20"/>
                <w:szCs w:val="20"/>
              </w:rPr>
              <w:t xml:space="preserve">.  </w:t>
            </w:r>
            <w:r w:rsidR="00F72C1A">
              <w:rPr>
                <w:sz w:val="20"/>
                <w:szCs w:val="20"/>
              </w:rPr>
              <w:t>Base case</w:t>
            </w:r>
            <w:r w:rsidR="00062F50">
              <w:rPr>
                <w:sz w:val="20"/>
                <w:szCs w:val="20"/>
              </w:rPr>
              <w:t xml:space="preserve"> includes a unit installed following standard practices. </w:t>
            </w:r>
            <w:r w:rsidR="00062F50" w:rsidRPr="00062F50">
              <w:rPr>
                <w:sz w:val="20"/>
                <w:szCs w:val="20"/>
              </w:rPr>
              <w:t>A unit installed following standard processes may be over-sized, may contain ducts that are not properly sealed, may have less than appropriate airflow, may have a total duct system static pressure that is too high, and may have inappropriate refrigerant charge.</w:t>
            </w:r>
            <w:r w:rsidR="00062F50">
              <w:rPr>
                <w:sz w:val="20"/>
                <w:szCs w:val="20"/>
              </w:rPr>
              <w:t xml:space="preserve"> </w:t>
            </w:r>
            <w:r w:rsidR="00062F50" w:rsidRPr="00062F50">
              <w:rPr>
                <w:sz w:val="20"/>
                <w:szCs w:val="20"/>
              </w:rPr>
              <w:t xml:space="preserve">Measure cases include </w:t>
            </w:r>
            <w:r w:rsidR="00062F50">
              <w:rPr>
                <w:sz w:val="20"/>
                <w:szCs w:val="20"/>
              </w:rPr>
              <w:t xml:space="preserve">an equivalent SEER to the </w:t>
            </w:r>
            <w:r w:rsidR="00F72C1A">
              <w:rPr>
                <w:sz w:val="20"/>
                <w:szCs w:val="20"/>
              </w:rPr>
              <w:t>base case</w:t>
            </w:r>
            <w:r w:rsidR="00062F50">
              <w:rPr>
                <w:sz w:val="20"/>
                <w:szCs w:val="20"/>
              </w:rPr>
              <w:t xml:space="preserve"> with proper installation.</w:t>
            </w:r>
            <w:r w:rsidR="00062F50" w:rsidRPr="00062F50">
              <w:rPr>
                <w:sz w:val="20"/>
                <w:szCs w:val="20"/>
              </w:rPr>
              <w:t xml:space="preserve">  A </w:t>
            </w:r>
            <w:r w:rsidR="002A2A93">
              <w:rPr>
                <w:sz w:val="20"/>
                <w:szCs w:val="20"/>
              </w:rPr>
              <w:t>quality</w:t>
            </w:r>
            <w:r w:rsidR="00062F50" w:rsidRPr="00062F50">
              <w:rPr>
                <w:sz w:val="20"/>
                <w:szCs w:val="20"/>
              </w:rPr>
              <w:t xml:space="preserve"> installed unit includes the unit being properly sized, sealing the ducts, meeting the airflow (cfm/ton) standards, confirming that the total duct system static pressure meets installation standards, and confirming appropriate refrigerant charge.  </w:t>
            </w:r>
          </w:p>
          <w:bookmarkEnd w:id="3"/>
          <w:p w:rsidR="00DB71F1" w:rsidRPr="00D4142C" w:rsidRDefault="00DB71F1" w:rsidP="00D4142C">
            <w:pPr>
              <w:rPr>
                <w:rFonts w:cs="Arial"/>
                <w:sz w:val="20"/>
                <w:szCs w:val="20"/>
              </w:rPr>
            </w:pPr>
          </w:p>
        </w:tc>
      </w:tr>
      <w:tr w:rsidR="008775D7" w:rsidRPr="008775D7" w:rsidTr="00F52060">
        <w:trPr>
          <w:cantSplit/>
        </w:trPr>
        <w:tc>
          <w:tcPr>
            <w:tcW w:w="1975" w:type="dxa"/>
          </w:tcPr>
          <w:p w:rsidR="008775D7" w:rsidRPr="00241A1F" w:rsidRDefault="008775D7" w:rsidP="00241A1F">
            <w:pPr>
              <w:jc w:val="right"/>
              <w:rPr>
                <w:sz w:val="20"/>
                <w:szCs w:val="20"/>
              </w:rPr>
            </w:pPr>
            <w:r w:rsidRPr="00241A1F">
              <w:rPr>
                <w:sz w:val="20"/>
                <w:szCs w:val="20"/>
              </w:rPr>
              <w:t>Measures</w:t>
            </w:r>
          </w:p>
        </w:tc>
        <w:tc>
          <w:tcPr>
            <w:tcW w:w="7375" w:type="dxa"/>
          </w:tcPr>
          <w:p w:rsidR="00AF368D" w:rsidRPr="00555671" w:rsidRDefault="00AF368D" w:rsidP="00AF368D">
            <w:pPr>
              <w:rPr>
                <w:rFonts w:cs="Arial"/>
                <w:sz w:val="20"/>
                <w:szCs w:val="20"/>
              </w:rPr>
            </w:pPr>
            <w:r w:rsidRPr="00555671">
              <w:rPr>
                <w:rFonts w:cs="Arial"/>
                <w:sz w:val="20"/>
                <w:szCs w:val="20"/>
              </w:rPr>
              <w:t xml:space="preserve">Measure: </w:t>
            </w:r>
          </w:p>
          <w:p w:rsidR="00EB2DBB" w:rsidRDefault="00621061" w:rsidP="00AF368D">
            <w:pPr>
              <w:rPr>
                <w:rFonts w:cs="Arial"/>
                <w:sz w:val="20"/>
                <w:szCs w:val="20"/>
              </w:rPr>
            </w:pPr>
            <w:r>
              <w:rPr>
                <w:rFonts w:cs="Arial"/>
                <w:sz w:val="20"/>
                <w:szCs w:val="20"/>
              </w:rPr>
              <w:t>420144 - Quality Installation – SEER 15</w:t>
            </w:r>
          </w:p>
          <w:p w:rsidR="00621061" w:rsidRDefault="00621061" w:rsidP="00621061">
            <w:pPr>
              <w:rPr>
                <w:rFonts w:cs="Arial"/>
                <w:sz w:val="20"/>
                <w:szCs w:val="20"/>
              </w:rPr>
            </w:pPr>
            <w:r>
              <w:rPr>
                <w:rFonts w:cs="Arial"/>
                <w:sz w:val="20"/>
                <w:szCs w:val="20"/>
              </w:rPr>
              <w:t>464088 - Quality Installation – SEER 16</w:t>
            </w:r>
          </w:p>
          <w:p w:rsidR="00621061" w:rsidRDefault="00621061" w:rsidP="00621061">
            <w:pPr>
              <w:rPr>
                <w:rFonts w:cs="Arial"/>
                <w:sz w:val="20"/>
                <w:szCs w:val="20"/>
              </w:rPr>
            </w:pPr>
            <w:r>
              <w:rPr>
                <w:rFonts w:cs="Arial"/>
                <w:sz w:val="20"/>
                <w:szCs w:val="20"/>
              </w:rPr>
              <w:t>464089 - Quality Installation – SEER 17+</w:t>
            </w:r>
          </w:p>
          <w:p w:rsidR="008775D7" w:rsidRPr="00E733C7" w:rsidRDefault="008775D7">
            <w:pPr>
              <w:rPr>
                <w:rFonts w:cs="Arial"/>
                <w:sz w:val="20"/>
                <w:szCs w:val="20"/>
              </w:rPr>
            </w:pPr>
          </w:p>
        </w:tc>
      </w:tr>
      <w:tr w:rsidR="008775D7" w:rsidRPr="008775D7" w:rsidTr="00F52060">
        <w:trPr>
          <w:cantSplit/>
        </w:trPr>
        <w:tc>
          <w:tcPr>
            <w:tcW w:w="1975" w:type="dxa"/>
          </w:tcPr>
          <w:p w:rsidR="008775D7" w:rsidRPr="00653C4B" w:rsidRDefault="008775D7" w:rsidP="00241A1F">
            <w:pPr>
              <w:jc w:val="right"/>
              <w:rPr>
                <w:sz w:val="20"/>
                <w:szCs w:val="20"/>
              </w:rPr>
            </w:pPr>
            <w:r w:rsidRPr="00653C4B">
              <w:rPr>
                <w:sz w:val="20"/>
                <w:szCs w:val="20"/>
              </w:rPr>
              <w:t>Code for All Measures</w:t>
            </w:r>
          </w:p>
        </w:tc>
        <w:tc>
          <w:tcPr>
            <w:tcW w:w="7375" w:type="dxa"/>
          </w:tcPr>
          <w:p w:rsidR="00E5791A" w:rsidRDefault="00E5791A" w:rsidP="00E5791A">
            <w:pPr>
              <w:rPr>
                <w:sz w:val="20"/>
                <w:szCs w:val="20"/>
              </w:rPr>
            </w:pPr>
            <w:r w:rsidRPr="00E5791A">
              <w:rPr>
                <w:sz w:val="20"/>
                <w:szCs w:val="20"/>
              </w:rPr>
              <w:t xml:space="preserve">Title 20 requires a minimum 14.0 SEER value for single phase air conditioners and heat pumps less than 65,000 Btu/h.  </w:t>
            </w:r>
            <w:r>
              <w:rPr>
                <w:sz w:val="20"/>
                <w:szCs w:val="20"/>
              </w:rPr>
              <w:t>This is not applicable because the workpaper is only accounting for savings based on the installation. Efficiency of the units are equivalent in the base and measure case.</w:t>
            </w:r>
          </w:p>
          <w:p w:rsidR="00E5791A" w:rsidRDefault="00E5791A" w:rsidP="00E5791A">
            <w:pPr>
              <w:rPr>
                <w:sz w:val="20"/>
                <w:szCs w:val="20"/>
              </w:rPr>
            </w:pPr>
          </w:p>
          <w:p w:rsidR="00E5791A" w:rsidRPr="00E5791A" w:rsidRDefault="00E5791A" w:rsidP="00E5791A">
            <w:pPr>
              <w:rPr>
                <w:sz w:val="20"/>
                <w:szCs w:val="20"/>
              </w:rPr>
            </w:pPr>
            <w:r w:rsidRPr="00E5791A">
              <w:rPr>
                <w:sz w:val="20"/>
                <w:szCs w:val="20"/>
              </w:rPr>
              <w:t>Title 24 does require the same installation practices; however, the compliance rates for these have been historically low.  Data from WO032 is utilized in this work paper to account for the most recent base and measure installation practices.  Given these low compliance rates, the base case is considered non-compliant.</w:t>
            </w:r>
          </w:p>
          <w:p w:rsidR="000E65D6" w:rsidRPr="000E65D6" w:rsidRDefault="000E65D6" w:rsidP="000E65D6">
            <w:pPr>
              <w:jc w:val="both"/>
              <w:rPr>
                <w:rFonts w:cs="Arial"/>
                <w:sz w:val="20"/>
                <w:szCs w:val="20"/>
              </w:rPr>
            </w:pPr>
          </w:p>
          <w:p w:rsidR="000E65D6" w:rsidRPr="00653C4B" w:rsidRDefault="000E65D6" w:rsidP="005C1518">
            <w:pPr>
              <w:jc w:val="both"/>
              <w:rPr>
                <w:rFonts w:cs="Arial"/>
                <w:sz w:val="20"/>
                <w:szCs w:val="20"/>
              </w:rPr>
            </w:pPr>
          </w:p>
        </w:tc>
      </w:tr>
      <w:tr w:rsidR="00E84938" w:rsidTr="00F52060">
        <w:trPr>
          <w:cantSplit/>
        </w:trPr>
        <w:tc>
          <w:tcPr>
            <w:tcW w:w="1975" w:type="dxa"/>
          </w:tcPr>
          <w:p w:rsidR="00E84938" w:rsidRPr="001D77F7" w:rsidRDefault="00E84938" w:rsidP="008724D6">
            <w:pPr>
              <w:jc w:val="right"/>
              <w:rPr>
                <w:b/>
              </w:rPr>
            </w:pPr>
            <w:r w:rsidRPr="00197677">
              <w:rPr>
                <w:rFonts w:cs="Arial"/>
                <w:sz w:val="20"/>
                <w:szCs w:val="20"/>
              </w:rPr>
              <w:t>Requirements</w:t>
            </w:r>
          </w:p>
        </w:tc>
        <w:tc>
          <w:tcPr>
            <w:tcW w:w="7375" w:type="dxa"/>
          </w:tcPr>
          <w:p w:rsidR="001B75A8" w:rsidRPr="00C076DA" w:rsidRDefault="001B75A8" w:rsidP="001B75A8">
            <w:pPr>
              <w:rPr>
                <w:rFonts w:cstheme="minorHAnsi"/>
                <w:sz w:val="20"/>
                <w:szCs w:val="20"/>
              </w:rPr>
            </w:pPr>
            <w:r w:rsidRPr="00C076DA">
              <w:rPr>
                <w:rFonts w:cstheme="minorHAnsi"/>
                <w:sz w:val="20"/>
                <w:szCs w:val="20"/>
              </w:rPr>
              <w:t>Must follow the measure requirements of the incentive and partnership programs.</w:t>
            </w:r>
          </w:p>
          <w:p w:rsidR="007E7E00" w:rsidRDefault="007E7E00" w:rsidP="001D6A64">
            <w:pPr>
              <w:jc w:val="both"/>
              <w:rPr>
                <w:sz w:val="20"/>
                <w:szCs w:val="20"/>
              </w:rPr>
            </w:pPr>
          </w:p>
          <w:p w:rsidR="00AF368D" w:rsidRDefault="00AF368D" w:rsidP="001D6A64">
            <w:pPr>
              <w:jc w:val="both"/>
              <w:rPr>
                <w:sz w:val="20"/>
                <w:szCs w:val="20"/>
              </w:rPr>
            </w:pPr>
          </w:p>
          <w:p w:rsidR="00AF368D" w:rsidRPr="00555671" w:rsidRDefault="00AF368D" w:rsidP="001D6A64">
            <w:pPr>
              <w:jc w:val="both"/>
              <w:rPr>
                <w:sz w:val="20"/>
                <w:szCs w:val="20"/>
              </w:rPr>
            </w:pPr>
          </w:p>
        </w:tc>
      </w:tr>
      <w:tr w:rsidR="00AF368D" w:rsidTr="007F3C21">
        <w:trPr>
          <w:cantSplit/>
        </w:trPr>
        <w:tc>
          <w:tcPr>
            <w:tcW w:w="9350" w:type="dxa"/>
            <w:gridSpan w:val="2"/>
          </w:tcPr>
          <w:p w:rsidR="00AF368D" w:rsidRPr="00D86243" w:rsidRDefault="00AF368D" w:rsidP="007F3C21">
            <w:pPr>
              <w:rPr>
                <w:rFonts w:cs="Arial"/>
                <w:sz w:val="20"/>
                <w:szCs w:val="20"/>
              </w:rPr>
            </w:pPr>
            <w:r w:rsidRPr="001D77F7">
              <w:rPr>
                <w:b/>
              </w:rPr>
              <w:t>1.3 Installation Type and Delivery Mechanisms</w:t>
            </w:r>
          </w:p>
        </w:tc>
      </w:tr>
      <w:tr w:rsidR="00DB71F1" w:rsidTr="00F52060">
        <w:trPr>
          <w:cantSplit/>
        </w:trPr>
        <w:tc>
          <w:tcPr>
            <w:tcW w:w="1975" w:type="dxa"/>
            <w:vAlign w:val="center"/>
          </w:tcPr>
          <w:p w:rsidR="00DB71F1" w:rsidRPr="00822B6F" w:rsidRDefault="00DB71F1" w:rsidP="007F3C21">
            <w:pPr>
              <w:jc w:val="right"/>
              <w:rPr>
                <w:sz w:val="20"/>
                <w:szCs w:val="20"/>
              </w:rPr>
            </w:pPr>
            <w:r w:rsidRPr="00822B6F">
              <w:rPr>
                <w:sz w:val="20"/>
                <w:szCs w:val="20"/>
              </w:rPr>
              <w:t>Installation Type</w:t>
            </w:r>
          </w:p>
        </w:tc>
        <w:tc>
          <w:tcPr>
            <w:tcW w:w="7375" w:type="dxa"/>
          </w:tcPr>
          <w:p w:rsidR="00CF2ABA" w:rsidRPr="00F52060" w:rsidRDefault="008F537E" w:rsidP="00FE636E">
            <w:pPr>
              <w:rPr>
                <w:rFonts w:cs="Arial"/>
                <w:sz w:val="20"/>
                <w:szCs w:val="20"/>
              </w:rPr>
            </w:pPr>
            <w:r>
              <w:rPr>
                <w:sz w:val="20"/>
                <w:szCs w:val="20"/>
              </w:rPr>
              <w:t>Replace on Burnout (ROB</w:t>
            </w:r>
            <w:r w:rsidR="00F52060" w:rsidRPr="00F52060">
              <w:rPr>
                <w:sz w:val="20"/>
                <w:szCs w:val="20"/>
              </w:rPr>
              <w:t>)</w:t>
            </w:r>
          </w:p>
        </w:tc>
      </w:tr>
      <w:tr w:rsidR="00DB71F1" w:rsidTr="00F52060">
        <w:trPr>
          <w:cantSplit/>
        </w:trPr>
        <w:tc>
          <w:tcPr>
            <w:tcW w:w="1975" w:type="dxa"/>
            <w:vAlign w:val="center"/>
          </w:tcPr>
          <w:p w:rsidR="00DB71F1" w:rsidRPr="00822B6F" w:rsidRDefault="00DB71F1" w:rsidP="007F3C21">
            <w:pPr>
              <w:jc w:val="right"/>
              <w:rPr>
                <w:sz w:val="20"/>
                <w:szCs w:val="20"/>
              </w:rPr>
            </w:pPr>
            <w:r w:rsidRPr="00822B6F">
              <w:rPr>
                <w:sz w:val="20"/>
                <w:szCs w:val="20"/>
              </w:rPr>
              <w:t>Delivery Mechanisms</w:t>
            </w:r>
          </w:p>
        </w:tc>
        <w:tc>
          <w:tcPr>
            <w:tcW w:w="7375" w:type="dxa"/>
          </w:tcPr>
          <w:p w:rsidR="00B9551F" w:rsidRPr="00FE636E" w:rsidRDefault="008F537E" w:rsidP="00FE636E">
            <w:pPr>
              <w:rPr>
                <w:rFonts w:cs="Arial"/>
                <w:sz w:val="20"/>
                <w:szCs w:val="20"/>
              </w:rPr>
            </w:pPr>
            <w:proofErr w:type="spellStart"/>
            <w:r>
              <w:rPr>
                <w:rFonts w:cs="Arial"/>
                <w:sz w:val="20"/>
                <w:szCs w:val="20"/>
              </w:rPr>
              <w:t>PreRebDown</w:t>
            </w:r>
            <w:proofErr w:type="spellEnd"/>
          </w:p>
        </w:tc>
      </w:tr>
      <w:tr w:rsidR="00DD2F3D" w:rsidTr="007F3C21">
        <w:trPr>
          <w:cantSplit/>
        </w:trPr>
        <w:tc>
          <w:tcPr>
            <w:tcW w:w="9350" w:type="dxa"/>
            <w:gridSpan w:val="2"/>
          </w:tcPr>
          <w:p w:rsidR="00DD2F3D" w:rsidRDefault="00DD2F3D" w:rsidP="007F3C21">
            <w:r w:rsidRPr="001D77F7">
              <w:rPr>
                <w:b/>
              </w:rPr>
              <w:lastRenderedPageBreak/>
              <w:t>1.4.1 DEER Data</w:t>
            </w:r>
          </w:p>
        </w:tc>
      </w:tr>
      <w:tr w:rsidR="00A61271" w:rsidTr="00F52060">
        <w:trPr>
          <w:cantSplit/>
        </w:trPr>
        <w:tc>
          <w:tcPr>
            <w:tcW w:w="1975" w:type="dxa"/>
            <w:vAlign w:val="center"/>
          </w:tcPr>
          <w:p w:rsidR="00A61271" w:rsidRPr="00822B6F" w:rsidRDefault="00A61271" w:rsidP="007F3C21">
            <w:pPr>
              <w:jc w:val="right"/>
              <w:rPr>
                <w:sz w:val="20"/>
                <w:szCs w:val="20"/>
              </w:rPr>
            </w:pPr>
            <w:r w:rsidRPr="00822B6F">
              <w:rPr>
                <w:sz w:val="20"/>
                <w:szCs w:val="20"/>
              </w:rPr>
              <w:t>Net-to-Gross Ratio</w:t>
            </w:r>
          </w:p>
        </w:tc>
        <w:tc>
          <w:tcPr>
            <w:tcW w:w="7375" w:type="dxa"/>
          </w:tcPr>
          <w:p w:rsidR="0090016E" w:rsidRDefault="00960E39" w:rsidP="007F3C21">
            <w:pPr>
              <w:tabs>
                <w:tab w:val="right" w:pos="6732"/>
              </w:tabs>
              <w:rPr>
                <w:rFonts w:cs="Arial"/>
                <w:sz w:val="20"/>
                <w:szCs w:val="20"/>
              </w:rPr>
            </w:pPr>
            <w:r>
              <w:rPr>
                <w:rFonts w:cs="Arial"/>
                <w:sz w:val="20"/>
                <w:szCs w:val="20"/>
              </w:rPr>
              <w:t>All-Default&lt;=2yrs</w:t>
            </w:r>
          </w:p>
          <w:p w:rsidR="0090016E" w:rsidRPr="00D86243" w:rsidRDefault="0090016E" w:rsidP="007F3C21">
            <w:pPr>
              <w:tabs>
                <w:tab w:val="right" w:pos="6732"/>
              </w:tabs>
              <w:rPr>
                <w:rFonts w:cs="Arial"/>
                <w:sz w:val="20"/>
                <w:szCs w:val="20"/>
              </w:rPr>
            </w:pPr>
          </w:p>
        </w:tc>
      </w:tr>
      <w:tr w:rsidR="00A61271" w:rsidTr="00AF368D">
        <w:trPr>
          <w:cantSplit/>
          <w:trHeight w:val="845"/>
        </w:trPr>
        <w:tc>
          <w:tcPr>
            <w:tcW w:w="1975" w:type="dxa"/>
            <w:vAlign w:val="center"/>
          </w:tcPr>
          <w:p w:rsidR="00A61271" w:rsidRPr="00822B6F" w:rsidRDefault="00A61271" w:rsidP="007F3C21">
            <w:pPr>
              <w:jc w:val="right"/>
              <w:rPr>
                <w:sz w:val="20"/>
                <w:szCs w:val="20"/>
              </w:rPr>
            </w:pPr>
            <w:r w:rsidRPr="00822B6F">
              <w:rPr>
                <w:sz w:val="20"/>
                <w:szCs w:val="20"/>
              </w:rPr>
              <w:t>Effective and Remaining Useful Life</w:t>
            </w:r>
          </w:p>
        </w:tc>
        <w:tc>
          <w:tcPr>
            <w:tcW w:w="7375" w:type="dxa"/>
          </w:tcPr>
          <w:p w:rsidR="00960E39" w:rsidRDefault="00960E39" w:rsidP="004748BE">
            <w:pPr>
              <w:tabs>
                <w:tab w:val="right" w:pos="6732"/>
              </w:tabs>
              <w:rPr>
                <w:rFonts w:cs="Arial"/>
                <w:sz w:val="20"/>
                <w:szCs w:val="20"/>
              </w:rPr>
            </w:pPr>
            <w:r>
              <w:rPr>
                <w:rFonts w:cs="Arial"/>
                <w:sz w:val="20"/>
                <w:szCs w:val="20"/>
              </w:rPr>
              <w:t>HV-</w:t>
            </w:r>
            <w:proofErr w:type="spellStart"/>
            <w:r>
              <w:rPr>
                <w:rFonts w:cs="Arial"/>
                <w:sz w:val="20"/>
                <w:szCs w:val="20"/>
              </w:rPr>
              <w:t>ResAC</w:t>
            </w:r>
            <w:proofErr w:type="spellEnd"/>
          </w:p>
          <w:p w:rsidR="004748BE" w:rsidRDefault="00F80937" w:rsidP="004748BE">
            <w:pPr>
              <w:tabs>
                <w:tab w:val="right" w:pos="6732"/>
              </w:tabs>
              <w:rPr>
                <w:rFonts w:cs="Arial"/>
                <w:sz w:val="20"/>
                <w:szCs w:val="20"/>
              </w:rPr>
            </w:pPr>
            <w:r>
              <w:rPr>
                <w:rFonts w:cs="Arial"/>
                <w:sz w:val="20"/>
                <w:szCs w:val="20"/>
              </w:rPr>
              <w:t>EUL= 15</w:t>
            </w:r>
            <w:r w:rsidR="004748BE">
              <w:rPr>
                <w:rFonts w:cs="Arial"/>
                <w:sz w:val="20"/>
                <w:szCs w:val="20"/>
              </w:rPr>
              <w:t xml:space="preserve"> years</w:t>
            </w:r>
          </w:p>
          <w:p w:rsidR="004748BE" w:rsidRPr="00D86243" w:rsidRDefault="00F80937" w:rsidP="004748BE">
            <w:pPr>
              <w:tabs>
                <w:tab w:val="right" w:pos="6732"/>
              </w:tabs>
              <w:rPr>
                <w:rFonts w:cs="Arial"/>
                <w:sz w:val="20"/>
                <w:szCs w:val="20"/>
              </w:rPr>
            </w:pPr>
            <w:r>
              <w:rPr>
                <w:rFonts w:cs="Arial"/>
                <w:sz w:val="20"/>
                <w:szCs w:val="20"/>
              </w:rPr>
              <w:t>RUL=EUL/3=5</w:t>
            </w:r>
          </w:p>
        </w:tc>
      </w:tr>
      <w:tr w:rsidR="002D7807" w:rsidTr="00517D47">
        <w:trPr>
          <w:cantSplit/>
          <w:trHeight w:val="287"/>
        </w:trPr>
        <w:tc>
          <w:tcPr>
            <w:tcW w:w="1975" w:type="dxa"/>
            <w:vAlign w:val="center"/>
          </w:tcPr>
          <w:p w:rsidR="002D7807" w:rsidRPr="00822B6F" w:rsidRDefault="002D7807" w:rsidP="004336A8">
            <w:pPr>
              <w:jc w:val="center"/>
              <w:rPr>
                <w:sz w:val="20"/>
                <w:szCs w:val="20"/>
              </w:rPr>
            </w:pPr>
            <w:r>
              <w:rPr>
                <w:sz w:val="20"/>
                <w:szCs w:val="20"/>
              </w:rPr>
              <w:t>GSIA</w:t>
            </w:r>
          </w:p>
        </w:tc>
        <w:tc>
          <w:tcPr>
            <w:tcW w:w="7375" w:type="dxa"/>
          </w:tcPr>
          <w:p w:rsidR="00132B69" w:rsidRPr="00F80937" w:rsidRDefault="00870139" w:rsidP="00517D47">
            <w:pPr>
              <w:tabs>
                <w:tab w:val="right" w:pos="6732"/>
              </w:tabs>
              <w:rPr>
                <w:rFonts w:cs="Arial"/>
                <w:sz w:val="20"/>
                <w:szCs w:val="20"/>
              </w:rPr>
            </w:pPr>
            <w:r w:rsidRPr="00F80937">
              <w:rPr>
                <w:rFonts w:cs="Arial"/>
                <w:sz w:val="20"/>
                <w:szCs w:val="20"/>
              </w:rPr>
              <w:t xml:space="preserve">GSIA ID: </w:t>
            </w:r>
            <w:r w:rsidR="00F80937" w:rsidRPr="00F80937">
              <w:rPr>
                <w:sz w:val="20"/>
                <w:szCs w:val="20"/>
              </w:rPr>
              <w:t>Def-GSIA</w:t>
            </w:r>
          </w:p>
        </w:tc>
      </w:tr>
      <w:tr w:rsidR="00AF368D" w:rsidTr="00AF368D">
        <w:trPr>
          <w:cantSplit/>
          <w:trHeight w:val="458"/>
        </w:trPr>
        <w:tc>
          <w:tcPr>
            <w:tcW w:w="9350" w:type="dxa"/>
            <w:gridSpan w:val="2"/>
            <w:vAlign w:val="center"/>
          </w:tcPr>
          <w:p w:rsidR="00AF368D" w:rsidRPr="00241A1F" w:rsidRDefault="00AF368D" w:rsidP="00AF368D">
            <w:pPr>
              <w:rPr>
                <w:rFonts w:cs="Arial"/>
                <w:sz w:val="20"/>
                <w:szCs w:val="20"/>
              </w:rPr>
            </w:pPr>
            <w:r w:rsidRPr="001D77F7">
              <w:rPr>
                <w:b/>
              </w:rPr>
              <w:t>Section 2. Calculation Methodology</w:t>
            </w:r>
          </w:p>
        </w:tc>
      </w:tr>
      <w:tr w:rsidR="00A61271" w:rsidTr="00F52060">
        <w:trPr>
          <w:cantSplit/>
        </w:trPr>
        <w:tc>
          <w:tcPr>
            <w:tcW w:w="1975" w:type="dxa"/>
            <w:vAlign w:val="center"/>
          </w:tcPr>
          <w:p w:rsidR="00A61271" w:rsidRDefault="00A61271" w:rsidP="00787D7C">
            <w:pPr>
              <w:jc w:val="right"/>
            </w:pPr>
            <w:r>
              <w:rPr>
                <w:rFonts w:cs="Arial"/>
                <w:sz w:val="20"/>
                <w:szCs w:val="20"/>
              </w:rPr>
              <w:t>Energy Savings/Peak Demand Reduction – All Measures</w:t>
            </w:r>
          </w:p>
        </w:tc>
        <w:tc>
          <w:tcPr>
            <w:tcW w:w="7375" w:type="dxa"/>
          </w:tcPr>
          <w:p w:rsidR="007F3C21" w:rsidRDefault="00AF368D" w:rsidP="00AF368D">
            <w:pPr>
              <w:rPr>
                <w:bCs/>
                <w:sz w:val="20"/>
                <w:szCs w:val="20"/>
              </w:rPr>
            </w:pPr>
            <w:r w:rsidRPr="007F3C21">
              <w:rPr>
                <w:rFonts w:cs="Arial"/>
                <w:sz w:val="20"/>
                <w:szCs w:val="20"/>
              </w:rPr>
              <w:t xml:space="preserve">The annual energy and demand savings for the residential sector are based on </w:t>
            </w:r>
            <w:r w:rsidR="007F3C21" w:rsidRPr="007F3C21">
              <w:rPr>
                <w:bCs/>
                <w:sz w:val="20"/>
                <w:szCs w:val="20"/>
              </w:rPr>
              <w:t xml:space="preserve">SCE’s workpaper SCE17HC013.0. The SCE workpaper includes </w:t>
            </w:r>
            <w:r w:rsidR="007F3C21">
              <w:rPr>
                <w:bCs/>
                <w:sz w:val="20"/>
                <w:szCs w:val="20"/>
              </w:rPr>
              <w:t xml:space="preserve">multiple measures. Two </w:t>
            </w:r>
            <w:r w:rsidR="002A2A93">
              <w:rPr>
                <w:bCs/>
                <w:sz w:val="20"/>
                <w:szCs w:val="20"/>
              </w:rPr>
              <w:t xml:space="preserve">of the included </w:t>
            </w:r>
            <w:r w:rsidR="007F3C21">
              <w:rPr>
                <w:bCs/>
                <w:sz w:val="20"/>
                <w:szCs w:val="20"/>
              </w:rPr>
              <w:t>measures are:</w:t>
            </w:r>
          </w:p>
          <w:p w:rsidR="00072E01" w:rsidRDefault="00072E01" w:rsidP="00072E01">
            <w:pPr>
              <w:rPr>
                <w:sz w:val="20"/>
                <w:szCs w:val="20"/>
              </w:rPr>
            </w:pPr>
            <w:r w:rsidRPr="00072E01">
              <w:rPr>
                <w:bCs/>
                <w:sz w:val="20"/>
                <w:szCs w:val="20"/>
              </w:rPr>
              <w:t>1.</w:t>
            </w:r>
            <w:r>
              <w:rPr>
                <w:sz w:val="20"/>
                <w:szCs w:val="20"/>
              </w:rPr>
              <w:t xml:space="preserve"> E</w:t>
            </w:r>
            <w:r w:rsidR="007F3C21" w:rsidRPr="00072E01">
              <w:rPr>
                <w:sz w:val="20"/>
                <w:szCs w:val="20"/>
              </w:rPr>
              <w:t>nergy efficiency upgrade</w:t>
            </w:r>
            <w:r>
              <w:rPr>
                <w:sz w:val="20"/>
                <w:szCs w:val="20"/>
              </w:rPr>
              <w:t xml:space="preserve"> (T20 to SEER15/16/17)</w:t>
            </w:r>
            <w:r w:rsidR="007F3C21" w:rsidRPr="00072E01">
              <w:rPr>
                <w:sz w:val="20"/>
                <w:szCs w:val="20"/>
              </w:rPr>
              <w:t xml:space="preserve"> </w:t>
            </w:r>
            <w:r>
              <w:rPr>
                <w:sz w:val="20"/>
                <w:szCs w:val="20"/>
              </w:rPr>
              <w:t>with q</w:t>
            </w:r>
            <w:r w:rsidR="007F3C21" w:rsidRPr="00072E01">
              <w:rPr>
                <w:sz w:val="20"/>
                <w:szCs w:val="20"/>
              </w:rPr>
              <w:t>uality installation</w:t>
            </w:r>
          </w:p>
          <w:p w:rsidR="00072E01" w:rsidRDefault="00072E01" w:rsidP="00072E01">
            <w:pPr>
              <w:rPr>
                <w:sz w:val="20"/>
                <w:szCs w:val="20"/>
              </w:rPr>
            </w:pPr>
            <w:r>
              <w:rPr>
                <w:sz w:val="20"/>
                <w:szCs w:val="20"/>
              </w:rPr>
              <w:t>2</w:t>
            </w:r>
            <w:r w:rsidR="007F3C21" w:rsidRPr="00072E01">
              <w:rPr>
                <w:sz w:val="20"/>
                <w:szCs w:val="20"/>
              </w:rPr>
              <w:t>.</w:t>
            </w:r>
            <w:r>
              <w:rPr>
                <w:sz w:val="20"/>
                <w:szCs w:val="20"/>
              </w:rPr>
              <w:t xml:space="preserve"> E</w:t>
            </w:r>
            <w:r w:rsidRPr="00072E01">
              <w:rPr>
                <w:sz w:val="20"/>
                <w:szCs w:val="20"/>
              </w:rPr>
              <w:t>nergy efficiency upgrade</w:t>
            </w:r>
            <w:r>
              <w:rPr>
                <w:sz w:val="20"/>
                <w:szCs w:val="20"/>
              </w:rPr>
              <w:t xml:space="preserve"> (T20 to SEER15/16/17)</w:t>
            </w:r>
            <w:r w:rsidRPr="00072E01">
              <w:rPr>
                <w:sz w:val="20"/>
                <w:szCs w:val="20"/>
              </w:rPr>
              <w:t xml:space="preserve"> </w:t>
            </w:r>
            <w:r>
              <w:rPr>
                <w:sz w:val="20"/>
                <w:szCs w:val="20"/>
              </w:rPr>
              <w:t>with standard installation</w:t>
            </w:r>
          </w:p>
          <w:p w:rsidR="00072E01" w:rsidRDefault="00072E01" w:rsidP="00072E01">
            <w:pPr>
              <w:rPr>
                <w:sz w:val="20"/>
                <w:szCs w:val="20"/>
              </w:rPr>
            </w:pPr>
          </w:p>
          <w:p w:rsidR="007F3C21" w:rsidRDefault="007F3C21" w:rsidP="00072E01">
            <w:pPr>
              <w:rPr>
                <w:sz w:val="20"/>
                <w:szCs w:val="20"/>
              </w:rPr>
            </w:pPr>
            <w:r w:rsidRPr="00072E01">
              <w:rPr>
                <w:sz w:val="20"/>
                <w:szCs w:val="20"/>
              </w:rPr>
              <w:t>SDG&amp;E has adjusted energy savings to only include quality installation of a 15 SEER, 16 SEER or 17 SEER unit. The energy savings for standard installation</w:t>
            </w:r>
            <w:r w:rsidR="00072E01">
              <w:rPr>
                <w:sz w:val="20"/>
                <w:szCs w:val="20"/>
              </w:rPr>
              <w:t xml:space="preserve"> </w:t>
            </w:r>
            <w:r w:rsidR="002A2A93">
              <w:rPr>
                <w:sz w:val="20"/>
                <w:szCs w:val="20"/>
              </w:rPr>
              <w:t xml:space="preserve">were </w:t>
            </w:r>
            <w:r w:rsidRPr="00072E01">
              <w:rPr>
                <w:sz w:val="20"/>
                <w:szCs w:val="20"/>
              </w:rPr>
              <w:t xml:space="preserve">subtracted from the energy savings of a </w:t>
            </w:r>
            <w:r w:rsidR="00072E01">
              <w:rPr>
                <w:sz w:val="20"/>
                <w:szCs w:val="20"/>
              </w:rPr>
              <w:t xml:space="preserve">quality </w:t>
            </w:r>
            <w:r w:rsidRPr="00072E01">
              <w:rPr>
                <w:sz w:val="20"/>
                <w:szCs w:val="20"/>
              </w:rPr>
              <w:t xml:space="preserve">installed unit to determine the energy savings associated with the quality installation of the unit. The base case and measure case SEER are equal, the only difference is the installation method (standard or </w:t>
            </w:r>
            <w:r w:rsidR="00072E01">
              <w:rPr>
                <w:sz w:val="20"/>
                <w:szCs w:val="20"/>
              </w:rPr>
              <w:t>quality</w:t>
            </w:r>
            <w:r w:rsidRPr="00072E01">
              <w:rPr>
                <w:sz w:val="20"/>
                <w:szCs w:val="20"/>
              </w:rPr>
              <w:t xml:space="preserve">). </w:t>
            </w:r>
          </w:p>
          <w:p w:rsidR="00853385" w:rsidRPr="00072E01" w:rsidRDefault="00853385" w:rsidP="00072E01">
            <w:pPr>
              <w:rPr>
                <w:sz w:val="20"/>
                <w:szCs w:val="20"/>
              </w:rPr>
            </w:pPr>
          </w:p>
          <w:p w:rsidR="00EB2DBB" w:rsidRPr="00853385" w:rsidRDefault="00853385" w:rsidP="00853385">
            <w:r w:rsidRPr="00853385">
              <w:rPr>
                <w:noProof/>
              </w:rPr>
              <w:drawing>
                <wp:inline distT="0" distB="0" distL="0" distR="0">
                  <wp:extent cx="4537710" cy="281241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7710" cy="2812415"/>
                          </a:xfrm>
                          <a:prstGeom prst="rect">
                            <a:avLst/>
                          </a:prstGeom>
                          <a:noFill/>
                          <a:ln>
                            <a:noFill/>
                          </a:ln>
                        </pic:spPr>
                      </pic:pic>
                    </a:graphicData>
                  </a:graphic>
                </wp:inline>
              </w:drawing>
            </w:r>
          </w:p>
        </w:tc>
      </w:tr>
      <w:tr w:rsidR="00DD2F3D" w:rsidTr="007F3C21">
        <w:trPr>
          <w:cantSplit/>
        </w:trPr>
        <w:tc>
          <w:tcPr>
            <w:tcW w:w="9350" w:type="dxa"/>
            <w:gridSpan w:val="2"/>
            <w:vAlign w:val="center"/>
          </w:tcPr>
          <w:p w:rsidR="00DD2F3D" w:rsidRPr="00476F40" w:rsidRDefault="00DD2F3D">
            <w:pPr>
              <w:tabs>
                <w:tab w:val="right" w:pos="6732"/>
              </w:tabs>
              <w:rPr>
                <w:rFonts w:cs="Arial"/>
                <w:sz w:val="20"/>
                <w:szCs w:val="20"/>
              </w:rPr>
            </w:pPr>
            <w:r w:rsidRPr="001D77F7">
              <w:rPr>
                <w:b/>
              </w:rPr>
              <w:t>Section 3. Load Shapes</w:t>
            </w:r>
          </w:p>
        </w:tc>
      </w:tr>
      <w:tr w:rsidR="00DD2F3D" w:rsidTr="00F52060">
        <w:trPr>
          <w:cantSplit/>
        </w:trPr>
        <w:tc>
          <w:tcPr>
            <w:tcW w:w="1975" w:type="dxa"/>
            <w:vAlign w:val="center"/>
          </w:tcPr>
          <w:p w:rsidR="00DD2F3D" w:rsidRPr="00DD2F3D" w:rsidRDefault="00DD2F3D" w:rsidP="007F3C21">
            <w:r>
              <w:t>Load Shape</w:t>
            </w:r>
          </w:p>
        </w:tc>
        <w:tc>
          <w:tcPr>
            <w:tcW w:w="7375" w:type="dxa"/>
          </w:tcPr>
          <w:p w:rsidR="00DD2F3D" w:rsidRDefault="00DD2F3D">
            <w:pPr>
              <w:tabs>
                <w:tab w:val="right" w:pos="6732"/>
              </w:tabs>
              <w:rPr>
                <w:rFonts w:cstheme="minorHAnsi"/>
                <w:bCs/>
                <w:sz w:val="20"/>
              </w:rPr>
            </w:pPr>
            <w:proofErr w:type="spellStart"/>
            <w:proofErr w:type="gramStart"/>
            <w:r>
              <w:rPr>
                <w:rFonts w:cstheme="minorHAnsi"/>
                <w:bCs/>
                <w:sz w:val="20"/>
              </w:rPr>
              <w:t>SDGE:DEER</w:t>
            </w:r>
            <w:proofErr w:type="gramEnd"/>
            <w:r>
              <w:rPr>
                <w:rFonts w:cstheme="minorHAnsi"/>
                <w:bCs/>
                <w:sz w:val="20"/>
              </w:rPr>
              <w:t>:HVAC_Eff_AC</w:t>
            </w:r>
            <w:proofErr w:type="spellEnd"/>
            <w:r>
              <w:rPr>
                <w:rFonts w:cstheme="minorHAnsi"/>
                <w:bCs/>
                <w:sz w:val="20"/>
              </w:rPr>
              <w:br/>
              <w:t>Annual</w:t>
            </w:r>
          </w:p>
        </w:tc>
      </w:tr>
      <w:tr w:rsidR="00AF368D" w:rsidTr="007F3C21">
        <w:trPr>
          <w:cantSplit/>
        </w:trPr>
        <w:tc>
          <w:tcPr>
            <w:tcW w:w="9350" w:type="dxa"/>
            <w:gridSpan w:val="2"/>
            <w:vAlign w:val="center"/>
          </w:tcPr>
          <w:p w:rsidR="00AF368D" w:rsidRDefault="00AF368D">
            <w:pPr>
              <w:tabs>
                <w:tab w:val="right" w:pos="6732"/>
              </w:tabs>
              <w:rPr>
                <w:rFonts w:cstheme="minorHAnsi"/>
                <w:bCs/>
                <w:sz w:val="20"/>
              </w:rPr>
            </w:pPr>
            <w:r>
              <w:rPr>
                <w:b/>
              </w:rPr>
              <w:t>Section 4</w:t>
            </w:r>
            <w:r w:rsidRPr="00244805">
              <w:rPr>
                <w:b/>
              </w:rPr>
              <w:t xml:space="preserve">. </w:t>
            </w:r>
            <w:r>
              <w:rPr>
                <w:b/>
              </w:rPr>
              <w:t>Cost</w:t>
            </w:r>
          </w:p>
        </w:tc>
      </w:tr>
      <w:tr w:rsidR="00AF368D" w:rsidTr="007F3C21">
        <w:trPr>
          <w:cantSplit/>
        </w:trPr>
        <w:tc>
          <w:tcPr>
            <w:tcW w:w="9350" w:type="dxa"/>
            <w:gridSpan w:val="2"/>
            <w:vAlign w:val="center"/>
          </w:tcPr>
          <w:p w:rsidR="00AF368D" w:rsidRPr="00381D5C" w:rsidRDefault="00AF368D">
            <w:pPr>
              <w:tabs>
                <w:tab w:val="right" w:pos="6732"/>
              </w:tabs>
              <w:rPr>
                <w:rFonts w:cstheme="minorHAnsi"/>
                <w:bCs/>
                <w:sz w:val="20"/>
              </w:rPr>
            </w:pPr>
            <w:r w:rsidRPr="00381D5C">
              <w:rPr>
                <w:b/>
              </w:rPr>
              <w:t>Section 4.1 Base and Measure Costs</w:t>
            </w:r>
          </w:p>
        </w:tc>
      </w:tr>
      <w:tr w:rsidR="00244805" w:rsidTr="00F52060">
        <w:trPr>
          <w:cantSplit/>
        </w:trPr>
        <w:tc>
          <w:tcPr>
            <w:tcW w:w="1975" w:type="dxa"/>
          </w:tcPr>
          <w:p w:rsidR="00244805" w:rsidRPr="00D91B6C" w:rsidRDefault="00244805" w:rsidP="00244805">
            <w:r w:rsidRPr="00D91B6C">
              <w:t>Base Cost</w:t>
            </w:r>
          </w:p>
        </w:tc>
        <w:tc>
          <w:tcPr>
            <w:tcW w:w="7375" w:type="dxa"/>
          </w:tcPr>
          <w:p w:rsidR="00B90F97" w:rsidRPr="00A854EE" w:rsidRDefault="00B90F97" w:rsidP="00B90F97">
            <w:pPr>
              <w:rPr>
                <w:sz w:val="20"/>
                <w:szCs w:val="20"/>
              </w:rPr>
            </w:pPr>
            <w:r w:rsidRPr="00A854EE">
              <w:rPr>
                <w:sz w:val="20"/>
                <w:szCs w:val="20"/>
              </w:rPr>
              <w:t xml:space="preserve">The base case is the </w:t>
            </w:r>
            <w:r w:rsidR="00381D5C">
              <w:rPr>
                <w:sz w:val="20"/>
                <w:szCs w:val="20"/>
              </w:rPr>
              <w:t xml:space="preserve">cost of standard installation based on </w:t>
            </w:r>
            <w:r w:rsidR="00381D5C">
              <w:rPr>
                <w:bCs/>
                <w:sz w:val="20"/>
                <w:szCs w:val="20"/>
              </w:rPr>
              <w:t>SCE’s workpaper SCE17HC013.0.</w:t>
            </w:r>
            <w:r w:rsidR="00381D5C">
              <w:rPr>
                <w:sz w:val="20"/>
                <w:szCs w:val="20"/>
              </w:rPr>
              <w:t xml:space="preserve"> Please see cost table in measure cost description.</w:t>
            </w:r>
          </w:p>
          <w:p w:rsidR="00244805" w:rsidRPr="003B7A13" w:rsidRDefault="00244805" w:rsidP="00244805">
            <w:pPr>
              <w:rPr>
                <w:highlight w:val="yellow"/>
              </w:rPr>
            </w:pPr>
          </w:p>
        </w:tc>
      </w:tr>
      <w:tr w:rsidR="00244805" w:rsidTr="00F52060">
        <w:trPr>
          <w:cantSplit/>
        </w:trPr>
        <w:tc>
          <w:tcPr>
            <w:tcW w:w="1975" w:type="dxa"/>
          </w:tcPr>
          <w:p w:rsidR="00244805" w:rsidRPr="00D91B6C" w:rsidRDefault="00244805" w:rsidP="00244805">
            <w:r w:rsidRPr="00D91B6C">
              <w:lastRenderedPageBreak/>
              <w:t xml:space="preserve">Measure Cost </w:t>
            </w:r>
          </w:p>
        </w:tc>
        <w:tc>
          <w:tcPr>
            <w:tcW w:w="7375" w:type="dxa"/>
          </w:tcPr>
          <w:p w:rsidR="00381D5C" w:rsidRDefault="00381D5C" w:rsidP="00381D5C">
            <w:pPr>
              <w:rPr>
                <w:bCs/>
                <w:sz w:val="20"/>
                <w:szCs w:val="20"/>
              </w:rPr>
            </w:pPr>
            <w:r w:rsidRPr="007F3C21">
              <w:rPr>
                <w:rFonts w:cs="Arial"/>
                <w:sz w:val="20"/>
                <w:szCs w:val="20"/>
              </w:rPr>
              <w:t xml:space="preserve">The </w:t>
            </w:r>
            <w:r w:rsidR="0031363D">
              <w:rPr>
                <w:rFonts w:cs="Arial"/>
                <w:sz w:val="20"/>
                <w:szCs w:val="20"/>
              </w:rPr>
              <w:t xml:space="preserve">costs </w:t>
            </w:r>
            <w:r w:rsidRPr="007F3C21">
              <w:rPr>
                <w:rFonts w:cs="Arial"/>
                <w:sz w:val="20"/>
                <w:szCs w:val="20"/>
              </w:rPr>
              <w:t xml:space="preserve">are based on </w:t>
            </w:r>
            <w:r w:rsidRPr="007F3C21">
              <w:rPr>
                <w:bCs/>
                <w:sz w:val="20"/>
                <w:szCs w:val="20"/>
              </w:rPr>
              <w:t xml:space="preserve">SCE’s workpaper SCE17HC013.0. The SCE workpaper includes </w:t>
            </w:r>
            <w:r>
              <w:rPr>
                <w:bCs/>
                <w:sz w:val="20"/>
                <w:szCs w:val="20"/>
              </w:rPr>
              <w:t>multiple measures. Two of the included measures are:</w:t>
            </w:r>
          </w:p>
          <w:p w:rsidR="00381D5C" w:rsidRDefault="00381D5C" w:rsidP="00381D5C">
            <w:pPr>
              <w:rPr>
                <w:sz w:val="20"/>
                <w:szCs w:val="20"/>
              </w:rPr>
            </w:pPr>
            <w:r w:rsidRPr="00072E01">
              <w:rPr>
                <w:bCs/>
                <w:sz w:val="20"/>
                <w:szCs w:val="20"/>
              </w:rPr>
              <w:t>1.</w:t>
            </w:r>
            <w:r>
              <w:rPr>
                <w:sz w:val="20"/>
                <w:szCs w:val="20"/>
              </w:rPr>
              <w:t xml:space="preserve"> E</w:t>
            </w:r>
            <w:r w:rsidRPr="00072E01">
              <w:rPr>
                <w:sz w:val="20"/>
                <w:szCs w:val="20"/>
              </w:rPr>
              <w:t>nergy efficiency upgrade</w:t>
            </w:r>
            <w:r>
              <w:rPr>
                <w:sz w:val="20"/>
                <w:szCs w:val="20"/>
              </w:rPr>
              <w:t xml:space="preserve"> (T20 to SEER15/16/17)</w:t>
            </w:r>
            <w:r w:rsidRPr="00072E01">
              <w:rPr>
                <w:sz w:val="20"/>
                <w:szCs w:val="20"/>
              </w:rPr>
              <w:t xml:space="preserve"> </w:t>
            </w:r>
            <w:r>
              <w:rPr>
                <w:sz w:val="20"/>
                <w:szCs w:val="20"/>
              </w:rPr>
              <w:t>with q</w:t>
            </w:r>
            <w:r w:rsidRPr="00072E01">
              <w:rPr>
                <w:sz w:val="20"/>
                <w:szCs w:val="20"/>
              </w:rPr>
              <w:t>uality installation</w:t>
            </w:r>
          </w:p>
          <w:p w:rsidR="00381D5C" w:rsidRDefault="00381D5C" w:rsidP="00381D5C">
            <w:pPr>
              <w:rPr>
                <w:sz w:val="20"/>
                <w:szCs w:val="20"/>
              </w:rPr>
            </w:pPr>
            <w:r>
              <w:rPr>
                <w:sz w:val="20"/>
                <w:szCs w:val="20"/>
              </w:rPr>
              <w:t>2</w:t>
            </w:r>
            <w:r w:rsidRPr="00072E01">
              <w:rPr>
                <w:sz w:val="20"/>
                <w:szCs w:val="20"/>
              </w:rPr>
              <w:t>.</w:t>
            </w:r>
            <w:r>
              <w:rPr>
                <w:sz w:val="20"/>
                <w:szCs w:val="20"/>
              </w:rPr>
              <w:t xml:space="preserve"> E</w:t>
            </w:r>
            <w:r w:rsidRPr="00072E01">
              <w:rPr>
                <w:sz w:val="20"/>
                <w:szCs w:val="20"/>
              </w:rPr>
              <w:t>nergy efficiency upgrade</w:t>
            </w:r>
            <w:r>
              <w:rPr>
                <w:sz w:val="20"/>
                <w:szCs w:val="20"/>
              </w:rPr>
              <w:t xml:space="preserve"> (T20 to SEER15/16/17)</w:t>
            </w:r>
            <w:r w:rsidRPr="00072E01">
              <w:rPr>
                <w:sz w:val="20"/>
                <w:szCs w:val="20"/>
              </w:rPr>
              <w:t xml:space="preserve"> </w:t>
            </w:r>
            <w:r>
              <w:rPr>
                <w:sz w:val="20"/>
                <w:szCs w:val="20"/>
              </w:rPr>
              <w:t>with standard installation</w:t>
            </w:r>
          </w:p>
          <w:p w:rsidR="00381D5C" w:rsidRDefault="00381D5C" w:rsidP="00381D5C">
            <w:pPr>
              <w:rPr>
                <w:sz w:val="20"/>
                <w:szCs w:val="20"/>
              </w:rPr>
            </w:pPr>
          </w:p>
          <w:p w:rsidR="00244805" w:rsidRDefault="00381D5C" w:rsidP="00B90F97">
            <w:pPr>
              <w:rPr>
                <w:sz w:val="20"/>
                <w:szCs w:val="20"/>
              </w:rPr>
            </w:pPr>
            <w:r w:rsidRPr="00072E01">
              <w:rPr>
                <w:sz w:val="20"/>
                <w:szCs w:val="20"/>
              </w:rPr>
              <w:t>SD</w:t>
            </w:r>
            <w:r w:rsidR="0031363D">
              <w:rPr>
                <w:sz w:val="20"/>
                <w:szCs w:val="20"/>
              </w:rPr>
              <w:t xml:space="preserve">G&amp;E has adjusted the costs </w:t>
            </w:r>
            <w:r w:rsidRPr="00072E01">
              <w:rPr>
                <w:sz w:val="20"/>
                <w:szCs w:val="20"/>
              </w:rPr>
              <w:t>to only include quality ins</w:t>
            </w:r>
            <w:r w:rsidR="00A216CC">
              <w:rPr>
                <w:sz w:val="20"/>
                <w:szCs w:val="20"/>
              </w:rPr>
              <w:t xml:space="preserve">tallation of a 15 SEER, 16 SEER </w:t>
            </w:r>
            <w:r w:rsidRPr="00072E01">
              <w:rPr>
                <w:sz w:val="20"/>
                <w:szCs w:val="20"/>
              </w:rPr>
              <w:t>or 1</w:t>
            </w:r>
            <w:r w:rsidR="0031363D">
              <w:rPr>
                <w:sz w:val="20"/>
                <w:szCs w:val="20"/>
              </w:rPr>
              <w:t xml:space="preserve">7 SEER unit. The costs </w:t>
            </w:r>
            <w:r w:rsidRPr="00072E01">
              <w:rPr>
                <w:sz w:val="20"/>
                <w:szCs w:val="20"/>
              </w:rPr>
              <w:t>for standard installation</w:t>
            </w:r>
            <w:r>
              <w:rPr>
                <w:sz w:val="20"/>
                <w:szCs w:val="20"/>
              </w:rPr>
              <w:t xml:space="preserve"> were </w:t>
            </w:r>
            <w:r w:rsidRPr="00072E01">
              <w:rPr>
                <w:sz w:val="20"/>
                <w:szCs w:val="20"/>
              </w:rPr>
              <w:t>su</w:t>
            </w:r>
            <w:r w:rsidR="0031363D">
              <w:rPr>
                <w:sz w:val="20"/>
                <w:szCs w:val="20"/>
              </w:rPr>
              <w:t>btracted from the costs</w:t>
            </w:r>
            <w:r w:rsidRPr="00072E01">
              <w:rPr>
                <w:sz w:val="20"/>
                <w:szCs w:val="20"/>
              </w:rPr>
              <w:t xml:space="preserve"> of a </w:t>
            </w:r>
            <w:r>
              <w:rPr>
                <w:sz w:val="20"/>
                <w:szCs w:val="20"/>
              </w:rPr>
              <w:t xml:space="preserve">quality </w:t>
            </w:r>
            <w:r w:rsidRPr="00072E01">
              <w:rPr>
                <w:sz w:val="20"/>
                <w:szCs w:val="20"/>
              </w:rPr>
              <w:t xml:space="preserve">installed unit to determine the </w:t>
            </w:r>
            <w:r w:rsidR="0031363D">
              <w:rPr>
                <w:sz w:val="20"/>
                <w:szCs w:val="20"/>
              </w:rPr>
              <w:t>IMC</w:t>
            </w:r>
            <w:r w:rsidRPr="00072E01">
              <w:rPr>
                <w:sz w:val="20"/>
                <w:szCs w:val="20"/>
              </w:rPr>
              <w:t xml:space="preserve"> associated with the quality installation of the unit. The base case and measure case SEER are equal, the only difference is the installation method (standard or </w:t>
            </w:r>
            <w:r>
              <w:rPr>
                <w:sz w:val="20"/>
                <w:szCs w:val="20"/>
              </w:rPr>
              <w:t>quality</w:t>
            </w:r>
            <w:r w:rsidRPr="00072E01">
              <w:rPr>
                <w:sz w:val="20"/>
                <w:szCs w:val="20"/>
              </w:rPr>
              <w:t xml:space="preserve">). </w:t>
            </w:r>
          </w:p>
          <w:p w:rsidR="00381D5C" w:rsidRDefault="00381D5C" w:rsidP="00B90F97">
            <w:pPr>
              <w:rPr>
                <w:sz w:val="20"/>
                <w:szCs w:val="20"/>
              </w:rPr>
            </w:pPr>
          </w:p>
          <w:p w:rsidR="00381D5C" w:rsidRDefault="00381D5C" w:rsidP="00B90F97">
            <w:pPr>
              <w:rPr>
                <w:sz w:val="20"/>
                <w:szCs w:val="20"/>
              </w:rPr>
            </w:pPr>
            <w:r w:rsidRPr="00381D5C">
              <w:rPr>
                <w:noProof/>
                <w:sz w:val="20"/>
                <w:szCs w:val="20"/>
              </w:rPr>
              <w:drawing>
                <wp:inline distT="0" distB="0" distL="0" distR="0">
                  <wp:extent cx="4545965" cy="707390"/>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45965" cy="707390"/>
                          </a:xfrm>
                          <a:prstGeom prst="rect">
                            <a:avLst/>
                          </a:prstGeom>
                          <a:noFill/>
                          <a:ln>
                            <a:noFill/>
                          </a:ln>
                        </pic:spPr>
                      </pic:pic>
                    </a:graphicData>
                  </a:graphic>
                </wp:inline>
              </w:drawing>
            </w:r>
          </w:p>
          <w:p w:rsidR="00E6262B" w:rsidRPr="00381D5C" w:rsidRDefault="00E6262B" w:rsidP="00B90F97">
            <w:pPr>
              <w:rPr>
                <w:sz w:val="20"/>
                <w:szCs w:val="20"/>
              </w:rPr>
            </w:pPr>
          </w:p>
        </w:tc>
      </w:tr>
    </w:tbl>
    <w:p w:rsidR="00C228B0" w:rsidRPr="00FD3D43" w:rsidRDefault="00C228B0" w:rsidP="004B01C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DCC" w:rsidRDefault="00C30DCC" w:rsidP="00FE520B">
      <w:r>
        <w:separator/>
      </w:r>
    </w:p>
  </w:endnote>
  <w:endnote w:type="continuationSeparator" w:id="0">
    <w:p w:rsidR="00C30DCC" w:rsidRDefault="00C30DCC"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C21" w:rsidRPr="00241A1F" w:rsidRDefault="007F3C21" w:rsidP="00241A1F">
    <w:pPr>
      <w:pStyle w:val="Footer"/>
      <w:rPr>
        <w:rFonts w:cstheme="minorHAnsi"/>
        <w:b/>
        <w:szCs w:val="22"/>
      </w:rPr>
    </w:pPr>
    <w:r>
      <w:rPr>
        <w:b/>
      </w:rPr>
      <w:t xml:space="preserve">Workpaper </w:t>
    </w:r>
    <w:r w:rsidR="00F72C1A" w:rsidRPr="00F72C1A">
      <w:rPr>
        <w:b/>
      </w:rPr>
      <w:t>WPSDGEREHC1064</w:t>
    </w:r>
    <w:r>
      <w:rPr>
        <w:b/>
      </w:rPr>
      <w:t xml:space="preserve">, Revision </w:t>
    </w:r>
    <w:r w:rsidR="00F72C1A">
      <w:rPr>
        <w:b/>
      </w:rPr>
      <w:t>1</w:t>
    </w:r>
    <w:r>
      <w:rPr>
        <w:b/>
      </w:rPr>
      <w:tab/>
    </w:r>
    <w:r>
      <w:rPr>
        <w:b/>
      </w:rPr>
      <w:tab/>
    </w:r>
    <w:r>
      <w:rPr>
        <w:rFonts w:cstheme="minorHAnsi"/>
        <w:b/>
        <w:szCs w:val="22"/>
      </w:rPr>
      <w:t xml:space="preserve">December </w:t>
    </w:r>
    <w:r w:rsidR="00960E39">
      <w:rPr>
        <w:rFonts w:cstheme="minorHAnsi"/>
        <w:b/>
        <w:szCs w:val="22"/>
      </w:rPr>
      <w:t>7</w:t>
    </w:r>
    <w:r>
      <w:rPr>
        <w:rFonts w:cstheme="minorHAnsi"/>
        <w:b/>
        <w:szCs w:val="22"/>
      </w:rPr>
      <w:t>, 2017</w:t>
    </w:r>
  </w:p>
  <w:p w:rsidR="007F3C21" w:rsidRPr="009500DC" w:rsidRDefault="007F3C21"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7E5EBA">
      <w:rPr>
        <w:b/>
        <w:noProof/>
      </w:rPr>
      <w:t>2</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DCC" w:rsidRDefault="00C30DCC" w:rsidP="00FE520B">
      <w:r>
        <w:separator/>
      </w:r>
    </w:p>
  </w:footnote>
  <w:footnote w:type="continuationSeparator" w:id="0">
    <w:p w:rsidR="00C30DCC" w:rsidRDefault="00C30DCC" w:rsidP="00FE5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C21" w:rsidRDefault="007F3C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332DD1"/>
    <w:multiLevelType w:val="hybridMultilevel"/>
    <w:tmpl w:val="71AEA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9"/>
  </w:num>
  <w:num w:numId="5">
    <w:abstractNumId w:val="14"/>
  </w:num>
  <w:num w:numId="6">
    <w:abstractNumId w:val="5"/>
  </w:num>
  <w:num w:numId="7">
    <w:abstractNumId w:val="20"/>
  </w:num>
  <w:num w:numId="8">
    <w:abstractNumId w:val="17"/>
  </w:num>
  <w:num w:numId="9">
    <w:abstractNumId w:val="6"/>
  </w:num>
  <w:num w:numId="10">
    <w:abstractNumId w:val="18"/>
  </w:num>
  <w:num w:numId="11">
    <w:abstractNumId w:val="19"/>
  </w:num>
  <w:num w:numId="12">
    <w:abstractNumId w:val="12"/>
  </w:num>
  <w:num w:numId="13">
    <w:abstractNumId w:val="21"/>
  </w:num>
  <w:num w:numId="14">
    <w:abstractNumId w:val="11"/>
  </w:num>
  <w:num w:numId="15">
    <w:abstractNumId w:val="13"/>
  </w:num>
  <w:num w:numId="16">
    <w:abstractNumId w:val="16"/>
  </w:num>
  <w:num w:numId="17">
    <w:abstractNumId w:val="10"/>
  </w:num>
  <w:num w:numId="18">
    <w:abstractNumId w:val="0"/>
  </w:num>
  <w:num w:numId="19">
    <w:abstractNumId w:val="7"/>
  </w:num>
  <w:num w:numId="20">
    <w:abstractNumId w:val="15"/>
    <w:lvlOverride w:ilvl="0"/>
    <w:lvlOverride w:ilvl="1">
      <w:startOverride w:val="1"/>
    </w:lvlOverride>
    <w:lvlOverride w:ilvl="2"/>
    <w:lvlOverride w:ilvl="3"/>
    <w:lvlOverride w:ilvl="4"/>
    <w:lvlOverride w:ilvl="5"/>
    <w:lvlOverride w:ilvl="6"/>
    <w:lvlOverride w:ilvl="7"/>
    <w:lvlOverride w:ilvl="8"/>
  </w:num>
  <w:num w:numId="21">
    <w:abstractNumId w:val="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0540F"/>
    <w:rsid w:val="00023C32"/>
    <w:rsid w:val="00031221"/>
    <w:rsid w:val="00031BA0"/>
    <w:rsid w:val="00036A2C"/>
    <w:rsid w:val="00051762"/>
    <w:rsid w:val="00052743"/>
    <w:rsid w:val="00052CE4"/>
    <w:rsid w:val="00062F50"/>
    <w:rsid w:val="00067315"/>
    <w:rsid w:val="00067AF1"/>
    <w:rsid w:val="000719BF"/>
    <w:rsid w:val="00072E01"/>
    <w:rsid w:val="000777C2"/>
    <w:rsid w:val="000A2B83"/>
    <w:rsid w:val="000A3A47"/>
    <w:rsid w:val="000B6542"/>
    <w:rsid w:val="000C13AE"/>
    <w:rsid w:val="000C19C4"/>
    <w:rsid w:val="000C441A"/>
    <w:rsid w:val="000D243C"/>
    <w:rsid w:val="000E19CA"/>
    <w:rsid w:val="000E2CA6"/>
    <w:rsid w:val="000E65D6"/>
    <w:rsid w:val="000F6BA3"/>
    <w:rsid w:val="000F72EF"/>
    <w:rsid w:val="001036A0"/>
    <w:rsid w:val="001039B0"/>
    <w:rsid w:val="001046CB"/>
    <w:rsid w:val="00121B4E"/>
    <w:rsid w:val="0012271D"/>
    <w:rsid w:val="00125AA4"/>
    <w:rsid w:val="00131C78"/>
    <w:rsid w:val="00132B69"/>
    <w:rsid w:val="00143843"/>
    <w:rsid w:val="001505DA"/>
    <w:rsid w:val="001518E0"/>
    <w:rsid w:val="0016189C"/>
    <w:rsid w:val="001752E5"/>
    <w:rsid w:val="00183A2F"/>
    <w:rsid w:val="00194466"/>
    <w:rsid w:val="001979FF"/>
    <w:rsid w:val="001A11C1"/>
    <w:rsid w:val="001A4875"/>
    <w:rsid w:val="001B09CD"/>
    <w:rsid w:val="001B1C8A"/>
    <w:rsid w:val="001B5D6C"/>
    <w:rsid w:val="001B75A8"/>
    <w:rsid w:val="001C3663"/>
    <w:rsid w:val="001D0AB9"/>
    <w:rsid w:val="001D57D7"/>
    <w:rsid w:val="001D6A64"/>
    <w:rsid w:val="001F64F8"/>
    <w:rsid w:val="00200310"/>
    <w:rsid w:val="00201A3F"/>
    <w:rsid w:val="00215828"/>
    <w:rsid w:val="00231DE1"/>
    <w:rsid w:val="00235AFB"/>
    <w:rsid w:val="00241A1F"/>
    <w:rsid w:val="00244447"/>
    <w:rsid w:val="00244805"/>
    <w:rsid w:val="00291B2B"/>
    <w:rsid w:val="002A2A93"/>
    <w:rsid w:val="002B2CB2"/>
    <w:rsid w:val="002B3259"/>
    <w:rsid w:val="002C1030"/>
    <w:rsid w:val="002C15E6"/>
    <w:rsid w:val="002D0BD6"/>
    <w:rsid w:val="002D7807"/>
    <w:rsid w:val="002D7B3E"/>
    <w:rsid w:val="002E0948"/>
    <w:rsid w:val="002E24BE"/>
    <w:rsid w:val="002F24CE"/>
    <w:rsid w:val="0031363D"/>
    <w:rsid w:val="00323C28"/>
    <w:rsid w:val="0032761E"/>
    <w:rsid w:val="0034557D"/>
    <w:rsid w:val="00360CFA"/>
    <w:rsid w:val="00373EC5"/>
    <w:rsid w:val="00381D5C"/>
    <w:rsid w:val="00390A76"/>
    <w:rsid w:val="003A0D2B"/>
    <w:rsid w:val="003A4277"/>
    <w:rsid w:val="003A7B4E"/>
    <w:rsid w:val="003B5806"/>
    <w:rsid w:val="003B5DCF"/>
    <w:rsid w:val="003B6A2A"/>
    <w:rsid w:val="003B7A13"/>
    <w:rsid w:val="003C2EE4"/>
    <w:rsid w:val="003D1C21"/>
    <w:rsid w:val="003E035B"/>
    <w:rsid w:val="003E0DC8"/>
    <w:rsid w:val="003E122A"/>
    <w:rsid w:val="003E6E57"/>
    <w:rsid w:val="003E6FA5"/>
    <w:rsid w:val="003F1F0D"/>
    <w:rsid w:val="00402B3D"/>
    <w:rsid w:val="00404A43"/>
    <w:rsid w:val="00413EF4"/>
    <w:rsid w:val="00416118"/>
    <w:rsid w:val="00431763"/>
    <w:rsid w:val="004336A8"/>
    <w:rsid w:val="004402EE"/>
    <w:rsid w:val="004452CE"/>
    <w:rsid w:val="0044686E"/>
    <w:rsid w:val="00446BE5"/>
    <w:rsid w:val="004519B4"/>
    <w:rsid w:val="00467DB3"/>
    <w:rsid w:val="004748BE"/>
    <w:rsid w:val="00492365"/>
    <w:rsid w:val="004A5E1F"/>
    <w:rsid w:val="004A6215"/>
    <w:rsid w:val="004A75BC"/>
    <w:rsid w:val="004B01C6"/>
    <w:rsid w:val="004D0326"/>
    <w:rsid w:val="004D5D19"/>
    <w:rsid w:val="004E13B2"/>
    <w:rsid w:val="004E553C"/>
    <w:rsid w:val="005029A5"/>
    <w:rsid w:val="00513723"/>
    <w:rsid w:val="00517D47"/>
    <w:rsid w:val="005248E2"/>
    <w:rsid w:val="005428E1"/>
    <w:rsid w:val="00543687"/>
    <w:rsid w:val="00555671"/>
    <w:rsid w:val="005613FC"/>
    <w:rsid w:val="00567FEF"/>
    <w:rsid w:val="00580664"/>
    <w:rsid w:val="0059117D"/>
    <w:rsid w:val="00591D85"/>
    <w:rsid w:val="0059663B"/>
    <w:rsid w:val="005A7E71"/>
    <w:rsid w:val="005B5614"/>
    <w:rsid w:val="005C1518"/>
    <w:rsid w:val="005D5D5A"/>
    <w:rsid w:val="005E18A1"/>
    <w:rsid w:val="00621061"/>
    <w:rsid w:val="0062489A"/>
    <w:rsid w:val="0063052D"/>
    <w:rsid w:val="00636490"/>
    <w:rsid w:val="006374F1"/>
    <w:rsid w:val="00650C31"/>
    <w:rsid w:val="00650F0D"/>
    <w:rsid w:val="00653C4B"/>
    <w:rsid w:val="00666CDA"/>
    <w:rsid w:val="00682E19"/>
    <w:rsid w:val="00684ABA"/>
    <w:rsid w:val="00686789"/>
    <w:rsid w:val="006875B3"/>
    <w:rsid w:val="00695478"/>
    <w:rsid w:val="006A2C49"/>
    <w:rsid w:val="006A3AE7"/>
    <w:rsid w:val="006A3E63"/>
    <w:rsid w:val="006B0D5C"/>
    <w:rsid w:val="006B13BC"/>
    <w:rsid w:val="006B4F62"/>
    <w:rsid w:val="006D03F9"/>
    <w:rsid w:val="006D2B70"/>
    <w:rsid w:val="00707736"/>
    <w:rsid w:val="00711B58"/>
    <w:rsid w:val="0072183E"/>
    <w:rsid w:val="00722C9C"/>
    <w:rsid w:val="00727839"/>
    <w:rsid w:val="00752529"/>
    <w:rsid w:val="00757057"/>
    <w:rsid w:val="007620F7"/>
    <w:rsid w:val="00762D81"/>
    <w:rsid w:val="00764A26"/>
    <w:rsid w:val="0078006D"/>
    <w:rsid w:val="007833EC"/>
    <w:rsid w:val="00785AC8"/>
    <w:rsid w:val="00786E32"/>
    <w:rsid w:val="00787D7C"/>
    <w:rsid w:val="00792928"/>
    <w:rsid w:val="00797B54"/>
    <w:rsid w:val="007B18FE"/>
    <w:rsid w:val="007D1A21"/>
    <w:rsid w:val="007D1F1E"/>
    <w:rsid w:val="007D3A21"/>
    <w:rsid w:val="007D4F8E"/>
    <w:rsid w:val="007D6FF1"/>
    <w:rsid w:val="007E5EBA"/>
    <w:rsid w:val="007E7E00"/>
    <w:rsid w:val="007F3C21"/>
    <w:rsid w:val="008043F4"/>
    <w:rsid w:val="0080552C"/>
    <w:rsid w:val="008137B0"/>
    <w:rsid w:val="0081521B"/>
    <w:rsid w:val="008301EC"/>
    <w:rsid w:val="008400F7"/>
    <w:rsid w:val="00853385"/>
    <w:rsid w:val="00856FA4"/>
    <w:rsid w:val="00862113"/>
    <w:rsid w:val="00870139"/>
    <w:rsid w:val="008724D6"/>
    <w:rsid w:val="008775D7"/>
    <w:rsid w:val="00884B9C"/>
    <w:rsid w:val="00895D80"/>
    <w:rsid w:val="008A1557"/>
    <w:rsid w:val="008A1D1C"/>
    <w:rsid w:val="008A4224"/>
    <w:rsid w:val="008B5184"/>
    <w:rsid w:val="008B55C2"/>
    <w:rsid w:val="008C01F7"/>
    <w:rsid w:val="008C1BDA"/>
    <w:rsid w:val="008C2C8A"/>
    <w:rsid w:val="008D0B3C"/>
    <w:rsid w:val="008E0850"/>
    <w:rsid w:val="008E5CD5"/>
    <w:rsid w:val="008F537E"/>
    <w:rsid w:val="0090016E"/>
    <w:rsid w:val="00910D54"/>
    <w:rsid w:val="00916355"/>
    <w:rsid w:val="00920B07"/>
    <w:rsid w:val="00925509"/>
    <w:rsid w:val="0093657B"/>
    <w:rsid w:val="009374BC"/>
    <w:rsid w:val="0094267E"/>
    <w:rsid w:val="00950249"/>
    <w:rsid w:val="00957C01"/>
    <w:rsid w:val="00960E39"/>
    <w:rsid w:val="009618BA"/>
    <w:rsid w:val="00985CB7"/>
    <w:rsid w:val="00986A83"/>
    <w:rsid w:val="00986AD1"/>
    <w:rsid w:val="009C3F2D"/>
    <w:rsid w:val="009C6AE8"/>
    <w:rsid w:val="009E1662"/>
    <w:rsid w:val="009F3770"/>
    <w:rsid w:val="009F43E7"/>
    <w:rsid w:val="00A051D9"/>
    <w:rsid w:val="00A216CC"/>
    <w:rsid w:val="00A21710"/>
    <w:rsid w:val="00A3401B"/>
    <w:rsid w:val="00A578F7"/>
    <w:rsid w:val="00A61271"/>
    <w:rsid w:val="00A75EDC"/>
    <w:rsid w:val="00A827AB"/>
    <w:rsid w:val="00A854EE"/>
    <w:rsid w:val="00A90F14"/>
    <w:rsid w:val="00A9441E"/>
    <w:rsid w:val="00A96751"/>
    <w:rsid w:val="00AA43C4"/>
    <w:rsid w:val="00AB5449"/>
    <w:rsid w:val="00AC3C21"/>
    <w:rsid w:val="00AD034F"/>
    <w:rsid w:val="00AD1606"/>
    <w:rsid w:val="00AD3663"/>
    <w:rsid w:val="00AD74B2"/>
    <w:rsid w:val="00AE4353"/>
    <w:rsid w:val="00AF368D"/>
    <w:rsid w:val="00B00846"/>
    <w:rsid w:val="00B079DA"/>
    <w:rsid w:val="00B15564"/>
    <w:rsid w:val="00B16652"/>
    <w:rsid w:val="00B2228F"/>
    <w:rsid w:val="00B26A01"/>
    <w:rsid w:val="00B26A30"/>
    <w:rsid w:val="00B471CC"/>
    <w:rsid w:val="00B47B58"/>
    <w:rsid w:val="00B521D4"/>
    <w:rsid w:val="00B57F32"/>
    <w:rsid w:val="00B61FCD"/>
    <w:rsid w:val="00B75260"/>
    <w:rsid w:val="00B7668F"/>
    <w:rsid w:val="00B90F97"/>
    <w:rsid w:val="00B9234D"/>
    <w:rsid w:val="00B9551F"/>
    <w:rsid w:val="00BA1B6B"/>
    <w:rsid w:val="00BB2D80"/>
    <w:rsid w:val="00BB642E"/>
    <w:rsid w:val="00BC237D"/>
    <w:rsid w:val="00BC6454"/>
    <w:rsid w:val="00BD4AFD"/>
    <w:rsid w:val="00BD5433"/>
    <w:rsid w:val="00C048F4"/>
    <w:rsid w:val="00C05E32"/>
    <w:rsid w:val="00C06B9E"/>
    <w:rsid w:val="00C076DA"/>
    <w:rsid w:val="00C131CB"/>
    <w:rsid w:val="00C14DCC"/>
    <w:rsid w:val="00C15F66"/>
    <w:rsid w:val="00C228B0"/>
    <w:rsid w:val="00C23CAB"/>
    <w:rsid w:val="00C30DCC"/>
    <w:rsid w:val="00C414A6"/>
    <w:rsid w:val="00C44E5A"/>
    <w:rsid w:val="00C462C1"/>
    <w:rsid w:val="00C52867"/>
    <w:rsid w:val="00C54AC6"/>
    <w:rsid w:val="00C6110B"/>
    <w:rsid w:val="00C62A00"/>
    <w:rsid w:val="00C7215A"/>
    <w:rsid w:val="00C75814"/>
    <w:rsid w:val="00CA1C3F"/>
    <w:rsid w:val="00CA48A0"/>
    <w:rsid w:val="00CB10BC"/>
    <w:rsid w:val="00CD0996"/>
    <w:rsid w:val="00CD0F98"/>
    <w:rsid w:val="00CF295D"/>
    <w:rsid w:val="00CF2ABA"/>
    <w:rsid w:val="00D02F02"/>
    <w:rsid w:val="00D204BF"/>
    <w:rsid w:val="00D33B3A"/>
    <w:rsid w:val="00D4142C"/>
    <w:rsid w:val="00D60240"/>
    <w:rsid w:val="00D645DB"/>
    <w:rsid w:val="00D73600"/>
    <w:rsid w:val="00D73723"/>
    <w:rsid w:val="00D81E12"/>
    <w:rsid w:val="00DA40FC"/>
    <w:rsid w:val="00DA4D9F"/>
    <w:rsid w:val="00DA5D17"/>
    <w:rsid w:val="00DB544A"/>
    <w:rsid w:val="00DB71F1"/>
    <w:rsid w:val="00DC42DE"/>
    <w:rsid w:val="00DC7243"/>
    <w:rsid w:val="00DD2F3D"/>
    <w:rsid w:val="00DD3D2A"/>
    <w:rsid w:val="00DD7BCB"/>
    <w:rsid w:val="00DE1C5D"/>
    <w:rsid w:val="00DE364E"/>
    <w:rsid w:val="00DE5AC3"/>
    <w:rsid w:val="00E048EA"/>
    <w:rsid w:val="00E05871"/>
    <w:rsid w:val="00E05B9C"/>
    <w:rsid w:val="00E11D7C"/>
    <w:rsid w:val="00E159C8"/>
    <w:rsid w:val="00E165FC"/>
    <w:rsid w:val="00E21FEA"/>
    <w:rsid w:val="00E312AA"/>
    <w:rsid w:val="00E33C12"/>
    <w:rsid w:val="00E372B8"/>
    <w:rsid w:val="00E408A9"/>
    <w:rsid w:val="00E455B7"/>
    <w:rsid w:val="00E56CE7"/>
    <w:rsid w:val="00E5791A"/>
    <w:rsid w:val="00E6262B"/>
    <w:rsid w:val="00E6385A"/>
    <w:rsid w:val="00E6631C"/>
    <w:rsid w:val="00E733C7"/>
    <w:rsid w:val="00E76853"/>
    <w:rsid w:val="00E826C6"/>
    <w:rsid w:val="00E84938"/>
    <w:rsid w:val="00E859F0"/>
    <w:rsid w:val="00EA26A3"/>
    <w:rsid w:val="00EB2DBB"/>
    <w:rsid w:val="00EC34A0"/>
    <w:rsid w:val="00EC38B0"/>
    <w:rsid w:val="00EC550F"/>
    <w:rsid w:val="00ED3B34"/>
    <w:rsid w:val="00ED65C0"/>
    <w:rsid w:val="00EE38DA"/>
    <w:rsid w:val="00EE6CFE"/>
    <w:rsid w:val="00F117C6"/>
    <w:rsid w:val="00F22251"/>
    <w:rsid w:val="00F3167F"/>
    <w:rsid w:val="00F4328B"/>
    <w:rsid w:val="00F52060"/>
    <w:rsid w:val="00F66B1B"/>
    <w:rsid w:val="00F7209B"/>
    <w:rsid w:val="00F72C1A"/>
    <w:rsid w:val="00F77C08"/>
    <w:rsid w:val="00F80937"/>
    <w:rsid w:val="00F855DD"/>
    <w:rsid w:val="00F915C5"/>
    <w:rsid w:val="00FA3359"/>
    <w:rsid w:val="00FB3F41"/>
    <w:rsid w:val="00FB4B16"/>
    <w:rsid w:val="00FB6C42"/>
    <w:rsid w:val="00FC1793"/>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45DB"/>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AEBEC6-5F45-4FD3-8881-8305EED4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955</Words>
  <Characters>5445</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2017-12-18T17:42:00Z</dcterms:created>
  <dcterms:modified xsi:type="dcterms:W3CDTF">2017-12-18T17:42:00Z</dcterms:modified>
</cp:coreProperties>
</file>