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BA1B6B" w:rsidRPr="00BA1B6B">
        <w:t>WPSDGEREHC0031</w:t>
      </w:r>
    </w:p>
    <w:p w:rsidR="00E6385A" w:rsidRPr="00500C4E" w:rsidRDefault="00E6385A" w:rsidP="00F117C6">
      <w:pPr>
        <w:pStyle w:val="WPnumber"/>
      </w:pPr>
      <w:r>
        <w:tab/>
      </w:r>
      <w:r w:rsidR="000E19CA">
        <w:rPr>
          <w:rStyle w:val="CaptionChar"/>
          <w:b/>
          <w:bCs w:val="0"/>
        </w:rPr>
        <w:t xml:space="preserve">Revision </w:t>
      </w:r>
      <w:r w:rsidR="00BA1B6B">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BA1B6B" w:rsidP="00884B9C">
      <w:pPr>
        <w:rPr>
          <w:rFonts w:cstheme="minorHAnsi"/>
          <w:b/>
          <w:sz w:val="28"/>
          <w:szCs w:val="28"/>
        </w:rPr>
      </w:pPr>
      <w:r>
        <w:rPr>
          <w:rFonts w:ascii="Arial" w:hAnsi="Arial" w:cs="Arial"/>
          <w:b/>
          <w:sz w:val="72"/>
          <w:szCs w:val="72"/>
        </w:rPr>
        <w:t>Direct Evaporative Coolers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C01F7" w:rsidP="00241A1F">
      <w:pPr>
        <w:jc w:val="right"/>
        <w:rPr>
          <w:rFonts w:cstheme="minorHAnsi"/>
          <w:b/>
          <w:sz w:val="28"/>
          <w:szCs w:val="28"/>
        </w:rPr>
      </w:pPr>
      <w:r>
        <w:rPr>
          <w:rFonts w:cstheme="minorHAnsi"/>
          <w:b/>
          <w:sz w:val="28"/>
          <w:szCs w:val="28"/>
        </w:rPr>
        <w:t>October</w:t>
      </w:r>
      <w:r w:rsidR="003E6E57">
        <w:rPr>
          <w:rFonts w:cstheme="minorHAnsi"/>
          <w:b/>
          <w:sz w:val="28"/>
          <w:szCs w:val="28"/>
        </w:rPr>
        <w:t xml:space="preserve"> </w:t>
      </w:r>
      <w:r w:rsidR="00EC550F">
        <w:rPr>
          <w:rFonts w:cstheme="minorHAnsi"/>
          <w:b/>
          <w:sz w:val="28"/>
          <w:szCs w:val="28"/>
        </w:rPr>
        <w:t>25</w:t>
      </w:r>
      <w:bookmarkStart w:id="1" w:name="_GoBack"/>
      <w:bookmarkEnd w:id="1"/>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C75814">
        <w:t xml:space="preserve">LED </w:t>
      </w:r>
      <w:r w:rsidR="00BA1B6B">
        <w:t>Direct Evaporative Coolers</w:t>
      </w:r>
      <w:r w:rsidR="00884B9C">
        <w:t xml:space="preserve"> </w:t>
      </w:r>
    </w:p>
    <w:p w:rsidR="00413EF4" w:rsidRDefault="00413EF4" w:rsidP="00413EF4">
      <w:pPr>
        <w:pStyle w:val="Heading2"/>
      </w:pPr>
      <w:r>
        <w:t>Introduction</w:t>
      </w:r>
    </w:p>
    <w:p w:rsidR="005E18A1" w:rsidRDefault="00C23CAB" w:rsidP="00555671">
      <w:pPr>
        <w:jc w:val="both"/>
      </w:pPr>
      <w:r>
        <w:t>Thi</w:t>
      </w:r>
      <w:r w:rsidR="00AE4353">
        <w:t>s short form workpaper</w:t>
      </w:r>
      <w:r>
        <w:t xml:space="preserve"> (</w:t>
      </w:r>
      <w:r w:rsidR="008E5CD5">
        <w:t>WP</w:t>
      </w:r>
      <w:r w:rsidR="00C75814">
        <w:t>)</w:t>
      </w:r>
      <w:r w:rsidR="00AE4353">
        <w:t xml:space="preserve"> documents</w:t>
      </w:r>
      <w:r w:rsidR="00C75814">
        <w:t xml:space="preserve"> the values adopted from SC</w:t>
      </w:r>
      <w:r>
        <w:t xml:space="preserve">E’s </w:t>
      </w:r>
      <w:r w:rsidR="008E5CD5">
        <w:t>WP</w:t>
      </w:r>
      <w:r>
        <w:t xml:space="preserve"> entitled “</w:t>
      </w:r>
      <w:r w:rsidR="001F64F8">
        <w:t>Direct Evaporative Coolers</w:t>
      </w:r>
      <w:r w:rsidR="005E18A1">
        <w:t>” (</w:t>
      </w:r>
      <w:r w:rsidR="001F64F8" w:rsidRPr="001F64F8">
        <w:t>SCE17HC013.0 - Direct Evaporative Coolers_Final.docx</w:t>
      </w:r>
      <w:r w:rsidR="006875B3">
        <w:t>)</w:t>
      </w:r>
      <w:r w:rsidR="005E18A1">
        <w:t xml:space="preserve">.  SDG&amp;E </w:t>
      </w:r>
      <w:r w:rsidR="00555671">
        <w:t>a</w:t>
      </w:r>
      <w:r w:rsidR="005E18A1">
        <w:t>d</w:t>
      </w:r>
      <w:r w:rsidR="00555671">
        <w:t>op</w:t>
      </w:r>
      <w:r w:rsidR="005E18A1">
        <w:t xml:space="preserve">ts </w:t>
      </w:r>
      <w:r w:rsidR="00EC34A0">
        <w:t>all</w:t>
      </w:r>
      <w:r w:rsidR="005E18A1">
        <w:t xml:space="preserve"> the values in </w:t>
      </w:r>
      <w:r w:rsidR="003E035B" w:rsidRPr="003E035B">
        <w:t>SCE17HC013.0 - Direc</w:t>
      </w:r>
      <w:r w:rsidR="003E035B">
        <w:t>t Evaporative Coolers</w:t>
      </w:r>
      <w:r w:rsidR="005E18A1">
        <w:t xml:space="preserve">, with </w:t>
      </w:r>
      <w:r w:rsidR="001046CB">
        <w:t>the following exception</w:t>
      </w:r>
      <w:r w:rsidR="005E18A1">
        <w:t>:</w:t>
      </w:r>
    </w:p>
    <w:p w:rsidR="005E18A1" w:rsidRDefault="005E18A1" w:rsidP="00555671">
      <w:pPr>
        <w:jc w:val="both"/>
      </w:pPr>
    </w:p>
    <w:p w:rsidR="00555671" w:rsidRDefault="00555671" w:rsidP="008C01F7">
      <w:pPr>
        <w:pStyle w:val="ListParagraph"/>
        <w:numPr>
          <w:ilvl w:val="0"/>
          <w:numId w:val="18"/>
        </w:numPr>
        <w:jc w:val="both"/>
      </w:pPr>
      <w:r>
        <w:t>SDG</w:t>
      </w:r>
      <w:r w:rsidR="005E18A1">
        <w:t xml:space="preserve">&amp;E </w:t>
      </w:r>
      <w:r w:rsidR="001046CB">
        <w:t>will only reference Replace on Burn-out(ROB) installation type</w:t>
      </w:r>
      <w:r w:rsidR="003E035B">
        <w:t xml:space="preserve">, </w:t>
      </w:r>
      <w:proofErr w:type="gramStart"/>
      <w:r w:rsidR="003E035B">
        <w:t>similar to</w:t>
      </w:r>
      <w:proofErr w:type="gramEnd"/>
      <w:r w:rsidR="003E035B">
        <w:t xml:space="preserve"> PGE, as opposed to SCE’s REA due to installation method.</w:t>
      </w:r>
    </w:p>
    <w:p w:rsidR="008C01F7" w:rsidRDefault="003E035B" w:rsidP="008C01F7">
      <w:pPr>
        <w:pStyle w:val="ListParagraph"/>
        <w:numPr>
          <w:ilvl w:val="0"/>
          <w:numId w:val="18"/>
        </w:numPr>
        <w:jc w:val="both"/>
      </w:pPr>
      <w:r>
        <w:t xml:space="preserve">SDG&amp;E will only reference units of “per 1,000 sq. ft.” </w:t>
      </w:r>
      <w:proofErr w:type="gramStart"/>
      <w:r>
        <w:t>similar to</w:t>
      </w:r>
      <w:proofErr w:type="gramEnd"/>
      <w:r>
        <w:t xml:space="preserve"> SCE, as opposed to PG&amp;E’s household units.</w:t>
      </w:r>
    </w:p>
    <w:p w:rsidR="003E035B" w:rsidRDefault="003E035B" w:rsidP="008C01F7">
      <w:pPr>
        <w:pStyle w:val="ListParagraph"/>
        <w:numPr>
          <w:ilvl w:val="0"/>
          <w:numId w:val="18"/>
        </w:numPr>
        <w:jc w:val="both"/>
      </w:pPr>
      <w:r>
        <w:t>SDG&amp;E will only reference for CZ 14 only for mobile homes.</w:t>
      </w: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rsidTr="00C131CB">
        <w:trPr>
          <w:trHeight w:val="20"/>
        </w:trPr>
        <w:tc>
          <w:tcPr>
            <w:tcW w:w="280"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C131CB">
        <w:trPr>
          <w:trHeight w:val="20"/>
        </w:trPr>
        <w:tc>
          <w:tcPr>
            <w:tcW w:w="280" w:type="pct"/>
          </w:tcPr>
          <w:p w:rsidR="00884B9C" w:rsidRPr="000E2B6B" w:rsidRDefault="00762D81">
            <w:pPr>
              <w:jc w:val="center"/>
              <w:rPr>
                <w:rFonts w:cstheme="minorHAnsi"/>
                <w:szCs w:val="20"/>
              </w:rPr>
            </w:pPr>
            <w:r>
              <w:t>0</w:t>
            </w:r>
          </w:p>
        </w:tc>
        <w:tc>
          <w:tcPr>
            <w:tcW w:w="677" w:type="pct"/>
          </w:tcPr>
          <w:p w:rsidR="00884B9C" w:rsidRPr="000E2B6B" w:rsidRDefault="003E035B" w:rsidP="00393EC8">
            <w:pPr>
              <w:jc w:val="center"/>
              <w:rPr>
                <w:rFonts w:cstheme="minorHAnsi"/>
                <w:szCs w:val="20"/>
              </w:rPr>
            </w:pPr>
            <w:r>
              <w:rPr>
                <w:szCs w:val="20"/>
              </w:rPr>
              <w:t>110/17/17</w:t>
            </w:r>
          </w:p>
        </w:tc>
        <w:tc>
          <w:tcPr>
            <w:tcW w:w="938" w:type="pct"/>
          </w:tcPr>
          <w:p w:rsidR="00884B9C" w:rsidRPr="000E2B6B" w:rsidRDefault="003E035B" w:rsidP="00393EC8">
            <w:pPr>
              <w:rPr>
                <w:rFonts w:cstheme="minorHAnsi"/>
                <w:szCs w:val="20"/>
              </w:rPr>
            </w:pPr>
            <w:r>
              <w:rPr>
                <w:rFonts w:cstheme="minorHAnsi"/>
                <w:szCs w:val="20"/>
              </w:rPr>
              <w:t>Kelvin Valenzuela/SDGE</w:t>
            </w:r>
          </w:p>
        </w:tc>
        <w:tc>
          <w:tcPr>
            <w:tcW w:w="3105" w:type="pct"/>
          </w:tcPr>
          <w:p w:rsidR="00C131CB" w:rsidRPr="00C131CB" w:rsidRDefault="003E035B" w:rsidP="00C131CB">
            <w:pPr>
              <w:numPr>
                <w:ilvl w:val="0"/>
                <w:numId w:val="17"/>
              </w:numPr>
              <w:rPr>
                <w:bCs/>
                <w:szCs w:val="20"/>
              </w:rPr>
            </w:pPr>
            <w:r>
              <w:rPr>
                <w:bCs/>
                <w:szCs w:val="20"/>
              </w:rPr>
              <w:t>Adapted SCE’s workpaper SCE17HC013.0</w:t>
            </w:r>
          </w:p>
          <w:p w:rsidR="00884B9C" w:rsidRDefault="003E035B" w:rsidP="003E035B">
            <w:pPr>
              <w:numPr>
                <w:ilvl w:val="0"/>
                <w:numId w:val="17"/>
              </w:numPr>
              <w:rPr>
                <w:rFonts w:cstheme="minorHAnsi"/>
                <w:szCs w:val="20"/>
              </w:rPr>
            </w:pPr>
            <w:r>
              <w:rPr>
                <w:rFonts w:cstheme="minorHAnsi"/>
                <w:szCs w:val="20"/>
              </w:rPr>
              <w:t>Utilize same methodology from LEAD PA workpaper but focused solely on climate zone 14 for mobile homes</w:t>
            </w:r>
          </w:p>
          <w:p w:rsidR="003E035B" w:rsidRPr="005734A4" w:rsidRDefault="003E035B" w:rsidP="003E035B">
            <w:pPr>
              <w:ind w:left="360"/>
              <w:rPr>
                <w:rFonts w:cstheme="minorHAnsi"/>
                <w:szCs w:val="20"/>
              </w:rPr>
            </w:pPr>
          </w:p>
        </w:tc>
      </w:tr>
      <w:tr w:rsidR="00884B9C" w:rsidRPr="00500C4E" w:rsidTr="00C131CB">
        <w:trPr>
          <w:trHeight w:val="20"/>
        </w:trPr>
        <w:tc>
          <w:tcPr>
            <w:tcW w:w="280" w:type="pct"/>
          </w:tcPr>
          <w:p w:rsidR="00884B9C" w:rsidRPr="000E2B6B" w:rsidRDefault="00884B9C">
            <w:pPr>
              <w:jc w:val="center"/>
              <w:rPr>
                <w:rStyle w:val="Strong"/>
                <w:b w:val="0"/>
              </w:rPr>
            </w:pPr>
          </w:p>
        </w:tc>
        <w:tc>
          <w:tcPr>
            <w:tcW w:w="677" w:type="pct"/>
          </w:tcPr>
          <w:p w:rsidR="00884B9C" w:rsidRPr="000E2B6B" w:rsidRDefault="00884B9C" w:rsidP="00393EC8">
            <w:pPr>
              <w:jc w:val="center"/>
              <w:rPr>
                <w:rStyle w:val="Strong"/>
                <w:b w:val="0"/>
              </w:rPr>
            </w:pPr>
          </w:p>
        </w:tc>
        <w:tc>
          <w:tcPr>
            <w:tcW w:w="938" w:type="pct"/>
          </w:tcPr>
          <w:p w:rsidR="00884B9C" w:rsidRPr="000E2B6B" w:rsidRDefault="00884B9C" w:rsidP="00393EC8">
            <w:pPr>
              <w:rPr>
                <w:rStyle w:val="Strong"/>
                <w:b w:val="0"/>
              </w:rPr>
            </w:pPr>
          </w:p>
        </w:tc>
        <w:tc>
          <w:tcPr>
            <w:tcW w:w="3105" w:type="pct"/>
          </w:tcPr>
          <w:p w:rsidR="00762D81" w:rsidRPr="00762D81" w:rsidRDefault="00762D81" w:rsidP="00762D81">
            <w:pPr>
              <w:rPr>
                <w:rStyle w:val="Strong"/>
                <w:b w:val="0"/>
                <w:szCs w:val="20"/>
              </w:rPr>
            </w:pPr>
          </w:p>
        </w:tc>
      </w:tr>
      <w:tr w:rsidR="00DB544A" w:rsidRPr="00500C4E" w:rsidTr="00C131CB">
        <w:trPr>
          <w:trHeight w:val="20"/>
        </w:trPr>
        <w:tc>
          <w:tcPr>
            <w:tcW w:w="280" w:type="pct"/>
          </w:tcPr>
          <w:p w:rsidR="00DB544A" w:rsidRPr="00F2079F" w:rsidRDefault="00DB544A" w:rsidP="008C2C8A">
            <w:pPr>
              <w:jc w:val="center"/>
            </w:pPr>
          </w:p>
        </w:tc>
        <w:tc>
          <w:tcPr>
            <w:tcW w:w="677" w:type="pct"/>
          </w:tcPr>
          <w:p w:rsidR="00DB544A" w:rsidRDefault="00DB544A" w:rsidP="00393EC8">
            <w:pPr>
              <w:jc w:val="center"/>
              <w:rPr>
                <w:szCs w:val="20"/>
              </w:rPr>
            </w:pPr>
          </w:p>
        </w:tc>
        <w:tc>
          <w:tcPr>
            <w:tcW w:w="938" w:type="pct"/>
          </w:tcPr>
          <w:p w:rsidR="00DB544A" w:rsidRDefault="00DB544A" w:rsidP="00393EC8">
            <w:pPr>
              <w:rPr>
                <w:szCs w:val="20"/>
              </w:rPr>
            </w:pPr>
          </w:p>
        </w:tc>
        <w:tc>
          <w:tcPr>
            <w:tcW w:w="3105" w:type="pct"/>
          </w:tcPr>
          <w:p w:rsidR="00762D81" w:rsidRPr="006A478E" w:rsidRDefault="00762D81" w:rsidP="00C131CB">
            <w:pPr>
              <w:rPr>
                <w:bCs/>
                <w:szCs w:val="20"/>
              </w:rPr>
            </w:pP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EC550F">
        <w:fldChar w:fldCharType="begin"/>
      </w:r>
      <w:r w:rsidR="00EC550F">
        <w:instrText xml:space="preserve"> SEQ Table \* ARABIC </w:instrText>
      </w:r>
      <w:r w:rsidR="00EC550F">
        <w:fldChar w:fldCharType="separate"/>
      </w:r>
      <w:r w:rsidR="000719BF">
        <w:rPr>
          <w:noProof/>
        </w:rPr>
        <w:t>1</w:t>
      </w:r>
      <w:r w:rsidR="00EC550F">
        <w:rPr>
          <w:noProof/>
        </w:rPr>
        <w:fldChar w:fldCharType="end"/>
      </w:r>
      <w:r>
        <w:t>: Measure Summary Table</w:t>
      </w:r>
    </w:p>
    <w:tbl>
      <w:tblPr>
        <w:tblStyle w:val="TableGrid"/>
        <w:tblW w:w="0" w:type="auto"/>
        <w:tblLook w:val="04A0" w:firstRow="1" w:lastRow="0" w:firstColumn="1" w:lastColumn="0" w:noHBand="0" w:noVBand="1"/>
      </w:tblPr>
      <w:tblGrid>
        <w:gridCol w:w="1432"/>
        <w:gridCol w:w="7918"/>
      </w:tblGrid>
      <w:tr w:rsidR="00DB71F1" w:rsidTr="003B6A2A">
        <w:trPr>
          <w:cantSplit/>
          <w:tblHeader/>
        </w:trPr>
        <w:tc>
          <w:tcPr>
            <w:tcW w:w="1432" w:type="dxa"/>
          </w:tcPr>
          <w:p w:rsidR="00DB71F1" w:rsidRPr="00D86243" w:rsidRDefault="00DB71F1" w:rsidP="00393EC8">
            <w:pPr>
              <w:jc w:val="center"/>
              <w:rPr>
                <w:b/>
              </w:rPr>
            </w:pPr>
            <w:r w:rsidRPr="00D86243">
              <w:rPr>
                <w:b/>
              </w:rPr>
              <w:t>Section</w:t>
            </w:r>
          </w:p>
        </w:tc>
        <w:tc>
          <w:tcPr>
            <w:tcW w:w="7918" w:type="dxa"/>
          </w:tcPr>
          <w:p w:rsidR="00DB71F1" w:rsidRPr="00D86243" w:rsidRDefault="00DB71F1" w:rsidP="00393EC8">
            <w:pPr>
              <w:jc w:val="center"/>
              <w:rPr>
                <w:b/>
              </w:rPr>
            </w:pPr>
            <w:r w:rsidRPr="00D86243">
              <w:rPr>
                <w:b/>
              </w:rPr>
              <w:t>Value</w:t>
            </w:r>
          </w:p>
        </w:tc>
      </w:tr>
      <w:tr w:rsidR="00DB71F1" w:rsidTr="003B6A2A">
        <w:trPr>
          <w:cantSplit/>
        </w:trPr>
        <w:tc>
          <w:tcPr>
            <w:tcW w:w="1432" w:type="dxa"/>
            <w:vAlign w:val="center"/>
          </w:tcPr>
          <w:p w:rsidR="00DB71F1" w:rsidRPr="001D77F7" w:rsidRDefault="00DB71F1" w:rsidP="00393EC8">
            <w:pPr>
              <w:rPr>
                <w:b/>
              </w:rPr>
            </w:pPr>
            <w:r>
              <w:rPr>
                <w:b/>
              </w:rPr>
              <w:t>Summary &amp; Purpose</w:t>
            </w:r>
          </w:p>
        </w:tc>
        <w:tc>
          <w:tcPr>
            <w:tcW w:w="7918" w:type="dxa"/>
          </w:tcPr>
          <w:p w:rsid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DA4D9F">
              <w:rPr>
                <w:rFonts w:cs="Arial"/>
                <w:sz w:val="20"/>
                <w:szCs w:val="20"/>
              </w:rPr>
              <w:t>Direct Evaporative Coolers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201A3F">
              <w:rPr>
                <w:rFonts w:cs="Arial"/>
                <w:sz w:val="20"/>
                <w:szCs w:val="20"/>
              </w:rPr>
              <w:t>om SCE</w:t>
            </w:r>
            <w:r w:rsidR="00E33C12">
              <w:rPr>
                <w:rFonts w:cs="Arial"/>
                <w:sz w:val="20"/>
                <w:szCs w:val="20"/>
              </w:rPr>
              <w:t xml:space="preserve">’s workpaper, </w:t>
            </w:r>
            <w:r w:rsidR="00DA4D9F">
              <w:rPr>
                <w:rFonts w:cs="Arial"/>
                <w:sz w:val="20"/>
                <w:szCs w:val="20"/>
              </w:rPr>
              <w:t>SCE17HC013</w:t>
            </w:r>
            <w:r w:rsidR="00201A3F">
              <w:rPr>
                <w:rFonts w:cs="Arial"/>
                <w:sz w:val="20"/>
                <w:szCs w:val="20"/>
              </w:rPr>
              <w:t>, Revision 0</w:t>
            </w:r>
            <w:r w:rsidR="00895D80">
              <w:rPr>
                <w:rFonts w:cs="Arial"/>
                <w:sz w:val="20"/>
                <w:szCs w:val="20"/>
              </w:rPr>
              <w:t>.</w:t>
            </w:r>
          </w:p>
          <w:p w:rsidR="00A21710" w:rsidRDefault="00A21710" w:rsidP="008E0850">
            <w:pPr>
              <w:jc w:val="both"/>
              <w:rPr>
                <w:rFonts w:cs="Arial"/>
                <w:sz w:val="20"/>
                <w:szCs w:val="20"/>
              </w:rPr>
            </w:pPr>
          </w:p>
          <w:p w:rsidR="00A21710" w:rsidRPr="00A21710" w:rsidRDefault="00A21710" w:rsidP="00A21710">
            <w:pPr>
              <w:jc w:val="both"/>
              <w:rPr>
                <w:rFonts w:cs="Arial"/>
                <w:sz w:val="20"/>
                <w:szCs w:val="20"/>
              </w:rPr>
            </w:pPr>
            <w:r>
              <w:rPr>
                <w:rFonts w:cs="Arial"/>
                <w:sz w:val="20"/>
                <w:szCs w:val="20"/>
              </w:rPr>
              <w:t>SCE’s work</w:t>
            </w:r>
            <w:r w:rsidRPr="00A21710">
              <w:rPr>
                <w:rFonts w:cs="Arial"/>
                <w:sz w:val="20"/>
                <w:szCs w:val="20"/>
              </w:rPr>
              <w:t xml:space="preserve">paper </w:t>
            </w:r>
            <w:r w:rsidR="00752529" w:rsidRPr="00752529">
              <w:rPr>
                <w:rFonts w:cs="Arial"/>
                <w:sz w:val="20"/>
                <w:szCs w:val="20"/>
              </w:rPr>
              <w:t>details the installation of direct evaporative coolers to displace compressor based space cooling in both residential and non-residential buildings.  The operation of direct evaporative coolers provides necessary cooling capacity and comfort with a fraction of the energy required for traditional DX cooling. Direct evaporative cooling is achieved by passing outdoor air over a cooling media that is saturated with water and distributing it into the indoor space.</w:t>
            </w:r>
          </w:p>
          <w:p w:rsidR="00A21710" w:rsidRPr="00A21710" w:rsidRDefault="00A21710" w:rsidP="00A21710">
            <w:pPr>
              <w:jc w:val="both"/>
              <w:rPr>
                <w:rFonts w:cs="Arial"/>
                <w:sz w:val="20"/>
                <w:szCs w:val="20"/>
              </w:rPr>
            </w:pPr>
          </w:p>
          <w:p w:rsidR="00BD4AFD" w:rsidRDefault="00752529" w:rsidP="00A21710">
            <w:pPr>
              <w:jc w:val="both"/>
              <w:rPr>
                <w:rFonts w:cs="Arial"/>
                <w:sz w:val="20"/>
                <w:szCs w:val="20"/>
              </w:rPr>
            </w:pPr>
            <w:r>
              <w:rPr>
                <w:rFonts w:cs="Arial"/>
                <w:sz w:val="20"/>
                <w:szCs w:val="20"/>
              </w:rPr>
              <w:t>SDG&amp;E will utilize the same methodology, with a few exceptions to fit into SDG&amp;E’s specific offerings in climate zone 14 for mobile homes only.</w:t>
            </w:r>
          </w:p>
          <w:p w:rsidR="00BD4AFD" w:rsidRPr="00A21710" w:rsidRDefault="00BD4AFD" w:rsidP="00A21710">
            <w:pPr>
              <w:jc w:val="both"/>
              <w:rPr>
                <w:rFonts w:cs="Arial"/>
                <w:sz w:val="20"/>
                <w:szCs w:val="20"/>
              </w:rPr>
            </w:pPr>
          </w:p>
          <w:p w:rsidR="00A21710" w:rsidRPr="00DE364E" w:rsidRDefault="00A21710" w:rsidP="008E0850">
            <w:pPr>
              <w:jc w:val="both"/>
              <w:rPr>
                <w:rFonts w:cs="Arial"/>
                <w:sz w:val="20"/>
                <w:szCs w:val="20"/>
              </w:rPr>
            </w:pPr>
          </w:p>
          <w:p w:rsidR="00DB71F1" w:rsidRPr="00D86243" w:rsidRDefault="00DB71F1" w:rsidP="00555671">
            <w:pPr>
              <w:jc w:val="both"/>
              <w:rPr>
                <w:rFonts w:cs="Arial"/>
                <w:sz w:val="20"/>
                <w:szCs w:val="20"/>
              </w:rPr>
            </w:pPr>
          </w:p>
        </w:tc>
      </w:tr>
      <w:tr w:rsidR="00DB71F1" w:rsidTr="003B6A2A">
        <w:trPr>
          <w:cantSplit/>
        </w:trPr>
        <w:tc>
          <w:tcPr>
            <w:tcW w:w="1432" w:type="dxa"/>
            <w:vAlign w:val="center"/>
          </w:tcPr>
          <w:p w:rsidR="00DB71F1" w:rsidRPr="001D77F7" w:rsidRDefault="00DB71F1" w:rsidP="00393EC8">
            <w:pPr>
              <w:rPr>
                <w:b/>
              </w:rPr>
            </w:pPr>
            <w:r w:rsidRPr="001D77F7">
              <w:rPr>
                <w:b/>
              </w:rPr>
              <w:t>1.1 Measure &amp; Baseline Data</w:t>
            </w:r>
          </w:p>
        </w:tc>
        <w:tc>
          <w:tcPr>
            <w:tcW w:w="7918" w:type="dxa"/>
          </w:tcPr>
          <w:p w:rsidR="008C2C8A" w:rsidRPr="00555671" w:rsidRDefault="00EE6CFE" w:rsidP="001D57D7">
            <w:pPr>
              <w:rPr>
                <w:rFonts w:cs="Arial"/>
                <w:sz w:val="20"/>
                <w:szCs w:val="20"/>
              </w:rPr>
            </w:pPr>
            <w:r w:rsidRPr="00555671">
              <w:rPr>
                <w:rFonts w:cs="Arial"/>
                <w:sz w:val="20"/>
                <w:szCs w:val="20"/>
              </w:rPr>
              <w:t xml:space="preserve">Measure: </w:t>
            </w:r>
          </w:p>
          <w:p w:rsidR="006D2B70" w:rsidRDefault="00752529" w:rsidP="00C131CB">
            <w:pPr>
              <w:rPr>
                <w:rFonts w:cs="Arial"/>
                <w:sz w:val="20"/>
                <w:szCs w:val="20"/>
              </w:rPr>
            </w:pPr>
            <w:r>
              <w:rPr>
                <w:rFonts w:cs="Arial"/>
                <w:sz w:val="20"/>
                <w:szCs w:val="20"/>
              </w:rPr>
              <w:t>463820</w:t>
            </w:r>
            <w:r w:rsidR="00E159C8" w:rsidRPr="00555671">
              <w:rPr>
                <w:rFonts w:cs="Arial"/>
                <w:sz w:val="20"/>
                <w:szCs w:val="20"/>
              </w:rPr>
              <w:t xml:space="preserve"> </w:t>
            </w:r>
            <w:r w:rsidR="00711B58">
              <w:rPr>
                <w:rFonts w:cs="Arial"/>
                <w:sz w:val="20"/>
                <w:szCs w:val="20"/>
              </w:rPr>
              <w:t>–</w:t>
            </w:r>
            <w:r w:rsidR="00E159C8" w:rsidRPr="00555671">
              <w:rPr>
                <w:rFonts w:cs="Arial"/>
                <w:sz w:val="20"/>
                <w:szCs w:val="20"/>
              </w:rPr>
              <w:t xml:space="preserve"> </w:t>
            </w:r>
            <w:r>
              <w:rPr>
                <w:rFonts w:cs="Arial"/>
                <w:sz w:val="20"/>
                <w:szCs w:val="20"/>
              </w:rPr>
              <w:t>Direct Evaporative</w:t>
            </w:r>
            <w:r w:rsidRPr="00752529">
              <w:rPr>
                <w:rFonts w:cs="Arial"/>
                <w:sz w:val="20"/>
                <w:szCs w:val="20"/>
              </w:rPr>
              <w:t xml:space="preserve"> Coolers (Res)</w:t>
            </w:r>
          </w:p>
          <w:p w:rsidR="00C131CB" w:rsidRPr="00241A1F" w:rsidRDefault="00752529" w:rsidP="00752529">
            <w:pPr>
              <w:rPr>
                <w:rFonts w:cs="Arial"/>
                <w:sz w:val="20"/>
                <w:szCs w:val="20"/>
              </w:rPr>
            </w:pPr>
            <w:r w:rsidRPr="00752529">
              <w:rPr>
                <w:rFonts w:cs="Arial"/>
                <w:sz w:val="20"/>
                <w:szCs w:val="20"/>
              </w:rPr>
              <w:t>464037</w:t>
            </w:r>
            <w:r>
              <w:rPr>
                <w:rFonts w:cs="Arial"/>
                <w:sz w:val="20"/>
                <w:szCs w:val="20"/>
              </w:rPr>
              <w:t xml:space="preserve"> – With Dampers Direct Evaporative Coolers</w:t>
            </w:r>
          </w:p>
        </w:tc>
      </w:tr>
      <w:tr w:rsidR="00DB71F1" w:rsidTr="003B6A2A">
        <w:trPr>
          <w:cantSplit/>
        </w:trPr>
        <w:tc>
          <w:tcPr>
            <w:tcW w:w="1432" w:type="dxa"/>
            <w:vAlign w:val="center"/>
          </w:tcPr>
          <w:p w:rsidR="00DB71F1" w:rsidRPr="001D77F7" w:rsidRDefault="00DB71F1" w:rsidP="00393EC8">
            <w:pPr>
              <w:rPr>
                <w:b/>
              </w:rPr>
            </w:pPr>
            <w:r w:rsidRPr="001D77F7">
              <w:rPr>
                <w:b/>
              </w:rPr>
              <w:t xml:space="preserve">1.2 Technical Description </w:t>
            </w:r>
          </w:p>
        </w:tc>
        <w:tc>
          <w:tcPr>
            <w:tcW w:w="7918" w:type="dxa"/>
          </w:tcPr>
          <w:p w:rsidR="00752529" w:rsidRDefault="00752529" w:rsidP="00752529">
            <w:pPr>
              <w:rPr>
                <w:rFonts w:cs="Arial"/>
                <w:sz w:val="20"/>
                <w:szCs w:val="20"/>
              </w:rPr>
            </w:pPr>
            <w:r w:rsidRPr="00752529">
              <w:rPr>
                <w:rFonts w:cs="Arial"/>
                <w:sz w:val="20"/>
                <w:szCs w:val="20"/>
              </w:rPr>
              <w:t>Direct evaporative cooling is achieved by passing outdoor air through a wetted media and distributing it into the indoor space. Evaporating water from this media removes sensible heat from the airstream, lowering its dry bulb temperature. At the same time, moisture is added to the airstream, raising its relative humidity, which can sometimes reach uncomfortable levels. However, for most conditions throughout a typical cooling season, direct evaporative cooling can adequately meet cooling loads and maintain reasonable humidity levels.</w:t>
            </w:r>
          </w:p>
          <w:p w:rsidR="00752529" w:rsidRDefault="00752529" w:rsidP="00752529">
            <w:pPr>
              <w:rPr>
                <w:rFonts w:cs="Arial"/>
                <w:sz w:val="20"/>
                <w:szCs w:val="20"/>
              </w:rPr>
            </w:pPr>
          </w:p>
          <w:p w:rsidR="00752529" w:rsidRDefault="00752529" w:rsidP="00752529">
            <w:pPr>
              <w:rPr>
                <w:rFonts w:cs="Arial"/>
                <w:sz w:val="20"/>
                <w:szCs w:val="20"/>
              </w:rPr>
            </w:pPr>
            <w:r w:rsidRPr="00752529">
              <w:rPr>
                <w:rFonts w:cs="Arial"/>
                <w:sz w:val="20"/>
                <w:szCs w:val="20"/>
              </w:rPr>
              <w:t>For the residential sector in Southern California Edison (SCE), this measure assumes that direct evaporative coolers are added equipment to the home, i.e., they are not replacing any existing central air conditioning equipm</w:t>
            </w:r>
            <w:bookmarkStart w:id="2" w:name="OLE_LINK3"/>
            <w:r w:rsidRPr="00752529">
              <w:rPr>
                <w:rFonts w:cs="Arial"/>
                <w:sz w:val="20"/>
                <w:szCs w:val="20"/>
              </w:rPr>
              <w:t xml:space="preserve">ent. The evaporative coolers are used to displace the use of an existing central air conditioning system when cooling is required and the ambient dew point is less than 55 F. The residential measures in this work paper are applicable to all Southern California Edison climate zones and the associated building types shown later in the report. </w:t>
            </w:r>
          </w:p>
          <w:p w:rsidR="00752529" w:rsidRPr="00752529" w:rsidRDefault="00752529" w:rsidP="00752529">
            <w:pPr>
              <w:rPr>
                <w:rFonts w:cs="Arial"/>
                <w:sz w:val="20"/>
                <w:szCs w:val="20"/>
              </w:rPr>
            </w:pPr>
          </w:p>
          <w:p w:rsidR="00752529" w:rsidRDefault="00752529" w:rsidP="00752529">
            <w:pPr>
              <w:rPr>
                <w:rFonts w:cs="Arial"/>
                <w:sz w:val="20"/>
                <w:szCs w:val="20"/>
              </w:rPr>
            </w:pPr>
            <w:r w:rsidRPr="00752529">
              <w:rPr>
                <w:rFonts w:cs="Arial"/>
                <w:sz w:val="20"/>
                <w:szCs w:val="20"/>
              </w:rPr>
              <w:t>For Pacific Gas &amp; Electric (PG&amp;E), this measure assumes that direct evaporative coolers are replacing an existing, whole house vapor-compression air conditioning system.  The residential measures are applicable only for multifamily dwellings in climate zones 11, 12 and 13.</w:t>
            </w:r>
          </w:p>
          <w:p w:rsidR="00752529" w:rsidRPr="00752529" w:rsidRDefault="00752529" w:rsidP="00752529">
            <w:pPr>
              <w:rPr>
                <w:rFonts w:cs="Arial"/>
                <w:sz w:val="20"/>
                <w:szCs w:val="20"/>
              </w:rPr>
            </w:pPr>
          </w:p>
          <w:p w:rsidR="00752529" w:rsidRDefault="00752529" w:rsidP="00752529">
            <w:pPr>
              <w:rPr>
                <w:rFonts w:cs="Arial"/>
                <w:sz w:val="20"/>
                <w:szCs w:val="20"/>
              </w:rPr>
            </w:pPr>
            <w:r w:rsidRPr="00752529">
              <w:rPr>
                <w:rFonts w:cs="Arial"/>
                <w:sz w:val="20"/>
                <w:szCs w:val="20"/>
              </w:rPr>
              <w:t>Energy savings is reported for both cases i.e. with and without pressure relief dampers</w:t>
            </w:r>
            <w:r>
              <w:rPr>
                <w:rFonts w:cs="Arial"/>
                <w:sz w:val="20"/>
                <w:szCs w:val="20"/>
              </w:rPr>
              <w:t xml:space="preserve"> within SCE’s workpaper</w:t>
            </w:r>
            <w:r w:rsidRPr="00752529">
              <w:rPr>
                <w:rFonts w:cs="Arial"/>
                <w:sz w:val="20"/>
                <w:szCs w:val="20"/>
              </w:rPr>
              <w:t>. The use of pressure relief dampers negates the need to open windows and discharges air into the attic, keeping the attic cool and reduces heat gain in the house.</w:t>
            </w:r>
          </w:p>
          <w:p w:rsidR="00752529" w:rsidRDefault="00752529" w:rsidP="00752529">
            <w:pPr>
              <w:rPr>
                <w:rFonts w:cs="Arial"/>
                <w:sz w:val="20"/>
                <w:szCs w:val="20"/>
              </w:rPr>
            </w:pPr>
          </w:p>
          <w:p w:rsidR="00752529" w:rsidRPr="00752529" w:rsidRDefault="00752529" w:rsidP="00752529">
            <w:pPr>
              <w:rPr>
                <w:rFonts w:cs="Arial"/>
                <w:sz w:val="20"/>
                <w:szCs w:val="20"/>
              </w:rPr>
            </w:pPr>
            <w:r>
              <w:rPr>
                <w:rFonts w:cs="Arial"/>
                <w:sz w:val="20"/>
                <w:szCs w:val="20"/>
              </w:rPr>
              <w:t>For San Diego Gas &amp; Electric (SDG&amp;E), this measure assumes the same characteristics as PG&amp;E’s replacement and install, except the residential measures are applicable only for mobile homes in climate zone 14.</w:t>
            </w:r>
          </w:p>
          <w:bookmarkEnd w:id="2"/>
          <w:p w:rsidR="00DB71F1" w:rsidRPr="00241A1F" w:rsidRDefault="00DB71F1">
            <w:pPr>
              <w:rPr>
                <w:rFonts w:cs="Arial"/>
                <w:sz w:val="20"/>
                <w:szCs w:val="20"/>
              </w:rPr>
            </w:pPr>
          </w:p>
        </w:tc>
      </w:tr>
      <w:tr w:rsidR="008775D7" w:rsidRPr="008775D7" w:rsidTr="003B6A2A">
        <w:trPr>
          <w:cantSplit/>
        </w:trPr>
        <w:tc>
          <w:tcPr>
            <w:tcW w:w="1432" w:type="dxa"/>
          </w:tcPr>
          <w:p w:rsidR="008775D7" w:rsidRPr="00241A1F" w:rsidRDefault="008775D7" w:rsidP="00241A1F">
            <w:pPr>
              <w:jc w:val="right"/>
              <w:rPr>
                <w:sz w:val="20"/>
                <w:szCs w:val="20"/>
              </w:rPr>
            </w:pPr>
            <w:r w:rsidRPr="00241A1F">
              <w:rPr>
                <w:sz w:val="20"/>
                <w:szCs w:val="20"/>
              </w:rPr>
              <w:t>Measures</w:t>
            </w:r>
          </w:p>
        </w:tc>
        <w:tc>
          <w:tcPr>
            <w:tcW w:w="7918" w:type="dxa"/>
          </w:tcPr>
          <w:p w:rsidR="008775D7" w:rsidRPr="00E733C7" w:rsidRDefault="008D0B3C">
            <w:pPr>
              <w:rPr>
                <w:rFonts w:cs="Arial"/>
                <w:sz w:val="20"/>
                <w:szCs w:val="20"/>
              </w:rPr>
            </w:pPr>
            <w:r>
              <w:rPr>
                <w:rFonts w:cs="Arial"/>
                <w:sz w:val="20"/>
                <w:szCs w:val="20"/>
              </w:rPr>
              <w:t>See Requirements</w:t>
            </w:r>
          </w:p>
        </w:tc>
      </w:tr>
      <w:tr w:rsidR="008775D7" w:rsidRPr="008775D7" w:rsidTr="003B6A2A">
        <w:trPr>
          <w:cantSplit/>
        </w:trPr>
        <w:tc>
          <w:tcPr>
            <w:tcW w:w="1432" w:type="dxa"/>
          </w:tcPr>
          <w:p w:rsidR="008775D7" w:rsidRPr="00653C4B" w:rsidRDefault="008775D7" w:rsidP="00241A1F">
            <w:pPr>
              <w:jc w:val="right"/>
              <w:rPr>
                <w:sz w:val="20"/>
                <w:szCs w:val="20"/>
              </w:rPr>
            </w:pPr>
            <w:r w:rsidRPr="00653C4B">
              <w:rPr>
                <w:sz w:val="20"/>
                <w:szCs w:val="20"/>
              </w:rPr>
              <w:lastRenderedPageBreak/>
              <w:t>Code for All Measures</w:t>
            </w:r>
          </w:p>
        </w:tc>
        <w:tc>
          <w:tcPr>
            <w:tcW w:w="7918" w:type="dxa"/>
          </w:tcPr>
          <w:p w:rsidR="000E65D6" w:rsidRPr="000E65D6" w:rsidRDefault="000E65D6" w:rsidP="000E65D6">
            <w:pPr>
              <w:jc w:val="both"/>
              <w:rPr>
                <w:rFonts w:cs="Arial"/>
                <w:sz w:val="20"/>
                <w:szCs w:val="20"/>
              </w:rPr>
            </w:pPr>
            <w:r w:rsidRPr="000E65D6">
              <w:rPr>
                <w:rFonts w:cs="Arial"/>
                <w:sz w:val="20"/>
                <w:szCs w:val="20"/>
              </w:rPr>
              <w:t xml:space="preserve">There are no energy efficiency standards or energy design standards for this measure. The Title 24 2016 Residential and Non-Residential Compliance Manual [496] provides indirect and indirect-direct evaporative coolers with compliance credits, but does not allow compliance credit for direct evaporative coolers. </w:t>
            </w:r>
          </w:p>
          <w:p w:rsidR="000E65D6" w:rsidRPr="000E65D6" w:rsidRDefault="000E65D6" w:rsidP="000E65D6">
            <w:pPr>
              <w:jc w:val="both"/>
              <w:rPr>
                <w:rFonts w:cs="Arial"/>
                <w:sz w:val="20"/>
                <w:szCs w:val="20"/>
              </w:rPr>
            </w:pPr>
          </w:p>
          <w:p w:rsidR="000E65D6" w:rsidRPr="000E65D6" w:rsidRDefault="000E65D6" w:rsidP="000E65D6">
            <w:pPr>
              <w:jc w:val="both"/>
              <w:rPr>
                <w:rFonts w:cs="Arial"/>
                <w:sz w:val="20"/>
                <w:szCs w:val="20"/>
              </w:rPr>
            </w:pPr>
            <w:r w:rsidRPr="000E65D6">
              <w:rPr>
                <w:rFonts w:cs="Arial"/>
                <w:sz w:val="20"/>
                <w:szCs w:val="20"/>
              </w:rPr>
              <w:t>The measure involves only residential retrofit, therefore, 2016 Title-24 code for non-residential efficiency requirements do not apply to this work paper.</w:t>
            </w:r>
          </w:p>
          <w:p w:rsidR="000E65D6" w:rsidRPr="000E65D6" w:rsidRDefault="000E65D6" w:rsidP="000E65D6">
            <w:pPr>
              <w:jc w:val="both"/>
              <w:rPr>
                <w:rFonts w:cs="Arial"/>
                <w:sz w:val="20"/>
                <w:szCs w:val="20"/>
              </w:rPr>
            </w:pPr>
          </w:p>
          <w:p w:rsidR="000E65D6" w:rsidRPr="000E65D6" w:rsidRDefault="000E65D6" w:rsidP="000E65D6">
            <w:pPr>
              <w:jc w:val="both"/>
              <w:rPr>
                <w:rFonts w:cs="Arial"/>
                <w:sz w:val="20"/>
                <w:szCs w:val="20"/>
              </w:rPr>
            </w:pPr>
            <w:r w:rsidRPr="000E65D6">
              <w:rPr>
                <w:rFonts w:cs="Arial"/>
                <w:sz w:val="20"/>
                <w:szCs w:val="20"/>
              </w:rPr>
              <w:t xml:space="preserve">2016 Title 20 [508] does not cover evaporative coolers, and gives the following language, “There are no energy efficiency standards or energy design standards for spot air conditioners, evaporative coolers, whole house fans, or residential exhaust fans.” </w:t>
            </w:r>
          </w:p>
          <w:p w:rsidR="000E65D6" w:rsidRPr="000E65D6" w:rsidRDefault="000E65D6" w:rsidP="000E65D6">
            <w:pPr>
              <w:jc w:val="both"/>
              <w:rPr>
                <w:rFonts w:cs="Arial"/>
                <w:sz w:val="20"/>
                <w:szCs w:val="20"/>
              </w:rPr>
            </w:pPr>
          </w:p>
          <w:p w:rsidR="000E65D6" w:rsidRDefault="000E65D6" w:rsidP="000E65D6">
            <w:pPr>
              <w:jc w:val="both"/>
              <w:rPr>
                <w:rFonts w:cs="Arial"/>
                <w:sz w:val="20"/>
                <w:szCs w:val="20"/>
              </w:rPr>
            </w:pPr>
            <w:r w:rsidRPr="000E65D6">
              <w:rPr>
                <w:rFonts w:cs="Arial"/>
                <w:sz w:val="20"/>
                <w:szCs w:val="20"/>
              </w:rPr>
              <w:t>According to 2016 Title-20 code, systems installed after January 1, 2015 must have a minimum SEER of 14.0 according to Section 1605.1. Federal and State Standards for Federally-Regulated Appliances Table C-3. 2016 Title-20 code is mentioned as a reference only. Savings impacts are not updated. Below is the minimum efficiency table from Title-20 code.</w:t>
            </w:r>
          </w:p>
          <w:p w:rsidR="000E65D6" w:rsidRDefault="000E65D6" w:rsidP="000E65D6">
            <w:pPr>
              <w:jc w:val="both"/>
              <w:rPr>
                <w:rFonts w:cs="Arial"/>
                <w:sz w:val="20"/>
                <w:szCs w:val="20"/>
              </w:rPr>
            </w:pPr>
          </w:p>
          <w:p w:rsidR="000E65D6" w:rsidRPr="000E65D6" w:rsidRDefault="000E65D6" w:rsidP="000E65D6">
            <w:pPr>
              <w:jc w:val="both"/>
              <w:rPr>
                <w:rFonts w:cs="Arial"/>
                <w:sz w:val="20"/>
                <w:szCs w:val="20"/>
              </w:rPr>
            </w:pPr>
            <w:r>
              <w:rPr>
                <w:rFonts w:cs="Arial"/>
                <w:noProof/>
                <w:sz w:val="20"/>
                <w:szCs w:val="20"/>
              </w:rPr>
              <w:drawing>
                <wp:inline distT="0" distB="0" distL="0" distR="0" wp14:anchorId="62B3C42B">
                  <wp:extent cx="4955014" cy="43907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6434" cy="4400873"/>
                          </a:xfrm>
                          <a:prstGeom prst="rect">
                            <a:avLst/>
                          </a:prstGeom>
                          <a:noFill/>
                        </pic:spPr>
                      </pic:pic>
                    </a:graphicData>
                  </a:graphic>
                </wp:inline>
              </w:drawing>
            </w:r>
          </w:p>
          <w:p w:rsidR="005C1518" w:rsidRPr="000E65D6" w:rsidRDefault="000E65D6" w:rsidP="005C1518">
            <w:pPr>
              <w:jc w:val="both"/>
              <w:rPr>
                <w:rFonts w:cs="Arial"/>
                <w:b/>
                <w:sz w:val="20"/>
                <w:szCs w:val="20"/>
              </w:rPr>
            </w:pPr>
            <w:r w:rsidRPr="000E65D6">
              <w:rPr>
                <w:rFonts w:cs="Arial"/>
                <w:b/>
                <w:sz w:val="20"/>
                <w:szCs w:val="20"/>
              </w:rPr>
              <w:t>Code Summary</w:t>
            </w:r>
          </w:p>
          <w:tbl>
            <w:tblPr>
              <w:tblStyle w:val="TableGrid1"/>
              <w:tblW w:w="5000" w:type="pct"/>
              <w:tblLook w:val="04A0" w:firstRow="1" w:lastRow="0" w:firstColumn="1" w:lastColumn="0" w:noHBand="0" w:noVBand="1"/>
            </w:tblPr>
            <w:tblGrid>
              <w:gridCol w:w="1776"/>
              <w:gridCol w:w="4171"/>
              <w:gridCol w:w="1745"/>
            </w:tblGrid>
            <w:tr w:rsidR="000E65D6" w:rsidRPr="00500C4E" w:rsidTr="00D63B54">
              <w:tc>
                <w:tcPr>
                  <w:tcW w:w="1155" w:type="pct"/>
                  <w:shd w:val="clear" w:color="auto" w:fill="D9D9D9" w:themeFill="background1" w:themeFillShade="D9"/>
                </w:tcPr>
                <w:p w:rsidR="000E65D6" w:rsidRPr="00920905" w:rsidRDefault="000E65D6" w:rsidP="000E65D6">
                  <w:pPr>
                    <w:rPr>
                      <w:rFonts w:cstheme="minorHAnsi"/>
                      <w:b/>
                      <w:szCs w:val="20"/>
                    </w:rPr>
                  </w:pPr>
                  <w:r w:rsidRPr="00920905">
                    <w:rPr>
                      <w:rFonts w:cstheme="minorHAnsi"/>
                      <w:b/>
                      <w:szCs w:val="20"/>
                    </w:rPr>
                    <w:t>Code</w:t>
                  </w:r>
                </w:p>
              </w:tc>
              <w:tc>
                <w:tcPr>
                  <w:tcW w:w="2711" w:type="pct"/>
                  <w:shd w:val="clear" w:color="auto" w:fill="D9D9D9" w:themeFill="background1" w:themeFillShade="D9"/>
                </w:tcPr>
                <w:p w:rsidR="000E65D6" w:rsidRPr="00920905" w:rsidRDefault="000E65D6" w:rsidP="000E65D6">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rsidR="000E65D6" w:rsidRPr="00920905" w:rsidRDefault="000E65D6" w:rsidP="000E65D6">
                  <w:pPr>
                    <w:rPr>
                      <w:rFonts w:cstheme="minorHAnsi"/>
                      <w:b/>
                      <w:szCs w:val="20"/>
                    </w:rPr>
                  </w:pPr>
                  <w:r w:rsidRPr="00920905">
                    <w:rPr>
                      <w:rFonts w:cstheme="minorHAnsi"/>
                      <w:b/>
                      <w:szCs w:val="20"/>
                    </w:rPr>
                    <w:t>Effective Date</w:t>
                  </w:r>
                  <w:r>
                    <w:rPr>
                      <w:rFonts w:cstheme="minorHAnsi"/>
                      <w:b/>
                      <w:szCs w:val="20"/>
                    </w:rPr>
                    <w:t>s</w:t>
                  </w:r>
                </w:p>
              </w:tc>
            </w:tr>
            <w:tr w:rsidR="000E65D6" w:rsidRPr="00500C4E" w:rsidTr="00D63B54">
              <w:trPr>
                <w:trHeight w:val="243"/>
              </w:trPr>
              <w:tc>
                <w:tcPr>
                  <w:tcW w:w="1155" w:type="pct"/>
                </w:tcPr>
                <w:p w:rsidR="000E65D6" w:rsidRPr="00AE5907" w:rsidRDefault="000E65D6" w:rsidP="000E65D6">
                  <w:pPr>
                    <w:rPr>
                      <w:rFonts w:cstheme="minorHAnsi"/>
                      <w:szCs w:val="20"/>
                    </w:rPr>
                  </w:pPr>
                  <w:r w:rsidRPr="00AE5907">
                    <w:rPr>
                      <w:rFonts w:cstheme="minorHAnsi"/>
                      <w:szCs w:val="20"/>
                    </w:rPr>
                    <w:t>Title 20 (201</w:t>
                  </w:r>
                  <w:r>
                    <w:rPr>
                      <w:rFonts w:cstheme="minorHAnsi"/>
                      <w:szCs w:val="20"/>
                    </w:rPr>
                    <w:t>6</w:t>
                  </w:r>
                  <w:r w:rsidRPr="00AE5907">
                    <w:rPr>
                      <w:rFonts w:cstheme="minorHAnsi"/>
                      <w:szCs w:val="20"/>
                    </w:rPr>
                    <w:t>)</w:t>
                  </w:r>
                </w:p>
              </w:tc>
              <w:tc>
                <w:tcPr>
                  <w:tcW w:w="2711" w:type="pct"/>
                </w:tcPr>
                <w:p w:rsidR="000E65D6" w:rsidRPr="0048451C" w:rsidRDefault="000E65D6" w:rsidP="000E65D6">
                  <w:pPr>
                    <w:rPr>
                      <w:rFonts w:cstheme="minorHAnsi"/>
                      <w:szCs w:val="20"/>
                    </w:rPr>
                  </w:pPr>
                  <w:r>
                    <w:rPr>
                      <w:rFonts w:cstheme="minorHAnsi"/>
                      <w:szCs w:val="20"/>
                    </w:rPr>
                    <w:t xml:space="preserve">Section </w:t>
                  </w:r>
                  <w:r w:rsidRPr="00212BF3">
                    <w:rPr>
                      <w:rFonts w:cstheme="minorHAnsi"/>
                      <w:szCs w:val="20"/>
                    </w:rPr>
                    <w:t>1605.1. Federal and State Standards for Federally-Regulated Appliances</w:t>
                  </w:r>
                  <w:r>
                    <w:rPr>
                      <w:rFonts w:cstheme="minorHAnsi"/>
                      <w:szCs w:val="20"/>
                    </w:rPr>
                    <w:t xml:space="preserve"> </w:t>
                  </w:r>
                  <w:r w:rsidRPr="0048451C">
                    <w:rPr>
                      <w:rFonts w:cstheme="minorHAnsi"/>
                      <w:szCs w:val="20"/>
                    </w:rPr>
                    <w:t>Table C-3</w:t>
                  </w:r>
                </w:p>
                <w:p w:rsidR="000E65D6" w:rsidRPr="00AE5907" w:rsidRDefault="000E65D6" w:rsidP="000E65D6">
                  <w:pPr>
                    <w:rPr>
                      <w:rFonts w:cstheme="minorHAnsi"/>
                      <w:szCs w:val="20"/>
                    </w:rPr>
                  </w:pPr>
                  <w:r w:rsidRPr="0048451C">
                    <w:rPr>
                      <w:rFonts w:cstheme="minorHAnsi"/>
                      <w:szCs w:val="20"/>
                    </w:rPr>
                    <w:t xml:space="preserve">Standards for Air-Cooled Air Conditioners and Air-Source Heat Pumps Subject to </w:t>
                  </w:r>
                  <w:proofErr w:type="spellStart"/>
                  <w:r w:rsidRPr="0048451C">
                    <w:rPr>
                      <w:rFonts w:cstheme="minorHAnsi"/>
                      <w:szCs w:val="20"/>
                    </w:rPr>
                    <w:t>EPAct</w:t>
                  </w:r>
                  <w:proofErr w:type="spellEnd"/>
                </w:p>
              </w:tc>
              <w:tc>
                <w:tcPr>
                  <w:tcW w:w="1134" w:type="pct"/>
                </w:tcPr>
                <w:p w:rsidR="000E65D6" w:rsidRPr="00AE5907" w:rsidRDefault="000E65D6" w:rsidP="000E65D6">
                  <w:pPr>
                    <w:rPr>
                      <w:rFonts w:cstheme="minorHAnsi"/>
                      <w:szCs w:val="20"/>
                    </w:rPr>
                  </w:pPr>
                  <w:r>
                    <w:rPr>
                      <w:rFonts w:cstheme="minorHAnsi"/>
                      <w:szCs w:val="20"/>
                    </w:rPr>
                    <w:t>January</w:t>
                  </w:r>
                  <w:r w:rsidRPr="0048451C">
                    <w:rPr>
                      <w:rFonts w:cstheme="minorHAnsi"/>
                      <w:szCs w:val="20"/>
                    </w:rPr>
                    <w:t xml:space="preserve"> 1, 201</w:t>
                  </w:r>
                  <w:r>
                    <w:rPr>
                      <w:rFonts w:cstheme="minorHAnsi"/>
                      <w:szCs w:val="20"/>
                    </w:rPr>
                    <w:t>7</w:t>
                  </w:r>
                </w:p>
              </w:tc>
            </w:tr>
            <w:tr w:rsidR="000E65D6" w:rsidRPr="00500C4E" w:rsidTr="00D63B54">
              <w:trPr>
                <w:trHeight w:val="243"/>
              </w:trPr>
              <w:tc>
                <w:tcPr>
                  <w:tcW w:w="1155" w:type="pct"/>
                </w:tcPr>
                <w:p w:rsidR="000E65D6" w:rsidRPr="00AE5907" w:rsidRDefault="000E65D6" w:rsidP="000E65D6">
                  <w:pPr>
                    <w:rPr>
                      <w:rFonts w:cstheme="minorHAnsi"/>
                      <w:szCs w:val="20"/>
                    </w:rPr>
                  </w:pPr>
                  <w:r w:rsidRPr="00AE5907">
                    <w:rPr>
                      <w:rFonts w:cstheme="minorHAnsi"/>
                      <w:szCs w:val="20"/>
                    </w:rPr>
                    <w:t>DOE</w:t>
                  </w:r>
                </w:p>
              </w:tc>
              <w:tc>
                <w:tcPr>
                  <w:tcW w:w="2711" w:type="pct"/>
                </w:tcPr>
                <w:p w:rsidR="000E65D6" w:rsidRPr="00AE5907" w:rsidRDefault="000E65D6" w:rsidP="000E65D6">
                  <w:pPr>
                    <w:rPr>
                      <w:rFonts w:cstheme="minorHAnsi"/>
                      <w:szCs w:val="20"/>
                    </w:rPr>
                  </w:pPr>
                  <w:r w:rsidRPr="00AE5907">
                    <w:rPr>
                      <w:rFonts w:cstheme="minorHAnsi"/>
                      <w:szCs w:val="20"/>
                    </w:rPr>
                    <w:t>N/A</w:t>
                  </w:r>
                </w:p>
              </w:tc>
              <w:tc>
                <w:tcPr>
                  <w:tcW w:w="1134" w:type="pct"/>
                </w:tcPr>
                <w:p w:rsidR="000E65D6" w:rsidRPr="00AE5907" w:rsidRDefault="000E65D6" w:rsidP="000E65D6">
                  <w:pPr>
                    <w:rPr>
                      <w:rFonts w:cstheme="minorHAnsi"/>
                      <w:szCs w:val="20"/>
                    </w:rPr>
                  </w:pPr>
                  <w:r w:rsidRPr="00AE5907">
                    <w:rPr>
                      <w:rFonts w:cstheme="minorHAnsi"/>
                      <w:szCs w:val="20"/>
                    </w:rPr>
                    <w:t>N/A</w:t>
                  </w:r>
                </w:p>
              </w:tc>
            </w:tr>
          </w:tbl>
          <w:p w:rsidR="000E65D6" w:rsidRPr="00653C4B" w:rsidRDefault="000E65D6" w:rsidP="005C1518">
            <w:pPr>
              <w:jc w:val="both"/>
              <w:rPr>
                <w:rFonts w:cs="Arial"/>
                <w:sz w:val="20"/>
                <w:szCs w:val="20"/>
              </w:rPr>
            </w:pPr>
          </w:p>
        </w:tc>
      </w:tr>
      <w:tr w:rsidR="00E84938" w:rsidTr="003B6A2A">
        <w:trPr>
          <w:cantSplit/>
        </w:trPr>
        <w:tc>
          <w:tcPr>
            <w:tcW w:w="1432" w:type="dxa"/>
          </w:tcPr>
          <w:p w:rsidR="00E84938" w:rsidRPr="001D77F7" w:rsidRDefault="00E84938" w:rsidP="008724D6">
            <w:pPr>
              <w:jc w:val="right"/>
              <w:rPr>
                <w:b/>
              </w:rPr>
            </w:pPr>
            <w:r w:rsidRPr="00197677">
              <w:rPr>
                <w:rFonts w:cs="Arial"/>
                <w:sz w:val="20"/>
                <w:szCs w:val="20"/>
              </w:rPr>
              <w:lastRenderedPageBreak/>
              <w:t>Requirements</w:t>
            </w:r>
          </w:p>
        </w:tc>
        <w:tc>
          <w:tcPr>
            <w:tcW w:w="7918" w:type="dxa"/>
          </w:tcPr>
          <w:p w:rsidR="000E65D6" w:rsidRPr="000E65D6" w:rsidRDefault="000E65D6" w:rsidP="000E65D6">
            <w:pPr>
              <w:jc w:val="both"/>
              <w:rPr>
                <w:sz w:val="20"/>
                <w:szCs w:val="20"/>
              </w:rPr>
            </w:pPr>
            <w:r w:rsidRPr="000E65D6">
              <w:rPr>
                <w:sz w:val="20"/>
                <w:szCs w:val="20"/>
              </w:rPr>
              <w:t>An Advanced Evaporative Cooler Level 1 (AEC-1) must have a rigid media direct stage, manufactured evaporative media with a rated saturation effectiveness of 0.85 or better (a natural fiber pad is not allowed – the rigid media is generally 8” or 12” thick), a two speed fan,  a multi-position control switch that allows two fan speed operation and fan only operation and a water quality management system that provides positive removal of sump water on a regular interval (a bleed system is not allowed).</w:t>
            </w:r>
          </w:p>
          <w:p w:rsidR="000E65D6" w:rsidRPr="000E65D6" w:rsidRDefault="000E65D6" w:rsidP="000E65D6">
            <w:pPr>
              <w:jc w:val="both"/>
              <w:rPr>
                <w:sz w:val="20"/>
                <w:szCs w:val="20"/>
              </w:rPr>
            </w:pPr>
          </w:p>
          <w:p w:rsidR="000E65D6" w:rsidRPr="000E65D6" w:rsidRDefault="000E65D6" w:rsidP="000E65D6">
            <w:pPr>
              <w:jc w:val="both"/>
              <w:rPr>
                <w:sz w:val="20"/>
                <w:szCs w:val="20"/>
              </w:rPr>
            </w:pPr>
            <w:r w:rsidRPr="000E65D6">
              <w:rPr>
                <w:sz w:val="20"/>
                <w:szCs w:val="20"/>
              </w:rPr>
              <w:t>To be eligible for these me</w:t>
            </w:r>
            <w:r>
              <w:rPr>
                <w:sz w:val="20"/>
                <w:szCs w:val="20"/>
              </w:rPr>
              <w:t>asures, customers must be a SDG&amp;E</w:t>
            </w:r>
            <w:r w:rsidRPr="000E65D6">
              <w:rPr>
                <w:sz w:val="20"/>
                <w:szCs w:val="20"/>
              </w:rPr>
              <w:t xml:space="preserve"> electric customer</w:t>
            </w:r>
            <w:r>
              <w:rPr>
                <w:sz w:val="20"/>
                <w:szCs w:val="20"/>
              </w:rPr>
              <w:t>, live in a mobile home</w:t>
            </w:r>
            <w:r w:rsidRPr="000E65D6">
              <w:rPr>
                <w:sz w:val="20"/>
                <w:szCs w:val="20"/>
              </w:rPr>
              <w:t xml:space="preserve"> and li</w:t>
            </w:r>
            <w:r>
              <w:rPr>
                <w:sz w:val="20"/>
                <w:szCs w:val="20"/>
              </w:rPr>
              <w:t>ve in Climate Zones 14</w:t>
            </w:r>
            <w:r w:rsidRPr="000E65D6">
              <w:rPr>
                <w:sz w:val="20"/>
                <w:szCs w:val="20"/>
              </w:rPr>
              <w:t xml:space="preserve">. </w:t>
            </w:r>
          </w:p>
          <w:p w:rsidR="007E7E00" w:rsidRPr="00555671" w:rsidRDefault="007E7E00" w:rsidP="001D6A64">
            <w:pPr>
              <w:jc w:val="both"/>
              <w:rPr>
                <w:sz w:val="20"/>
                <w:szCs w:val="20"/>
              </w:rPr>
            </w:pPr>
          </w:p>
        </w:tc>
      </w:tr>
      <w:tr w:rsidR="00DB71F1" w:rsidTr="003B6A2A">
        <w:trPr>
          <w:cantSplit/>
        </w:trPr>
        <w:tc>
          <w:tcPr>
            <w:tcW w:w="1432" w:type="dxa"/>
          </w:tcPr>
          <w:p w:rsidR="00DB71F1" w:rsidRPr="001D77F7" w:rsidRDefault="00DB71F1" w:rsidP="00393EC8">
            <w:pPr>
              <w:rPr>
                <w:b/>
              </w:rPr>
            </w:pPr>
            <w:r w:rsidRPr="001D77F7">
              <w:rPr>
                <w:b/>
              </w:rPr>
              <w:t>1.3 Installation Type and Delivery Mechanisms</w:t>
            </w:r>
          </w:p>
        </w:tc>
        <w:tc>
          <w:tcPr>
            <w:tcW w:w="7918" w:type="dxa"/>
          </w:tcPr>
          <w:p w:rsidR="00DB71F1" w:rsidRPr="00D86243" w:rsidRDefault="00DB71F1" w:rsidP="00393EC8">
            <w:pPr>
              <w:rPr>
                <w:rFonts w:cs="Arial"/>
                <w:sz w:val="20"/>
                <w:szCs w:val="20"/>
              </w:rPr>
            </w:pPr>
          </w:p>
        </w:tc>
      </w:tr>
      <w:tr w:rsidR="00DB71F1" w:rsidTr="003B6A2A">
        <w:trPr>
          <w:cantSplit/>
        </w:trPr>
        <w:tc>
          <w:tcPr>
            <w:tcW w:w="1432" w:type="dxa"/>
            <w:vAlign w:val="center"/>
          </w:tcPr>
          <w:p w:rsidR="00DB71F1" w:rsidRPr="00822B6F" w:rsidRDefault="00DB71F1" w:rsidP="00393EC8">
            <w:pPr>
              <w:jc w:val="right"/>
              <w:rPr>
                <w:sz w:val="20"/>
                <w:szCs w:val="20"/>
              </w:rPr>
            </w:pPr>
            <w:r w:rsidRPr="00822B6F">
              <w:rPr>
                <w:sz w:val="20"/>
                <w:szCs w:val="20"/>
              </w:rPr>
              <w:t>Installation Type</w:t>
            </w:r>
          </w:p>
        </w:tc>
        <w:tc>
          <w:tcPr>
            <w:tcW w:w="7918"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3B6A2A">
        <w:trPr>
          <w:cantSplit/>
        </w:trPr>
        <w:tc>
          <w:tcPr>
            <w:tcW w:w="1432" w:type="dxa"/>
            <w:vAlign w:val="center"/>
          </w:tcPr>
          <w:p w:rsidR="00DB71F1" w:rsidRPr="00822B6F" w:rsidRDefault="00DB71F1" w:rsidP="00393EC8">
            <w:pPr>
              <w:jc w:val="right"/>
              <w:rPr>
                <w:sz w:val="20"/>
                <w:szCs w:val="20"/>
              </w:rPr>
            </w:pPr>
            <w:r w:rsidRPr="00822B6F">
              <w:rPr>
                <w:sz w:val="20"/>
                <w:szCs w:val="20"/>
              </w:rPr>
              <w:t>Delivery Mechanisms</w:t>
            </w:r>
          </w:p>
        </w:tc>
        <w:tc>
          <w:tcPr>
            <w:tcW w:w="7918" w:type="dxa"/>
          </w:tcPr>
          <w:p w:rsidR="00B9551F" w:rsidRPr="00FE636E" w:rsidRDefault="001046CB" w:rsidP="00FE636E">
            <w:pPr>
              <w:rPr>
                <w:rFonts w:cs="Arial"/>
                <w:sz w:val="20"/>
                <w:szCs w:val="20"/>
              </w:rPr>
            </w:pPr>
            <w:r>
              <w:rPr>
                <w:rFonts w:cs="Arial"/>
                <w:sz w:val="20"/>
                <w:szCs w:val="20"/>
              </w:rPr>
              <w:t>Direct Install</w:t>
            </w:r>
          </w:p>
        </w:tc>
      </w:tr>
      <w:tr w:rsidR="00DB71F1" w:rsidTr="003B6A2A">
        <w:trPr>
          <w:cantSplit/>
        </w:trPr>
        <w:tc>
          <w:tcPr>
            <w:tcW w:w="1432" w:type="dxa"/>
          </w:tcPr>
          <w:p w:rsidR="00DB71F1" w:rsidRPr="001D77F7" w:rsidRDefault="00DB71F1" w:rsidP="00393EC8">
            <w:pPr>
              <w:rPr>
                <w:b/>
              </w:rPr>
            </w:pPr>
            <w:r w:rsidRPr="001D77F7">
              <w:rPr>
                <w:b/>
              </w:rPr>
              <w:t>1.4.1 DEER Data</w:t>
            </w:r>
          </w:p>
        </w:tc>
        <w:tc>
          <w:tcPr>
            <w:tcW w:w="7918" w:type="dxa"/>
          </w:tcPr>
          <w:p w:rsidR="00DB71F1" w:rsidRDefault="00DB71F1" w:rsidP="00393EC8"/>
        </w:tc>
      </w:tr>
      <w:tr w:rsidR="00A61271" w:rsidTr="003B6A2A">
        <w:trPr>
          <w:cantSplit/>
        </w:trPr>
        <w:tc>
          <w:tcPr>
            <w:tcW w:w="1432" w:type="dxa"/>
            <w:vAlign w:val="center"/>
          </w:tcPr>
          <w:p w:rsidR="00A61271" w:rsidRPr="00822B6F" w:rsidRDefault="00A61271" w:rsidP="00393EC8">
            <w:pPr>
              <w:jc w:val="right"/>
              <w:rPr>
                <w:sz w:val="20"/>
                <w:szCs w:val="20"/>
              </w:rPr>
            </w:pPr>
            <w:r w:rsidRPr="00822B6F">
              <w:rPr>
                <w:sz w:val="20"/>
                <w:szCs w:val="20"/>
              </w:rPr>
              <w:t>Net-to-Gross Ratio</w:t>
            </w:r>
          </w:p>
        </w:tc>
        <w:tc>
          <w:tcPr>
            <w:tcW w:w="7918" w:type="dxa"/>
          </w:tcPr>
          <w:p w:rsidR="0090016E" w:rsidRDefault="0090016E" w:rsidP="00393EC8">
            <w:pPr>
              <w:tabs>
                <w:tab w:val="right" w:pos="6732"/>
              </w:tabs>
              <w:rPr>
                <w:rFonts w:cs="Arial"/>
                <w:sz w:val="20"/>
                <w:szCs w:val="20"/>
              </w:rPr>
            </w:pPr>
            <w:r w:rsidRPr="0090016E">
              <w:rPr>
                <w:rFonts w:cs="Arial"/>
                <w:sz w:val="20"/>
                <w:szCs w:val="20"/>
              </w:rPr>
              <w:t>Res-Default&gt;2yrs</w:t>
            </w:r>
          </w:p>
          <w:p w:rsidR="0090016E" w:rsidRPr="00D86243" w:rsidRDefault="0090016E" w:rsidP="00393EC8">
            <w:pPr>
              <w:tabs>
                <w:tab w:val="right" w:pos="6732"/>
              </w:tabs>
              <w:rPr>
                <w:rFonts w:cs="Arial"/>
                <w:sz w:val="20"/>
                <w:szCs w:val="20"/>
              </w:rPr>
            </w:pPr>
          </w:p>
        </w:tc>
      </w:tr>
      <w:tr w:rsidR="00A61271" w:rsidTr="003B6A2A">
        <w:trPr>
          <w:cantSplit/>
        </w:trPr>
        <w:tc>
          <w:tcPr>
            <w:tcW w:w="1432"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7918" w:type="dxa"/>
          </w:tcPr>
          <w:p w:rsidR="007D1A21" w:rsidRDefault="000E65D6">
            <w:pPr>
              <w:tabs>
                <w:tab w:val="right" w:pos="6732"/>
              </w:tabs>
              <w:rPr>
                <w:rFonts w:cs="Arial"/>
                <w:sz w:val="20"/>
                <w:szCs w:val="20"/>
              </w:rPr>
            </w:pPr>
            <w:r>
              <w:rPr>
                <w:rFonts w:cs="Arial"/>
                <w:sz w:val="20"/>
                <w:szCs w:val="20"/>
              </w:rPr>
              <w:t>HVAC-Evap-Cool</w:t>
            </w:r>
          </w:p>
          <w:p w:rsidR="00402B3D" w:rsidRPr="00D86243" w:rsidRDefault="00402B3D">
            <w:pPr>
              <w:tabs>
                <w:tab w:val="right" w:pos="6732"/>
              </w:tabs>
              <w:rPr>
                <w:rFonts w:cs="Arial"/>
                <w:sz w:val="20"/>
                <w:szCs w:val="20"/>
              </w:rPr>
            </w:pPr>
          </w:p>
        </w:tc>
      </w:tr>
      <w:tr w:rsidR="00A61271" w:rsidTr="003B6A2A">
        <w:trPr>
          <w:cantSplit/>
        </w:trPr>
        <w:tc>
          <w:tcPr>
            <w:tcW w:w="1432" w:type="dxa"/>
            <w:vAlign w:val="center"/>
          </w:tcPr>
          <w:p w:rsidR="00A61271" w:rsidRPr="001D77F7" w:rsidRDefault="00A61271" w:rsidP="00393EC8">
            <w:pPr>
              <w:rPr>
                <w:b/>
              </w:rPr>
            </w:pPr>
            <w:r w:rsidRPr="001D77F7">
              <w:rPr>
                <w:b/>
              </w:rPr>
              <w:lastRenderedPageBreak/>
              <w:t>Section 2. Calculation Methodology</w:t>
            </w:r>
          </w:p>
        </w:tc>
        <w:tc>
          <w:tcPr>
            <w:tcW w:w="7918" w:type="dxa"/>
            <w:vAlign w:val="center"/>
          </w:tcPr>
          <w:p w:rsidR="000E65D6" w:rsidRPr="000E65D6" w:rsidRDefault="000E65D6" w:rsidP="000E65D6">
            <w:pPr>
              <w:rPr>
                <w:rFonts w:cs="Arial"/>
                <w:sz w:val="20"/>
                <w:szCs w:val="20"/>
              </w:rPr>
            </w:pPr>
          </w:p>
          <w:p w:rsidR="000E65D6" w:rsidRPr="000E65D6" w:rsidRDefault="000E65D6" w:rsidP="000E65D6">
            <w:pPr>
              <w:rPr>
                <w:rFonts w:cs="Arial"/>
                <w:b/>
                <w:sz w:val="20"/>
                <w:szCs w:val="20"/>
                <w:u w:val="single"/>
              </w:rPr>
            </w:pPr>
            <w:r w:rsidRPr="000E65D6">
              <w:rPr>
                <w:rFonts w:cs="Arial"/>
                <w:b/>
                <w:sz w:val="20"/>
                <w:szCs w:val="20"/>
                <w:u w:val="single"/>
              </w:rPr>
              <w:t>Residential Sector</w:t>
            </w:r>
          </w:p>
          <w:p w:rsidR="000E65D6" w:rsidRPr="000E65D6" w:rsidRDefault="000E65D6" w:rsidP="000E65D6">
            <w:pPr>
              <w:rPr>
                <w:rFonts w:cs="Arial"/>
                <w:b/>
                <w:sz w:val="20"/>
                <w:szCs w:val="20"/>
              </w:rPr>
            </w:pPr>
            <w:r w:rsidRPr="000E65D6">
              <w:rPr>
                <w:rFonts w:cs="Arial"/>
                <w:b/>
                <w:sz w:val="20"/>
                <w:szCs w:val="20"/>
              </w:rPr>
              <w:t>Southern California Edison</w:t>
            </w:r>
          </w:p>
          <w:p w:rsidR="000E65D6" w:rsidRPr="000E65D6" w:rsidRDefault="000E65D6" w:rsidP="000E65D6">
            <w:pPr>
              <w:rPr>
                <w:rFonts w:cs="Arial"/>
                <w:sz w:val="20"/>
                <w:szCs w:val="20"/>
              </w:rPr>
            </w:pPr>
            <w:r w:rsidRPr="000E65D6">
              <w:rPr>
                <w:rFonts w:cs="Arial"/>
                <w:sz w:val="20"/>
                <w:szCs w:val="20"/>
              </w:rPr>
              <w:t>The residential SCE savings values are represented by the equations below:</w:t>
            </w:r>
          </w:p>
          <w:p w:rsidR="000E65D6" w:rsidRPr="000E65D6" w:rsidRDefault="000E65D6" w:rsidP="000E65D6">
            <w:pPr>
              <w:rPr>
                <w:rFonts w:cs="Arial"/>
                <w:sz w:val="20"/>
                <w:szCs w:val="20"/>
              </w:rPr>
            </w:pPr>
          </w:p>
          <w:p w:rsidR="000E65D6" w:rsidRPr="000E65D6" w:rsidRDefault="000E65D6" w:rsidP="000E65D6">
            <w:pPr>
              <w:rPr>
                <w:rFonts w:cs="Arial"/>
                <w:i/>
                <w:sz w:val="20"/>
                <w:szCs w:val="20"/>
              </w:rPr>
            </w:pPr>
            <w:r w:rsidRPr="000E65D6">
              <w:rPr>
                <w:rFonts w:cs="Arial"/>
                <w:i/>
                <w:sz w:val="20"/>
                <w:szCs w:val="20"/>
              </w:rPr>
              <w:t>Annual energy savings</w:t>
            </w:r>
            <w:r w:rsidRPr="000E65D6">
              <w:rPr>
                <w:rFonts w:cs="Arial"/>
                <w:i/>
                <w:sz w:val="20"/>
                <w:szCs w:val="20"/>
              </w:rPr>
              <w:tab/>
              <w:t>= DEER kWh Savings * ESAF * HEAF</w:t>
            </w:r>
          </w:p>
          <w:p w:rsidR="000E65D6" w:rsidRPr="000E65D6" w:rsidRDefault="000E65D6" w:rsidP="000E65D6">
            <w:pPr>
              <w:rPr>
                <w:rFonts w:cs="Arial"/>
                <w:i/>
                <w:sz w:val="20"/>
                <w:szCs w:val="20"/>
              </w:rPr>
            </w:pPr>
            <w:r w:rsidRPr="000E65D6">
              <w:rPr>
                <w:rFonts w:cs="Arial"/>
                <w:i/>
                <w:sz w:val="20"/>
                <w:szCs w:val="20"/>
              </w:rPr>
              <w:t>Demand reduction</w:t>
            </w:r>
            <w:r w:rsidRPr="000E65D6">
              <w:rPr>
                <w:rFonts w:cs="Arial"/>
                <w:i/>
                <w:sz w:val="20"/>
                <w:szCs w:val="20"/>
              </w:rPr>
              <w:tab/>
              <w:t>= DEER kW reduction * PDAF * HEAF</w:t>
            </w:r>
          </w:p>
          <w:p w:rsidR="000E65D6" w:rsidRPr="000E65D6" w:rsidRDefault="000E65D6" w:rsidP="000E65D6">
            <w:pPr>
              <w:rPr>
                <w:rFonts w:cs="Arial"/>
                <w:sz w:val="20"/>
                <w:szCs w:val="20"/>
              </w:rPr>
            </w:pPr>
          </w:p>
          <w:p w:rsidR="000E65D6" w:rsidRPr="000E65D6" w:rsidRDefault="000E65D6" w:rsidP="000E65D6">
            <w:pPr>
              <w:rPr>
                <w:rFonts w:cs="Arial"/>
                <w:sz w:val="20"/>
                <w:szCs w:val="20"/>
              </w:rPr>
            </w:pPr>
            <w:r w:rsidRPr="000E65D6">
              <w:rPr>
                <w:rFonts w:cs="Arial"/>
                <w:sz w:val="20"/>
                <w:szCs w:val="20"/>
              </w:rPr>
              <w:tab/>
              <w:t>where:</w:t>
            </w:r>
            <w:r w:rsidRPr="000E65D6">
              <w:rPr>
                <w:rFonts w:cs="Arial"/>
                <w:sz w:val="20"/>
                <w:szCs w:val="20"/>
              </w:rPr>
              <w:tab/>
            </w:r>
            <w:r w:rsidRPr="000E65D6">
              <w:rPr>
                <w:rFonts w:cs="Arial"/>
                <w:sz w:val="20"/>
                <w:szCs w:val="20"/>
              </w:rPr>
              <w:tab/>
            </w:r>
            <w:r w:rsidRPr="000E65D6">
              <w:rPr>
                <w:rFonts w:cs="Arial"/>
                <w:sz w:val="20"/>
                <w:szCs w:val="20"/>
              </w:rPr>
              <w:tab/>
              <w:t>DEER savings are from the READi tool v.2.4.7, measure D03-405</w:t>
            </w:r>
          </w:p>
          <w:p w:rsidR="000E65D6" w:rsidRPr="000E65D6" w:rsidRDefault="000E65D6" w:rsidP="000E65D6">
            <w:pPr>
              <w:rPr>
                <w:rFonts w:cs="Arial"/>
                <w:sz w:val="20"/>
                <w:szCs w:val="20"/>
              </w:rPr>
            </w:pPr>
            <w:r w:rsidRPr="000E65D6">
              <w:rPr>
                <w:rFonts w:cs="Arial"/>
                <w:sz w:val="20"/>
                <w:szCs w:val="20"/>
              </w:rPr>
              <w:tab/>
            </w:r>
            <w:r w:rsidRPr="000E65D6">
              <w:rPr>
                <w:rFonts w:cs="Arial"/>
                <w:sz w:val="20"/>
                <w:szCs w:val="20"/>
              </w:rPr>
              <w:tab/>
            </w:r>
            <w:r w:rsidRPr="000E65D6">
              <w:rPr>
                <w:rFonts w:cs="Arial"/>
                <w:sz w:val="20"/>
                <w:szCs w:val="20"/>
              </w:rPr>
              <w:tab/>
            </w:r>
            <w:r w:rsidRPr="000E65D6">
              <w:rPr>
                <w:rFonts w:cs="Arial"/>
                <w:sz w:val="20"/>
                <w:szCs w:val="20"/>
              </w:rPr>
              <w:tab/>
              <w:t>ESAF is the Energy Savings Adjustment Factor</w:t>
            </w:r>
          </w:p>
          <w:p w:rsidR="000E65D6" w:rsidRPr="000E65D6" w:rsidRDefault="000E65D6" w:rsidP="000E65D6">
            <w:pPr>
              <w:rPr>
                <w:rFonts w:cs="Arial"/>
                <w:sz w:val="20"/>
                <w:szCs w:val="20"/>
              </w:rPr>
            </w:pPr>
            <w:r w:rsidRPr="000E65D6">
              <w:rPr>
                <w:rFonts w:cs="Arial"/>
                <w:sz w:val="20"/>
                <w:szCs w:val="20"/>
              </w:rPr>
              <w:tab/>
            </w:r>
            <w:r w:rsidRPr="000E65D6">
              <w:rPr>
                <w:rFonts w:cs="Arial"/>
                <w:sz w:val="20"/>
                <w:szCs w:val="20"/>
              </w:rPr>
              <w:tab/>
            </w:r>
            <w:r w:rsidRPr="000E65D6">
              <w:rPr>
                <w:rFonts w:cs="Arial"/>
                <w:sz w:val="20"/>
                <w:szCs w:val="20"/>
              </w:rPr>
              <w:tab/>
            </w:r>
            <w:r w:rsidRPr="000E65D6">
              <w:rPr>
                <w:rFonts w:cs="Arial"/>
                <w:sz w:val="20"/>
                <w:szCs w:val="20"/>
              </w:rPr>
              <w:tab/>
              <w:t>PDAF is the Peak Demand Adjustment Factor</w:t>
            </w:r>
          </w:p>
          <w:p w:rsidR="000E65D6" w:rsidRPr="000E65D6" w:rsidRDefault="000E65D6" w:rsidP="000E65D6">
            <w:pPr>
              <w:rPr>
                <w:rFonts w:cs="Arial"/>
                <w:sz w:val="20"/>
                <w:szCs w:val="20"/>
              </w:rPr>
            </w:pPr>
            <w:r w:rsidRPr="000E65D6">
              <w:rPr>
                <w:rFonts w:cs="Arial"/>
                <w:sz w:val="20"/>
                <w:szCs w:val="20"/>
              </w:rPr>
              <w:tab/>
            </w:r>
            <w:r w:rsidRPr="000E65D6">
              <w:rPr>
                <w:rFonts w:cs="Arial"/>
                <w:sz w:val="20"/>
                <w:szCs w:val="20"/>
              </w:rPr>
              <w:tab/>
            </w:r>
            <w:r w:rsidRPr="000E65D6">
              <w:rPr>
                <w:rFonts w:cs="Arial"/>
                <w:sz w:val="20"/>
                <w:szCs w:val="20"/>
              </w:rPr>
              <w:tab/>
            </w:r>
            <w:r w:rsidRPr="000E65D6">
              <w:rPr>
                <w:rFonts w:cs="Arial"/>
                <w:sz w:val="20"/>
                <w:szCs w:val="20"/>
              </w:rPr>
              <w:tab/>
              <w:t>HEAF is the Human Error Adjustment Factor</w:t>
            </w:r>
          </w:p>
          <w:p w:rsidR="000E65D6" w:rsidRPr="000E65D6" w:rsidRDefault="000E65D6" w:rsidP="000E65D6">
            <w:pPr>
              <w:rPr>
                <w:rFonts w:cs="Arial"/>
                <w:b/>
                <w:sz w:val="20"/>
                <w:szCs w:val="20"/>
              </w:rPr>
            </w:pPr>
          </w:p>
          <w:p w:rsidR="000E65D6" w:rsidRPr="000E65D6" w:rsidRDefault="000E65D6" w:rsidP="000E65D6">
            <w:pPr>
              <w:rPr>
                <w:rFonts w:cs="Arial"/>
                <w:sz w:val="20"/>
                <w:szCs w:val="20"/>
              </w:rPr>
            </w:pPr>
            <w:r w:rsidRPr="000E65D6">
              <w:rPr>
                <w:rFonts w:cs="Arial"/>
                <w:sz w:val="20"/>
                <w:szCs w:val="20"/>
              </w:rPr>
              <w:t>The annual energy and demand savings for the residential sector are based on the full DEER measure savings from D03-405, taken directly from the DEER 2017 READi Tool,</w:t>
            </w:r>
            <w:r w:rsidRPr="000E65D6">
              <w:rPr>
                <w:rFonts w:cs="Arial"/>
                <w:i/>
                <w:sz w:val="20"/>
                <w:szCs w:val="20"/>
              </w:rPr>
              <w:t xml:space="preserve"> </w:t>
            </w:r>
            <w:r w:rsidRPr="000E65D6">
              <w:rPr>
                <w:rFonts w:cs="Arial"/>
                <w:sz w:val="20"/>
                <w:szCs w:val="20"/>
              </w:rPr>
              <w:t xml:space="preserve">multiplied by the appropriate adjustment factor to account for the air conditioning system runtime during the year (see Attachment #2 Residential Savings Calculations). Where dampers are installed, 38 kWh per home is added (see Attachment #1 SCE Calculation Template, “Impact” tab, column AE).  This value was derived from the 2004-2005 incentive program direct evaporative cooler savings values, as given in workpaper SCE13HC013.0.    </w:t>
            </w:r>
          </w:p>
          <w:p w:rsidR="000E65D6" w:rsidRPr="000E65D6" w:rsidRDefault="000E65D6" w:rsidP="000E65D6">
            <w:pPr>
              <w:rPr>
                <w:rFonts w:cs="Arial"/>
                <w:sz w:val="20"/>
                <w:szCs w:val="20"/>
              </w:rPr>
            </w:pPr>
          </w:p>
          <w:p w:rsidR="000E65D6" w:rsidRPr="000E65D6" w:rsidRDefault="000E65D6" w:rsidP="000E65D6">
            <w:pPr>
              <w:rPr>
                <w:rFonts w:cs="Arial"/>
                <w:sz w:val="20"/>
                <w:szCs w:val="20"/>
              </w:rPr>
            </w:pPr>
            <w:r w:rsidRPr="000E65D6">
              <w:rPr>
                <w:rFonts w:cs="Arial"/>
                <w:sz w:val="20"/>
                <w:szCs w:val="20"/>
              </w:rPr>
              <w:t xml:space="preserve">There are three adjustment factors: The energy savings adjustment factor (ESAF) which is multiplied by the annual energy savings (DEER field: </w:t>
            </w:r>
            <w:proofErr w:type="spellStart"/>
            <w:r w:rsidRPr="000E65D6">
              <w:rPr>
                <w:rFonts w:cs="Arial"/>
                <w:sz w:val="20"/>
                <w:szCs w:val="20"/>
              </w:rPr>
              <w:t>ACustWBkWh</w:t>
            </w:r>
            <w:proofErr w:type="spellEnd"/>
            <w:r w:rsidRPr="000E65D6">
              <w:rPr>
                <w:rFonts w:cs="Arial"/>
                <w:sz w:val="20"/>
                <w:szCs w:val="20"/>
              </w:rPr>
              <w:t xml:space="preserve">), the peak demand adjustment factor (PDAF) which is multiplied by the demand reduction (DEER field: </w:t>
            </w:r>
            <w:proofErr w:type="spellStart"/>
            <w:r w:rsidRPr="000E65D6">
              <w:rPr>
                <w:rFonts w:cs="Arial"/>
                <w:sz w:val="20"/>
                <w:szCs w:val="20"/>
              </w:rPr>
              <w:t>ACustWBkW</w:t>
            </w:r>
            <w:proofErr w:type="spellEnd"/>
            <w:r w:rsidRPr="000E65D6">
              <w:rPr>
                <w:rFonts w:cs="Arial"/>
                <w:sz w:val="20"/>
                <w:szCs w:val="20"/>
              </w:rPr>
              <w:t xml:space="preserve">) and the human error adjustment factor (HEAF) which is multiplied by both the annual energy savings and the demand reduction.  </w:t>
            </w:r>
          </w:p>
          <w:p w:rsidR="000E65D6" w:rsidRPr="000E65D6" w:rsidRDefault="000E65D6" w:rsidP="000E65D6">
            <w:pPr>
              <w:rPr>
                <w:rFonts w:cs="Arial"/>
                <w:sz w:val="20"/>
                <w:szCs w:val="20"/>
              </w:rPr>
            </w:pPr>
          </w:p>
          <w:p w:rsidR="000E65D6" w:rsidRPr="000E65D6" w:rsidRDefault="000E65D6" w:rsidP="000E65D6">
            <w:pPr>
              <w:rPr>
                <w:rFonts w:cs="Arial"/>
                <w:b/>
                <w:sz w:val="20"/>
                <w:szCs w:val="20"/>
              </w:rPr>
            </w:pPr>
            <w:r w:rsidRPr="000E65D6">
              <w:rPr>
                <w:rFonts w:cs="Arial"/>
                <w:b/>
                <w:sz w:val="20"/>
                <w:szCs w:val="20"/>
              </w:rPr>
              <w:t>Human Error Adjustment Factor (HEAF)</w:t>
            </w:r>
          </w:p>
          <w:p w:rsidR="000E65D6" w:rsidRPr="000E65D6" w:rsidRDefault="000E65D6" w:rsidP="000E65D6">
            <w:pPr>
              <w:rPr>
                <w:rFonts w:cs="Arial"/>
                <w:sz w:val="20"/>
                <w:szCs w:val="20"/>
              </w:rPr>
            </w:pPr>
            <w:r w:rsidRPr="000E65D6">
              <w:rPr>
                <w:rFonts w:cs="Arial"/>
                <w:sz w:val="20"/>
                <w:szCs w:val="20"/>
              </w:rPr>
              <w:t xml:space="preserve">This measure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w:t>
            </w:r>
            <w:proofErr w:type="gramStart"/>
            <w:r w:rsidRPr="000E65D6">
              <w:rPr>
                <w:rFonts w:cs="Arial"/>
                <w:sz w:val="20"/>
                <w:szCs w:val="20"/>
              </w:rPr>
              <w:t>particular factor</w:t>
            </w:r>
            <w:proofErr w:type="gramEnd"/>
            <w:r w:rsidRPr="000E65D6">
              <w:rPr>
                <w:rFonts w:cs="Arial"/>
                <w:sz w:val="20"/>
                <w:szCs w:val="20"/>
              </w:rPr>
              <w:t>, the HEAF will be arbitrarily set at 75% until a study yields a more conclusive value. This implies that up to 25% of the savings will be lost due to non-ideal operation of the evaporative cooler and DX system.</w:t>
            </w:r>
          </w:p>
          <w:p w:rsidR="000E65D6" w:rsidRPr="000E65D6" w:rsidRDefault="000E65D6" w:rsidP="000E65D6">
            <w:pPr>
              <w:rPr>
                <w:rFonts w:cs="Arial"/>
                <w:sz w:val="20"/>
                <w:szCs w:val="20"/>
              </w:rPr>
            </w:pPr>
          </w:p>
          <w:p w:rsidR="000E65D6" w:rsidRPr="000E65D6" w:rsidRDefault="000E65D6" w:rsidP="000E65D6">
            <w:pPr>
              <w:rPr>
                <w:rFonts w:cs="Arial"/>
                <w:b/>
                <w:sz w:val="20"/>
                <w:szCs w:val="20"/>
              </w:rPr>
            </w:pPr>
            <w:r w:rsidRPr="000E65D6">
              <w:rPr>
                <w:rFonts w:cs="Arial"/>
                <w:b/>
                <w:sz w:val="20"/>
                <w:szCs w:val="20"/>
              </w:rPr>
              <w:t>Energy Savings and Peak Demand Adjustment Factors (ESAF &amp; PDAF)</w:t>
            </w:r>
          </w:p>
          <w:p w:rsidR="000E65D6" w:rsidRPr="000E65D6" w:rsidRDefault="000E65D6" w:rsidP="000E65D6">
            <w:pPr>
              <w:rPr>
                <w:rFonts w:cs="Arial"/>
                <w:sz w:val="20"/>
                <w:szCs w:val="20"/>
              </w:rPr>
            </w:pPr>
            <w:r w:rsidRPr="000E65D6">
              <w:rPr>
                <w:rFonts w:cs="Arial"/>
                <w:sz w:val="20"/>
                <w:szCs w:val="20"/>
              </w:rPr>
              <w:t>The ESAF and PDAF varies by climate zone and was estimated using hourly dry bulb, wet bulb, humidity ratio, and atmospheric pressure from the DEER2014 supporting Excel workbook CompareWeatherData-v4.xls.</w:t>
            </w:r>
          </w:p>
          <w:p w:rsidR="000E65D6" w:rsidRPr="000E65D6" w:rsidRDefault="000E65D6" w:rsidP="000E65D6">
            <w:pPr>
              <w:rPr>
                <w:rFonts w:cs="Arial"/>
                <w:sz w:val="20"/>
                <w:szCs w:val="20"/>
              </w:rPr>
            </w:pPr>
          </w:p>
          <w:p w:rsidR="000E65D6" w:rsidRPr="000E65D6" w:rsidRDefault="000E65D6" w:rsidP="000E65D6">
            <w:pPr>
              <w:rPr>
                <w:rFonts w:cs="Arial"/>
                <w:sz w:val="20"/>
                <w:szCs w:val="20"/>
              </w:rPr>
            </w:pPr>
          </w:p>
          <w:p w:rsidR="00BD4AFD" w:rsidRPr="00241A1F" w:rsidRDefault="00BD4AFD" w:rsidP="00925509">
            <w:pPr>
              <w:rPr>
                <w:rFonts w:cs="Arial"/>
                <w:sz w:val="20"/>
                <w:szCs w:val="20"/>
              </w:rPr>
            </w:pPr>
          </w:p>
        </w:tc>
      </w:tr>
      <w:tr w:rsidR="00A61271" w:rsidTr="003B6A2A">
        <w:trPr>
          <w:cantSplit/>
        </w:trPr>
        <w:tc>
          <w:tcPr>
            <w:tcW w:w="1432" w:type="dxa"/>
            <w:vAlign w:val="center"/>
          </w:tcPr>
          <w:p w:rsidR="00A61271" w:rsidRDefault="00A61271" w:rsidP="00787D7C">
            <w:pPr>
              <w:jc w:val="right"/>
            </w:pPr>
            <w:r>
              <w:rPr>
                <w:rFonts w:cs="Arial"/>
                <w:sz w:val="20"/>
                <w:szCs w:val="20"/>
              </w:rPr>
              <w:lastRenderedPageBreak/>
              <w:t>Energy Savings/Peak Demand Reduction – All Measures</w:t>
            </w:r>
          </w:p>
        </w:tc>
        <w:tc>
          <w:tcPr>
            <w:tcW w:w="7918" w:type="dxa"/>
          </w:tcPr>
          <w:p w:rsidR="00CA48A0" w:rsidRDefault="00925509" w:rsidP="00CA48A0">
            <w:pPr>
              <w:tabs>
                <w:tab w:val="right" w:pos="6732"/>
              </w:tabs>
              <w:jc w:val="both"/>
              <w:rPr>
                <w:rFonts w:cs="Arial"/>
                <w:sz w:val="20"/>
                <w:szCs w:val="20"/>
              </w:rPr>
            </w:pPr>
            <w:r>
              <w:rPr>
                <w:rFonts w:cs="Arial"/>
                <w:sz w:val="20"/>
                <w:szCs w:val="20"/>
              </w:rPr>
              <w:t>Referencing</w:t>
            </w:r>
            <w:r w:rsidRPr="00925509">
              <w:rPr>
                <w:rFonts w:cs="Arial"/>
                <w:sz w:val="20"/>
                <w:szCs w:val="20"/>
              </w:rPr>
              <w:t xml:space="preserve"> Attachment #2 Residential Savings Calculations</w:t>
            </w:r>
            <w:r>
              <w:rPr>
                <w:rFonts w:cs="Arial"/>
                <w:sz w:val="20"/>
                <w:szCs w:val="20"/>
              </w:rPr>
              <w:t xml:space="preserve"> from SCE, SDG&amp;E savings for DMo CZ 14 are as follows:</w:t>
            </w:r>
          </w:p>
          <w:p w:rsidR="00925509" w:rsidRDefault="00925509" w:rsidP="00CA48A0">
            <w:pPr>
              <w:tabs>
                <w:tab w:val="right" w:pos="6732"/>
              </w:tabs>
              <w:jc w:val="both"/>
              <w:rPr>
                <w:rFonts w:cs="Arial"/>
                <w:sz w:val="20"/>
                <w:szCs w:val="20"/>
              </w:rPr>
            </w:pPr>
          </w:p>
          <w:p w:rsidR="00925509" w:rsidRPr="00925509" w:rsidRDefault="00925509" w:rsidP="00CA48A0">
            <w:pPr>
              <w:tabs>
                <w:tab w:val="right" w:pos="6732"/>
              </w:tabs>
              <w:jc w:val="both"/>
              <w:rPr>
                <w:rFonts w:cs="Arial"/>
                <w:b/>
                <w:sz w:val="20"/>
                <w:szCs w:val="20"/>
                <w:u w:val="single"/>
              </w:rPr>
            </w:pPr>
            <w:r w:rsidRPr="00925509">
              <w:rPr>
                <w:rFonts w:cs="Arial"/>
                <w:b/>
                <w:sz w:val="20"/>
                <w:szCs w:val="20"/>
                <w:u w:val="single"/>
              </w:rPr>
              <w:t>Direct Evaporative Coolers</w:t>
            </w:r>
          </w:p>
          <w:p w:rsidR="00925509" w:rsidRDefault="00925509" w:rsidP="00CA48A0">
            <w:pPr>
              <w:tabs>
                <w:tab w:val="right" w:pos="6732"/>
              </w:tabs>
              <w:jc w:val="both"/>
              <w:rPr>
                <w:rFonts w:cs="Arial"/>
                <w:sz w:val="20"/>
                <w:szCs w:val="20"/>
              </w:rPr>
            </w:pPr>
            <w:r>
              <w:rPr>
                <w:rFonts w:cs="Arial"/>
                <w:sz w:val="20"/>
                <w:szCs w:val="20"/>
              </w:rPr>
              <w:t>DEER kWh savings = 678 kWh</w:t>
            </w:r>
          </w:p>
          <w:p w:rsidR="00925509" w:rsidRDefault="00925509" w:rsidP="00CA48A0">
            <w:pPr>
              <w:tabs>
                <w:tab w:val="right" w:pos="6732"/>
              </w:tabs>
              <w:jc w:val="both"/>
              <w:rPr>
                <w:rFonts w:cs="Arial"/>
                <w:sz w:val="20"/>
                <w:szCs w:val="20"/>
              </w:rPr>
            </w:pPr>
            <w:r>
              <w:rPr>
                <w:rFonts w:cs="Arial"/>
                <w:sz w:val="20"/>
                <w:szCs w:val="20"/>
              </w:rPr>
              <w:t>DEER demand reduction</w:t>
            </w:r>
            <w:r w:rsidRPr="00925509">
              <w:rPr>
                <w:rFonts w:cs="Arial"/>
                <w:sz w:val="20"/>
                <w:szCs w:val="20"/>
              </w:rPr>
              <w:t xml:space="preserve"> = 1.58</w:t>
            </w:r>
            <w:r>
              <w:rPr>
                <w:rFonts w:cs="Arial"/>
                <w:sz w:val="20"/>
                <w:szCs w:val="20"/>
              </w:rPr>
              <w:t xml:space="preserve"> kW</w:t>
            </w:r>
          </w:p>
          <w:p w:rsidR="00925509" w:rsidRDefault="00925509" w:rsidP="00CA48A0">
            <w:pPr>
              <w:tabs>
                <w:tab w:val="right" w:pos="6732"/>
              </w:tabs>
              <w:jc w:val="both"/>
              <w:rPr>
                <w:rFonts w:cs="Arial"/>
                <w:sz w:val="20"/>
                <w:szCs w:val="20"/>
              </w:rPr>
            </w:pPr>
            <w:r>
              <w:rPr>
                <w:rFonts w:cs="Arial"/>
                <w:sz w:val="20"/>
                <w:szCs w:val="20"/>
              </w:rPr>
              <w:t>ESAF = 0.880849</w:t>
            </w:r>
          </w:p>
          <w:p w:rsidR="00925509" w:rsidRDefault="00925509" w:rsidP="00CA48A0">
            <w:pPr>
              <w:tabs>
                <w:tab w:val="right" w:pos="6732"/>
              </w:tabs>
              <w:jc w:val="both"/>
              <w:rPr>
                <w:rFonts w:cs="Arial"/>
                <w:sz w:val="20"/>
                <w:szCs w:val="20"/>
              </w:rPr>
            </w:pPr>
            <w:r>
              <w:rPr>
                <w:rFonts w:cs="Arial"/>
                <w:sz w:val="20"/>
                <w:szCs w:val="20"/>
              </w:rPr>
              <w:t>PDRF = 1</w:t>
            </w:r>
          </w:p>
          <w:p w:rsidR="00925509" w:rsidRDefault="00925509" w:rsidP="00CA48A0">
            <w:pPr>
              <w:tabs>
                <w:tab w:val="right" w:pos="6732"/>
              </w:tabs>
              <w:jc w:val="both"/>
              <w:rPr>
                <w:rFonts w:cs="Arial"/>
                <w:sz w:val="20"/>
                <w:szCs w:val="20"/>
              </w:rPr>
            </w:pPr>
            <w:r>
              <w:rPr>
                <w:rFonts w:cs="Arial"/>
                <w:sz w:val="20"/>
                <w:szCs w:val="20"/>
              </w:rPr>
              <w:t>HEAF = 0.75</w:t>
            </w:r>
          </w:p>
          <w:p w:rsidR="00925509" w:rsidRDefault="00925509" w:rsidP="00CA48A0">
            <w:pPr>
              <w:tabs>
                <w:tab w:val="right" w:pos="6732"/>
              </w:tabs>
              <w:jc w:val="both"/>
              <w:rPr>
                <w:rFonts w:cs="Arial"/>
                <w:sz w:val="20"/>
                <w:szCs w:val="20"/>
              </w:rPr>
            </w:pPr>
          </w:p>
          <w:p w:rsidR="00925509" w:rsidRPr="00925509" w:rsidRDefault="00925509" w:rsidP="00925509">
            <w:pPr>
              <w:tabs>
                <w:tab w:val="right" w:pos="6732"/>
              </w:tabs>
              <w:jc w:val="both"/>
              <w:rPr>
                <w:rFonts w:cs="Arial"/>
                <w:i/>
                <w:sz w:val="20"/>
                <w:szCs w:val="20"/>
              </w:rPr>
            </w:pPr>
            <w:r w:rsidRPr="00925509">
              <w:rPr>
                <w:rFonts w:cs="Arial"/>
                <w:i/>
                <w:sz w:val="20"/>
                <w:szCs w:val="20"/>
              </w:rPr>
              <w:t>Annual energy savings</w:t>
            </w:r>
            <w:r w:rsidRPr="00925509">
              <w:rPr>
                <w:rFonts w:cs="Arial"/>
                <w:i/>
                <w:sz w:val="20"/>
                <w:szCs w:val="20"/>
              </w:rPr>
              <w:tab/>
              <w:t>= DEER kWh Savings * ESAF * HEAF</w:t>
            </w:r>
          </w:p>
          <w:p w:rsidR="00925509" w:rsidRPr="00925509" w:rsidRDefault="00925509" w:rsidP="00925509">
            <w:pPr>
              <w:tabs>
                <w:tab w:val="right" w:pos="6732"/>
              </w:tabs>
              <w:jc w:val="both"/>
              <w:rPr>
                <w:rFonts w:cs="Arial"/>
                <w:i/>
                <w:sz w:val="20"/>
                <w:szCs w:val="20"/>
              </w:rPr>
            </w:pPr>
            <w:r>
              <w:rPr>
                <w:rFonts w:cs="Arial"/>
                <w:i/>
                <w:sz w:val="20"/>
                <w:szCs w:val="20"/>
              </w:rPr>
              <w:tab/>
              <w:t>= 678 * 0.880849 * 0.75</w:t>
            </w:r>
          </w:p>
          <w:p w:rsidR="00925509" w:rsidRPr="00925509" w:rsidRDefault="00925509" w:rsidP="00925509">
            <w:pPr>
              <w:tabs>
                <w:tab w:val="right" w:pos="6732"/>
              </w:tabs>
              <w:jc w:val="both"/>
              <w:rPr>
                <w:rFonts w:cs="Arial"/>
                <w:i/>
                <w:sz w:val="20"/>
                <w:szCs w:val="20"/>
              </w:rPr>
            </w:pPr>
            <w:r w:rsidRPr="00925509">
              <w:rPr>
                <w:rFonts w:cs="Arial"/>
                <w:i/>
                <w:sz w:val="20"/>
                <w:szCs w:val="20"/>
              </w:rPr>
              <w:tab/>
            </w:r>
            <w:r>
              <w:rPr>
                <w:rFonts w:cs="Arial"/>
                <w:i/>
                <w:sz w:val="20"/>
                <w:szCs w:val="20"/>
              </w:rPr>
              <w:t>= 447.91 kWh</w:t>
            </w:r>
          </w:p>
          <w:p w:rsidR="00925509" w:rsidRPr="00925509" w:rsidRDefault="00925509" w:rsidP="00925509">
            <w:pPr>
              <w:tabs>
                <w:tab w:val="right" w:pos="6732"/>
              </w:tabs>
              <w:jc w:val="both"/>
              <w:rPr>
                <w:rFonts w:cs="Arial"/>
                <w:sz w:val="20"/>
                <w:szCs w:val="20"/>
              </w:rPr>
            </w:pPr>
          </w:p>
          <w:p w:rsidR="00925509" w:rsidRPr="00925509" w:rsidRDefault="00925509" w:rsidP="00925509">
            <w:pPr>
              <w:tabs>
                <w:tab w:val="right" w:pos="6732"/>
              </w:tabs>
              <w:jc w:val="both"/>
              <w:rPr>
                <w:rFonts w:cs="Arial"/>
                <w:i/>
                <w:sz w:val="20"/>
                <w:szCs w:val="20"/>
              </w:rPr>
            </w:pPr>
            <w:r w:rsidRPr="00925509">
              <w:rPr>
                <w:rFonts w:cs="Arial"/>
                <w:i/>
                <w:sz w:val="20"/>
                <w:szCs w:val="20"/>
              </w:rPr>
              <w:t>Demand reduction</w:t>
            </w:r>
            <w:r w:rsidRPr="00925509">
              <w:rPr>
                <w:rFonts w:cs="Arial"/>
                <w:i/>
                <w:sz w:val="20"/>
                <w:szCs w:val="20"/>
              </w:rPr>
              <w:tab/>
              <w:t>= DEER kW reduction * PDAF * HEAF</w:t>
            </w:r>
          </w:p>
          <w:p w:rsidR="00925509" w:rsidRDefault="00925509" w:rsidP="00925509">
            <w:pPr>
              <w:tabs>
                <w:tab w:val="right" w:pos="6732"/>
              </w:tabs>
              <w:jc w:val="both"/>
              <w:rPr>
                <w:rFonts w:cs="Arial"/>
                <w:i/>
                <w:sz w:val="20"/>
                <w:szCs w:val="20"/>
              </w:rPr>
            </w:pPr>
            <w:r>
              <w:rPr>
                <w:rFonts w:cs="Arial"/>
                <w:i/>
                <w:sz w:val="20"/>
                <w:szCs w:val="20"/>
              </w:rPr>
              <w:tab/>
              <w:t>= 1.58 * 1 * 0.75</w:t>
            </w:r>
          </w:p>
          <w:p w:rsidR="00925509" w:rsidRPr="00925509" w:rsidRDefault="00925509" w:rsidP="00925509">
            <w:pPr>
              <w:tabs>
                <w:tab w:val="right" w:pos="6732"/>
              </w:tabs>
              <w:jc w:val="both"/>
              <w:rPr>
                <w:rFonts w:cs="Arial"/>
                <w:i/>
                <w:sz w:val="20"/>
                <w:szCs w:val="20"/>
              </w:rPr>
            </w:pPr>
            <w:r>
              <w:rPr>
                <w:rFonts w:cs="Arial"/>
                <w:i/>
                <w:sz w:val="20"/>
                <w:szCs w:val="20"/>
              </w:rPr>
              <w:tab/>
              <w:t>= 1.185 kW</w:t>
            </w:r>
          </w:p>
          <w:p w:rsidR="00925509" w:rsidRDefault="00925509" w:rsidP="00CA48A0">
            <w:pPr>
              <w:tabs>
                <w:tab w:val="right" w:pos="6732"/>
              </w:tabs>
              <w:jc w:val="both"/>
              <w:rPr>
                <w:rFonts w:cs="Arial"/>
                <w:sz w:val="20"/>
                <w:szCs w:val="20"/>
              </w:rPr>
            </w:pPr>
          </w:p>
          <w:p w:rsidR="00925509" w:rsidRPr="00925509" w:rsidRDefault="00925509" w:rsidP="00CA48A0">
            <w:pPr>
              <w:tabs>
                <w:tab w:val="right" w:pos="6732"/>
              </w:tabs>
              <w:jc w:val="both"/>
              <w:rPr>
                <w:rFonts w:cs="Arial"/>
                <w:b/>
                <w:sz w:val="20"/>
                <w:szCs w:val="20"/>
                <w:u w:val="single"/>
              </w:rPr>
            </w:pPr>
            <w:r w:rsidRPr="00925509">
              <w:rPr>
                <w:rFonts w:cs="Arial"/>
                <w:b/>
                <w:sz w:val="20"/>
                <w:szCs w:val="20"/>
                <w:u w:val="single"/>
              </w:rPr>
              <w:t>With Dampers Direct Evaporative Coolers</w:t>
            </w:r>
          </w:p>
          <w:p w:rsidR="00AD034F" w:rsidRDefault="00925509" w:rsidP="00925509">
            <w:pPr>
              <w:tabs>
                <w:tab w:val="right" w:pos="6732"/>
              </w:tabs>
              <w:jc w:val="both"/>
              <w:rPr>
                <w:rFonts w:cs="Arial"/>
                <w:sz w:val="20"/>
                <w:szCs w:val="20"/>
              </w:rPr>
            </w:pPr>
            <w:r w:rsidRPr="00925509">
              <w:rPr>
                <w:rFonts w:cs="Arial"/>
                <w:sz w:val="20"/>
                <w:szCs w:val="20"/>
              </w:rPr>
              <w:t>Where dampers are installe</w:t>
            </w:r>
            <w:r w:rsidR="00AD034F">
              <w:rPr>
                <w:rFonts w:cs="Arial"/>
                <w:sz w:val="20"/>
                <w:szCs w:val="20"/>
              </w:rPr>
              <w:t>d, 38 kWh per home is added (referenced from SCE’s</w:t>
            </w:r>
            <w:r w:rsidRPr="00925509">
              <w:rPr>
                <w:rFonts w:cs="Arial"/>
                <w:sz w:val="20"/>
                <w:szCs w:val="20"/>
              </w:rPr>
              <w:t xml:space="preserve"> Attachment #1 SCE Calculation Template, “Impact” tab, column AE).  This value was derived from the 2004-2005 incentive program direct evaporative cooler savings values, as given in workpaper SCE13HC013.0.  </w:t>
            </w:r>
          </w:p>
          <w:p w:rsidR="00AD034F" w:rsidRDefault="00AD034F" w:rsidP="00925509">
            <w:pPr>
              <w:tabs>
                <w:tab w:val="right" w:pos="6732"/>
              </w:tabs>
              <w:jc w:val="both"/>
              <w:rPr>
                <w:rFonts w:cs="Arial"/>
                <w:sz w:val="20"/>
                <w:szCs w:val="20"/>
              </w:rPr>
            </w:pPr>
          </w:p>
          <w:p w:rsidR="00AD034F" w:rsidRDefault="00AD034F" w:rsidP="00AD034F">
            <w:pPr>
              <w:tabs>
                <w:tab w:val="right" w:pos="6732"/>
              </w:tabs>
              <w:jc w:val="both"/>
              <w:rPr>
                <w:rFonts w:cs="Arial"/>
                <w:i/>
                <w:sz w:val="20"/>
                <w:szCs w:val="20"/>
              </w:rPr>
            </w:pPr>
            <w:r w:rsidRPr="00AD034F">
              <w:rPr>
                <w:rFonts w:cs="Arial"/>
                <w:i/>
                <w:sz w:val="20"/>
                <w:szCs w:val="20"/>
              </w:rPr>
              <w:t>Annual energy savings</w:t>
            </w:r>
            <w:r w:rsidRPr="00AD034F">
              <w:rPr>
                <w:rFonts w:cs="Arial"/>
                <w:i/>
                <w:sz w:val="20"/>
                <w:szCs w:val="20"/>
              </w:rPr>
              <w:tab/>
              <w:t xml:space="preserve">= </w:t>
            </w:r>
            <w:r>
              <w:rPr>
                <w:rFonts w:cs="Arial"/>
                <w:i/>
                <w:sz w:val="20"/>
                <w:szCs w:val="20"/>
              </w:rPr>
              <w:t>447.91 kWh + 38 kWh</w:t>
            </w:r>
          </w:p>
          <w:p w:rsidR="00AD034F" w:rsidRPr="00AD034F" w:rsidRDefault="00AD034F" w:rsidP="00AD034F">
            <w:pPr>
              <w:tabs>
                <w:tab w:val="right" w:pos="6732"/>
              </w:tabs>
              <w:jc w:val="both"/>
              <w:rPr>
                <w:rFonts w:cs="Arial"/>
                <w:i/>
                <w:sz w:val="20"/>
                <w:szCs w:val="20"/>
              </w:rPr>
            </w:pPr>
            <w:r w:rsidRPr="00AD034F">
              <w:rPr>
                <w:rFonts w:cs="Arial"/>
                <w:i/>
                <w:sz w:val="20"/>
                <w:szCs w:val="20"/>
              </w:rPr>
              <w:tab/>
              <w:t xml:space="preserve">= </w:t>
            </w:r>
            <w:r>
              <w:rPr>
                <w:rFonts w:cs="Arial"/>
                <w:i/>
                <w:sz w:val="20"/>
                <w:szCs w:val="20"/>
              </w:rPr>
              <w:t>485.91 kWh</w:t>
            </w:r>
          </w:p>
          <w:p w:rsidR="00925509" w:rsidRPr="00925509" w:rsidRDefault="00925509" w:rsidP="00925509">
            <w:pPr>
              <w:tabs>
                <w:tab w:val="right" w:pos="6732"/>
              </w:tabs>
              <w:jc w:val="both"/>
              <w:rPr>
                <w:rFonts w:cs="Arial"/>
                <w:sz w:val="20"/>
                <w:szCs w:val="20"/>
              </w:rPr>
            </w:pPr>
            <w:r w:rsidRPr="00925509">
              <w:rPr>
                <w:rFonts w:cs="Arial"/>
                <w:sz w:val="20"/>
                <w:szCs w:val="20"/>
              </w:rPr>
              <w:t xml:space="preserve"> </w:t>
            </w:r>
          </w:p>
          <w:p w:rsidR="00AD034F" w:rsidRPr="00AD034F" w:rsidRDefault="00AD034F" w:rsidP="00AD034F">
            <w:pPr>
              <w:tabs>
                <w:tab w:val="right" w:pos="6732"/>
              </w:tabs>
              <w:jc w:val="both"/>
              <w:rPr>
                <w:rFonts w:cs="Arial"/>
                <w:i/>
                <w:sz w:val="20"/>
                <w:szCs w:val="20"/>
              </w:rPr>
            </w:pPr>
            <w:r w:rsidRPr="00AD034F">
              <w:rPr>
                <w:rFonts w:cs="Arial"/>
                <w:i/>
                <w:sz w:val="20"/>
                <w:szCs w:val="20"/>
              </w:rPr>
              <w:t>Demand reduction</w:t>
            </w:r>
            <w:r w:rsidRPr="00AD034F">
              <w:rPr>
                <w:rFonts w:cs="Arial"/>
                <w:i/>
                <w:sz w:val="20"/>
                <w:szCs w:val="20"/>
              </w:rPr>
              <w:tab/>
              <w:t>= DEER kW reduction * PDAF * HEAF</w:t>
            </w:r>
          </w:p>
          <w:p w:rsidR="00AD034F" w:rsidRPr="00AD034F" w:rsidRDefault="00AD034F" w:rsidP="00AD034F">
            <w:pPr>
              <w:tabs>
                <w:tab w:val="right" w:pos="6732"/>
              </w:tabs>
              <w:jc w:val="both"/>
              <w:rPr>
                <w:rFonts w:cs="Arial"/>
                <w:i/>
                <w:sz w:val="20"/>
                <w:szCs w:val="20"/>
              </w:rPr>
            </w:pPr>
            <w:r w:rsidRPr="00AD034F">
              <w:rPr>
                <w:rFonts w:cs="Arial"/>
                <w:i/>
                <w:sz w:val="20"/>
                <w:szCs w:val="20"/>
              </w:rPr>
              <w:tab/>
              <w:t>= 1.58 * 1 * 0.75</w:t>
            </w:r>
          </w:p>
          <w:p w:rsidR="00AD034F" w:rsidRPr="00AD034F" w:rsidRDefault="00AD034F" w:rsidP="00AD034F">
            <w:pPr>
              <w:tabs>
                <w:tab w:val="right" w:pos="6732"/>
              </w:tabs>
              <w:jc w:val="both"/>
              <w:rPr>
                <w:rFonts w:cs="Arial"/>
                <w:i/>
                <w:sz w:val="20"/>
                <w:szCs w:val="20"/>
              </w:rPr>
            </w:pPr>
            <w:r w:rsidRPr="00AD034F">
              <w:rPr>
                <w:rFonts w:cs="Arial"/>
                <w:i/>
                <w:sz w:val="20"/>
                <w:szCs w:val="20"/>
              </w:rPr>
              <w:tab/>
              <w:t>= 1.185 kW</w:t>
            </w:r>
          </w:p>
          <w:p w:rsidR="00925509" w:rsidRDefault="00925509" w:rsidP="00CA48A0">
            <w:pPr>
              <w:tabs>
                <w:tab w:val="right" w:pos="6732"/>
              </w:tabs>
              <w:jc w:val="both"/>
              <w:rPr>
                <w:rFonts w:cs="Arial"/>
                <w:sz w:val="20"/>
                <w:szCs w:val="20"/>
              </w:rPr>
            </w:pPr>
          </w:p>
          <w:p w:rsidR="00925509" w:rsidRPr="00555671" w:rsidRDefault="00925509" w:rsidP="00CA48A0">
            <w:pPr>
              <w:tabs>
                <w:tab w:val="right" w:pos="6732"/>
              </w:tabs>
              <w:jc w:val="both"/>
              <w:rPr>
                <w:rFonts w:cs="Arial"/>
                <w:sz w:val="20"/>
                <w:szCs w:val="20"/>
              </w:rPr>
            </w:pPr>
          </w:p>
        </w:tc>
      </w:tr>
      <w:tr w:rsidR="00A61271" w:rsidTr="003B6A2A">
        <w:trPr>
          <w:cantSplit/>
        </w:trPr>
        <w:tc>
          <w:tcPr>
            <w:tcW w:w="1432" w:type="dxa"/>
            <w:vAlign w:val="center"/>
          </w:tcPr>
          <w:p w:rsidR="00A61271" w:rsidRPr="001D77F7" w:rsidRDefault="00A61271" w:rsidP="00393EC8">
            <w:pPr>
              <w:rPr>
                <w:b/>
              </w:rPr>
            </w:pPr>
            <w:r w:rsidRPr="001D77F7">
              <w:rPr>
                <w:b/>
              </w:rPr>
              <w:t>Section 3. Load Shapes</w:t>
            </w:r>
          </w:p>
        </w:tc>
        <w:tc>
          <w:tcPr>
            <w:tcW w:w="7918" w:type="dxa"/>
          </w:tcPr>
          <w:p w:rsidR="004519B4" w:rsidRPr="00476F40" w:rsidRDefault="00BD4AFD">
            <w:pPr>
              <w:tabs>
                <w:tab w:val="right" w:pos="6732"/>
              </w:tabs>
              <w:rPr>
                <w:rFonts w:cs="Arial"/>
                <w:sz w:val="20"/>
                <w:szCs w:val="20"/>
              </w:rPr>
            </w:pPr>
            <w:proofErr w:type="spellStart"/>
            <w:proofErr w:type="gramStart"/>
            <w:r>
              <w:rPr>
                <w:rFonts w:cstheme="minorHAnsi"/>
                <w:bCs/>
                <w:sz w:val="20"/>
              </w:rPr>
              <w:t>SDGE:</w:t>
            </w:r>
            <w:r w:rsidR="003B6A2A">
              <w:rPr>
                <w:rFonts w:cstheme="minorHAnsi"/>
                <w:bCs/>
                <w:sz w:val="20"/>
              </w:rPr>
              <w:t>DEER</w:t>
            </w:r>
            <w:proofErr w:type="gramEnd"/>
            <w:r w:rsidR="003B6A2A">
              <w:rPr>
                <w:rFonts w:cstheme="minorHAnsi"/>
                <w:bCs/>
                <w:sz w:val="20"/>
              </w:rPr>
              <w:t>:HVAC_Eff_AC</w:t>
            </w:r>
            <w:proofErr w:type="spellEnd"/>
            <w:r w:rsidR="003B6A2A">
              <w:rPr>
                <w:rFonts w:cstheme="minorHAnsi"/>
                <w:bCs/>
                <w:sz w:val="20"/>
              </w:rPr>
              <w:br/>
              <w:t>Annual</w:t>
            </w:r>
          </w:p>
        </w:tc>
      </w:tr>
      <w:tr w:rsidR="00244805" w:rsidTr="003B6A2A">
        <w:trPr>
          <w:cantSplit/>
        </w:trPr>
        <w:tc>
          <w:tcPr>
            <w:tcW w:w="1432" w:type="dxa"/>
            <w:vAlign w:val="center"/>
          </w:tcPr>
          <w:p w:rsidR="00244805" w:rsidRPr="001D77F7" w:rsidRDefault="00244805" w:rsidP="00393EC8">
            <w:pPr>
              <w:rPr>
                <w:b/>
              </w:rPr>
            </w:pPr>
            <w:r>
              <w:rPr>
                <w:b/>
              </w:rPr>
              <w:t>Section 4</w:t>
            </w:r>
            <w:r w:rsidRPr="00244805">
              <w:rPr>
                <w:b/>
              </w:rPr>
              <w:t xml:space="preserve">. </w:t>
            </w:r>
            <w:r>
              <w:rPr>
                <w:b/>
              </w:rPr>
              <w:t>Cost</w:t>
            </w:r>
          </w:p>
        </w:tc>
        <w:tc>
          <w:tcPr>
            <w:tcW w:w="7918" w:type="dxa"/>
          </w:tcPr>
          <w:p w:rsidR="00244805" w:rsidRDefault="00244805">
            <w:pPr>
              <w:tabs>
                <w:tab w:val="right" w:pos="6732"/>
              </w:tabs>
              <w:rPr>
                <w:rFonts w:cstheme="minorHAnsi"/>
                <w:bCs/>
                <w:sz w:val="20"/>
              </w:rPr>
            </w:pPr>
          </w:p>
        </w:tc>
      </w:tr>
      <w:tr w:rsidR="00244805" w:rsidTr="003B6A2A">
        <w:trPr>
          <w:cantSplit/>
        </w:trPr>
        <w:tc>
          <w:tcPr>
            <w:tcW w:w="1432" w:type="dxa"/>
            <w:vAlign w:val="center"/>
          </w:tcPr>
          <w:p w:rsidR="00244805" w:rsidRDefault="00244805" w:rsidP="00393EC8">
            <w:pPr>
              <w:rPr>
                <w:b/>
              </w:rPr>
            </w:pPr>
            <w:r>
              <w:rPr>
                <w:b/>
              </w:rPr>
              <w:t>Section 4.1 Base and Measure Costs</w:t>
            </w:r>
          </w:p>
        </w:tc>
        <w:tc>
          <w:tcPr>
            <w:tcW w:w="7918" w:type="dxa"/>
          </w:tcPr>
          <w:p w:rsidR="00244805" w:rsidRDefault="00244805">
            <w:pPr>
              <w:tabs>
                <w:tab w:val="right" w:pos="6732"/>
              </w:tabs>
              <w:rPr>
                <w:rFonts w:cstheme="minorHAnsi"/>
                <w:bCs/>
                <w:sz w:val="20"/>
              </w:rPr>
            </w:pPr>
          </w:p>
        </w:tc>
      </w:tr>
      <w:tr w:rsidR="00244805" w:rsidTr="003458CD">
        <w:trPr>
          <w:cantSplit/>
        </w:trPr>
        <w:tc>
          <w:tcPr>
            <w:tcW w:w="1432" w:type="dxa"/>
          </w:tcPr>
          <w:p w:rsidR="00244805" w:rsidRPr="00D91B6C" w:rsidRDefault="00244805" w:rsidP="00244805">
            <w:r w:rsidRPr="00D91B6C">
              <w:t>Base Cost</w:t>
            </w:r>
          </w:p>
        </w:tc>
        <w:tc>
          <w:tcPr>
            <w:tcW w:w="7918" w:type="dxa"/>
          </w:tcPr>
          <w:p w:rsidR="00244805" w:rsidRPr="00D91B6C" w:rsidRDefault="00244805" w:rsidP="00244805">
            <w:r w:rsidRPr="00D91B6C">
              <w:t>See ex ante tables</w:t>
            </w:r>
          </w:p>
        </w:tc>
      </w:tr>
      <w:tr w:rsidR="00244805" w:rsidTr="003458CD">
        <w:trPr>
          <w:cantSplit/>
        </w:trPr>
        <w:tc>
          <w:tcPr>
            <w:tcW w:w="1432" w:type="dxa"/>
          </w:tcPr>
          <w:p w:rsidR="00244805" w:rsidRPr="00D91B6C" w:rsidRDefault="00244805" w:rsidP="00244805">
            <w:r w:rsidRPr="00D91B6C">
              <w:t xml:space="preserve">Measure Cost </w:t>
            </w:r>
          </w:p>
        </w:tc>
        <w:tc>
          <w:tcPr>
            <w:tcW w:w="7918" w:type="dxa"/>
          </w:tcPr>
          <w:p w:rsidR="00244805" w:rsidRPr="00D91B6C" w:rsidRDefault="00244805" w:rsidP="00244805">
            <w:r w:rsidRPr="00D91B6C">
              <w:t>See ex ante tables</w:t>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8F7" w:rsidRDefault="00A578F7" w:rsidP="00FE520B">
      <w:r>
        <w:separator/>
      </w:r>
    </w:p>
  </w:endnote>
  <w:endnote w:type="continuationSeparator" w:id="0">
    <w:p w:rsidR="00A578F7" w:rsidRDefault="00A578F7"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E00" w:rsidRPr="00241A1F" w:rsidRDefault="00B57F32" w:rsidP="00241A1F">
    <w:pPr>
      <w:pStyle w:val="Footer"/>
      <w:rPr>
        <w:rFonts w:cstheme="minorHAnsi"/>
        <w:b/>
        <w:szCs w:val="22"/>
      </w:rPr>
    </w:pPr>
    <w:r>
      <w:rPr>
        <w:b/>
      </w:rPr>
      <w:t xml:space="preserve">Workpaper </w:t>
    </w:r>
    <w:r w:rsidR="00BA1B6B" w:rsidRPr="00BA1B6B">
      <w:rPr>
        <w:b/>
      </w:rPr>
      <w:t>WPSDGEREHC0031</w:t>
    </w:r>
    <w:r>
      <w:rPr>
        <w:b/>
      </w:rPr>
      <w:t xml:space="preserve">, Revision </w:t>
    </w:r>
    <w:r w:rsidR="00BA1B6B">
      <w:rPr>
        <w:b/>
      </w:rPr>
      <w:t>0</w:t>
    </w:r>
    <w:r w:rsidR="00E372B8">
      <w:rPr>
        <w:b/>
      </w:rPr>
      <w:tab/>
    </w:r>
    <w:r w:rsidR="00E372B8">
      <w:rPr>
        <w:b/>
      </w:rPr>
      <w:tab/>
    </w:r>
    <w:r w:rsidR="00EC550F">
      <w:rPr>
        <w:rFonts w:cstheme="minorHAnsi"/>
        <w:b/>
        <w:szCs w:val="22"/>
      </w:rPr>
      <w:t>October 25</w:t>
    </w:r>
    <w:r w:rsidR="00AE4353">
      <w:rPr>
        <w:rFonts w:cstheme="minorHAnsi"/>
        <w:b/>
        <w:szCs w:val="22"/>
      </w:rPr>
      <w:t>, 2017</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EC550F">
      <w:rPr>
        <w:b/>
        <w:noProof/>
      </w:rPr>
      <w:t>7</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8F7" w:rsidRDefault="00A578F7" w:rsidP="00FE520B">
      <w:r>
        <w:separator/>
      </w:r>
    </w:p>
  </w:footnote>
  <w:footnote w:type="continuationSeparator" w:id="0">
    <w:p w:rsidR="00A578F7" w:rsidRDefault="00A578F7"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12"/>
  </w:num>
  <w:num w:numId="6">
    <w:abstractNumId w:val="4"/>
  </w:num>
  <w:num w:numId="7">
    <w:abstractNumId w:val="18"/>
  </w:num>
  <w:num w:numId="8">
    <w:abstractNumId w:val="15"/>
  </w:num>
  <w:num w:numId="9">
    <w:abstractNumId w:val="5"/>
  </w:num>
  <w:num w:numId="10">
    <w:abstractNumId w:val="16"/>
  </w:num>
  <w:num w:numId="11">
    <w:abstractNumId w:val="17"/>
  </w:num>
  <w:num w:numId="12">
    <w:abstractNumId w:val="10"/>
  </w:num>
  <w:num w:numId="13">
    <w:abstractNumId w:val="19"/>
  </w:num>
  <w:num w:numId="14">
    <w:abstractNumId w:val="9"/>
  </w:num>
  <w:num w:numId="15">
    <w:abstractNumId w:val="11"/>
  </w:num>
  <w:num w:numId="16">
    <w:abstractNumId w:val="14"/>
  </w:num>
  <w:num w:numId="17">
    <w:abstractNumId w:val="8"/>
  </w:num>
  <w:num w:numId="18">
    <w:abstractNumId w:val="0"/>
  </w:num>
  <w:num w:numId="19">
    <w:abstractNumId w:val="6"/>
  </w:num>
  <w:num w:numId="20">
    <w:abstractNumId w:val="13"/>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BA0"/>
    <w:rsid w:val="00052743"/>
    <w:rsid w:val="00052CE4"/>
    <w:rsid w:val="00067315"/>
    <w:rsid w:val="00067AF1"/>
    <w:rsid w:val="000719BF"/>
    <w:rsid w:val="000B6542"/>
    <w:rsid w:val="000C13AE"/>
    <w:rsid w:val="000C441A"/>
    <w:rsid w:val="000D243C"/>
    <w:rsid w:val="000E19CA"/>
    <w:rsid w:val="000E2CA6"/>
    <w:rsid w:val="000E65D6"/>
    <w:rsid w:val="000F6BA3"/>
    <w:rsid w:val="000F72EF"/>
    <w:rsid w:val="001046CB"/>
    <w:rsid w:val="00121B4E"/>
    <w:rsid w:val="0012271D"/>
    <w:rsid w:val="00131C78"/>
    <w:rsid w:val="00143843"/>
    <w:rsid w:val="001505DA"/>
    <w:rsid w:val="0016189C"/>
    <w:rsid w:val="001752E5"/>
    <w:rsid w:val="00183A2F"/>
    <w:rsid w:val="00194466"/>
    <w:rsid w:val="001979FF"/>
    <w:rsid w:val="001A11C1"/>
    <w:rsid w:val="001A4875"/>
    <w:rsid w:val="001B1C8A"/>
    <w:rsid w:val="001B5D6C"/>
    <w:rsid w:val="001C3663"/>
    <w:rsid w:val="001D0AB9"/>
    <w:rsid w:val="001D57D7"/>
    <w:rsid w:val="001D6A64"/>
    <w:rsid w:val="001F64F8"/>
    <w:rsid w:val="00200310"/>
    <w:rsid w:val="00201A3F"/>
    <w:rsid w:val="00215828"/>
    <w:rsid w:val="00231DE1"/>
    <w:rsid w:val="00241A1F"/>
    <w:rsid w:val="00244447"/>
    <w:rsid w:val="00244805"/>
    <w:rsid w:val="00291B2B"/>
    <w:rsid w:val="002C1030"/>
    <w:rsid w:val="002C15E6"/>
    <w:rsid w:val="002D0BD6"/>
    <w:rsid w:val="002D7B3E"/>
    <w:rsid w:val="002E0948"/>
    <w:rsid w:val="002E24BE"/>
    <w:rsid w:val="002F24CE"/>
    <w:rsid w:val="00323C28"/>
    <w:rsid w:val="0032761E"/>
    <w:rsid w:val="00360CFA"/>
    <w:rsid w:val="003A0D2B"/>
    <w:rsid w:val="003A4277"/>
    <w:rsid w:val="003A7B4E"/>
    <w:rsid w:val="003B5DCF"/>
    <w:rsid w:val="003B6A2A"/>
    <w:rsid w:val="003C2EE4"/>
    <w:rsid w:val="003D1C21"/>
    <w:rsid w:val="003E035B"/>
    <w:rsid w:val="003E0DC8"/>
    <w:rsid w:val="003E122A"/>
    <w:rsid w:val="003E6E57"/>
    <w:rsid w:val="003E6FA5"/>
    <w:rsid w:val="003F1F0D"/>
    <w:rsid w:val="00402B3D"/>
    <w:rsid w:val="00413EF4"/>
    <w:rsid w:val="00431763"/>
    <w:rsid w:val="004402EE"/>
    <w:rsid w:val="0044686E"/>
    <w:rsid w:val="004519B4"/>
    <w:rsid w:val="00467DB3"/>
    <w:rsid w:val="00492365"/>
    <w:rsid w:val="004A6215"/>
    <w:rsid w:val="004D0326"/>
    <w:rsid w:val="004D5D19"/>
    <w:rsid w:val="004E13B2"/>
    <w:rsid w:val="00513723"/>
    <w:rsid w:val="005428E1"/>
    <w:rsid w:val="00543687"/>
    <w:rsid w:val="00555671"/>
    <w:rsid w:val="005613FC"/>
    <w:rsid w:val="00567FEF"/>
    <w:rsid w:val="00580664"/>
    <w:rsid w:val="0059117D"/>
    <w:rsid w:val="00591D85"/>
    <w:rsid w:val="0059663B"/>
    <w:rsid w:val="005B5614"/>
    <w:rsid w:val="005C1518"/>
    <w:rsid w:val="005D5D5A"/>
    <w:rsid w:val="005E18A1"/>
    <w:rsid w:val="00636490"/>
    <w:rsid w:val="00650C31"/>
    <w:rsid w:val="00650F0D"/>
    <w:rsid w:val="00653C4B"/>
    <w:rsid w:val="00666CDA"/>
    <w:rsid w:val="00682E19"/>
    <w:rsid w:val="00684ABA"/>
    <w:rsid w:val="00686789"/>
    <w:rsid w:val="006875B3"/>
    <w:rsid w:val="00695478"/>
    <w:rsid w:val="006A3E63"/>
    <w:rsid w:val="006B0D5C"/>
    <w:rsid w:val="006D03F9"/>
    <w:rsid w:val="006D2B70"/>
    <w:rsid w:val="00707736"/>
    <w:rsid w:val="00711B58"/>
    <w:rsid w:val="00727839"/>
    <w:rsid w:val="00752529"/>
    <w:rsid w:val="00762D81"/>
    <w:rsid w:val="00785AC8"/>
    <w:rsid w:val="00786E32"/>
    <w:rsid w:val="00787D7C"/>
    <w:rsid w:val="00792928"/>
    <w:rsid w:val="00797B54"/>
    <w:rsid w:val="007B18FE"/>
    <w:rsid w:val="007D1A21"/>
    <w:rsid w:val="007D1F1E"/>
    <w:rsid w:val="007D3A21"/>
    <w:rsid w:val="007D4F8E"/>
    <w:rsid w:val="007D6FF1"/>
    <w:rsid w:val="007E7E00"/>
    <w:rsid w:val="008137B0"/>
    <w:rsid w:val="0081521B"/>
    <w:rsid w:val="00856FA4"/>
    <w:rsid w:val="00862113"/>
    <w:rsid w:val="008724D6"/>
    <w:rsid w:val="008775D7"/>
    <w:rsid w:val="00884B9C"/>
    <w:rsid w:val="00895D80"/>
    <w:rsid w:val="008A1557"/>
    <w:rsid w:val="008A1D1C"/>
    <w:rsid w:val="008A4224"/>
    <w:rsid w:val="008B5184"/>
    <w:rsid w:val="008C01F7"/>
    <w:rsid w:val="008C2C8A"/>
    <w:rsid w:val="008D0B3C"/>
    <w:rsid w:val="008E0850"/>
    <w:rsid w:val="008E5CD5"/>
    <w:rsid w:val="0090016E"/>
    <w:rsid w:val="00910D54"/>
    <w:rsid w:val="00925509"/>
    <w:rsid w:val="0093657B"/>
    <w:rsid w:val="0094267E"/>
    <w:rsid w:val="00950249"/>
    <w:rsid w:val="00957C01"/>
    <w:rsid w:val="009618BA"/>
    <w:rsid w:val="00986A83"/>
    <w:rsid w:val="009C3F2D"/>
    <w:rsid w:val="009C6AE8"/>
    <w:rsid w:val="009E1662"/>
    <w:rsid w:val="009F3770"/>
    <w:rsid w:val="00A051D9"/>
    <w:rsid w:val="00A21710"/>
    <w:rsid w:val="00A3401B"/>
    <w:rsid w:val="00A578F7"/>
    <w:rsid w:val="00A61271"/>
    <w:rsid w:val="00A75EDC"/>
    <w:rsid w:val="00A90F14"/>
    <w:rsid w:val="00A9441E"/>
    <w:rsid w:val="00AA43C4"/>
    <w:rsid w:val="00AD034F"/>
    <w:rsid w:val="00AD74B2"/>
    <w:rsid w:val="00AE4353"/>
    <w:rsid w:val="00B16652"/>
    <w:rsid w:val="00B471CC"/>
    <w:rsid w:val="00B47B58"/>
    <w:rsid w:val="00B57F32"/>
    <w:rsid w:val="00B61FCD"/>
    <w:rsid w:val="00B75260"/>
    <w:rsid w:val="00B9234D"/>
    <w:rsid w:val="00B9551F"/>
    <w:rsid w:val="00BA1B6B"/>
    <w:rsid w:val="00BB2D80"/>
    <w:rsid w:val="00BC6454"/>
    <w:rsid w:val="00BD4AFD"/>
    <w:rsid w:val="00BD5433"/>
    <w:rsid w:val="00C048F4"/>
    <w:rsid w:val="00C05E32"/>
    <w:rsid w:val="00C06B9E"/>
    <w:rsid w:val="00C131CB"/>
    <w:rsid w:val="00C15F66"/>
    <w:rsid w:val="00C228B0"/>
    <w:rsid w:val="00C23CAB"/>
    <w:rsid w:val="00C414A6"/>
    <w:rsid w:val="00C44E5A"/>
    <w:rsid w:val="00C462C1"/>
    <w:rsid w:val="00C52867"/>
    <w:rsid w:val="00C54AC6"/>
    <w:rsid w:val="00C62A00"/>
    <w:rsid w:val="00C7215A"/>
    <w:rsid w:val="00C75814"/>
    <w:rsid w:val="00CA48A0"/>
    <w:rsid w:val="00CB10BC"/>
    <w:rsid w:val="00CF295D"/>
    <w:rsid w:val="00CF2ABA"/>
    <w:rsid w:val="00D60240"/>
    <w:rsid w:val="00D645DB"/>
    <w:rsid w:val="00D73600"/>
    <w:rsid w:val="00D73723"/>
    <w:rsid w:val="00DA4D9F"/>
    <w:rsid w:val="00DA5D17"/>
    <w:rsid w:val="00DB544A"/>
    <w:rsid w:val="00DB71F1"/>
    <w:rsid w:val="00DC42DE"/>
    <w:rsid w:val="00DC7243"/>
    <w:rsid w:val="00DE1C5D"/>
    <w:rsid w:val="00DE364E"/>
    <w:rsid w:val="00E048EA"/>
    <w:rsid w:val="00E05871"/>
    <w:rsid w:val="00E05B9C"/>
    <w:rsid w:val="00E159C8"/>
    <w:rsid w:val="00E165FC"/>
    <w:rsid w:val="00E33C12"/>
    <w:rsid w:val="00E372B8"/>
    <w:rsid w:val="00E408A9"/>
    <w:rsid w:val="00E455B7"/>
    <w:rsid w:val="00E56CE7"/>
    <w:rsid w:val="00E6385A"/>
    <w:rsid w:val="00E6631C"/>
    <w:rsid w:val="00E733C7"/>
    <w:rsid w:val="00E76853"/>
    <w:rsid w:val="00E84938"/>
    <w:rsid w:val="00E859F0"/>
    <w:rsid w:val="00EC34A0"/>
    <w:rsid w:val="00EC38B0"/>
    <w:rsid w:val="00EC550F"/>
    <w:rsid w:val="00ED3B34"/>
    <w:rsid w:val="00ED65C0"/>
    <w:rsid w:val="00EE38DA"/>
    <w:rsid w:val="00EE6CFE"/>
    <w:rsid w:val="00F117C6"/>
    <w:rsid w:val="00F22251"/>
    <w:rsid w:val="00F3167F"/>
    <w:rsid w:val="00F4328B"/>
    <w:rsid w:val="00F77C08"/>
    <w:rsid w:val="00F855DD"/>
    <w:rsid w:val="00F915C5"/>
    <w:rsid w:val="00FA3359"/>
    <w:rsid w:val="00FB4B16"/>
    <w:rsid w:val="00FC1793"/>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17BE6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uiPriority w:val="99"/>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789863-51FB-4EE5-83CF-41F29C53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1468</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2017-10-25T22:46:00Z</dcterms:created>
  <dcterms:modified xsi:type="dcterms:W3CDTF">2017-10-25T22:48:00Z</dcterms:modified>
</cp:coreProperties>
</file>