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1C41A7" w14:textId="0D8A69AD" w:rsidR="00F117C6" w:rsidRPr="00500C4E" w:rsidRDefault="009A0721" w:rsidP="00F117C6">
      <w:pPr>
        <w:pStyle w:val="WPnumber"/>
      </w:pPr>
      <w:bookmarkStart w:id="0" w:name="_Toc153189647"/>
      <w:r>
        <w:t xml:space="preserve">Short Form </w:t>
      </w:r>
      <w:r w:rsidR="00F117C6" w:rsidRPr="00500C4E">
        <w:t xml:space="preserve">Work Paper </w:t>
      </w:r>
      <w:sdt>
        <w:sdtPr>
          <w:alias w:val="Title"/>
          <w:tag w:val=""/>
          <w:id w:val="650333005"/>
          <w:placeholder>
            <w:docPart w:val="2D1C3A54D61944DBB3D63B92C982C696"/>
          </w:placeholder>
          <w:dataBinding w:prefixMappings="xmlns:ns0='http://purl.org/dc/elements/1.1/' xmlns:ns1='http://schemas.openxmlformats.org/package/2006/metadata/core-properties' " w:xpath="/ns1:coreProperties[1]/ns0:title[1]" w:storeItemID="{6C3C8BC8-F283-45AE-878A-BAB7291924A1}"/>
          <w:text/>
        </w:sdtPr>
        <w:sdtEndPr/>
        <w:sdtContent>
          <w:r w:rsidR="00152BB8">
            <w:t>WPSDGEREHC0030</w:t>
          </w:r>
        </w:sdtContent>
      </w:sdt>
    </w:p>
    <w:bookmarkEnd w:id="0"/>
    <w:p w14:paraId="6F0F94CF" w14:textId="07EA4ED5" w:rsidR="00F117C6" w:rsidRPr="00500C4E" w:rsidRDefault="00563669" w:rsidP="00F117C6">
      <w:pPr>
        <w:pStyle w:val="Revnumber"/>
        <w:rPr>
          <w:rStyle w:val="CaptionChar"/>
          <w:b/>
          <w:bCs w:val="0"/>
        </w:rPr>
      </w:pPr>
      <w:sdt>
        <w:sdtPr>
          <w:rPr>
            <w:rStyle w:val="CaptionChar"/>
            <w:b/>
            <w:bCs w:val="0"/>
          </w:rPr>
          <w:alias w:val="Revision"/>
          <w:tag w:val=""/>
          <w:id w:val="-1338455471"/>
          <w:placeholder>
            <w:docPart w:val="5420FAF41CED451EAB8369D8BC2C0B60"/>
          </w:placeholder>
          <w:dataBinding w:prefixMappings="xmlns:ns0='http://purl.org/dc/elements/1.1/' xmlns:ns1='http://schemas.openxmlformats.org/package/2006/metadata/core-properties' " w:xpath="/ns1:coreProperties[1]/ns1:contentStatus[1]" w:storeItemID="{6C3C8BC8-F283-45AE-878A-BAB7291924A1}"/>
          <w:text/>
        </w:sdtPr>
        <w:sdtEndPr>
          <w:rPr>
            <w:rStyle w:val="CaptionChar"/>
          </w:rPr>
        </w:sdtEndPr>
        <w:sdtContent>
          <w:r w:rsidR="00152BB8">
            <w:rPr>
              <w:rStyle w:val="CaptionChar"/>
              <w:b/>
              <w:bCs w:val="0"/>
            </w:rPr>
            <w:t>Revision 0</w:t>
          </w:r>
        </w:sdtContent>
      </w:sdt>
    </w:p>
    <w:p w14:paraId="43CCADD4" w14:textId="77777777" w:rsidR="00F117C6" w:rsidRPr="00500C4E" w:rsidRDefault="00F117C6" w:rsidP="00F117C6">
      <w:pPr>
        <w:jc w:val="right"/>
        <w:rPr>
          <w:rFonts w:cstheme="minorHAnsi"/>
          <w:b/>
          <w:sz w:val="48"/>
          <w:szCs w:val="48"/>
        </w:rPr>
      </w:pPr>
    </w:p>
    <w:bookmarkStart w:id="1" w:name="SCE"/>
    <w:p w14:paraId="1E3575C2" w14:textId="77777777" w:rsidR="00F117C6" w:rsidRPr="00500C4E" w:rsidRDefault="00563669" w:rsidP="00F117C6">
      <w:pPr>
        <w:pBdr>
          <w:bottom w:val="single" w:sz="4" w:space="1" w:color="auto"/>
        </w:pBdr>
        <w:rPr>
          <w:rFonts w:cstheme="minorHAnsi"/>
          <w:b/>
          <w:sz w:val="36"/>
          <w:szCs w:val="36"/>
        </w:rPr>
      </w:pPr>
      <w:sdt>
        <w:sdtPr>
          <w:rPr>
            <w:rFonts w:cstheme="minorHAnsi"/>
            <w:b/>
            <w:sz w:val="36"/>
            <w:szCs w:val="36"/>
          </w:rPr>
          <w:alias w:val="Company"/>
          <w:tag w:val=""/>
          <w:id w:val="1319073251"/>
          <w:placeholder>
            <w:docPart w:val="954041495DA644508C725EBE45A9A075"/>
          </w:placeholder>
          <w:dataBinding w:prefixMappings="xmlns:ns0='http://schemas.openxmlformats.org/officeDocument/2006/extended-properties' " w:xpath="/ns0:Properties[1]/ns0:Company[1]" w:storeItemID="{6668398D-A668-4E3E-A5EB-62B293D839F1}"/>
          <w:text/>
        </w:sdtPr>
        <w:sdtEndPr/>
        <w:sdtContent>
          <w:r w:rsidR="00861B74">
            <w:rPr>
              <w:rFonts w:cstheme="minorHAnsi"/>
              <w:b/>
              <w:sz w:val="36"/>
              <w:szCs w:val="36"/>
            </w:rPr>
            <w:t>S</w:t>
          </w:r>
          <w:r w:rsidR="006049AE">
            <w:rPr>
              <w:rFonts w:cstheme="minorHAnsi"/>
              <w:b/>
              <w:sz w:val="36"/>
              <w:szCs w:val="36"/>
            </w:rPr>
            <w:t>an Diego Gas &amp; Electric</w:t>
          </w:r>
        </w:sdtContent>
      </w:sdt>
      <w:bookmarkEnd w:id="1"/>
    </w:p>
    <w:p w14:paraId="03F361DB" w14:textId="77777777" w:rsidR="00F117C6" w:rsidRPr="006049AE" w:rsidRDefault="006049AE" w:rsidP="00F117C6">
      <w:pPr>
        <w:rPr>
          <w:rFonts w:cstheme="minorHAnsi"/>
          <w:b/>
        </w:rPr>
      </w:pPr>
      <w:r w:rsidRPr="006049AE">
        <w:rPr>
          <w:rFonts w:cstheme="minorHAnsi"/>
          <w:b/>
        </w:rPr>
        <w:t>Energy Efficiency Engineering</w:t>
      </w:r>
    </w:p>
    <w:p w14:paraId="2AFDC1E3" w14:textId="77777777" w:rsidR="00F117C6" w:rsidRPr="00500C4E" w:rsidRDefault="00F117C6" w:rsidP="00F117C6">
      <w:pPr>
        <w:rPr>
          <w:rFonts w:cstheme="minorHAnsi"/>
        </w:rPr>
      </w:pPr>
    </w:p>
    <w:p w14:paraId="6403E533" w14:textId="77777777" w:rsidR="00F117C6" w:rsidRPr="00500C4E" w:rsidRDefault="00F117C6" w:rsidP="00F117C6">
      <w:pPr>
        <w:tabs>
          <w:tab w:val="left" w:pos="8190"/>
        </w:tabs>
        <w:rPr>
          <w:rFonts w:cstheme="minorHAnsi"/>
        </w:rPr>
      </w:pPr>
      <w:r w:rsidRPr="00500C4E">
        <w:rPr>
          <w:rFonts w:cstheme="minorHAnsi"/>
        </w:rPr>
        <w:tab/>
      </w:r>
    </w:p>
    <w:p w14:paraId="047CB72A" w14:textId="77777777" w:rsidR="00F117C6" w:rsidRPr="00500C4E" w:rsidRDefault="00F117C6" w:rsidP="00F117C6">
      <w:pPr>
        <w:rPr>
          <w:rFonts w:cstheme="minorHAnsi"/>
        </w:rPr>
      </w:pPr>
    </w:p>
    <w:p w14:paraId="3F8B6D5F" w14:textId="77777777" w:rsidR="00F117C6" w:rsidRPr="00500C4E" w:rsidRDefault="00F117C6" w:rsidP="00F117C6">
      <w:pPr>
        <w:rPr>
          <w:rFonts w:cstheme="minorHAnsi"/>
        </w:rPr>
      </w:pPr>
    </w:p>
    <w:p w14:paraId="62EFA84E" w14:textId="77777777" w:rsidR="00F117C6" w:rsidRPr="00500C4E" w:rsidRDefault="00F117C6" w:rsidP="00F117C6">
      <w:pPr>
        <w:rPr>
          <w:rFonts w:cstheme="minorHAnsi"/>
        </w:rPr>
      </w:pPr>
    </w:p>
    <w:p w14:paraId="1F18AD87" w14:textId="77777777" w:rsidR="00F117C6" w:rsidRPr="00500C4E" w:rsidRDefault="00F117C6" w:rsidP="00F117C6">
      <w:pPr>
        <w:rPr>
          <w:rFonts w:cstheme="minorHAnsi"/>
        </w:rPr>
      </w:pPr>
    </w:p>
    <w:p w14:paraId="10C5CAD2" w14:textId="77777777" w:rsidR="00F117C6" w:rsidRPr="00500C4E" w:rsidRDefault="00F117C6" w:rsidP="00F117C6">
      <w:pPr>
        <w:rPr>
          <w:rFonts w:cstheme="minorHAnsi"/>
        </w:rPr>
      </w:pPr>
    </w:p>
    <w:p w14:paraId="0F02854D" w14:textId="32370F86" w:rsidR="00861B74" w:rsidRDefault="00E42E3A" w:rsidP="000F72EF">
      <w:pPr>
        <w:rPr>
          <w:rFonts w:cstheme="minorHAnsi"/>
          <w:b/>
          <w:sz w:val="72"/>
          <w:szCs w:val="72"/>
        </w:rPr>
      </w:pPr>
      <w:r>
        <w:rPr>
          <w:rFonts w:cstheme="minorHAnsi"/>
          <w:b/>
          <w:sz w:val="72"/>
          <w:szCs w:val="72"/>
        </w:rPr>
        <w:t>Residential</w:t>
      </w:r>
      <w:r w:rsidRPr="009D6BB2">
        <w:rPr>
          <w:rFonts w:cstheme="minorHAnsi"/>
          <w:b/>
          <w:sz w:val="72"/>
          <w:szCs w:val="72"/>
        </w:rPr>
        <w:t xml:space="preserve"> </w:t>
      </w:r>
      <w:r w:rsidR="00152BB8">
        <w:rPr>
          <w:rFonts w:cstheme="minorHAnsi"/>
          <w:b/>
          <w:sz w:val="72"/>
          <w:szCs w:val="72"/>
        </w:rPr>
        <w:t>Smart Communicating Thermostat</w:t>
      </w:r>
    </w:p>
    <w:p w14:paraId="6EC0987C" w14:textId="77777777" w:rsidR="00861B74" w:rsidRDefault="00861B74" w:rsidP="000F72EF">
      <w:pPr>
        <w:rPr>
          <w:rFonts w:cstheme="minorHAnsi"/>
          <w:b/>
          <w:sz w:val="72"/>
          <w:szCs w:val="72"/>
        </w:rPr>
      </w:pPr>
    </w:p>
    <w:p w14:paraId="6DA6D21E" w14:textId="77777777" w:rsidR="00861B74" w:rsidRDefault="00861B74" w:rsidP="000F72EF">
      <w:pPr>
        <w:rPr>
          <w:rFonts w:cstheme="minorHAnsi"/>
          <w:b/>
          <w:sz w:val="72"/>
          <w:szCs w:val="72"/>
        </w:rPr>
      </w:pPr>
    </w:p>
    <w:p w14:paraId="33D7B984" w14:textId="77777777" w:rsidR="00861B74" w:rsidRDefault="00861B74" w:rsidP="000F72EF">
      <w:pPr>
        <w:rPr>
          <w:rFonts w:cstheme="minorHAnsi"/>
          <w:b/>
          <w:sz w:val="72"/>
          <w:szCs w:val="72"/>
        </w:rPr>
      </w:pPr>
    </w:p>
    <w:p w14:paraId="75F4D717" w14:textId="77777777" w:rsidR="00861B74" w:rsidRDefault="00861B74" w:rsidP="000F72EF">
      <w:pPr>
        <w:rPr>
          <w:rFonts w:cstheme="minorHAnsi"/>
          <w:b/>
          <w:sz w:val="72"/>
          <w:szCs w:val="72"/>
        </w:rPr>
      </w:pPr>
    </w:p>
    <w:p w14:paraId="4CEC7AE6" w14:textId="77777777" w:rsidR="00861B74" w:rsidRDefault="00861B74" w:rsidP="000F72EF">
      <w:pPr>
        <w:rPr>
          <w:rFonts w:cstheme="minorHAnsi"/>
          <w:b/>
          <w:sz w:val="72"/>
          <w:szCs w:val="72"/>
        </w:rPr>
      </w:pPr>
    </w:p>
    <w:p w14:paraId="2733B8FA" w14:textId="77777777" w:rsidR="00861B74" w:rsidRDefault="00861B74" w:rsidP="000F72EF">
      <w:pPr>
        <w:rPr>
          <w:rFonts w:cstheme="minorHAnsi"/>
          <w:b/>
          <w:sz w:val="72"/>
          <w:szCs w:val="72"/>
        </w:rPr>
      </w:pPr>
    </w:p>
    <w:p w14:paraId="064C061F" w14:textId="3F84C300" w:rsidR="00861B74" w:rsidRPr="00861B74" w:rsidRDefault="00563669" w:rsidP="00861B74">
      <w:pPr>
        <w:jc w:val="right"/>
        <w:rPr>
          <w:rFonts w:cstheme="minorHAnsi"/>
          <w:b/>
          <w:sz w:val="28"/>
          <w:szCs w:val="28"/>
        </w:rPr>
        <w:sectPr w:rsidR="00861B74" w:rsidRPr="00861B74" w:rsidSect="00017E7E">
          <w:headerReference w:type="default" r:id="rId8"/>
          <w:footerReference w:type="default" r:id="rId9"/>
          <w:pgSz w:w="12240" w:h="15840"/>
          <w:pgMar w:top="1440" w:right="1440" w:bottom="1440" w:left="1440" w:header="720" w:footer="720" w:gutter="0"/>
          <w:cols w:space="720"/>
          <w:titlePg/>
          <w:docGrid w:linePitch="360"/>
        </w:sectPr>
      </w:pPr>
      <w:r>
        <w:rPr>
          <w:rFonts w:cstheme="minorHAnsi"/>
          <w:b/>
          <w:sz w:val="28"/>
          <w:szCs w:val="28"/>
        </w:rPr>
        <w:t>June 29</w:t>
      </w:r>
      <w:r w:rsidR="008E017D">
        <w:rPr>
          <w:rFonts w:cstheme="minorHAnsi"/>
          <w:b/>
          <w:sz w:val="28"/>
          <w:szCs w:val="28"/>
        </w:rPr>
        <w:t>,</w:t>
      </w:r>
      <w:r w:rsidR="00500D21">
        <w:rPr>
          <w:rFonts w:cstheme="minorHAnsi"/>
          <w:b/>
          <w:sz w:val="28"/>
          <w:szCs w:val="28"/>
        </w:rPr>
        <w:t xml:space="preserve"> </w:t>
      </w:r>
      <w:r w:rsidR="002372ED">
        <w:rPr>
          <w:rFonts w:cstheme="minorHAnsi"/>
          <w:b/>
          <w:sz w:val="28"/>
          <w:szCs w:val="28"/>
        </w:rPr>
        <w:t>2017</w:t>
      </w:r>
    </w:p>
    <w:p w14:paraId="2D9388B0" w14:textId="5981D09D" w:rsidR="008828CF" w:rsidRPr="008828CF" w:rsidRDefault="008828CF" w:rsidP="008828CF">
      <w:pPr>
        <w:pStyle w:val="Heading1"/>
      </w:pPr>
      <w:r w:rsidRPr="008828CF">
        <w:lastRenderedPageBreak/>
        <w:t xml:space="preserve">Residential </w:t>
      </w:r>
      <w:r w:rsidR="00152BB8">
        <w:t>Smart Communicating Thermostat</w:t>
      </w:r>
      <w:r w:rsidRPr="008828CF">
        <w:t xml:space="preserve"> Short Form WP</w:t>
      </w:r>
    </w:p>
    <w:p w14:paraId="0FEF8EF9" w14:textId="77777777" w:rsidR="008828CF" w:rsidRDefault="008828CF" w:rsidP="008828CF">
      <w:pPr>
        <w:pStyle w:val="Heading2"/>
      </w:pPr>
      <w:r>
        <w:t>Introduction</w:t>
      </w:r>
    </w:p>
    <w:p w14:paraId="0D80E152" w14:textId="49268B14" w:rsidR="00152BB8" w:rsidRPr="00152BB8" w:rsidRDefault="00152BB8" w:rsidP="00152BB8">
      <w:r w:rsidRPr="00152BB8">
        <w:t xml:space="preserve">This short form workpaper documents the values adopted from SCE’s workpaper entitled “Residential </w:t>
      </w:r>
      <w:r>
        <w:t>Smart Communicating Thermostat</w:t>
      </w:r>
      <w:r w:rsidRPr="00152BB8">
        <w:t>” (</w:t>
      </w:r>
      <w:r>
        <w:t>SCE17HC054 Rev 0</w:t>
      </w:r>
      <w:r w:rsidRPr="00152BB8">
        <w:t xml:space="preserve">). SDG&amp;E adopts all of the values in </w:t>
      </w:r>
      <w:r>
        <w:t>SCE13HC0054 Rev 0</w:t>
      </w:r>
      <w:r w:rsidRPr="00152BB8">
        <w:t xml:space="preserve"> with </w:t>
      </w:r>
      <w:r>
        <w:t>no exceptions.</w:t>
      </w:r>
    </w:p>
    <w:p w14:paraId="3AD9AA90" w14:textId="77777777" w:rsidR="00107D86" w:rsidRDefault="00107D86" w:rsidP="008828CF"/>
    <w:p w14:paraId="51C10949" w14:textId="77777777" w:rsidR="0025216C" w:rsidRDefault="00500D21" w:rsidP="008828CF">
      <w:pPr>
        <w:pStyle w:val="Heading2"/>
      </w:pPr>
      <w:r w:rsidRPr="005734A4">
        <w:t>Document Revision History</w:t>
      </w:r>
      <w:r w:rsidR="0025216C" w:rsidRPr="0025216C">
        <w:t xml:space="preserve"> </w:t>
      </w:r>
    </w:p>
    <w:tbl>
      <w:tblPr>
        <w:tblStyle w:val="TableGrid11"/>
        <w:tblW w:w="5000" w:type="pct"/>
        <w:tblLook w:val="01E0" w:firstRow="1" w:lastRow="1" w:firstColumn="1" w:lastColumn="1" w:noHBand="0" w:noVBand="0"/>
      </w:tblPr>
      <w:tblGrid>
        <w:gridCol w:w="524"/>
        <w:gridCol w:w="1275"/>
        <w:gridCol w:w="1649"/>
        <w:gridCol w:w="5902"/>
      </w:tblGrid>
      <w:tr w:rsidR="0025216C" w:rsidRPr="00500C4E" w14:paraId="23A37FD4" w14:textId="77777777" w:rsidTr="005E4FE7">
        <w:trPr>
          <w:trHeight w:val="20"/>
        </w:trPr>
        <w:tc>
          <w:tcPr>
            <w:tcW w:w="274" w:type="pct"/>
            <w:shd w:val="clear" w:color="auto" w:fill="D9D9D9" w:themeFill="background1" w:themeFillShade="D9"/>
          </w:tcPr>
          <w:p w14:paraId="758E187F" w14:textId="77777777" w:rsidR="0025216C" w:rsidRPr="000E2B6B" w:rsidRDefault="0025216C" w:rsidP="005E4FE7">
            <w:pPr>
              <w:rPr>
                <w:rStyle w:val="Strong"/>
                <w:bCs w:val="0"/>
              </w:rPr>
            </w:pPr>
            <w:r w:rsidRPr="000E2B6B">
              <w:rPr>
                <w:rStyle w:val="Strong"/>
              </w:rPr>
              <w:t>Rev</w:t>
            </w:r>
          </w:p>
        </w:tc>
        <w:tc>
          <w:tcPr>
            <w:tcW w:w="684" w:type="pct"/>
            <w:shd w:val="clear" w:color="auto" w:fill="D9D9D9" w:themeFill="background1" w:themeFillShade="D9"/>
          </w:tcPr>
          <w:p w14:paraId="674EBE50" w14:textId="77777777" w:rsidR="0025216C" w:rsidRPr="000E2B6B" w:rsidRDefault="0025216C" w:rsidP="005E4FE7">
            <w:pPr>
              <w:rPr>
                <w:rStyle w:val="Strong"/>
                <w:bCs w:val="0"/>
              </w:rPr>
            </w:pPr>
            <w:r w:rsidRPr="000E2B6B">
              <w:rPr>
                <w:rStyle w:val="Strong"/>
              </w:rPr>
              <w:t>Date</w:t>
            </w:r>
          </w:p>
        </w:tc>
        <w:tc>
          <w:tcPr>
            <w:tcW w:w="884" w:type="pct"/>
            <w:shd w:val="clear" w:color="auto" w:fill="D9D9D9" w:themeFill="background1" w:themeFillShade="D9"/>
          </w:tcPr>
          <w:p w14:paraId="52E7FEC5" w14:textId="77777777" w:rsidR="0025216C" w:rsidRPr="000E2B6B" w:rsidRDefault="0025216C" w:rsidP="005E4FE7">
            <w:pPr>
              <w:rPr>
                <w:rStyle w:val="Strong"/>
                <w:bCs w:val="0"/>
              </w:rPr>
            </w:pPr>
            <w:r w:rsidRPr="000E2B6B">
              <w:rPr>
                <w:rStyle w:val="Strong"/>
              </w:rPr>
              <w:t>Author</w:t>
            </w:r>
          </w:p>
        </w:tc>
        <w:tc>
          <w:tcPr>
            <w:tcW w:w="3158" w:type="pct"/>
            <w:shd w:val="clear" w:color="auto" w:fill="D9D9D9" w:themeFill="background1" w:themeFillShade="D9"/>
          </w:tcPr>
          <w:p w14:paraId="2925A123" w14:textId="77777777" w:rsidR="0025216C" w:rsidRPr="000E2B6B" w:rsidRDefault="0025216C" w:rsidP="005E4FE7">
            <w:pPr>
              <w:rPr>
                <w:rStyle w:val="Strong"/>
                <w:bCs w:val="0"/>
              </w:rPr>
            </w:pPr>
            <w:r w:rsidRPr="000E2B6B">
              <w:rPr>
                <w:rStyle w:val="Strong"/>
              </w:rPr>
              <w:t>Summary of Changes</w:t>
            </w:r>
          </w:p>
        </w:tc>
      </w:tr>
      <w:tr w:rsidR="0025216C" w:rsidRPr="00500C4E" w14:paraId="2E4DE699" w14:textId="77777777" w:rsidTr="005E4FE7">
        <w:trPr>
          <w:trHeight w:val="20"/>
        </w:trPr>
        <w:tc>
          <w:tcPr>
            <w:tcW w:w="274" w:type="pct"/>
            <w:vAlign w:val="center"/>
          </w:tcPr>
          <w:p w14:paraId="526B9FC3" w14:textId="57633099" w:rsidR="0025216C" w:rsidRPr="000E2B6B" w:rsidRDefault="00152BB8" w:rsidP="005E4FE7">
            <w:pPr>
              <w:jc w:val="center"/>
              <w:rPr>
                <w:rFonts w:cstheme="minorHAnsi"/>
                <w:szCs w:val="20"/>
              </w:rPr>
            </w:pPr>
            <w:r>
              <w:rPr>
                <w:rFonts w:cstheme="minorHAnsi"/>
                <w:szCs w:val="20"/>
              </w:rPr>
              <w:t>0</w:t>
            </w:r>
          </w:p>
        </w:tc>
        <w:tc>
          <w:tcPr>
            <w:tcW w:w="684" w:type="pct"/>
            <w:vAlign w:val="center"/>
          </w:tcPr>
          <w:p w14:paraId="05DCDB14" w14:textId="2294B8D1" w:rsidR="0025216C" w:rsidRPr="000E2B6B" w:rsidRDefault="0025216C" w:rsidP="005E4FE7">
            <w:pPr>
              <w:jc w:val="center"/>
              <w:rPr>
                <w:rFonts w:cstheme="minorHAnsi"/>
                <w:szCs w:val="20"/>
              </w:rPr>
            </w:pPr>
            <w:r w:rsidRPr="000E2B6B">
              <w:rPr>
                <w:rFonts w:cstheme="minorHAnsi"/>
                <w:bCs/>
                <w:szCs w:val="20"/>
              </w:rPr>
              <w:t>0</w:t>
            </w:r>
            <w:r w:rsidR="00563669">
              <w:rPr>
                <w:rFonts w:cstheme="minorHAnsi"/>
                <w:bCs/>
                <w:szCs w:val="20"/>
              </w:rPr>
              <w:t>6/29</w:t>
            </w:r>
            <w:bookmarkStart w:id="2" w:name="_GoBack"/>
            <w:bookmarkEnd w:id="2"/>
            <w:r w:rsidR="00152BB8">
              <w:rPr>
                <w:rFonts w:cstheme="minorHAnsi"/>
                <w:bCs/>
                <w:szCs w:val="20"/>
              </w:rPr>
              <w:t>/2017</w:t>
            </w:r>
          </w:p>
        </w:tc>
        <w:tc>
          <w:tcPr>
            <w:tcW w:w="884" w:type="pct"/>
            <w:vAlign w:val="center"/>
          </w:tcPr>
          <w:p w14:paraId="04CD3C93" w14:textId="06541463" w:rsidR="0025216C" w:rsidRPr="000E2B6B" w:rsidRDefault="00152BB8" w:rsidP="005E4FE7">
            <w:pPr>
              <w:rPr>
                <w:rFonts w:cstheme="minorHAnsi"/>
                <w:szCs w:val="20"/>
              </w:rPr>
            </w:pPr>
            <w:r>
              <w:rPr>
                <w:rFonts w:cstheme="minorHAnsi"/>
                <w:bCs/>
                <w:szCs w:val="20"/>
              </w:rPr>
              <w:t>Kelvin Valenzuela, SDG&amp;E</w:t>
            </w:r>
          </w:p>
        </w:tc>
        <w:tc>
          <w:tcPr>
            <w:tcW w:w="3158" w:type="pct"/>
          </w:tcPr>
          <w:p w14:paraId="5099909E" w14:textId="095B5C1D" w:rsidR="0025216C" w:rsidRPr="000E2B6B" w:rsidRDefault="00152BB8" w:rsidP="005E4FE7">
            <w:pPr>
              <w:rPr>
                <w:rFonts w:cstheme="minorHAnsi"/>
              </w:rPr>
            </w:pPr>
            <w:r>
              <w:rPr>
                <w:rFonts w:cstheme="minorHAnsi"/>
                <w:bCs/>
                <w:szCs w:val="20"/>
              </w:rPr>
              <w:t>Adopted from SCE</w:t>
            </w:r>
            <w:r w:rsidR="0025216C" w:rsidRPr="000E2B6B">
              <w:rPr>
                <w:rFonts w:cstheme="minorHAnsi"/>
                <w:bCs/>
                <w:szCs w:val="20"/>
              </w:rPr>
              <w:t xml:space="preserve">, </w:t>
            </w:r>
            <w:r w:rsidRPr="00152BB8">
              <w:rPr>
                <w:rFonts w:cstheme="minorHAnsi"/>
                <w:bCs/>
                <w:szCs w:val="20"/>
              </w:rPr>
              <w:t>SCE17HC054.0 Residential Smart Communicating Thermostat_Final</w:t>
            </w:r>
            <w:r w:rsidR="0025216C" w:rsidRPr="000E2B6B">
              <w:rPr>
                <w:rFonts w:cstheme="minorHAnsi"/>
                <w:bCs/>
                <w:szCs w:val="20"/>
              </w:rPr>
              <w:t>.doc</w:t>
            </w:r>
            <w:r>
              <w:rPr>
                <w:rFonts w:cstheme="minorHAnsi"/>
                <w:bCs/>
                <w:szCs w:val="20"/>
              </w:rPr>
              <w:t>x</w:t>
            </w:r>
          </w:p>
        </w:tc>
      </w:tr>
      <w:tr w:rsidR="0025216C" w:rsidRPr="00500C4E" w14:paraId="04636C3C" w14:textId="77777777" w:rsidTr="005E4FE7">
        <w:trPr>
          <w:trHeight w:val="20"/>
        </w:trPr>
        <w:tc>
          <w:tcPr>
            <w:tcW w:w="274" w:type="pct"/>
            <w:vAlign w:val="center"/>
          </w:tcPr>
          <w:p w14:paraId="7D945651" w14:textId="05C5475D" w:rsidR="0025216C" w:rsidRPr="000E2B6B" w:rsidRDefault="0025216C" w:rsidP="005E4FE7">
            <w:pPr>
              <w:jc w:val="center"/>
              <w:rPr>
                <w:rStyle w:val="Strong"/>
                <w:b w:val="0"/>
              </w:rPr>
            </w:pPr>
          </w:p>
        </w:tc>
        <w:tc>
          <w:tcPr>
            <w:tcW w:w="684" w:type="pct"/>
            <w:vAlign w:val="center"/>
          </w:tcPr>
          <w:p w14:paraId="3EC0605B" w14:textId="208ABEC5" w:rsidR="0025216C" w:rsidRPr="000E2B6B" w:rsidRDefault="0025216C" w:rsidP="005E4FE7">
            <w:pPr>
              <w:jc w:val="center"/>
              <w:rPr>
                <w:rStyle w:val="Strong"/>
                <w:b w:val="0"/>
              </w:rPr>
            </w:pPr>
          </w:p>
        </w:tc>
        <w:tc>
          <w:tcPr>
            <w:tcW w:w="884" w:type="pct"/>
            <w:vAlign w:val="center"/>
          </w:tcPr>
          <w:p w14:paraId="753D5181" w14:textId="3374BD31" w:rsidR="0025216C" w:rsidRPr="000E2B6B" w:rsidRDefault="0025216C" w:rsidP="005E4FE7">
            <w:pPr>
              <w:rPr>
                <w:rStyle w:val="Strong"/>
                <w:b w:val="0"/>
              </w:rPr>
            </w:pPr>
          </w:p>
        </w:tc>
        <w:tc>
          <w:tcPr>
            <w:tcW w:w="3158" w:type="pct"/>
          </w:tcPr>
          <w:p w14:paraId="4C6CC8E2" w14:textId="6AB4C19E" w:rsidR="0025216C" w:rsidRPr="000E2B6B" w:rsidRDefault="0025216C" w:rsidP="005E4FE7">
            <w:pPr>
              <w:rPr>
                <w:rStyle w:val="Strong"/>
                <w:b w:val="0"/>
                <w:bCs w:val="0"/>
              </w:rPr>
            </w:pPr>
          </w:p>
        </w:tc>
      </w:tr>
      <w:tr w:rsidR="0025216C" w:rsidRPr="00500C4E" w14:paraId="1E6809AB" w14:textId="77777777" w:rsidTr="005E4FE7">
        <w:trPr>
          <w:trHeight w:val="20"/>
        </w:trPr>
        <w:tc>
          <w:tcPr>
            <w:tcW w:w="274" w:type="pct"/>
            <w:vAlign w:val="center"/>
          </w:tcPr>
          <w:p w14:paraId="753BDD03" w14:textId="015795A4" w:rsidR="0025216C" w:rsidRDefault="0025216C" w:rsidP="005E4FE7">
            <w:pPr>
              <w:jc w:val="center"/>
              <w:rPr>
                <w:rFonts w:cstheme="minorHAnsi"/>
                <w:szCs w:val="20"/>
              </w:rPr>
            </w:pPr>
          </w:p>
        </w:tc>
        <w:tc>
          <w:tcPr>
            <w:tcW w:w="684" w:type="pct"/>
            <w:vAlign w:val="center"/>
          </w:tcPr>
          <w:p w14:paraId="149AA42B" w14:textId="746FD552" w:rsidR="0025216C" w:rsidRDefault="0025216C" w:rsidP="005E4FE7">
            <w:pPr>
              <w:jc w:val="center"/>
              <w:rPr>
                <w:rFonts w:cstheme="minorHAnsi"/>
                <w:szCs w:val="20"/>
              </w:rPr>
            </w:pPr>
          </w:p>
        </w:tc>
        <w:tc>
          <w:tcPr>
            <w:tcW w:w="884" w:type="pct"/>
            <w:vAlign w:val="center"/>
          </w:tcPr>
          <w:p w14:paraId="0B98C4A4" w14:textId="0DFB1561" w:rsidR="0025216C" w:rsidRDefault="0025216C" w:rsidP="005E4FE7">
            <w:pPr>
              <w:rPr>
                <w:rFonts w:cstheme="minorHAnsi"/>
                <w:szCs w:val="20"/>
              </w:rPr>
            </w:pPr>
          </w:p>
        </w:tc>
        <w:tc>
          <w:tcPr>
            <w:tcW w:w="3158" w:type="pct"/>
          </w:tcPr>
          <w:p w14:paraId="7EBC71D6" w14:textId="7C4F6C4F" w:rsidR="0025216C" w:rsidRPr="00D15129" w:rsidRDefault="0025216C" w:rsidP="005E4FE7">
            <w:pPr>
              <w:rPr>
                <w:rFonts w:cstheme="minorHAnsi"/>
                <w:bCs/>
                <w:szCs w:val="20"/>
              </w:rPr>
            </w:pPr>
          </w:p>
        </w:tc>
      </w:tr>
      <w:tr w:rsidR="0025216C" w:rsidRPr="00500C4E" w14:paraId="2A24F0FC" w14:textId="77777777" w:rsidTr="005E4FE7">
        <w:trPr>
          <w:trHeight w:val="20"/>
        </w:trPr>
        <w:tc>
          <w:tcPr>
            <w:tcW w:w="274" w:type="pct"/>
            <w:vAlign w:val="center"/>
          </w:tcPr>
          <w:p w14:paraId="1847A064" w14:textId="54B5327E" w:rsidR="0025216C" w:rsidRDefault="0025216C" w:rsidP="005E4FE7">
            <w:pPr>
              <w:jc w:val="center"/>
              <w:rPr>
                <w:rFonts w:cstheme="minorHAnsi"/>
                <w:szCs w:val="20"/>
              </w:rPr>
            </w:pPr>
          </w:p>
        </w:tc>
        <w:tc>
          <w:tcPr>
            <w:tcW w:w="684" w:type="pct"/>
            <w:vAlign w:val="center"/>
          </w:tcPr>
          <w:p w14:paraId="0EE0E9CF" w14:textId="626B980E" w:rsidR="0025216C" w:rsidRDefault="0025216C" w:rsidP="005E4FE7">
            <w:pPr>
              <w:jc w:val="center"/>
              <w:rPr>
                <w:rFonts w:cstheme="minorHAnsi"/>
                <w:szCs w:val="20"/>
              </w:rPr>
            </w:pPr>
          </w:p>
        </w:tc>
        <w:tc>
          <w:tcPr>
            <w:tcW w:w="884" w:type="pct"/>
            <w:vAlign w:val="center"/>
          </w:tcPr>
          <w:p w14:paraId="657656A1" w14:textId="620B3135" w:rsidR="0025216C" w:rsidRDefault="0025216C" w:rsidP="005E4FE7">
            <w:pPr>
              <w:rPr>
                <w:rFonts w:cstheme="minorHAnsi"/>
                <w:szCs w:val="20"/>
              </w:rPr>
            </w:pPr>
          </w:p>
        </w:tc>
        <w:tc>
          <w:tcPr>
            <w:tcW w:w="3158" w:type="pct"/>
          </w:tcPr>
          <w:p w14:paraId="07E653AE" w14:textId="181468F5" w:rsidR="0025216C" w:rsidRPr="00D15129" w:rsidRDefault="0025216C" w:rsidP="005E4FE7">
            <w:pPr>
              <w:rPr>
                <w:rFonts w:cstheme="minorHAnsi"/>
                <w:bCs/>
                <w:szCs w:val="20"/>
              </w:rPr>
            </w:pPr>
          </w:p>
        </w:tc>
      </w:tr>
      <w:tr w:rsidR="0025216C" w:rsidRPr="00500C4E" w14:paraId="42DA86CF" w14:textId="77777777" w:rsidTr="005E4FE7">
        <w:trPr>
          <w:trHeight w:val="20"/>
        </w:trPr>
        <w:tc>
          <w:tcPr>
            <w:tcW w:w="274" w:type="pct"/>
            <w:vAlign w:val="center"/>
          </w:tcPr>
          <w:p w14:paraId="663DC4EB" w14:textId="3DA1FA50" w:rsidR="0025216C" w:rsidRDefault="0025216C" w:rsidP="005E4FE7">
            <w:pPr>
              <w:jc w:val="center"/>
              <w:rPr>
                <w:rFonts w:cstheme="minorHAnsi"/>
                <w:szCs w:val="20"/>
              </w:rPr>
            </w:pPr>
          </w:p>
        </w:tc>
        <w:tc>
          <w:tcPr>
            <w:tcW w:w="684" w:type="pct"/>
            <w:vAlign w:val="center"/>
          </w:tcPr>
          <w:p w14:paraId="6AB84F40" w14:textId="1DB82CF8" w:rsidR="0025216C" w:rsidRDefault="0025216C" w:rsidP="005E4FE7">
            <w:pPr>
              <w:jc w:val="center"/>
              <w:rPr>
                <w:rFonts w:cstheme="minorHAnsi"/>
                <w:szCs w:val="20"/>
              </w:rPr>
            </w:pPr>
          </w:p>
        </w:tc>
        <w:tc>
          <w:tcPr>
            <w:tcW w:w="884" w:type="pct"/>
            <w:vAlign w:val="center"/>
          </w:tcPr>
          <w:p w14:paraId="3BC528F6" w14:textId="634D0B52" w:rsidR="0025216C" w:rsidRDefault="0025216C" w:rsidP="005E4FE7">
            <w:pPr>
              <w:rPr>
                <w:rFonts w:cstheme="minorHAnsi"/>
                <w:szCs w:val="20"/>
              </w:rPr>
            </w:pPr>
          </w:p>
        </w:tc>
        <w:tc>
          <w:tcPr>
            <w:tcW w:w="3158" w:type="pct"/>
          </w:tcPr>
          <w:p w14:paraId="600F37BF" w14:textId="5BB9004A" w:rsidR="0025216C" w:rsidRPr="00D15129" w:rsidRDefault="0025216C" w:rsidP="005E4FE7">
            <w:pPr>
              <w:rPr>
                <w:rFonts w:cstheme="minorHAnsi"/>
                <w:bCs/>
                <w:szCs w:val="20"/>
              </w:rPr>
            </w:pPr>
          </w:p>
        </w:tc>
      </w:tr>
      <w:tr w:rsidR="0025216C" w:rsidRPr="00500C4E" w14:paraId="07D3A838" w14:textId="77777777" w:rsidTr="005E4FE7">
        <w:trPr>
          <w:trHeight w:val="20"/>
        </w:trPr>
        <w:tc>
          <w:tcPr>
            <w:tcW w:w="274" w:type="pct"/>
            <w:vAlign w:val="center"/>
          </w:tcPr>
          <w:p w14:paraId="547286AB" w14:textId="2CADEB01" w:rsidR="0025216C" w:rsidRDefault="0025216C" w:rsidP="005E4FE7">
            <w:pPr>
              <w:jc w:val="center"/>
              <w:rPr>
                <w:rFonts w:cstheme="minorHAnsi"/>
                <w:szCs w:val="20"/>
              </w:rPr>
            </w:pPr>
          </w:p>
        </w:tc>
        <w:tc>
          <w:tcPr>
            <w:tcW w:w="684" w:type="pct"/>
            <w:vAlign w:val="center"/>
          </w:tcPr>
          <w:p w14:paraId="48A5354C" w14:textId="51C5CF48" w:rsidR="0025216C" w:rsidRDefault="0025216C" w:rsidP="006E05ED">
            <w:pPr>
              <w:jc w:val="center"/>
              <w:rPr>
                <w:rFonts w:cstheme="minorHAnsi"/>
                <w:szCs w:val="20"/>
              </w:rPr>
            </w:pPr>
          </w:p>
        </w:tc>
        <w:tc>
          <w:tcPr>
            <w:tcW w:w="884" w:type="pct"/>
            <w:vAlign w:val="center"/>
          </w:tcPr>
          <w:p w14:paraId="04FA8306" w14:textId="0BD05126" w:rsidR="0025216C" w:rsidRDefault="0025216C" w:rsidP="005E4FE7">
            <w:pPr>
              <w:rPr>
                <w:rFonts w:cstheme="minorHAnsi"/>
                <w:szCs w:val="20"/>
              </w:rPr>
            </w:pPr>
          </w:p>
        </w:tc>
        <w:tc>
          <w:tcPr>
            <w:tcW w:w="3158" w:type="pct"/>
          </w:tcPr>
          <w:p w14:paraId="0B70F780" w14:textId="48EB740F" w:rsidR="0025216C" w:rsidRPr="00D15129" w:rsidRDefault="0025216C" w:rsidP="008828CF">
            <w:pPr>
              <w:rPr>
                <w:rFonts w:cstheme="minorHAnsi"/>
                <w:bCs/>
                <w:szCs w:val="20"/>
              </w:rPr>
            </w:pPr>
          </w:p>
        </w:tc>
      </w:tr>
      <w:tr w:rsidR="00741B15" w:rsidRPr="00500C4E" w14:paraId="1B63146B" w14:textId="77777777" w:rsidTr="005E4FE7">
        <w:trPr>
          <w:trHeight w:val="20"/>
        </w:trPr>
        <w:tc>
          <w:tcPr>
            <w:tcW w:w="274" w:type="pct"/>
            <w:vAlign w:val="center"/>
          </w:tcPr>
          <w:p w14:paraId="5DE92117" w14:textId="3CE20D67" w:rsidR="00741B15" w:rsidRDefault="00741B15" w:rsidP="005E4FE7">
            <w:pPr>
              <w:jc w:val="center"/>
              <w:rPr>
                <w:rFonts w:cstheme="minorHAnsi"/>
                <w:szCs w:val="20"/>
              </w:rPr>
            </w:pPr>
          </w:p>
        </w:tc>
        <w:tc>
          <w:tcPr>
            <w:tcW w:w="684" w:type="pct"/>
            <w:vAlign w:val="center"/>
          </w:tcPr>
          <w:p w14:paraId="53A76AC3" w14:textId="1E4E4CB9" w:rsidR="00741B15" w:rsidRDefault="00741B15" w:rsidP="006E05ED">
            <w:pPr>
              <w:jc w:val="center"/>
              <w:rPr>
                <w:rFonts w:cstheme="minorHAnsi"/>
                <w:szCs w:val="20"/>
              </w:rPr>
            </w:pPr>
          </w:p>
        </w:tc>
        <w:tc>
          <w:tcPr>
            <w:tcW w:w="884" w:type="pct"/>
            <w:vAlign w:val="center"/>
          </w:tcPr>
          <w:p w14:paraId="58B79AE6" w14:textId="28BE0EE6" w:rsidR="00741B15" w:rsidRDefault="00741B15" w:rsidP="005E4FE7">
            <w:pPr>
              <w:rPr>
                <w:rFonts w:cstheme="minorHAnsi"/>
                <w:szCs w:val="20"/>
              </w:rPr>
            </w:pPr>
          </w:p>
        </w:tc>
        <w:tc>
          <w:tcPr>
            <w:tcW w:w="3158" w:type="pct"/>
          </w:tcPr>
          <w:p w14:paraId="16BE3E27" w14:textId="271D43C8" w:rsidR="00741B15" w:rsidRDefault="00741B15" w:rsidP="008828CF">
            <w:pPr>
              <w:rPr>
                <w:rFonts w:cstheme="minorHAnsi"/>
                <w:bCs/>
                <w:szCs w:val="20"/>
              </w:rPr>
            </w:pPr>
          </w:p>
        </w:tc>
      </w:tr>
      <w:tr w:rsidR="00FF2385" w:rsidRPr="00500C4E" w14:paraId="52F6224C" w14:textId="77777777" w:rsidTr="005E4FE7">
        <w:trPr>
          <w:trHeight w:val="20"/>
        </w:trPr>
        <w:tc>
          <w:tcPr>
            <w:tcW w:w="274" w:type="pct"/>
            <w:vAlign w:val="center"/>
          </w:tcPr>
          <w:p w14:paraId="431313D4" w14:textId="3D50CED1" w:rsidR="00FF2385" w:rsidRDefault="00FF2385" w:rsidP="005E4FE7">
            <w:pPr>
              <w:jc w:val="center"/>
              <w:rPr>
                <w:rFonts w:cstheme="minorHAnsi"/>
                <w:szCs w:val="20"/>
              </w:rPr>
            </w:pPr>
          </w:p>
        </w:tc>
        <w:tc>
          <w:tcPr>
            <w:tcW w:w="684" w:type="pct"/>
            <w:vAlign w:val="center"/>
          </w:tcPr>
          <w:p w14:paraId="4DEC8661" w14:textId="4964DBCB" w:rsidR="00FF2385" w:rsidRDefault="00FF2385" w:rsidP="006E05ED">
            <w:pPr>
              <w:jc w:val="center"/>
              <w:rPr>
                <w:rFonts w:cstheme="minorHAnsi"/>
                <w:szCs w:val="20"/>
              </w:rPr>
            </w:pPr>
          </w:p>
        </w:tc>
        <w:tc>
          <w:tcPr>
            <w:tcW w:w="884" w:type="pct"/>
            <w:vAlign w:val="center"/>
          </w:tcPr>
          <w:p w14:paraId="05EC1354" w14:textId="0C9BA064" w:rsidR="00FF2385" w:rsidRDefault="00FF2385" w:rsidP="005E4FE7">
            <w:pPr>
              <w:rPr>
                <w:rFonts w:cstheme="minorHAnsi"/>
                <w:szCs w:val="20"/>
              </w:rPr>
            </w:pPr>
          </w:p>
        </w:tc>
        <w:tc>
          <w:tcPr>
            <w:tcW w:w="3158" w:type="pct"/>
          </w:tcPr>
          <w:p w14:paraId="4CAE3A0F" w14:textId="47290B19" w:rsidR="00FF2385" w:rsidRDefault="00FF2385" w:rsidP="008828CF">
            <w:pPr>
              <w:rPr>
                <w:rFonts w:cstheme="minorHAnsi"/>
                <w:bCs/>
                <w:szCs w:val="20"/>
              </w:rPr>
            </w:pPr>
          </w:p>
        </w:tc>
      </w:tr>
    </w:tbl>
    <w:p w14:paraId="478E9713" w14:textId="77777777" w:rsidR="008828CF" w:rsidRDefault="008828CF">
      <w:pPr>
        <w:spacing w:after="200" w:line="276" w:lineRule="auto"/>
        <w:rPr>
          <w:rFonts w:ascii="Arial Narrow" w:hAnsi="Arial Narrow" w:cs="Arial"/>
          <w:b/>
          <w:bCs/>
          <w:iCs/>
          <w:smallCaps/>
          <w:sz w:val="28"/>
          <w:szCs w:val="28"/>
        </w:rPr>
      </w:pPr>
    </w:p>
    <w:p w14:paraId="04A4C09E" w14:textId="77777777" w:rsidR="00152BB8" w:rsidRDefault="00152BB8" w:rsidP="000F0580">
      <w:pPr>
        <w:pStyle w:val="Heading2"/>
        <w:sectPr w:rsidR="00152BB8" w:rsidSect="00FA5C27">
          <w:pgSz w:w="12240" w:h="15840"/>
          <w:pgMar w:top="1440" w:right="1440" w:bottom="1440" w:left="1440" w:header="720" w:footer="720" w:gutter="0"/>
          <w:cols w:space="720"/>
          <w:docGrid w:linePitch="360"/>
        </w:sectPr>
      </w:pPr>
    </w:p>
    <w:p w14:paraId="44468919" w14:textId="652CD999" w:rsidR="000F0580" w:rsidRDefault="000F0580" w:rsidP="000F0580">
      <w:pPr>
        <w:pStyle w:val="Heading2"/>
      </w:pPr>
      <w:r>
        <w:lastRenderedPageBreak/>
        <w:t>Measure Summary</w:t>
      </w:r>
      <w:r w:rsidRPr="0025216C">
        <w:t xml:space="preserve"> </w:t>
      </w:r>
    </w:p>
    <w:p w14:paraId="61064BB6" w14:textId="77777777" w:rsidR="008828CF" w:rsidRDefault="008828CF" w:rsidP="008828CF">
      <w:pPr>
        <w:pStyle w:val="Heading2"/>
      </w:pPr>
    </w:p>
    <w:p w14:paraId="499377D5" w14:textId="77777777" w:rsidR="008733BD" w:rsidRDefault="008733BD" w:rsidP="00736DEF">
      <w:pPr>
        <w:pStyle w:val="Caption"/>
        <w:keepNext/>
        <w:jc w:val="center"/>
      </w:pPr>
      <w:r>
        <w:t xml:space="preserve">Table </w:t>
      </w:r>
      <w:r w:rsidR="00563669">
        <w:fldChar w:fldCharType="begin"/>
      </w:r>
      <w:r w:rsidR="00563669">
        <w:instrText xml:space="preserve"> SEQ Table \* ARABIC </w:instrText>
      </w:r>
      <w:r w:rsidR="00563669">
        <w:fldChar w:fldCharType="separate"/>
      </w:r>
      <w:r w:rsidR="00F5794B">
        <w:rPr>
          <w:noProof/>
        </w:rPr>
        <w:t>1</w:t>
      </w:r>
      <w:r w:rsidR="00563669">
        <w:rPr>
          <w:noProof/>
        </w:rPr>
        <w:fldChar w:fldCharType="end"/>
      </w:r>
      <w:r>
        <w:t>: Measure Summary Table</w:t>
      </w:r>
    </w:p>
    <w:tbl>
      <w:tblPr>
        <w:tblStyle w:val="TableGrid"/>
        <w:tblW w:w="0" w:type="auto"/>
        <w:tblLook w:val="04A0" w:firstRow="1" w:lastRow="0" w:firstColumn="1" w:lastColumn="0" w:noHBand="0" w:noVBand="1"/>
      </w:tblPr>
      <w:tblGrid>
        <w:gridCol w:w="2553"/>
        <w:gridCol w:w="6797"/>
      </w:tblGrid>
      <w:tr w:rsidR="00736DEF" w14:paraId="6F2481B4" w14:textId="77777777" w:rsidTr="00017E7E">
        <w:trPr>
          <w:cantSplit/>
          <w:tblHeader/>
        </w:trPr>
        <w:tc>
          <w:tcPr>
            <w:tcW w:w="2628" w:type="dxa"/>
          </w:tcPr>
          <w:p w14:paraId="396903BE" w14:textId="77777777" w:rsidR="00736DEF" w:rsidRPr="00D86243" w:rsidRDefault="00736DEF" w:rsidP="00D86243">
            <w:pPr>
              <w:jc w:val="center"/>
              <w:rPr>
                <w:b/>
              </w:rPr>
            </w:pPr>
            <w:r w:rsidRPr="00D86243">
              <w:rPr>
                <w:b/>
              </w:rPr>
              <w:t>Section</w:t>
            </w:r>
          </w:p>
        </w:tc>
        <w:tc>
          <w:tcPr>
            <w:tcW w:w="6948" w:type="dxa"/>
          </w:tcPr>
          <w:p w14:paraId="0CC14FF1" w14:textId="77777777" w:rsidR="00736DEF" w:rsidRPr="00D86243" w:rsidRDefault="00736DEF" w:rsidP="00D86243">
            <w:pPr>
              <w:jc w:val="center"/>
              <w:rPr>
                <w:b/>
              </w:rPr>
            </w:pPr>
            <w:r w:rsidRPr="00D86243">
              <w:rPr>
                <w:b/>
              </w:rPr>
              <w:t>Value</w:t>
            </w:r>
          </w:p>
        </w:tc>
      </w:tr>
      <w:tr w:rsidR="00282C54" w14:paraId="48937152" w14:textId="77777777" w:rsidTr="00017E7E">
        <w:trPr>
          <w:cantSplit/>
        </w:trPr>
        <w:tc>
          <w:tcPr>
            <w:tcW w:w="2628" w:type="dxa"/>
            <w:vAlign w:val="center"/>
          </w:tcPr>
          <w:p w14:paraId="6690B639" w14:textId="77777777" w:rsidR="00282C54" w:rsidRPr="001D77F7" w:rsidRDefault="00282C54" w:rsidP="001D77F7">
            <w:pPr>
              <w:rPr>
                <w:b/>
              </w:rPr>
            </w:pPr>
            <w:r>
              <w:rPr>
                <w:b/>
              </w:rPr>
              <w:t>Summary &amp; Purpose</w:t>
            </w:r>
          </w:p>
        </w:tc>
        <w:tc>
          <w:tcPr>
            <w:tcW w:w="6948" w:type="dxa"/>
          </w:tcPr>
          <w:p w14:paraId="58AB8ED5" w14:textId="46D2FC7A" w:rsidR="00282C54" w:rsidRPr="00D86243" w:rsidRDefault="00152BB8" w:rsidP="00152BB8">
            <w:pPr>
              <w:rPr>
                <w:rFonts w:cs="Arial"/>
                <w:sz w:val="20"/>
                <w:szCs w:val="20"/>
              </w:rPr>
            </w:pPr>
            <w:r w:rsidRPr="00152BB8">
              <w:rPr>
                <w:rFonts w:cs="Arial"/>
                <w:sz w:val="20"/>
                <w:szCs w:val="20"/>
              </w:rPr>
              <w:t xml:space="preserve">This work paper documents the values adopted from SCE’s workpaper entitled “Residential </w:t>
            </w:r>
            <w:r>
              <w:rPr>
                <w:rFonts w:cs="Arial"/>
                <w:sz w:val="20"/>
                <w:szCs w:val="20"/>
              </w:rPr>
              <w:t>Smart Communicating Thermostat” (</w:t>
            </w:r>
            <w:r w:rsidRPr="00152BB8">
              <w:rPr>
                <w:rFonts w:cs="Arial"/>
                <w:sz w:val="20"/>
                <w:szCs w:val="20"/>
              </w:rPr>
              <w:t xml:space="preserve">SCE17HC054 Rev 0). </w:t>
            </w:r>
            <w:r>
              <w:rPr>
                <w:rFonts w:cs="Arial"/>
                <w:sz w:val="20"/>
                <w:szCs w:val="20"/>
              </w:rPr>
              <w:t>SDG&amp;E adopts their workpaper having no changes</w:t>
            </w:r>
            <w:r w:rsidRPr="00152BB8">
              <w:rPr>
                <w:rFonts w:cs="Arial"/>
                <w:sz w:val="20"/>
                <w:szCs w:val="20"/>
              </w:rPr>
              <w:t xml:space="preserve"> from the original SCE workpaper.</w:t>
            </w:r>
            <w:r w:rsidR="007A2886">
              <w:rPr>
                <w:rFonts w:cs="Arial"/>
                <w:sz w:val="20"/>
                <w:szCs w:val="20"/>
              </w:rPr>
              <w:t xml:space="preserve">   </w:t>
            </w:r>
          </w:p>
        </w:tc>
      </w:tr>
      <w:tr w:rsidR="00736DEF" w14:paraId="7C6A2F82" w14:textId="77777777" w:rsidTr="00017E7E">
        <w:trPr>
          <w:cantSplit/>
        </w:trPr>
        <w:tc>
          <w:tcPr>
            <w:tcW w:w="2628" w:type="dxa"/>
            <w:vAlign w:val="center"/>
          </w:tcPr>
          <w:p w14:paraId="5B6F3EDD" w14:textId="77777777" w:rsidR="00736DEF" w:rsidRPr="001D77F7" w:rsidRDefault="00736DEF" w:rsidP="001D77F7">
            <w:pPr>
              <w:rPr>
                <w:b/>
              </w:rPr>
            </w:pPr>
            <w:r w:rsidRPr="001D77F7">
              <w:rPr>
                <w:b/>
              </w:rPr>
              <w:lastRenderedPageBreak/>
              <w:t>1.1 Measure &amp; Baseline Data</w:t>
            </w:r>
          </w:p>
        </w:tc>
        <w:tc>
          <w:tcPr>
            <w:tcW w:w="6948" w:type="dxa"/>
          </w:tcPr>
          <w:p w14:paraId="29D4A164" w14:textId="1F08693F" w:rsidR="00152BB8" w:rsidRPr="00152BB8" w:rsidRDefault="00152BB8" w:rsidP="00152BB8">
            <w:pPr>
              <w:rPr>
                <w:rFonts w:cs="Arial"/>
                <w:sz w:val="20"/>
                <w:szCs w:val="20"/>
              </w:rPr>
            </w:pPr>
            <w:r w:rsidRPr="00152BB8">
              <w:rPr>
                <w:rFonts w:cs="Arial"/>
                <w:sz w:val="20"/>
                <w:szCs w:val="20"/>
              </w:rPr>
              <w:t>This</w:t>
            </w:r>
            <w:r>
              <w:rPr>
                <w:rFonts w:cs="Arial"/>
                <w:sz w:val="20"/>
                <w:szCs w:val="20"/>
              </w:rPr>
              <w:t xml:space="preserve"> short form workpaper summarizes</w:t>
            </w:r>
            <w:r w:rsidRPr="00152BB8">
              <w:rPr>
                <w:rFonts w:cs="Arial"/>
                <w:sz w:val="20"/>
                <w:szCs w:val="20"/>
              </w:rPr>
              <w:t xml:space="preserve"> the installation of a Residential Smart Thermostat. This measure characterizes the household heating and cooling energy savings from the inst</w:t>
            </w:r>
            <w:r>
              <w:rPr>
                <w:rFonts w:cs="Arial"/>
                <w:sz w:val="20"/>
                <w:szCs w:val="20"/>
              </w:rPr>
              <w:t xml:space="preserve">allation of a Smart Thermostat.  </w:t>
            </w:r>
            <w:r w:rsidRPr="00152BB8">
              <w:rPr>
                <w:rFonts w:cs="Arial"/>
                <w:sz w:val="20"/>
                <w:szCs w:val="20"/>
              </w:rPr>
              <w:t>Smart Thermostats reduce energy consumption using a combination of features described in Section 1.2 Technical Description.</w:t>
            </w:r>
          </w:p>
          <w:p w14:paraId="5D40405C" w14:textId="77777777" w:rsidR="00152BB8" w:rsidRPr="00152BB8" w:rsidRDefault="00152BB8" w:rsidP="00152BB8">
            <w:pPr>
              <w:rPr>
                <w:rFonts w:cs="Arial"/>
                <w:sz w:val="20"/>
                <w:szCs w:val="20"/>
              </w:rPr>
            </w:pPr>
          </w:p>
          <w:p w14:paraId="04F1EAC2" w14:textId="3C7ED435" w:rsidR="00152BB8" w:rsidRDefault="00152BB8" w:rsidP="00152BB8">
            <w:pPr>
              <w:rPr>
                <w:rFonts w:cs="Arial"/>
                <w:sz w:val="20"/>
                <w:szCs w:val="20"/>
              </w:rPr>
            </w:pPr>
            <w:r w:rsidRPr="00152BB8">
              <w:rPr>
                <w:rFonts w:cs="Arial"/>
                <w:sz w:val="20"/>
                <w:szCs w:val="20"/>
              </w:rPr>
              <w:t>The calculation approach utilized in this</w:t>
            </w:r>
            <w:r>
              <w:rPr>
                <w:rFonts w:cs="Arial"/>
                <w:sz w:val="20"/>
                <w:szCs w:val="20"/>
              </w:rPr>
              <w:t xml:space="preserve"> short form</w:t>
            </w:r>
            <w:r w:rsidRPr="00152BB8">
              <w:rPr>
                <w:rFonts w:cs="Arial"/>
                <w:sz w:val="20"/>
                <w:szCs w:val="20"/>
              </w:rPr>
              <w:t xml:space="preserve"> workpaper ensures the range in energy savings (both increases and decreases) associated with smart thermostat installations are captured and studied in the analysis and therefore the results create the average net savings by climate zone.</w:t>
            </w:r>
          </w:p>
          <w:p w14:paraId="689FC367" w14:textId="7C1BCBBA" w:rsidR="00152BB8" w:rsidRDefault="00152BB8" w:rsidP="00152BB8">
            <w:pPr>
              <w:rPr>
                <w:rFonts w:cs="Arial"/>
                <w:sz w:val="20"/>
                <w:szCs w:val="20"/>
              </w:rPr>
            </w:pPr>
          </w:p>
          <w:p w14:paraId="382B5275" w14:textId="77777777" w:rsidR="00152BB8" w:rsidRPr="00152BB8" w:rsidRDefault="00152BB8" w:rsidP="00152BB8">
            <w:pPr>
              <w:rPr>
                <w:rFonts w:cs="Arial"/>
                <w:sz w:val="20"/>
                <w:szCs w:val="20"/>
              </w:rPr>
            </w:pPr>
            <w:r w:rsidRPr="00152BB8">
              <w:rPr>
                <w:rFonts w:cs="Arial"/>
                <w:b/>
                <w:sz w:val="20"/>
                <w:szCs w:val="20"/>
              </w:rPr>
              <w:t>General Eligibility Requirements</w:t>
            </w:r>
            <w:r w:rsidRPr="00152BB8">
              <w:rPr>
                <w:rFonts w:cs="Arial"/>
                <w:sz w:val="20"/>
                <w:szCs w:val="20"/>
                <w:vertAlign w:val="superscript"/>
              </w:rPr>
              <w:footnoteReference w:id="1"/>
            </w:r>
          </w:p>
          <w:p w14:paraId="7107212D" w14:textId="77777777" w:rsidR="00152BB8" w:rsidRPr="00152BB8" w:rsidRDefault="00152BB8" w:rsidP="00152BB8">
            <w:pPr>
              <w:numPr>
                <w:ilvl w:val="0"/>
                <w:numId w:val="23"/>
              </w:numPr>
              <w:rPr>
                <w:rFonts w:cs="Arial"/>
                <w:sz w:val="20"/>
                <w:szCs w:val="20"/>
              </w:rPr>
            </w:pPr>
            <w:r w:rsidRPr="00152BB8">
              <w:rPr>
                <w:rFonts w:cs="Arial"/>
                <w:sz w:val="20"/>
                <w:szCs w:val="20"/>
              </w:rPr>
              <w:t>PA shall employ QA/QC procedures to ensure that the thermostat is installed in an eligible home and is attached to the type of HVAC equipment that is being incentivized, whether it is for natural gas or electricity savings.</w:t>
            </w:r>
          </w:p>
          <w:p w14:paraId="3990B0E9" w14:textId="77777777" w:rsidR="00152BB8" w:rsidRPr="00152BB8" w:rsidRDefault="00152BB8" w:rsidP="00152BB8">
            <w:pPr>
              <w:numPr>
                <w:ilvl w:val="0"/>
                <w:numId w:val="23"/>
              </w:numPr>
              <w:rPr>
                <w:rFonts w:cs="Arial"/>
                <w:sz w:val="20"/>
                <w:szCs w:val="20"/>
              </w:rPr>
            </w:pPr>
            <w:r w:rsidRPr="00152BB8">
              <w:rPr>
                <w:rFonts w:cs="Arial"/>
                <w:sz w:val="20"/>
                <w:szCs w:val="20"/>
              </w:rPr>
              <w:t>PA shall confirm that the customer has a newly purchased smart thermostat.  At minimum, the PA shall obtain a copy of the thermostat sales receipt and the PA shall confirm the purchase date is on or after the program’s start date.</w:t>
            </w:r>
          </w:p>
          <w:p w14:paraId="7EDFB455" w14:textId="7B639D82" w:rsidR="00152BB8" w:rsidRPr="00152BB8" w:rsidRDefault="00152BB8" w:rsidP="00152BB8">
            <w:pPr>
              <w:numPr>
                <w:ilvl w:val="0"/>
                <w:numId w:val="23"/>
              </w:numPr>
              <w:rPr>
                <w:rFonts w:cs="Arial"/>
                <w:b/>
                <w:sz w:val="20"/>
                <w:szCs w:val="20"/>
              </w:rPr>
            </w:pPr>
            <w:r w:rsidRPr="00152BB8">
              <w:rPr>
                <w:rFonts w:cs="Arial"/>
                <w:sz w:val="20"/>
                <w:szCs w:val="20"/>
              </w:rPr>
              <w:t>Customer eligibility shall be determined by each PA prior to paying rebates.  Upon request, all data associated with determining eligibility shall be provided to Energy Division.  PAs shall extend this requirement to any third party vendors in who assist PAs with determining customer eligibility.  To the extent that they are used to determine eligibility, data regarding dates of purchase, location of home, customer HVAC equipment type, pre-installation HVAC energy use, and etcetera shall be made available.</w:t>
            </w:r>
          </w:p>
          <w:p w14:paraId="379E6DA7" w14:textId="77777777" w:rsidR="00152BB8" w:rsidRPr="00152BB8" w:rsidRDefault="00152BB8" w:rsidP="00152BB8">
            <w:pPr>
              <w:ind w:left="720"/>
              <w:rPr>
                <w:rFonts w:cs="Arial"/>
                <w:b/>
                <w:sz w:val="20"/>
                <w:szCs w:val="20"/>
              </w:rPr>
            </w:pPr>
          </w:p>
          <w:p w14:paraId="67160AFA" w14:textId="77777777" w:rsidR="00152BB8" w:rsidRPr="00152BB8" w:rsidRDefault="00152BB8" w:rsidP="00152BB8">
            <w:pPr>
              <w:rPr>
                <w:rFonts w:cs="Arial"/>
                <w:sz w:val="20"/>
                <w:szCs w:val="20"/>
              </w:rPr>
            </w:pPr>
            <w:r w:rsidRPr="00152BB8">
              <w:rPr>
                <w:rFonts w:cs="Arial"/>
                <w:b/>
                <w:sz w:val="20"/>
                <w:szCs w:val="20"/>
              </w:rPr>
              <w:t>Device Eligibility Requirements</w:t>
            </w:r>
            <w:r w:rsidRPr="00152BB8">
              <w:rPr>
                <w:rFonts w:cs="Arial"/>
                <w:sz w:val="20"/>
                <w:szCs w:val="20"/>
              </w:rPr>
              <w:t>:</w:t>
            </w:r>
          </w:p>
          <w:p w14:paraId="53AFFA73" w14:textId="77777777" w:rsidR="00152BB8" w:rsidRPr="00152BB8" w:rsidRDefault="00152BB8" w:rsidP="00152BB8">
            <w:pPr>
              <w:numPr>
                <w:ilvl w:val="0"/>
                <w:numId w:val="21"/>
              </w:numPr>
              <w:rPr>
                <w:rFonts w:cs="Arial"/>
                <w:sz w:val="20"/>
                <w:szCs w:val="20"/>
              </w:rPr>
            </w:pPr>
            <w:r w:rsidRPr="00152BB8">
              <w:rPr>
                <w:rFonts w:cs="Arial"/>
                <w:sz w:val="20"/>
                <w:szCs w:val="20"/>
              </w:rPr>
              <w:t>A qualified Wi-Fi thermostat per guidelines described below in Section 1.2</w:t>
            </w:r>
          </w:p>
          <w:p w14:paraId="2128019E" w14:textId="77777777" w:rsidR="00152BB8" w:rsidRPr="00152BB8" w:rsidRDefault="00152BB8" w:rsidP="00152BB8">
            <w:pPr>
              <w:rPr>
                <w:rFonts w:cs="Arial"/>
                <w:sz w:val="20"/>
                <w:szCs w:val="20"/>
              </w:rPr>
            </w:pPr>
          </w:p>
          <w:p w14:paraId="16D2DD32" w14:textId="77777777" w:rsidR="00152BB8" w:rsidRPr="00152BB8" w:rsidRDefault="00152BB8" w:rsidP="00152BB8">
            <w:pPr>
              <w:rPr>
                <w:rFonts w:cs="Arial"/>
                <w:sz w:val="20"/>
                <w:szCs w:val="20"/>
              </w:rPr>
            </w:pPr>
            <w:r w:rsidRPr="00152BB8">
              <w:rPr>
                <w:rFonts w:cs="Arial"/>
                <w:b/>
                <w:sz w:val="20"/>
                <w:szCs w:val="20"/>
              </w:rPr>
              <w:t>Customer Eligibility Requirements:</w:t>
            </w:r>
          </w:p>
          <w:p w14:paraId="327C95FD" w14:textId="77777777" w:rsidR="00152BB8" w:rsidRPr="00152BB8" w:rsidRDefault="00152BB8" w:rsidP="00152BB8">
            <w:pPr>
              <w:numPr>
                <w:ilvl w:val="0"/>
                <w:numId w:val="22"/>
              </w:numPr>
              <w:rPr>
                <w:rFonts w:cs="Arial"/>
                <w:sz w:val="20"/>
                <w:szCs w:val="20"/>
              </w:rPr>
            </w:pPr>
            <w:r w:rsidRPr="00152BB8">
              <w:rPr>
                <w:rFonts w:cs="Arial"/>
                <w:sz w:val="20"/>
                <w:szCs w:val="20"/>
              </w:rPr>
              <w:t>Customer segment: residential</w:t>
            </w:r>
          </w:p>
          <w:p w14:paraId="7092E80B" w14:textId="77777777" w:rsidR="00152BB8" w:rsidRPr="00152BB8" w:rsidRDefault="00152BB8" w:rsidP="00152BB8">
            <w:pPr>
              <w:numPr>
                <w:ilvl w:val="0"/>
                <w:numId w:val="22"/>
              </w:numPr>
              <w:rPr>
                <w:rFonts w:cs="Arial"/>
                <w:sz w:val="20"/>
                <w:szCs w:val="20"/>
              </w:rPr>
            </w:pPr>
            <w:r w:rsidRPr="00152BB8">
              <w:rPr>
                <w:rFonts w:cs="Arial"/>
                <w:sz w:val="20"/>
                <w:szCs w:val="20"/>
              </w:rPr>
              <w:t>Must use the thermostat to control heating and/or cooling equipment supplied by fuels provided by the utility paying the end-customer incentive</w:t>
            </w:r>
          </w:p>
          <w:p w14:paraId="4EDCE5BB" w14:textId="77777777" w:rsidR="00152BB8" w:rsidRPr="00152BB8" w:rsidRDefault="00152BB8" w:rsidP="00152BB8">
            <w:pPr>
              <w:numPr>
                <w:ilvl w:val="1"/>
                <w:numId w:val="22"/>
              </w:numPr>
              <w:rPr>
                <w:rFonts w:cs="Arial"/>
                <w:sz w:val="20"/>
                <w:szCs w:val="20"/>
              </w:rPr>
            </w:pPr>
            <w:r w:rsidRPr="00152BB8">
              <w:rPr>
                <w:rFonts w:cs="Arial"/>
                <w:sz w:val="20"/>
                <w:szCs w:val="20"/>
              </w:rPr>
              <w:t>For single-fuel utilities (or dual-fuel utilities in a portion of their service area where they only supply one fuel), only savings for the applicable delivered fuel may be claimed</w:t>
            </w:r>
          </w:p>
          <w:p w14:paraId="0B661AF7" w14:textId="77777777" w:rsidR="00152BB8" w:rsidRPr="00152BB8" w:rsidRDefault="00152BB8" w:rsidP="00152BB8">
            <w:pPr>
              <w:numPr>
                <w:ilvl w:val="1"/>
                <w:numId w:val="22"/>
              </w:numPr>
              <w:rPr>
                <w:rFonts w:cs="Arial"/>
                <w:sz w:val="20"/>
                <w:szCs w:val="20"/>
              </w:rPr>
            </w:pPr>
            <w:r w:rsidRPr="00152BB8">
              <w:rPr>
                <w:rFonts w:cs="Arial"/>
                <w:sz w:val="20"/>
                <w:szCs w:val="20"/>
              </w:rPr>
              <w:t>Eligible heating equipment: gas forced-air furnace, electric forced-air furnace, heat pump</w:t>
            </w:r>
          </w:p>
          <w:p w14:paraId="67253C03" w14:textId="77777777" w:rsidR="00152BB8" w:rsidRPr="00152BB8" w:rsidRDefault="00152BB8" w:rsidP="00152BB8">
            <w:pPr>
              <w:numPr>
                <w:ilvl w:val="1"/>
                <w:numId w:val="22"/>
              </w:numPr>
              <w:rPr>
                <w:rFonts w:cs="Arial"/>
                <w:sz w:val="20"/>
                <w:szCs w:val="20"/>
              </w:rPr>
            </w:pPr>
            <w:r w:rsidRPr="00152BB8">
              <w:rPr>
                <w:rFonts w:cs="Arial"/>
                <w:sz w:val="20"/>
                <w:szCs w:val="20"/>
              </w:rPr>
              <w:t>Eligible cooling equipment: central air conditioning</w:t>
            </w:r>
          </w:p>
          <w:p w14:paraId="516388D1" w14:textId="77777777" w:rsidR="00152BB8" w:rsidRPr="00152BB8" w:rsidRDefault="00152BB8" w:rsidP="00152BB8">
            <w:pPr>
              <w:rPr>
                <w:rFonts w:cs="Arial"/>
                <w:sz w:val="20"/>
                <w:szCs w:val="20"/>
              </w:rPr>
            </w:pPr>
          </w:p>
          <w:p w14:paraId="55CB8996" w14:textId="35200E62" w:rsidR="00736DEF" w:rsidRDefault="00736DEF" w:rsidP="00DD4B93"/>
        </w:tc>
      </w:tr>
      <w:tr w:rsidR="00152BB8" w14:paraId="669280CA" w14:textId="77777777" w:rsidTr="00017E7E">
        <w:trPr>
          <w:cantSplit/>
        </w:trPr>
        <w:tc>
          <w:tcPr>
            <w:tcW w:w="2628" w:type="dxa"/>
            <w:vAlign w:val="center"/>
          </w:tcPr>
          <w:p w14:paraId="3DC994AA" w14:textId="4BF92493" w:rsidR="00152BB8" w:rsidRPr="001D77F7" w:rsidRDefault="00152BB8" w:rsidP="001D77F7">
            <w:pPr>
              <w:rPr>
                <w:b/>
              </w:rPr>
            </w:pPr>
            <w:r w:rsidRPr="00152BB8">
              <w:rPr>
                <w:b/>
              </w:rPr>
              <w:lastRenderedPageBreak/>
              <w:t>1.1 Measure &amp; Baseline Data</w:t>
            </w:r>
            <w:r>
              <w:rPr>
                <w:b/>
              </w:rPr>
              <w:t xml:space="preserve"> (cont.)</w:t>
            </w:r>
          </w:p>
        </w:tc>
        <w:tc>
          <w:tcPr>
            <w:tcW w:w="6948" w:type="dxa"/>
          </w:tcPr>
          <w:p w14:paraId="22A2FDE1" w14:textId="77777777" w:rsidR="00152BB8" w:rsidRPr="00152BB8" w:rsidRDefault="00152BB8" w:rsidP="00152BB8">
            <w:pPr>
              <w:rPr>
                <w:sz w:val="20"/>
                <w:szCs w:val="20"/>
              </w:rPr>
            </w:pPr>
            <w:r w:rsidRPr="00152BB8">
              <w:rPr>
                <w:b/>
                <w:sz w:val="20"/>
                <w:szCs w:val="20"/>
              </w:rPr>
              <w:t>Program Design Options:</w:t>
            </w:r>
          </w:p>
          <w:p w14:paraId="61F2631F" w14:textId="77777777" w:rsidR="00152BB8" w:rsidRPr="00152BB8" w:rsidRDefault="00152BB8" w:rsidP="00152BB8">
            <w:pPr>
              <w:numPr>
                <w:ilvl w:val="0"/>
                <w:numId w:val="24"/>
              </w:numPr>
              <w:rPr>
                <w:b/>
                <w:sz w:val="20"/>
                <w:szCs w:val="20"/>
              </w:rPr>
            </w:pPr>
            <w:r w:rsidRPr="00152BB8">
              <w:rPr>
                <w:b/>
                <w:sz w:val="20"/>
                <w:szCs w:val="20"/>
              </w:rPr>
              <w:t xml:space="preserve">Downstream energy efficiency rebate (no demand response): </w:t>
            </w:r>
          </w:p>
          <w:p w14:paraId="2AD199EB" w14:textId="77777777" w:rsidR="00152BB8" w:rsidRPr="00152BB8" w:rsidRDefault="00152BB8" w:rsidP="00152BB8">
            <w:pPr>
              <w:numPr>
                <w:ilvl w:val="1"/>
                <w:numId w:val="24"/>
              </w:numPr>
              <w:rPr>
                <w:sz w:val="20"/>
                <w:szCs w:val="20"/>
              </w:rPr>
            </w:pPr>
            <w:r w:rsidRPr="00152BB8">
              <w:rPr>
                <w:sz w:val="20"/>
                <w:szCs w:val="20"/>
              </w:rPr>
              <w:t xml:space="preserve">Customer must purchase and install a qualifying product in order to receive an energy efficiency (EE) rebate </w:t>
            </w:r>
          </w:p>
          <w:p w14:paraId="460A974D" w14:textId="77777777" w:rsidR="00152BB8" w:rsidRPr="00152BB8" w:rsidRDefault="00152BB8" w:rsidP="00152BB8">
            <w:pPr>
              <w:numPr>
                <w:ilvl w:val="1"/>
                <w:numId w:val="24"/>
              </w:numPr>
              <w:rPr>
                <w:sz w:val="20"/>
                <w:szCs w:val="20"/>
              </w:rPr>
            </w:pPr>
            <w:r w:rsidRPr="00152BB8">
              <w:rPr>
                <w:sz w:val="20"/>
                <w:szCs w:val="20"/>
              </w:rPr>
              <w:t>Customer who purchase qualifying equipment, but choose not to join a demand response (DR) program, can still receive a rebate.</w:t>
            </w:r>
          </w:p>
          <w:p w14:paraId="1F5B3107" w14:textId="77777777" w:rsidR="00152BB8" w:rsidRPr="00152BB8" w:rsidRDefault="00152BB8" w:rsidP="00152BB8">
            <w:pPr>
              <w:numPr>
                <w:ilvl w:val="1"/>
                <w:numId w:val="24"/>
              </w:numPr>
              <w:rPr>
                <w:sz w:val="20"/>
                <w:szCs w:val="20"/>
              </w:rPr>
            </w:pPr>
            <w:r w:rsidRPr="00152BB8">
              <w:rPr>
                <w:i/>
                <w:sz w:val="20"/>
                <w:szCs w:val="20"/>
              </w:rPr>
              <w:t xml:space="preserve">Applicable utilities:  SDG&amp;E, SCE, SoCal Gas and PG&amp;E. </w:t>
            </w:r>
          </w:p>
          <w:p w14:paraId="08749B09" w14:textId="77777777" w:rsidR="00152BB8" w:rsidRPr="00152BB8" w:rsidRDefault="00152BB8" w:rsidP="00152BB8">
            <w:pPr>
              <w:rPr>
                <w:sz w:val="20"/>
                <w:szCs w:val="20"/>
              </w:rPr>
            </w:pPr>
          </w:p>
          <w:p w14:paraId="7C6C524D" w14:textId="77777777" w:rsidR="00152BB8" w:rsidRPr="00152BB8" w:rsidRDefault="00152BB8" w:rsidP="00152BB8">
            <w:pPr>
              <w:numPr>
                <w:ilvl w:val="0"/>
                <w:numId w:val="24"/>
              </w:numPr>
              <w:rPr>
                <w:b/>
                <w:sz w:val="20"/>
                <w:szCs w:val="20"/>
              </w:rPr>
            </w:pPr>
            <w:r w:rsidRPr="00152BB8">
              <w:rPr>
                <w:b/>
                <w:sz w:val="20"/>
                <w:szCs w:val="20"/>
              </w:rPr>
              <w:t xml:space="preserve">Downstream energy efficiency rebate with Demand Response rebate (or incentive) to encourage IDSM: </w:t>
            </w:r>
          </w:p>
          <w:p w14:paraId="629E505A" w14:textId="77777777" w:rsidR="00152BB8" w:rsidRPr="00152BB8" w:rsidRDefault="00152BB8" w:rsidP="00152BB8">
            <w:pPr>
              <w:numPr>
                <w:ilvl w:val="1"/>
                <w:numId w:val="24"/>
              </w:numPr>
              <w:rPr>
                <w:sz w:val="20"/>
                <w:szCs w:val="20"/>
              </w:rPr>
            </w:pPr>
            <w:r w:rsidRPr="00152BB8">
              <w:rPr>
                <w:sz w:val="20"/>
                <w:szCs w:val="20"/>
              </w:rPr>
              <w:t xml:space="preserve">Customer must purchase and install a qualifying product in order to receive the energy efficiency (EE) rebate </w:t>
            </w:r>
          </w:p>
          <w:p w14:paraId="6E7D7A9D" w14:textId="77777777" w:rsidR="00152BB8" w:rsidRPr="00152BB8" w:rsidRDefault="00152BB8" w:rsidP="00152BB8">
            <w:pPr>
              <w:numPr>
                <w:ilvl w:val="1"/>
                <w:numId w:val="24"/>
              </w:numPr>
              <w:rPr>
                <w:sz w:val="20"/>
                <w:szCs w:val="20"/>
              </w:rPr>
            </w:pPr>
            <w:r w:rsidRPr="00152BB8">
              <w:rPr>
                <w:sz w:val="20"/>
                <w:szCs w:val="20"/>
              </w:rPr>
              <w:t xml:space="preserve">Additional Demand Response (DR) rebate or incentive can be provided to the customer if they choose to enroll in a DR program after installing their new device. </w:t>
            </w:r>
          </w:p>
          <w:p w14:paraId="5ED5C4C8" w14:textId="7C31BAE8" w:rsidR="00152BB8" w:rsidRDefault="00152BB8" w:rsidP="00152BB8">
            <w:pPr>
              <w:numPr>
                <w:ilvl w:val="1"/>
                <w:numId w:val="24"/>
              </w:numPr>
              <w:rPr>
                <w:sz w:val="20"/>
                <w:szCs w:val="20"/>
              </w:rPr>
            </w:pPr>
            <w:r w:rsidRPr="00152BB8">
              <w:rPr>
                <w:sz w:val="20"/>
                <w:szCs w:val="20"/>
              </w:rPr>
              <w:t>Some customers will only redeem the EE rebate. A portion of customers will redeem both the EE and DR.</w:t>
            </w:r>
          </w:p>
          <w:p w14:paraId="1ADC4F98" w14:textId="77777777" w:rsidR="00152BB8" w:rsidRPr="00152BB8" w:rsidRDefault="00152BB8" w:rsidP="00152BB8">
            <w:pPr>
              <w:ind w:left="2520"/>
              <w:rPr>
                <w:sz w:val="20"/>
                <w:szCs w:val="20"/>
              </w:rPr>
            </w:pPr>
          </w:p>
          <w:p w14:paraId="79590144" w14:textId="49EB0E4A" w:rsidR="00152BB8" w:rsidRDefault="00152BB8" w:rsidP="00152BB8">
            <w:pPr>
              <w:rPr>
                <w:sz w:val="20"/>
                <w:szCs w:val="20"/>
              </w:rPr>
            </w:pPr>
            <w:r w:rsidRPr="00152BB8">
              <w:rPr>
                <w:i/>
                <w:sz w:val="20"/>
                <w:szCs w:val="20"/>
              </w:rPr>
              <w:t>Applicable utilities:  SDG&amp;E, SCE, SoCal Gas and PG&amp;E.</w:t>
            </w:r>
          </w:p>
        </w:tc>
      </w:tr>
      <w:tr w:rsidR="00736DEF" w14:paraId="36CA0919" w14:textId="77777777" w:rsidTr="00017E7E">
        <w:trPr>
          <w:cantSplit/>
        </w:trPr>
        <w:tc>
          <w:tcPr>
            <w:tcW w:w="2628" w:type="dxa"/>
            <w:vAlign w:val="center"/>
          </w:tcPr>
          <w:p w14:paraId="10AD7D46" w14:textId="77777777" w:rsidR="00736DEF" w:rsidRPr="001D77F7" w:rsidRDefault="00736DEF" w:rsidP="001D77F7">
            <w:pPr>
              <w:rPr>
                <w:b/>
              </w:rPr>
            </w:pPr>
            <w:r w:rsidRPr="001D77F7">
              <w:rPr>
                <w:b/>
              </w:rPr>
              <w:lastRenderedPageBreak/>
              <w:t xml:space="preserve">1.2 Technical Description </w:t>
            </w:r>
          </w:p>
        </w:tc>
        <w:tc>
          <w:tcPr>
            <w:tcW w:w="6948" w:type="dxa"/>
          </w:tcPr>
          <w:p w14:paraId="1A414C51" w14:textId="77777777" w:rsidR="00152BB8" w:rsidRPr="00152BB8" w:rsidRDefault="00152BB8" w:rsidP="00152BB8">
            <w:pPr>
              <w:rPr>
                <w:sz w:val="20"/>
                <w:szCs w:val="20"/>
              </w:rPr>
            </w:pPr>
            <w:r w:rsidRPr="00152BB8">
              <w:rPr>
                <w:sz w:val="20"/>
                <w:szCs w:val="20"/>
              </w:rPr>
              <w:t xml:space="preserve">A </w:t>
            </w:r>
            <w:r w:rsidRPr="00152BB8">
              <w:rPr>
                <w:b/>
                <w:sz w:val="20"/>
                <w:szCs w:val="20"/>
              </w:rPr>
              <w:t xml:space="preserve">Smart Thermostat </w:t>
            </w:r>
            <w:r w:rsidRPr="00152BB8">
              <w:rPr>
                <w:sz w:val="20"/>
                <w:szCs w:val="20"/>
              </w:rPr>
              <w:t>is a device that controls heating, ventilation, and air-conditioning (HVAC) equipment to regulate the temperature of the room or space in which it is installed, has the ability to make automated adjustments to the set point of the HVAC system to drive energy savings (electric and gas), and has the ability to communicate with sources external to the HVAC system. For connection, the Smart Thermostat may rely on a home area network (e.g. Wi-Fi) and an internet connection that is independent of the Smart Thermostat.</w:t>
            </w:r>
          </w:p>
          <w:p w14:paraId="3505C0B0" w14:textId="43A15000" w:rsidR="00152BB8" w:rsidRPr="00152BB8" w:rsidRDefault="00152BB8" w:rsidP="00D86243">
            <w:pPr>
              <w:rPr>
                <w:sz w:val="20"/>
                <w:szCs w:val="20"/>
              </w:rPr>
            </w:pPr>
          </w:p>
          <w:p w14:paraId="30FEECF1" w14:textId="077C8779" w:rsidR="00152BB8" w:rsidRPr="00152BB8" w:rsidRDefault="00152BB8" w:rsidP="00152BB8">
            <w:pPr>
              <w:rPr>
                <w:sz w:val="20"/>
                <w:szCs w:val="20"/>
              </w:rPr>
            </w:pPr>
            <w:r w:rsidRPr="00152BB8">
              <w:rPr>
                <w:sz w:val="20"/>
                <w:szCs w:val="20"/>
              </w:rPr>
              <w:t>Smart thermostats are enhanced by data gathering and analytics functionalities, which enables them to use a variety of methods to optimize HVAC settings for efficient and automated energy consumption. Specifically, a smart thermostat is defined as a thermostat that is compatible with the participant’s HVAC system, and has</w:t>
            </w:r>
          </w:p>
          <w:p w14:paraId="3ED4B1D1" w14:textId="77777777" w:rsidR="00152BB8" w:rsidRPr="00152BB8" w:rsidRDefault="00152BB8" w:rsidP="00152BB8">
            <w:pPr>
              <w:numPr>
                <w:ilvl w:val="0"/>
                <w:numId w:val="25"/>
              </w:numPr>
              <w:rPr>
                <w:sz w:val="20"/>
                <w:szCs w:val="20"/>
              </w:rPr>
            </w:pPr>
            <w:r w:rsidRPr="00152BB8">
              <w:rPr>
                <w:sz w:val="20"/>
                <w:szCs w:val="20"/>
              </w:rPr>
              <w:t>Two-way communication,</w:t>
            </w:r>
          </w:p>
          <w:p w14:paraId="00B677B8" w14:textId="60B7BCC3" w:rsidR="00152BB8" w:rsidRDefault="00152BB8" w:rsidP="00152BB8">
            <w:pPr>
              <w:numPr>
                <w:ilvl w:val="0"/>
                <w:numId w:val="26"/>
              </w:numPr>
              <w:rPr>
                <w:sz w:val="20"/>
                <w:szCs w:val="20"/>
              </w:rPr>
            </w:pPr>
            <w:r w:rsidRPr="00152BB8">
              <w:rPr>
                <w:sz w:val="20"/>
                <w:szCs w:val="20"/>
              </w:rPr>
              <w:t>Occupancy detectio</w:t>
            </w:r>
            <w:r>
              <w:rPr>
                <w:sz w:val="20"/>
                <w:szCs w:val="20"/>
              </w:rPr>
              <w:t xml:space="preserve">n (through the use of occupancy </w:t>
            </w:r>
            <w:r w:rsidRPr="00152BB8">
              <w:rPr>
                <w:sz w:val="20"/>
                <w:szCs w:val="20"/>
              </w:rPr>
              <w:t xml:space="preserve">sensors, </w:t>
            </w:r>
            <w:proofErr w:type="spellStart"/>
            <w:r w:rsidRPr="00152BB8">
              <w:rPr>
                <w:sz w:val="20"/>
                <w:szCs w:val="20"/>
              </w:rPr>
              <w:t>geofencing</w:t>
            </w:r>
            <w:proofErr w:type="spellEnd"/>
            <w:r w:rsidRPr="00152BB8">
              <w:rPr>
                <w:sz w:val="20"/>
                <w:szCs w:val="20"/>
              </w:rPr>
              <w:t>, etc.), and</w:t>
            </w:r>
            <w:r>
              <w:rPr>
                <w:sz w:val="20"/>
                <w:szCs w:val="20"/>
              </w:rPr>
              <w:t>;</w:t>
            </w:r>
          </w:p>
          <w:p w14:paraId="03D18160" w14:textId="77777777" w:rsidR="00152BB8" w:rsidRPr="00152BB8" w:rsidRDefault="00152BB8" w:rsidP="00152BB8">
            <w:pPr>
              <w:numPr>
                <w:ilvl w:val="0"/>
                <w:numId w:val="26"/>
              </w:numPr>
              <w:rPr>
                <w:sz w:val="20"/>
                <w:szCs w:val="20"/>
              </w:rPr>
            </w:pPr>
          </w:p>
          <w:p w14:paraId="1E86E38C" w14:textId="47E865B9" w:rsidR="00152BB8" w:rsidRPr="00152BB8" w:rsidRDefault="00152BB8" w:rsidP="00152BB8">
            <w:pPr>
              <w:rPr>
                <w:sz w:val="20"/>
                <w:szCs w:val="20"/>
              </w:rPr>
            </w:pPr>
            <w:r w:rsidRPr="00152BB8">
              <w:rPr>
                <w:sz w:val="20"/>
                <w:szCs w:val="20"/>
              </w:rPr>
              <w:t>At least two of the features in</w:t>
            </w:r>
            <w:r>
              <w:rPr>
                <w:sz w:val="20"/>
                <w:szCs w:val="20"/>
              </w:rPr>
              <w:t xml:space="preserve"> following:</w:t>
            </w:r>
          </w:p>
          <w:p w14:paraId="63D40F39" w14:textId="5958EC86" w:rsidR="00152BB8" w:rsidRPr="00152BB8" w:rsidRDefault="00152BB8" w:rsidP="00152BB8">
            <w:pPr>
              <w:rPr>
                <w:sz w:val="20"/>
                <w:szCs w:val="20"/>
              </w:rPr>
            </w:pPr>
          </w:p>
          <w:p w14:paraId="4376C352" w14:textId="6FE8EAC6" w:rsidR="00152BB8" w:rsidRPr="00152BB8" w:rsidRDefault="00152BB8" w:rsidP="00152BB8">
            <w:pPr>
              <w:pStyle w:val="ListParagraph"/>
              <w:numPr>
                <w:ilvl w:val="0"/>
                <w:numId w:val="27"/>
              </w:numPr>
              <w:rPr>
                <w:sz w:val="20"/>
                <w:szCs w:val="20"/>
              </w:rPr>
            </w:pPr>
            <w:r w:rsidRPr="00152BB8">
              <w:rPr>
                <w:b/>
                <w:sz w:val="20"/>
                <w:szCs w:val="20"/>
              </w:rPr>
              <w:t>Schedule learning</w:t>
            </w:r>
            <w:r w:rsidRPr="00152BB8">
              <w:rPr>
                <w:sz w:val="20"/>
                <w:szCs w:val="20"/>
              </w:rPr>
              <w:t xml:space="preserve"> - Thermostat learns occupant patterns with little to no effort from the customer.</w:t>
            </w:r>
          </w:p>
          <w:p w14:paraId="5583A8BC" w14:textId="72593EF9" w:rsidR="00152BB8" w:rsidRPr="00152BB8" w:rsidRDefault="00152BB8" w:rsidP="00152BB8">
            <w:pPr>
              <w:pStyle w:val="ListParagraph"/>
              <w:numPr>
                <w:ilvl w:val="0"/>
                <w:numId w:val="27"/>
              </w:numPr>
              <w:rPr>
                <w:sz w:val="20"/>
                <w:szCs w:val="20"/>
              </w:rPr>
            </w:pPr>
            <w:r w:rsidRPr="00152BB8">
              <w:rPr>
                <w:b/>
                <w:sz w:val="20"/>
                <w:szCs w:val="20"/>
              </w:rPr>
              <w:t>Heat pump auxiliary heat optimization</w:t>
            </w:r>
            <w:r w:rsidRPr="00152BB8">
              <w:rPr>
                <w:sz w:val="20"/>
                <w:szCs w:val="20"/>
              </w:rPr>
              <w:t xml:space="preserve"> - Thermostat optimizes the use of the refrigerant heating cycle in preference to auxiliary heat, while still enabling the home to achieve a comfortable set point.</w:t>
            </w:r>
          </w:p>
          <w:p w14:paraId="64D1D42F" w14:textId="435B5BEC" w:rsidR="00152BB8" w:rsidRPr="00152BB8" w:rsidRDefault="00152BB8" w:rsidP="00152BB8">
            <w:pPr>
              <w:pStyle w:val="ListParagraph"/>
              <w:numPr>
                <w:ilvl w:val="0"/>
                <w:numId w:val="27"/>
              </w:numPr>
              <w:rPr>
                <w:sz w:val="20"/>
                <w:szCs w:val="20"/>
              </w:rPr>
            </w:pPr>
            <w:r w:rsidRPr="00152BB8">
              <w:rPr>
                <w:b/>
                <w:sz w:val="20"/>
                <w:szCs w:val="20"/>
              </w:rPr>
              <w:t xml:space="preserve">Upstaging / </w:t>
            </w:r>
            <w:proofErr w:type="spellStart"/>
            <w:r w:rsidRPr="00152BB8">
              <w:rPr>
                <w:b/>
                <w:sz w:val="20"/>
                <w:szCs w:val="20"/>
              </w:rPr>
              <w:t>downstaging</w:t>
            </w:r>
            <w:proofErr w:type="spellEnd"/>
            <w:r w:rsidRPr="00152BB8">
              <w:rPr>
                <w:b/>
                <w:sz w:val="20"/>
                <w:szCs w:val="20"/>
              </w:rPr>
              <w:t xml:space="preserve"> optimization</w:t>
            </w:r>
            <w:r w:rsidRPr="00152BB8">
              <w:rPr>
                <w:sz w:val="20"/>
                <w:szCs w:val="20"/>
              </w:rPr>
              <w:t xml:space="preserve"> - Thermostat optimizes the use of the lowest and most efficient stage of heating or cooling in preference of the higher capacity stage, while still enabling the home to achieve a comfortable set point.</w:t>
            </w:r>
          </w:p>
          <w:p w14:paraId="22E252CA" w14:textId="6F3230DD" w:rsidR="00152BB8" w:rsidRPr="00152BB8" w:rsidRDefault="00152BB8" w:rsidP="00152BB8">
            <w:pPr>
              <w:pStyle w:val="ListParagraph"/>
              <w:numPr>
                <w:ilvl w:val="0"/>
                <w:numId w:val="27"/>
              </w:numPr>
              <w:rPr>
                <w:sz w:val="20"/>
                <w:szCs w:val="20"/>
              </w:rPr>
            </w:pPr>
            <w:r w:rsidRPr="00152BB8">
              <w:rPr>
                <w:b/>
                <w:sz w:val="20"/>
                <w:szCs w:val="20"/>
              </w:rPr>
              <w:t>Humidity control</w:t>
            </w:r>
            <w:r w:rsidRPr="00152BB8">
              <w:rPr>
                <w:sz w:val="20"/>
                <w:szCs w:val="20"/>
              </w:rPr>
              <w:t xml:space="preserve"> - Thermostat uses a humidity sensor to optimize HVAC operation.</w:t>
            </w:r>
          </w:p>
          <w:p w14:paraId="73898DBC" w14:textId="337F33B8" w:rsidR="00152BB8" w:rsidRPr="00152BB8" w:rsidRDefault="00152BB8" w:rsidP="00152BB8">
            <w:pPr>
              <w:pStyle w:val="ListParagraph"/>
              <w:numPr>
                <w:ilvl w:val="0"/>
                <w:numId w:val="27"/>
              </w:numPr>
              <w:rPr>
                <w:sz w:val="20"/>
                <w:szCs w:val="20"/>
              </w:rPr>
            </w:pPr>
            <w:r w:rsidRPr="00152BB8">
              <w:rPr>
                <w:b/>
                <w:sz w:val="20"/>
                <w:szCs w:val="20"/>
              </w:rPr>
              <w:t>Weather-enabled optimization</w:t>
            </w:r>
            <w:r w:rsidRPr="00152BB8">
              <w:rPr>
                <w:sz w:val="20"/>
                <w:szCs w:val="20"/>
              </w:rPr>
              <w:t xml:space="preserve"> - Thermostat uses weather predictions and weather data to optimize the HVAC system.</w:t>
            </w:r>
          </w:p>
          <w:p w14:paraId="31EFF03D" w14:textId="137EFC68" w:rsidR="00152BB8" w:rsidRPr="00152BB8" w:rsidRDefault="00152BB8" w:rsidP="00152BB8">
            <w:pPr>
              <w:pStyle w:val="ListParagraph"/>
              <w:numPr>
                <w:ilvl w:val="0"/>
                <w:numId w:val="27"/>
              </w:numPr>
              <w:rPr>
                <w:sz w:val="20"/>
                <w:szCs w:val="20"/>
              </w:rPr>
            </w:pPr>
            <w:r w:rsidRPr="00152BB8">
              <w:rPr>
                <w:b/>
                <w:sz w:val="20"/>
                <w:szCs w:val="20"/>
              </w:rPr>
              <w:t>Free cooling / economizer capability</w:t>
            </w:r>
            <w:r w:rsidRPr="00152BB8">
              <w:rPr>
                <w:sz w:val="20"/>
                <w:szCs w:val="20"/>
              </w:rPr>
              <w:t xml:space="preserve"> - Thermostat recognizes the indoor/outdoor temperature difference and uses the outside air instead of the air conditioner or heating system to cool or heat the home when possible.</w:t>
            </w:r>
          </w:p>
          <w:p w14:paraId="555B9E05" w14:textId="5D6E4D74" w:rsidR="00736DEF" w:rsidRPr="00152BB8" w:rsidRDefault="00736DEF" w:rsidP="00152BB8">
            <w:pPr>
              <w:rPr>
                <w:sz w:val="20"/>
                <w:szCs w:val="20"/>
              </w:rPr>
            </w:pPr>
          </w:p>
        </w:tc>
      </w:tr>
      <w:tr w:rsidR="00282C54" w14:paraId="6EE1F381" w14:textId="77777777" w:rsidTr="00017E7E">
        <w:trPr>
          <w:cantSplit/>
        </w:trPr>
        <w:tc>
          <w:tcPr>
            <w:tcW w:w="2628" w:type="dxa"/>
            <w:vAlign w:val="center"/>
          </w:tcPr>
          <w:p w14:paraId="7FCBD168" w14:textId="77777777" w:rsidR="00282C54" w:rsidRPr="00822B6F" w:rsidRDefault="00282C54" w:rsidP="00D86243">
            <w:pPr>
              <w:jc w:val="right"/>
              <w:rPr>
                <w:rFonts w:cs="Arial"/>
                <w:sz w:val="20"/>
                <w:szCs w:val="20"/>
              </w:rPr>
            </w:pPr>
            <w:r>
              <w:rPr>
                <w:rFonts w:cs="Arial"/>
                <w:sz w:val="20"/>
                <w:szCs w:val="20"/>
              </w:rPr>
              <w:t>Measure 1</w:t>
            </w:r>
          </w:p>
        </w:tc>
        <w:tc>
          <w:tcPr>
            <w:tcW w:w="6948" w:type="dxa"/>
          </w:tcPr>
          <w:p w14:paraId="492D6E01" w14:textId="7CB69CD3" w:rsidR="00282C54" w:rsidRPr="00F56BE9" w:rsidRDefault="00152BB8" w:rsidP="00736DEF">
            <w:pPr>
              <w:rPr>
                <w:rFonts w:cs="Arial"/>
                <w:sz w:val="20"/>
                <w:szCs w:val="20"/>
              </w:rPr>
            </w:pPr>
            <w:r w:rsidRPr="00152BB8">
              <w:rPr>
                <w:rFonts w:cs="Arial"/>
                <w:sz w:val="20"/>
                <w:szCs w:val="20"/>
              </w:rPr>
              <w:t>Residential Smart Communicating Thermostat has two-way communication and automatic scheduling capabilities</w:t>
            </w:r>
          </w:p>
        </w:tc>
      </w:tr>
      <w:tr w:rsidR="00282C54" w14:paraId="2130DF3B" w14:textId="77777777" w:rsidTr="00017E7E">
        <w:trPr>
          <w:cantSplit/>
        </w:trPr>
        <w:tc>
          <w:tcPr>
            <w:tcW w:w="2628" w:type="dxa"/>
            <w:vAlign w:val="center"/>
          </w:tcPr>
          <w:p w14:paraId="163F31B8" w14:textId="77777777" w:rsidR="00282C54" w:rsidRPr="00822B6F" w:rsidRDefault="00AB3EEE" w:rsidP="00D86243">
            <w:pPr>
              <w:jc w:val="right"/>
              <w:rPr>
                <w:rFonts w:cs="Arial"/>
                <w:sz w:val="20"/>
                <w:szCs w:val="20"/>
              </w:rPr>
            </w:pPr>
            <w:r w:rsidRPr="00822B6F">
              <w:rPr>
                <w:rFonts w:cs="Arial"/>
                <w:sz w:val="20"/>
                <w:szCs w:val="20"/>
              </w:rPr>
              <w:t xml:space="preserve">Code for Measure </w:t>
            </w:r>
            <w:r w:rsidR="00282C54">
              <w:rPr>
                <w:rFonts w:cs="Arial"/>
                <w:sz w:val="20"/>
                <w:szCs w:val="20"/>
              </w:rPr>
              <w:t>1</w:t>
            </w:r>
          </w:p>
        </w:tc>
        <w:tc>
          <w:tcPr>
            <w:tcW w:w="6948" w:type="dxa"/>
          </w:tcPr>
          <w:p w14:paraId="11631532" w14:textId="6CE9CE64" w:rsidR="00282C54" w:rsidRPr="00D86243" w:rsidRDefault="00152BB8" w:rsidP="00736DEF">
            <w:pPr>
              <w:rPr>
                <w:rFonts w:cs="Arial"/>
                <w:sz w:val="20"/>
                <w:szCs w:val="20"/>
              </w:rPr>
            </w:pPr>
            <w:r w:rsidRPr="00152BB8">
              <w:rPr>
                <w:rFonts w:cs="Arial"/>
                <w:sz w:val="20"/>
                <w:szCs w:val="20"/>
              </w:rPr>
              <w:t>Setback Programmable Thermostats or Non-Programmable Thermostats</w:t>
            </w:r>
          </w:p>
        </w:tc>
      </w:tr>
      <w:tr w:rsidR="00F56BE9" w14:paraId="6F685EA6" w14:textId="77777777" w:rsidTr="00017E7E">
        <w:trPr>
          <w:cantSplit/>
        </w:trPr>
        <w:tc>
          <w:tcPr>
            <w:tcW w:w="2628" w:type="dxa"/>
          </w:tcPr>
          <w:p w14:paraId="02DC6350" w14:textId="77777777" w:rsidR="00F56BE9" w:rsidRPr="001D77F7" w:rsidRDefault="00F56BE9" w:rsidP="00736DEF">
            <w:pPr>
              <w:rPr>
                <w:b/>
              </w:rPr>
            </w:pPr>
            <w:r w:rsidRPr="001D77F7">
              <w:rPr>
                <w:b/>
              </w:rPr>
              <w:t>1.3 Installation Type and Delivery Mechanisms</w:t>
            </w:r>
          </w:p>
        </w:tc>
        <w:tc>
          <w:tcPr>
            <w:tcW w:w="6948" w:type="dxa"/>
          </w:tcPr>
          <w:p w14:paraId="5BDAAE95" w14:textId="77777777" w:rsidR="00F56BE9" w:rsidRPr="00D86243" w:rsidRDefault="00F56BE9" w:rsidP="00736DEF">
            <w:pPr>
              <w:rPr>
                <w:rFonts w:cs="Arial"/>
                <w:sz w:val="20"/>
                <w:szCs w:val="20"/>
              </w:rPr>
            </w:pPr>
          </w:p>
        </w:tc>
      </w:tr>
      <w:tr w:rsidR="00F56BE9" w14:paraId="6B056D38" w14:textId="77777777" w:rsidTr="00017E7E">
        <w:trPr>
          <w:cantSplit/>
        </w:trPr>
        <w:tc>
          <w:tcPr>
            <w:tcW w:w="2628" w:type="dxa"/>
            <w:vAlign w:val="center"/>
          </w:tcPr>
          <w:p w14:paraId="1203F2F4" w14:textId="77777777" w:rsidR="00F56BE9" w:rsidRPr="00822B6F" w:rsidRDefault="00F56BE9" w:rsidP="00D86243">
            <w:pPr>
              <w:jc w:val="right"/>
              <w:rPr>
                <w:sz w:val="20"/>
                <w:szCs w:val="20"/>
              </w:rPr>
            </w:pPr>
            <w:r w:rsidRPr="00822B6F">
              <w:rPr>
                <w:sz w:val="20"/>
                <w:szCs w:val="20"/>
              </w:rPr>
              <w:t>Installation Type</w:t>
            </w:r>
          </w:p>
        </w:tc>
        <w:tc>
          <w:tcPr>
            <w:tcW w:w="6948" w:type="dxa"/>
          </w:tcPr>
          <w:p w14:paraId="3C8C3CCE" w14:textId="62E2F882" w:rsidR="00D86243" w:rsidRPr="00017E7E" w:rsidRDefault="00F56BE9" w:rsidP="00017E7E">
            <w:pPr>
              <w:pStyle w:val="ListParagraph"/>
              <w:numPr>
                <w:ilvl w:val="0"/>
                <w:numId w:val="18"/>
              </w:numPr>
              <w:rPr>
                <w:rFonts w:cs="Arial"/>
                <w:sz w:val="20"/>
                <w:szCs w:val="20"/>
              </w:rPr>
            </w:pPr>
            <w:r w:rsidRPr="00D86243">
              <w:rPr>
                <w:rFonts w:cs="Arial"/>
                <w:sz w:val="20"/>
                <w:szCs w:val="20"/>
              </w:rPr>
              <w:t>Replace On Burnout (ROB)</w:t>
            </w:r>
            <w:r w:rsidR="00152BB8">
              <w:rPr>
                <w:rFonts w:cs="Arial"/>
                <w:sz w:val="20"/>
                <w:szCs w:val="20"/>
              </w:rPr>
              <w:t xml:space="preserve"> or Early Replacement (ER)</w:t>
            </w:r>
          </w:p>
        </w:tc>
      </w:tr>
      <w:tr w:rsidR="00F56BE9" w14:paraId="2FF65255" w14:textId="77777777" w:rsidTr="00017E7E">
        <w:trPr>
          <w:cantSplit/>
        </w:trPr>
        <w:tc>
          <w:tcPr>
            <w:tcW w:w="2628" w:type="dxa"/>
            <w:vAlign w:val="center"/>
          </w:tcPr>
          <w:p w14:paraId="4A3BFB00" w14:textId="77777777" w:rsidR="00F56BE9" w:rsidRPr="00822B6F" w:rsidRDefault="00F56BE9" w:rsidP="00D86243">
            <w:pPr>
              <w:jc w:val="right"/>
              <w:rPr>
                <w:sz w:val="20"/>
                <w:szCs w:val="20"/>
              </w:rPr>
            </w:pPr>
            <w:r w:rsidRPr="00822B6F">
              <w:rPr>
                <w:sz w:val="20"/>
                <w:szCs w:val="20"/>
              </w:rPr>
              <w:t>Delivery Mechanisms</w:t>
            </w:r>
          </w:p>
        </w:tc>
        <w:tc>
          <w:tcPr>
            <w:tcW w:w="6948" w:type="dxa"/>
          </w:tcPr>
          <w:p w14:paraId="7A18FA00" w14:textId="77777777" w:rsidR="00D86243" w:rsidRPr="00476F40" w:rsidRDefault="00D86243" w:rsidP="00476F40">
            <w:pPr>
              <w:pStyle w:val="ListParagraph"/>
              <w:numPr>
                <w:ilvl w:val="0"/>
                <w:numId w:val="19"/>
              </w:numPr>
              <w:rPr>
                <w:rFonts w:cs="Arial"/>
                <w:sz w:val="20"/>
                <w:szCs w:val="20"/>
              </w:rPr>
            </w:pPr>
            <w:r w:rsidRPr="00476F40">
              <w:rPr>
                <w:rFonts w:cs="Arial"/>
                <w:sz w:val="20"/>
                <w:szCs w:val="20"/>
              </w:rPr>
              <w:t>Financial Support - Downstream Incentive – Deemed</w:t>
            </w:r>
          </w:p>
          <w:p w14:paraId="2B3BCB63" w14:textId="77777777" w:rsidR="00F56BE9" w:rsidRPr="00476F40" w:rsidRDefault="00F56BE9" w:rsidP="00476F40">
            <w:pPr>
              <w:pStyle w:val="ListParagraph"/>
              <w:numPr>
                <w:ilvl w:val="0"/>
                <w:numId w:val="19"/>
              </w:numPr>
              <w:rPr>
                <w:rFonts w:cs="Arial"/>
                <w:sz w:val="20"/>
                <w:szCs w:val="20"/>
              </w:rPr>
            </w:pPr>
            <w:r w:rsidRPr="00476F40">
              <w:rPr>
                <w:rFonts w:cs="Arial"/>
                <w:sz w:val="20"/>
                <w:szCs w:val="20"/>
              </w:rPr>
              <w:t>Financial Support – Direct Install</w:t>
            </w:r>
          </w:p>
        </w:tc>
      </w:tr>
      <w:tr w:rsidR="00F56BE9" w14:paraId="63114892" w14:textId="77777777" w:rsidTr="00017E7E">
        <w:trPr>
          <w:cantSplit/>
        </w:trPr>
        <w:tc>
          <w:tcPr>
            <w:tcW w:w="2628" w:type="dxa"/>
          </w:tcPr>
          <w:p w14:paraId="17C157A8" w14:textId="77777777" w:rsidR="00F56BE9" w:rsidRPr="001D77F7" w:rsidRDefault="00F56BE9" w:rsidP="003F4A95">
            <w:pPr>
              <w:rPr>
                <w:b/>
              </w:rPr>
            </w:pPr>
            <w:r w:rsidRPr="001D77F7">
              <w:rPr>
                <w:b/>
              </w:rPr>
              <w:t>1.4.1 DEER Data</w:t>
            </w:r>
          </w:p>
        </w:tc>
        <w:tc>
          <w:tcPr>
            <w:tcW w:w="6948" w:type="dxa"/>
          </w:tcPr>
          <w:p w14:paraId="6F4C7429" w14:textId="77777777" w:rsidR="00F56BE9" w:rsidRDefault="00F56BE9" w:rsidP="003F4A95"/>
        </w:tc>
      </w:tr>
      <w:tr w:rsidR="00F56BE9" w14:paraId="1B23FFAC" w14:textId="77777777" w:rsidTr="00017E7E">
        <w:trPr>
          <w:cantSplit/>
        </w:trPr>
        <w:tc>
          <w:tcPr>
            <w:tcW w:w="2628" w:type="dxa"/>
          </w:tcPr>
          <w:p w14:paraId="2919F6A9" w14:textId="77777777" w:rsidR="00F56BE9" w:rsidRPr="00822B6F" w:rsidRDefault="00F56BE9" w:rsidP="00736DEF">
            <w:pPr>
              <w:jc w:val="right"/>
              <w:rPr>
                <w:sz w:val="20"/>
                <w:szCs w:val="20"/>
              </w:rPr>
            </w:pPr>
            <w:r w:rsidRPr="00822B6F">
              <w:rPr>
                <w:sz w:val="20"/>
                <w:szCs w:val="20"/>
              </w:rPr>
              <w:t>DEER Measure ID</w:t>
            </w:r>
          </w:p>
        </w:tc>
        <w:tc>
          <w:tcPr>
            <w:tcW w:w="6948" w:type="dxa"/>
          </w:tcPr>
          <w:p w14:paraId="64188144" w14:textId="77777777" w:rsidR="00F56BE9" w:rsidRPr="00D86243" w:rsidRDefault="00D86243" w:rsidP="003F4A95">
            <w:pPr>
              <w:rPr>
                <w:rFonts w:cs="Arial"/>
                <w:sz w:val="20"/>
                <w:szCs w:val="20"/>
              </w:rPr>
            </w:pPr>
            <w:r w:rsidRPr="00D86243">
              <w:rPr>
                <w:rFonts w:cs="Arial"/>
                <w:sz w:val="20"/>
                <w:szCs w:val="20"/>
              </w:rPr>
              <w:t>DEER does not contain this type of measure.</w:t>
            </w:r>
          </w:p>
        </w:tc>
      </w:tr>
      <w:tr w:rsidR="00F56BE9" w14:paraId="6C533A9A" w14:textId="77777777" w:rsidTr="00017E7E">
        <w:trPr>
          <w:cantSplit/>
        </w:trPr>
        <w:tc>
          <w:tcPr>
            <w:tcW w:w="2628" w:type="dxa"/>
            <w:vAlign w:val="center"/>
          </w:tcPr>
          <w:p w14:paraId="4F142786" w14:textId="77777777" w:rsidR="00F56BE9" w:rsidRPr="00822B6F" w:rsidRDefault="00F56BE9" w:rsidP="00D86243">
            <w:pPr>
              <w:jc w:val="right"/>
              <w:rPr>
                <w:sz w:val="20"/>
                <w:szCs w:val="20"/>
              </w:rPr>
            </w:pPr>
            <w:r w:rsidRPr="00822B6F">
              <w:rPr>
                <w:sz w:val="20"/>
                <w:szCs w:val="20"/>
              </w:rPr>
              <w:t>Net-to-Gross Ratio</w:t>
            </w:r>
          </w:p>
        </w:tc>
        <w:tc>
          <w:tcPr>
            <w:tcW w:w="6948" w:type="dxa"/>
          </w:tcPr>
          <w:p w14:paraId="533D28CE" w14:textId="77777777" w:rsidR="00D86243" w:rsidRPr="00D86243" w:rsidRDefault="00D86243" w:rsidP="00017E7E">
            <w:pPr>
              <w:tabs>
                <w:tab w:val="right" w:pos="6732"/>
              </w:tabs>
              <w:rPr>
                <w:rFonts w:cs="Arial"/>
                <w:sz w:val="20"/>
                <w:szCs w:val="20"/>
              </w:rPr>
            </w:pPr>
            <w:r w:rsidRPr="00D86243">
              <w:rPr>
                <w:rFonts w:cs="Arial"/>
                <w:sz w:val="20"/>
                <w:szCs w:val="20"/>
              </w:rPr>
              <w:t>Res-Default&gt;2</w:t>
            </w:r>
            <w:r w:rsidR="00F5794B">
              <w:rPr>
                <w:rFonts w:cs="Arial"/>
                <w:sz w:val="20"/>
                <w:szCs w:val="20"/>
              </w:rPr>
              <w:tab/>
            </w:r>
            <w:r w:rsidR="007A2886">
              <w:rPr>
                <w:rFonts w:cs="Arial"/>
                <w:sz w:val="20"/>
                <w:szCs w:val="20"/>
              </w:rPr>
              <w:t xml:space="preserve">SDG&amp;E will use the </w:t>
            </w:r>
            <w:r w:rsidR="00F5794B">
              <w:rPr>
                <w:rFonts w:cs="Arial"/>
                <w:sz w:val="20"/>
                <w:szCs w:val="20"/>
              </w:rPr>
              <w:t>Default NTG</w:t>
            </w:r>
          </w:p>
        </w:tc>
      </w:tr>
      <w:tr w:rsidR="00F56BE9" w14:paraId="5DC9266D" w14:textId="77777777" w:rsidTr="00017E7E">
        <w:trPr>
          <w:cantSplit/>
        </w:trPr>
        <w:tc>
          <w:tcPr>
            <w:tcW w:w="2628" w:type="dxa"/>
            <w:vAlign w:val="center"/>
          </w:tcPr>
          <w:p w14:paraId="4FFC28FF" w14:textId="77777777" w:rsidR="00F56BE9" w:rsidRPr="00822B6F" w:rsidRDefault="00F56BE9" w:rsidP="00D86243">
            <w:pPr>
              <w:jc w:val="right"/>
              <w:rPr>
                <w:sz w:val="20"/>
                <w:szCs w:val="20"/>
              </w:rPr>
            </w:pPr>
            <w:r w:rsidRPr="00822B6F">
              <w:rPr>
                <w:sz w:val="20"/>
                <w:szCs w:val="20"/>
              </w:rPr>
              <w:lastRenderedPageBreak/>
              <w:t>Effective and Remaining Useful Life</w:t>
            </w:r>
          </w:p>
        </w:tc>
        <w:tc>
          <w:tcPr>
            <w:tcW w:w="6948" w:type="dxa"/>
          </w:tcPr>
          <w:p w14:paraId="17BD8CA4" w14:textId="6BBF3D65" w:rsidR="00F56BE9" w:rsidRPr="00D86243" w:rsidRDefault="00F67334" w:rsidP="00017E7E">
            <w:pPr>
              <w:tabs>
                <w:tab w:val="right" w:pos="6732"/>
              </w:tabs>
              <w:rPr>
                <w:rFonts w:cs="Arial"/>
                <w:sz w:val="20"/>
                <w:szCs w:val="20"/>
              </w:rPr>
            </w:pPr>
            <w:r w:rsidRPr="00F67334">
              <w:rPr>
                <w:rFonts w:cs="Arial"/>
                <w:sz w:val="20"/>
                <w:szCs w:val="20"/>
              </w:rPr>
              <w:t>HV</w:t>
            </w:r>
            <w:r>
              <w:rPr>
                <w:rFonts w:cs="Arial"/>
                <w:sz w:val="20"/>
                <w:szCs w:val="20"/>
              </w:rPr>
              <w:t>-</w:t>
            </w:r>
            <w:proofErr w:type="spellStart"/>
            <w:proofErr w:type="gramStart"/>
            <w:r>
              <w:rPr>
                <w:rFonts w:cs="Arial"/>
                <w:sz w:val="20"/>
                <w:szCs w:val="20"/>
              </w:rPr>
              <w:t>ProgStats</w:t>
            </w:r>
            <w:proofErr w:type="spellEnd"/>
            <w:r>
              <w:rPr>
                <w:rFonts w:cs="Arial"/>
                <w:sz w:val="20"/>
                <w:szCs w:val="20"/>
              </w:rPr>
              <w:t xml:space="preserve"> ;</w:t>
            </w:r>
            <w:proofErr w:type="gramEnd"/>
            <w:r>
              <w:rPr>
                <w:rFonts w:cs="Arial"/>
                <w:sz w:val="20"/>
                <w:szCs w:val="20"/>
              </w:rPr>
              <w:t xml:space="preserve"> EUL = 11 years</w:t>
            </w:r>
            <w:r w:rsidR="00392FA8">
              <w:rPr>
                <w:rFonts w:cs="Arial"/>
                <w:sz w:val="20"/>
                <w:szCs w:val="20"/>
              </w:rPr>
              <w:tab/>
            </w:r>
          </w:p>
        </w:tc>
      </w:tr>
      <w:tr w:rsidR="00F56BE9" w14:paraId="6F71F3FF" w14:textId="77777777" w:rsidTr="00017E7E">
        <w:trPr>
          <w:cantSplit/>
        </w:trPr>
        <w:tc>
          <w:tcPr>
            <w:tcW w:w="2628" w:type="dxa"/>
            <w:vAlign w:val="center"/>
          </w:tcPr>
          <w:p w14:paraId="08D3FBF1" w14:textId="77777777" w:rsidR="00F56BE9" w:rsidRPr="001D77F7" w:rsidRDefault="00F56BE9" w:rsidP="001D77F7">
            <w:pPr>
              <w:rPr>
                <w:b/>
              </w:rPr>
            </w:pPr>
            <w:r w:rsidRPr="001D77F7">
              <w:rPr>
                <w:b/>
              </w:rPr>
              <w:t>Section 2. Calculation Methodology</w:t>
            </w:r>
          </w:p>
        </w:tc>
        <w:tc>
          <w:tcPr>
            <w:tcW w:w="6948" w:type="dxa"/>
            <w:vAlign w:val="center"/>
          </w:tcPr>
          <w:p w14:paraId="477505F2" w14:textId="77777777" w:rsidR="00822B6F" w:rsidRDefault="00822B6F" w:rsidP="0044518E"/>
        </w:tc>
      </w:tr>
      <w:tr w:rsidR="00741B15" w14:paraId="41DE9B91" w14:textId="77777777" w:rsidTr="00017E7E">
        <w:trPr>
          <w:cantSplit/>
        </w:trPr>
        <w:tc>
          <w:tcPr>
            <w:tcW w:w="2628" w:type="dxa"/>
            <w:vAlign w:val="center"/>
          </w:tcPr>
          <w:p w14:paraId="01AA6ABD" w14:textId="77777777" w:rsidR="00741B15" w:rsidRDefault="00741B15" w:rsidP="00822B6F">
            <w:pPr>
              <w:jc w:val="right"/>
            </w:pPr>
            <w:r>
              <w:rPr>
                <w:rFonts w:cs="Arial"/>
                <w:sz w:val="20"/>
                <w:szCs w:val="20"/>
              </w:rPr>
              <w:t xml:space="preserve">Energy Savings/Peak Demand Reduction </w:t>
            </w:r>
            <w:r w:rsidRPr="00822B6F">
              <w:rPr>
                <w:rFonts w:cs="Arial"/>
                <w:sz w:val="20"/>
                <w:szCs w:val="20"/>
              </w:rPr>
              <w:t>Measure</w:t>
            </w:r>
            <w:r>
              <w:rPr>
                <w:rFonts w:cs="Arial"/>
                <w:sz w:val="20"/>
                <w:szCs w:val="20"/>
              </w:rPr>
              <w:t xml:space="preserve"> 2</w:t>
            </w:r>
          </w:p>
        </w:tc>
        <w:tc>
          <w:tcPr>
            <w:tcW w:w="6948" w:type="dxa"/>
          </w:tcPr>
          <w:p w14:paraId="01CD73C2" w14:textId="5D3FABD2" w:rsidR="00741B15" w:rsidRPr="00476F40" w:rsidRDefault="00F67334" w:rsidP="00017E7E">
            <w:pPr>
              <w:tabs>
                <w:tab w:val="right" w:pos="6732"/>
              </w:tabs>
              <w:rPr>
                <w:rFonts w:cs="Arial"/>
                <w:sz w:val="20"/>
                <w:szCs w:val="20"/>
              </w:rPr>
            </w:pPr>
            <w:r>
              <w:rPr>
                <w:rFonts w:cs="Arial"/>
                <w:sz w:val="20"/>
                <w:szCs w:val="20"/>
              </w:rPr>
              <w:t>Various per Climate Zone</w:t>
            </w:r>
            <w:r w:rsidR="00392FA8">
              <w:rPr>
                <w:rFonts w:cs="Arial"/>
                <w:sz w:val="20"/>
                <w:szCs w:val="20"/>
              </w:rPr>
              <w:tab/>
              <w:t>(</w:t>
            </w:r>
            <w:r>
              <w:rPr>
                <w:rFonts w:cs="Arial"/>
                <w:sz w:val="20"/>
                <w:szCs w:val="20"/>
              </w:rPr>
              <w:t xml:space="preserve">See </w:t>
            </w:r>
            <w:r w:rsidR="00563669" w:rsidRPr="00563669">
              <w:rPr>
                <w:rFonts w:cs="Arial"/>
                <w:sz w:val="20"/>
                <w:szCs w:val="20"/>
              </w:rPr>
              <w:t>20170629 WPSDGEREHC0030-Rev00</w:t>
            </w:r>
            <w:r w:rsidR="00563669">
              <w:rPr>
                <w:rFonts w:cs="Arial"/>
                <w:sz w:val="20"/>
                <w:szCs w:val="20"/>
              </w:rPr>
              <w:t xml:space="preserve"> </w:t>
            </w:r>
            <w:r>
              <w:rPr>
                <w:rFonts w:cs="Arial"/>
                <w:sz w:val="20"/>
                <w:szCs w:val="20"/>
              </w:rPr>
              <w:t>Data Tables</w:t>
            </w:r>
            <w:r w:rsidR="00741B15">
              <w:rPr>
                <w:rFonts w:cs="Arial"/>
                <w:sz w:val="20"/>
                <w:szCs w:val="20"/>
              </w:rPr>
              <w:t>)</w:t>
            </w:r>
          </w:p>
        </w:tc>
      </w:tr>
      <w:tr w:rsidR="00741B15" w14:paraId="556DBFBE" w14:textId="77777777" w:rsidTr="00017E7E">
        <w:trPr>
          <w:cantSplit/>
        </w:trPr>
        <w:tc>
          <w:tcPr>
            <w:tcW w:w="2628" w:type="dxa"/>
            <w:vAlign w:val="center"/>
          </w:tcPr>
          <w:p w14:paraId="1402DC18" w14:textId="77777777" w:rsidR="00741B15" w:rsidRPr="001D77F7" w:rsidRDefault="00741B15" w:rsidP="001D77F7">
            <w:pPr>
              <w:rPr>
                <w:b/>
              </w:rPr>
            </w:pPr>
            <w:r w:rsidRPr="001D77F7">
              <w:rPr>
                <w:b/>
              </w:rPr>
              <w:t>Section 3. Load Shapes</w:t>
            </w:r>
          </w:p>
        </w:tc>
        <w:tc>
          <w:tcPr>
            <w:tcW w:w="6948" w:type="dxa"/>
          </w:tcPr>
          <w:p w14:paraId="4CC24F6C" w14:textId="78ED47DF" w:rsidR="00741B15" w:rsidRPr="00476F40" w:rsidRDefault="004F7C05" w:rsidP="003F4A95">
            <w:pPr>
              <w:rPr>
                <w:rFonts w:cs="Arial"/>
                <w:sz w:val="20"/>
                <w:szCs w:val="20"/>
              </w:rPr>
            </w:pPr>
            <w:proofErr w:type="spellStart"/>
            <w:proofErr w:type="gramStart"/>
            <w:r w:rsidRPr="004F7C05">
              <w:rPr>
                <w:rFonts w:cs="Arial"/>
                <w:sz w:val="20"/>
                <w:szCs w:val="20"/>
              </w:rPr>
              <w:t>SDGE:DEER</w:t>
            </w:r>
            <w:proofErr w:type="gramEnd"/>
            <w:r w:rsidRPr="004F7C05">
              <w:rPr>
                <w:rFonts w:cs="Arial"/>
                <w:sz w:val="20"/>
                <w:szCs w:val="20"/>
              </w:rPr>
              <w:t>:HVAC_Eff_AC</w:t>
            </w:r>
            <w:proofErr w:type="spellEnd"/>
            <w:r w:rsidR="00741B15">
              <w:rPr>
                <w:rFonts w:cs="Arial"/>
                <w:sz w:val="20"/>
                <w:szCs w:val="20"/>
              </w:rPr>
              <w:t>; Annual</w:t>
            </w:r>
          </w:p>
        </w:tc>
      </w:tr>
      <w:tr w:rsidR="00741B15" w14:paraId="45851A0E" w14:textId="77777777" w:rsidTr="00017E7E">
        <w:trPr>
          <w:cantSplit/>
        </w:trPr>
        <w:tc>
          <w:tcPr>
            <w:tcW w:w="2628" w:type="dxa"/>
            <w:vAlign w:val="center"/>
          </w:tcPr>
          <w:p w14:paraId="6E61D03C" w14:textId="77777777" w:rsidR="00741B15" w:rsidRPr="001D77F7" w:rsidRDefault="00741B15" w:rsidP="001D77F7">
            <w:pPr>
              <w:rPr>
                <w:b/>
              </w:rPr>
            </w:pPr>
            <w:r w:rsidRPr="001D77F7">
              <w:rPr>
                <w:b/>
              </w:rPr>
              <w:t>Section 4. Costs</w:t>
            </w:r>
          </w:p>
        </w:tc>
        <w:tc>
          <w:tcPr>
            <w:tcW w:w="6948" w:type="dxa"/>
          </w:tcPr>
          <w:p w14:paraId="397E836F" w14:textId="4FAD7DA8" w:rsidR="00741B15" w:rsidRPr="00476F40" w:rsidRDefault="00F67334" w:rsidP="003F4A95">
            <w:pPr>
              <w:rPr>
                <w:rFonts w:cs="Arial"/>
                <w:sz w:val="20"/>
                <w:szCs w:val="20"/>
              </w:rPr>
            </w:pPr>
            <w:r w:rsidRPr="00F67334">
              <w:rPr>
                <w:rFonts w:cs="Arial"/>
                <w:sz w:val="20"/>
                <w:szCs w:val="20"/>
              </w:rPr>
              <w:t xml:space="preserve">There are no </w:t>
            </w:r>
            <w:proofErr w:type="spellStart"/>
            <w:r w:rsidRPr="00F67334">
              <w:rPr>
                <w:rFonts w:cs="Arial"/>
                <w:sz w:val="20"/>
                <w:szCs w:val="20"/>
              </w:rPr>
              <w:t>CostIDs</w:t>
            </w:r>
            <w:proofErr w:type="spellEnd"/>
            <w:r w:rsidRPr="00F67334">
              <w:rPr>
                <w:rFonts w:cs="Arial"/>
                <w:sz w:val="20"/>
                <w:szCs w:val="20"/>
              </w:rPr>
              <w:t xml:space="preserve"> for these measures in READ</w:t>
            </w:r>
            <w:r>
              <w:rPr>
                <w:rFonts w:cs="Arial"/>
                <w:sz w:val="20"/>
                <w:szCs w:val="20"/>
              </w:rPr>
              <w:t>I.  SDG&amp;E took the lowest cost from the 5 cl</w:t>
            </w:r>
            <w:r w:rsidR="00563669">
              <w:rPr>
                <w:rFonts w:cs="Arial"/>
                <w:sz w:val="20"/>
                <w:szCs w:val="20"/>
              </w:rPr>
              <w:t>imate zones in SDG&amp;E’s territory based on SCE’s workpaper.</w:t>
            </w:r>
          </w:p>
        </w:tc>
      </w:tr>
      <w:tr w:rsidR="00741B15" w14:paraId="1BCA3E14" w14:textId="77777777" w:rsidTr="00017E7E">
        <w:trPr>
          <w:cantSplit/>
        </w:trPr>
        <w:tc>
          <w:tcPr>
            <w:tcW w:w="2628" w:type="dxa"/>
          </w:tcPr>
          <w:p w14:paraId="1E457809" w14:textId="77777777" w:rsidR="00741B15" w:rsidRPr="00822B6F" w:rsidRDefault="00741B15" w:rsidP="00F56BE9">
            <w:pPr>
              <w:jc w:val="right"/>
              <w:rPr>
                <w:sz w:val="20"/>
                <w:szCs w:val="20"/>
              </w:rPr>
            </w:pPr>
            <w:r>
              <w:rPr>
                <w:sz w:val="20"/>
                <w:szCs w:val="20"/>
              </w:rPr>
              <w:t xml:space="preserve">DEER/READI Base </w:t>
            </w:r>
            <w:proofErr w:type="spellStart"/>
            <w:r>
              <w:rPr>
                <w:sz w:val="20"/>
                <w:szCs w:val="20"/>
              </w:rPr>
              <w:t>CostID</w:t>
            </w:r>
            <w:proofErr w:type="spellEnd"/>
          </w:p>
        </w:tc>
        <w:tc>
          <w:tcPr>
            <w:tcW w:w="6948" w:type="dxa"/>
          </w:tcPr>
          <w:p w14:paraId="60D9904B" w14:textId="77777777" w:rsidR="00F67334" w:rsidRDefault="00F67334" w:rsidP="00392FA8">
            <w:pPr>
              <w:rPr>
                <w:rFonts w:cs="Arial"/>
                <w:sz w:val="20"/>
                <w:szCs w:val="20"/>
              </w:rPr>
            </w:pPr>
            <w:r w:rsidRPr="00F67334">
              <w:rPr>
                <w:rFonts w:cs="Arial"/>
                <w:sz w:val="20"/>
                <w:szCs w:val="20"/>
              </w:rPr>
              <w:t>WPSDGENRHC0030-Rev00-Msr001-FULL</w:t>
            </w:r>
            <w:r>
              <w:rPr>
                <w:rFonts w:cs="Arial"/>
                <w:sz w:val="20"/>
                <w:szCs w:val="20"/>
              </w:rPr>
              <w:t>; $162.25</w:t>
            </w:r>
          </w:p>
          <w:p w14:paraId="6A1AA8CA" w14:textId="3403E3E9" w:rsidR="00741B15" w:rsidRDefault="00F67334" w:rsidP="00392FA8">
            <w:pPr>
              <w:rPr>
                <w:rFonts w:cs="Arial"/>
                <w:sz w:val="20"/>
                <w:szCs w:val="20"/>
              </w:rPr>
            </w:pPr>
            <w:r>
              <w:rPr>
                <w:rFonts w:cs="Arial"/>
                <w:sz w:val="20"/>
                <w:szCs w:val="20"/>
              </w:rPr>
              <w:t>WPSDGENRHC0030-Rev00-Msr001-BASE; $81.88</w:t>
            </w:r>
          </w:p>
        </w:tc>
      </w:tr>
    </w:tbl>
    <w:p w14:paraId="38BC3FEF" w14:textId="77777777" w:rsidR="00A75EDC" w:rsidRDefault="00A75EDC" w:rsidP="0059117D"/>
    <w:p w14:paraId="28ED9648" w14:textId="77777777" w:rsidR="0074209B" w:rsidRPr="00AB5978" w:rsidRDefault="0074209B" w:rsidP="001D77F7">
      <w:pPr>
        <w:pStyle w:val="Vertical"/>
        <w:jc w:val="left"/>
      </w:pPr>
    </w:p>
    <w:sectPr w:rsidR="0074209B" w:rsidRPr="00AB5978" w:rsidSect="00FA5C2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ECD01C8" w14:textId="77777777" w:rsidR="00353FEC" w:rsidRDefault="00353FEC" w:rsidP="00FE520B">
      <w:r>
        <w:separator/>
      </w:r>
    </w:p>
  </w:endnote>
  <w:endnote w:type="continuationSeparator" w:id="0">
    <w:p w14:paraId="27BBC44B" w14:textId="77777777" w:rsidR="00353FEC" w:rsidRDefault="00353FEC" w:rsidP="00FE52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05FA19" w14:textId="77777777" w:rsidR="00BF7104" w:rsidRDefault="00563669" w:rsidP="00BF7104">
    <w:pPr>
      <w:pStyle w:val="Footer"/>
      <w:jc w:val="right"/>
      <w:rPr>
        <w:rFonts w:cstheme="minorHAnsi"/>
        <w:b/>
        <w:sz w:val="36"/>
        <w:szCs w:val="36"/>
      </w:rPr>
    </w:pPr>
    <w:sdt>
      <w:sdtPr>
        <w:rPr>
          <w:rFonts w:cstheme="minorHAnsi"/>
          <w:b/>
          <w:sz w:val="36"/>
          <w:szCs w:val="36"/>
        </w:rPr>
        <w:alias w:val="Date"/>
        <w:tag w:val=""/>
        <w:id w:val="-1014536461"/>
        <w:showingPlcHdr/>
        <w:dataBinding w:prefixMappings="xmlns:ns0='http://schemas.microsoft.com/office/2006/coverPageProps' " w:xpath="/ns0:CoverPageProperties[1]/ns0:PublishDate[1]" w:storeItemID="{55AF091B-3C7A-41E3-B477-F2FDAA23CFDA}"/>
        <w:date w:fullDate="2015-12-23T00:00:00Z">
          <w:dateFormat w:val="MMMM d, yyyy"/>
          <w:lid w:val="en-US"/>
          <w:storeMappedDataAs w:val="dateTime"/>
          <w:calendar w:val="gregorian"/>
        </w:date>
      </w:sdtPr>
      <w:sdtEndPr/>
      <w:sdtContent>
        <w:r w:rsidR="00BF7104">
          <w:rPr>
            <w:rFonts w:cstheme="minorHAnsi"/>
            <w:b/>
            <w:sz w:val="36"/>
            <w:szCs w:val="36"/>
          </w:rPr>
          <w:t xml:space="preserve">     </w:t>
        </w:r>
      </w:sdtContent>
    </w:sdt>
  </w:p>
  <w:p w14:paraId="73584514" w14:textId="09819F88" w:rsidR="00BF7104" w:rsidRPr="00E47372" w:rsidRDefault="00BF7104" w:rsidP="0084491B">
    <w:pPr>
      <w:pStyle w:val="Footer"/>
      <w:pBdr>
        <w:top w:val="single" w:sz="4" w:space="1" w:color="auto"/>
      </w:pBdr>
      <w:rPr>
        <w:b/>
      </w:rPr>
    </w:pPr>
    <w:r>
      <w:rPr>
        <w:b/>
      </w:rPr>
      <w:t xml:space="preserve">Workpaper </w:t>
    </w:r>
    <w:r w:rsidR="00152BB8">
      <w:rPr>
        <w:b/>
      </w:rPr>
      <w:t>WPSDGEREHC0030</w:t>
    </w:r>
    <w:r w:rsidR="00736DEF">
      <w:rPr>
        <w:b/>
      </w:rPr>
      <w:t xml:space="preserve">, Revision </w:t>
    </w:r>
    <w:r w:rsidR="00152BB8">
      <w:rPr>
        <w:b/>
      </w:rPr>
      <w:t>0</w:t>
    </w:r>
    <w:r w:rsidR="00E25322">
      <w:rPr>
        <w:b/>
      </w:rPr>
      <w:t xml:space="preserve">                            </w:t>
    </w:r>
    <w:r w:rsidR="0025216C">
      <w:rPr>
        <w:b/>
      </w:rPr>
      <w:tab/>
    </w:r>
    <w:r w:rsidR="00563669">
      <w:rPr>
        <w:b/>
      </w:rPr>
      <w:t>June 29</w:t>
    </w:r>
    <w:r w:rsidRPr="00DC5C9B">
      <w:rPr>
        <w:b/>
      </w:rPr>
      <w:t>, 201</w:t>
    </w:r>
    <w:r w:rsidR="0040214F">
      <w:rPr>
        <w:b/>
      </w:rPr>
      <w:t>7</w:t>
    </w:r>
  </w:p>
  <w:p w14:paraId="1C5F12B8" w14:textId="77777777" w:rsidR="00BF7104" w:rsidRDefault="00BF7104" w:rsidP="0084491B">
    <w:pPr>
      <w:pStyle w:val="Footer"/>
      <w:rPr>
        <w:b/>
      </w:rPr>
    </w:pPr>
    <w:r>
      <w:rPr>
        <w:b/>
      </w:rPr>
      <w:t>San Diego Gas &amp; Electric</w:t>
    </w:r>
  </w:p>
  <w:p w14:paraId="065DD977" w14:textId="77777777" w:rsidR="00BF7104" w:rsidRPr="009500DC" w:rsidRDefault="00BF7104" w:rsidP="00BF7104">
    <w:pPr>
      <w:pStyle w:val="Footer"/>
      <w:jc w:val="right"/>
      <w:rPr>
        <w:rFonts w:cstheme="min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DAB158F" w14:textId="77777777" w:rsidR="00353FEC" w:rsidRDefault="00353FEC" w:rsidP="00FE520B">
      <w:r>
        <w:separator/>
      </w:r>
    </w:p>
  </w:footnote>
  <w:footnote w:type="continuationSeparator" w:id="0">
    <w:p w14:paraId="6FE3D73C" w14:textId="77777777" w:rsidR="00353FEC" w:rsidRDefault="00353FEC" w:rsidP="00FE520B">
      <w:r>
        <w:continuationSeparator/>
      </w:r>
    </w:p>
  </w:footnote>
  <w:footnote w:id="1">
    <w:p w14:paraId="1A7C2778" w14:textId="77777777" w:rsidR="00152BB8" w:rsidRPr="00666E20" w:rsidRDefault="00152BB8" w:rsidP="00152BB8">
      <w:pPr>
        <w:pStyle w:val="FootnoteText"/>
        <w:rPr>
          <w:sz w:val="16"/>
          <w:szCs w:val="16"/>
        </w:rPr>
      </w:pPr>
      <w:r w:rsidRPr="00666E20">
        <w:rPr>
          <w:rStyle w:val="FootnoteReference"/>
          <w:sz w:val="16"/>
          <w:szCs w:val="16"/>
        </w:rPr>
        <w:footnoteRef/>
      </w:r>
      <w:r w:rsidRPr="00666E20">
        <w:rPr>
          <w:sz w:val="16"/>
          <w:szCs w:val="16"/>
        </w:rPr>
        <w:t xml:space="preserve"> Items in Disposition for WPSCGREHC160624A (SCG Smart Thermostat) issued November 8, 2016 That Impact Future Smart Thermostat </w:t>
      </w:r>
      <w:proofErr w:type="spellStart"/>
      <w:r w:rsidRPr="00666E20">
        <w:rPr>
          <w:sz w:val="16"/>
          <w:szCs w:val="16"/>
        </w:rPr>
        <w:t>Workpapers</w:t>
      </w:r>
      <w:proofErr w:type="spellEnd"/>
      <w:r w:rsidRPr="00666E20">
        <w:rPr>
          <w:b/>
          <w:sz w:val="16"/>
          <w:szCs w:val="16"/>
          <w:u w:val="single"/>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A77A45" w14:textId="7D9F2EB6" w:rsidR="00F67334" w:rsidRDefault="00F6733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9C2E90"/>
    <w:multiLevelType w:val="hybridMultilevel"/>
    <w:tmpl w:val="720EE616"/>
    <w:lvl w:ilvl="0" w:tplc="0FC2E0EC">
      <w:start w:val="1"/>
      <w:numFmt w:val="lowerLetter"/>
      <w:lvlText w:val="%1."/>
      <w:lvlJc w:val="left"/>
      <w:pPr>
        <w:ind w:left="720" w:hanging="360"/>
      </w:pPr>
      <w:rPr>
        <w:rFonts w:cs="Times New Roman"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25C19D9"/>
    <w:multiLevelType w:val="multilevel"/>
    <w:tmpl w:val="DCAC44A6"/>
    <w:lvl w:ilvl="0">
      <w:start w:val="4"/>
      <w:numFmt w:val="decimal"/>
      <w:pStyle w:val="WPSCT"/>
      <w:suff w:val="nothing"/>
      <w:lvlText w:val="SECTION %1 - "/>
      <w:lvlJc w:val="left"/>
      <w:pPr>
        <w:ind w:left="576" w:hanging="576"/>
      </w:pPr>
      <w:rPr>
        <w:rFonts w:ascii="Arial" w:hAnsi="Arial" w:hint="default"/>
        <w:b/>
        <w:i w:val="0"/>
        <w:sz w:val="20"/>
      </w:rPr>
    </w:lvl>
    <w:lvl w:ilvl="1">
      <w:start w:val="1"/>
      <w:numFmt w:val="decimalZero"/>
      <w:pStyle w:val="ART"/>
      <w:lvlText w:val="%1.%2"/>
      <w:lvlJc w:val="left"/>
      <w:pPr>
        <w:tabs>
          <w:tab w:val="num" w:pos="720"/>
        </w:tabs>
        <w:ind w:left="720" w:hanging="720"/>
      </w:pPr>
      <w:rPr>
        <w:rFonts w:hint="default"/>
        <w:b/>
        <w:i w:val="0"/>
      </w:rPr>
    </w:lvl>
    <w:lvl w:ilvl="2">
      <w:start w:val="1"/>
      <w:numFmt w:val="upperLetter"/>
      <w:pStyle w:val="PR1"/>
      <w:lvlText w:val="%3."/>
      <w:lvlJc w:val="left"/>
      <w:pPr>
        <w:tabs>
          <w:tab w:val="num" w:pos="1152"/>
        </w:tabs>
        <w:ind w:left="1152" w:hanging="432"/>
      </w:pPr>
      <w:rPr>
        <w:rFonts w:hint="default"/>
      </w:rPr>
    </w:lvl>
    <w:lvl w:ilvl="3">
      <w:start w:val="1"/>
      <w:numFmt w:val="decimal"/>
      <w:pStyle w:val="PR2"/>
      <w:lvlText w:val="%4."/>
      <w:lvlJc w:val="left"/>
      <w:pPr>
        <w:tabs>
          <w:tab w:val="num" w:pos="1584"/>
        </w:tabs>
        <w:ind w:left="1584" w:hanging="432"/>
      </w:pPr>
      <w:rPr>
        <w:rFonts w:ascii="Arial" w:hAnsi="Arial" w:hint="default"/>
        <w:b w:val="0"/>
        <w:i w:val="0"/>
        <w:sz w:val="20"/>
      </w:rPr>
    </w:lvl>
    <w:lvl w:ilvl="4">
      <w:start w:val="1"/>
      <w:numFmt w:val="lowerLetter"/>
      <w:pStyle w:val="PR3"/>
      <w:lvlText w:val="%5."/>
      <w:lvlJc w:val="left"/>
      <w:pPr>
        <w:tabs>
          <w:tab w:val="num" w:pos="2016"/>
        </w:tabs>
        <w:ind w:left="2016" w:hanging="432"/>
      </w:pPr>
      <w:rPr>
        <w:rFonts w:ascii="Arial" w:hAnsi="Arial" w:hint="default"/>
        <w:b w:val="0"/>
        <w:i w:val="0"/>
        <w:sz w:val="20"/>
      </w:rPr>
    </w:lvl>
    <w:lvl w:ilvl="5">
      <w:start w:val="1"/>
      <w:numFmt w:val="lowerRoman"/>
      <w:pStyle w:val="PR4"/>
      <w:lvlText w:val="%6."/>
      <w:lvlJc w:val="left"/>
      <w:pPr>
        <w:tabs>
          <w:tab w:val="num" w:pos="2736"/>
        </w:tabs>
        <w:ind w:left="2448" w:hanging="432"/>
      </w:pPr>
      <w:rPr>
        <w:rFonts w:ascii="Arial" w:hAnsi="Arial" w:hint="default"/>
        <w:b w:val="0"/>
        <w:i w:val="0"/>
        <w:sz w:val="20"/>
      </w:rPr>
    </w:lvl>
    <w:lvl w:ilvl="6">
      <w:start w:val="1"/>
      <w:numFmt w:val="lowerLetter"/>
      <w:pStyle w:val="PR5"/>
      <w:lvlText w:val="%7)"/>
      <w:lvlJc w:val="left"/>
      <w:pPr>
        <w:tabs>
          <w:tab w:val="num" w:pos="2880"/>
        </w:tabs>
        <w:ind w:left="2880" w:hanging="432"/>
      </w:pPr>
      <w:rPr>
        <w:rFonts w:ascii="Arial" w:hAnsi="Arial" w:hint="default"/>
        <w:b w:val="0"/>
        <w:i w:val="0"/>
        <w:sz w:val="20"/>
      </w:rPr>
    </w:lvl>
    <w:lvl w:ilvl="7">
      <w:start w:val="1"/>
      <w:numFmt w:val="lowerRoman"/>
      <w:pStyle w:val="PR6"/>
      <w:lvlText w:val="%8)"/>
      <w:lvlJc w:val="left"/>
      <w:pPr>
        <w:tabs>
          <w:tab w:val="num" w:pos="3600"/>
        </w:tabs>
        <w:ind w:left="3312" w:hanging="432"/>
      </w:pPr>
      <w:rPr>
        <w:rFonts w:ascii="Arial" w:hAnsi="Arial" w:hint="default"/>
        <w:b w:val="0"/>
        <w:i w:val="0"/>
        <w:sz w:val="20"/>
      </w:rPr>
    </w:lvl>
    <w:lvl w:ilvl="8">
      <w:start w:val="27"/>
      <w:numFmt w:val="lowerLetter"/>
      <w:pStyle w:val="PR7"/>
      <w:lvlText w:val="%9)"/>
      <w:lvlJc w:val="left"/>
      <w:pPr>
        <w:tabs>
          <w:tab w:val="num" w:pos="3744"/>
        </w:tabs>
        <w:ind w:left="3744" w:hanging="432"/>
      </w:pPr>
      <w:rPr>
        <w:rFonts w:ascii="Arial" w:hAnsi="Arial" w:hint="default"/>
        <w:b w:val="0"/>
        <w:i w:val="0"/>
        <w:sz w:val="20"/>
      </w:rPr>
    </w:lvl>
  </w:abstractNum>
  <w:abstractNum w:abstractNumId="2" w15:restartNumberingAfterBreak="0">
    <w:nsid w:val="18F536F9"/>
    <w:multiLevelType w:val="hybridMultilevel"/>
    <w:tmpl w:val="57664886"/>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1E5B3BFC"/>
    <w:multiLevelType w:val="multilevel"/>
    <w:tmpl w:val="ED6E32FA"/>
    <w:lvl w:ilvl="0">
      <w:start w:val="1"/>
      <w:numFmt w:val="bullet"/>
      <w:lvlText w:val="●"/>
      <w:lvlJc w:val="left"/>
      <w:pPr>
        <w:ind w:left="720" w:firstLine="1080"/>
      </w:pPr>
      <w:rPr>
        <w:rFonts w:ascii="Arial" w:eastAsia="Arial" w:hAnsi="Arial" w:cs="Arial"/>
        <w:u w:val="none"/>
      </w:rPr>
    </w:lvl>
    <w:lvl w:ilvl="1">
      <w:start w:val="1"/>
      <w:numFmt w:val="lowerLetter"/>
      <w:lvlText w:val="%2."/>
      <w:lvlJc w:val="left"/>
      <w:pPr>
        <w:ind w:left="1440" w:firstLine="2520"/>
      </w:pPr>
      <w:rPr>
        <w:u w:val="none"/>
      </w:rPr>
    </w:lvl>
    <w:lvl w:ilvl="2">
      <w:start w:val="1"/>
      <w:numFmt w:val="lowerRoman"/>
      <w:lvlText w:val="%3."/>
      <w:lvlJc w:val="right"/>
      <w:pPr>
        <w:ind w:left="2160" w:firstLine="3960"/>
      </w:pPr>
      <w:rPr>
        <w:u w:val="none"/>
      </w:rPr>
    </w:lvl>
    <w:lvl w:ilvl="3">
      <w:start w:val="1"/>
      <w:numFmt w:val="decimal"/>
      <w:lvlText w:val="%4."/>
      <w:lvlJc w:val="left"/>
      <w:pPr>
        <w:ind w:left="2880" w:firstLine="5400"/>
      </w:pPr>
      <w:rPr>
        <w:u w:val="none"/>
      </w:rPr>
    </w:lvl>
    <w:lvl w:ilvl="4">
      <w:start w:val="1"/>
      <w:numFmt w:val="lowerLetter"/>
      <w:lvlText w:val="%5."/>
      <w:lvlJc w:val="left"/>
      <w:pPr>
        <w:ind w:left="3600" w:firstLine="6840"/>
      </w:pPr>
      <w:rPr>
        <w:u w:val="none"/>
      </w:rPr>
    </w:lvl>
    <w:lvl w:ilvl="5">
      <w:start w:val="1"/>
      <w:numFmt w:val="lowerRoman"/>
      <w:lvlText w:val="%6."/>
      <w:lvlJc w:val="right"/>
      <w:pPr>
        <w:ind w:left="4320" w:firstLine="8280"/>
      </w:pPr>
      <w:rPr>
        <w:u w:val="none"/>
      </w:rPr>
    </w:lvl>
    <w:lvl w:ilvl="6">
      <w:start w:val="1"/>
      <w:numFmt w:val="decimal"/>
      <w:lvlText w:val="%7."/>
      <w:lvlJc w:val="left"/>
      <w:pPr>
        <w:ind w:left="5040" w:firstLine="9720"/>
      </w:pPr>
      <w:rPr>
        <w:u w:val="none"/>
      </w:rPr>
    </w:lvl>
    <w:lvl w:ilvl="7">
      <w:start w:val="1"/>
      <w:numFmt w:val="lowerLetter"/>
      <w:lvlText w:val="%8."/>
      <w:lvlJc w:val="left"/>
      <w:pPr>
        <w:ind w:left="5760" w:firstLine="11160"/>
      </w:pPr>
      <w:rPr>
        <w:u w:val="none"/>
      </w:rPr>
    </w:lvl>
    <w:lvl w:ilvl="8">
      <w:start w:val="1"/>
      <w:numFmt w:val="lowerRoman"/>
      <w:lvlText w:val="%9."/>
      <w:lvlJc w:val="right"/>
      <w:pPr>
        <w:ind w:left="6480" w:firstLine="12600"/>
      </w:pPr>
      <w:rPr>
        <w:u w:val="none"/>
      </w:rPr>
    </w:lvl>
  </w:abstractNum>
  <w:abstractNum w:abstractNumId="4" w15:restartNumberingAfterBreak="0">
    <w:nsid w:val="232B6170"/>
    <w:multiLevelType w:val="multilevel"/>
    <w:tmpl w:val="C04E009C"/>
    <w:lvl w:ilvl="0">
      <w:start w:val="1"/>
      <w:numFmt w:val="decimal"/>
      <w:lvlText w:val="%1."/>
      <w:lvlJc w:val="left"/>
      <w:pPr>
        <w:ind w:left="720" w:firstLine="360"/>
      </w:p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5" w15:restartNumberingAfterBreak="0">
    <w:nsid w:val="260D0843"/>
    <w:multiLevelType w:val="hybridMultilevel"/>
    <w:tmpl w:val="35AED60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6426A52"/>
    <w:multiLevelType w:val="hybridMultilevel"/>
    <w:tmpl w:val="B750F1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7B76320"/>
    <w:multiLevelType w:val="hybridMultilevel"/>
    <w:tmpl w:val="273CAFC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pStyle w:val="WPPR2"/>
      <w:lvlText w:val="%4."/>
      <w:lvlJc w:val="left"/>
      <w:pPr>
        <w:ind w:left="2880" w:hanging="360"/>
      </w:pPr>
    </w:lvl>
    <w:lvl w:ilvl="4" w:tplc="04090019" w:tentative="1">
      <w:start w:val="1"/>
      <w:numFmt w:val="lowerLetter"/>
      <w:pStyle w:val="WPPR3"/>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88E06E2"/>
    <w:multiLevelType w:val="hybridMultilevel"/>
    <w:tmpl w:val="8406786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9026C56"/>
    <w:multiLevelType w:val="hybridMultilevel"/>
    <w:tmpl w:val="B64C09A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369E114C"/>
    <w:multiLevelType w:val="hybridMultilevel"/>
    <w:tmpl w:val="CA14DE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B41279"/>
    <w:multiLevelType w:val="hybridMultilevel"/>
    <w:tmpl w:val="A0B0E8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C8A40D7"/>
    <w:multiLevelType w:val="hybridMultilevel"/>
    <w:tmpl w:val="59846EDA"/>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5411277"/>
    <w:multiLevelType w:val="hybridMultilevel"/>
    <w:tmpl w:val="47E0B65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3AC2D8E"/>
    <w:multiLevelType w:val="multilevel"/>
    <w:tmpl w:val="CF2A147C"/>
    <w:lvl w:ilvl="0">
      <w:start w:val="1"/>
      <w:numFmt w:val="bullet"/>
      <w:lvlText w:val="●"/>
      <w:lvlJc w:val="left"/>
      <w:pPr>
        <w:ind w:left="720" w:firstLine="1080"/>
      </w:pPr>
      <w:rPr>
        <w:rFonts w:ascii="Arial" w:eastAsia="Arial" w:hAnsi="Arial" w:cs="Arial"/>
        <w:u w:val="none"/>
      </w:rPr>
    </w:lvl>
    <w:lvl w:ilvl="1">
      <w:start w:val="1"/>
      <w:numFmt w:val="bullet"/>
      <w:lvlText w:val="○"/>
      <w:lvlJc w:val="left"/>
      <w:pPr>
        <w:ind w:left="1440" w:firstLine="2520"/>
      </w:pPr>
      <w:rPr>
        <w:rFonts w:ascii="Arial" w:eastAsia="Arial" w:hAnsi="Arial" w:cs="Arial"/>
        <w:u w:val="none"/>
      </w:rPr>
    </w:lvl>
    <w:lvl w:ilvl="2">
      <w:start w:val="1"/>
      <w:numFmt w:val="bullet"/>
      <w:lvlText w:val="■"/>
      <w:lvlJc w:val="left"/>
      <w:pPr>
        <w:ind w:left="2160" w:firstLine="3960"/>
      </w:pPr>
      <w:rPr>
        <w:rFonts w:ascii="Arial" w:eastAsia="Arial" w:hAnsi="Arial" w:cs="Arial"/>
        <w:u w:val="none"/>
      </w:rPr>
    </w:lvl>
    <w:lvl w:ilvl="3">
      <w:start w:val="1"/>
      <w:numFmt w:val="bullet"/>
      <w:lvlText w:val="●"/>
      <w:lvlJc w:val="left"/>
      <w:pPr>
        <w:ind w:left="2880" w:firstLine="5400"/>
      </w:pPr>
      <w:rPr>
        <w:rFonts w:ascii="Arial" w:eastAsia="Arial" w:hAnsi="Arial" w:cs="Arial"/>
        <w:u w:val="none"/>
      </w:rPr>
    </w:lvl>
    <w:lvl w:ilvl="4">
      <w:start w:val="1"/>
      <w:numFmt w:val="bullet"/>
      <w:lvlText w:val="○"/>
      <w:lvlJc w:val="left"/>
      <w:pPr>
        <w:ind w:left="3600" w:firstLine="6840"/>
      </w:pPr>
      <w:rPr>
        <w:rFonts w:ascii="Arial" w:eastAsia="Arial" w:hAnsi="Arial" w:cs="Arial"/>
        <w:u w:val="none"/>
      </w:rPr>
    </w:lvl>
    <w:lvl w:ilvl="5">
      <w:start w:val="1"/>
      <w:numFmt w:val="bullet"/>
      <w:lvlText w:val="■"/>
      <w:lvlJc w:val="left"/>
      <w:pPr>
        <w:ind w:left="4320" w:firstLine="8280"/>
      </w:pPr>
      <w:rPr>
        <w:rFonts w:ascii="Arial" w:eastAsia="Arial" w:hAnsi="Arial" w:cs="Arial"/>
        <w:u w:val="none"/>
      </w:rPr>
    </w:lvl>
    <w:lvl w:ilvl="6">
      <w:start w:val="1"/>
      <w:numFmt w:val="bullet"/>
      <w:lvlText w:val="●"/>
      <w:lvlJc w:val="left"/>
      <w:pPr>
        <w:ind w:left="5040" w:firstLine="9720"/>
      </w:pPr>
      <w:rPr>
        <w:rFonts w:ascii="Arial" w:eastAsia="Arial" w:hAnsi="Arial" w:cs="Arial"/>
        <w:u w:val="none"/>
      </w:rPr>
    </w:lvl>
    <w:lvl w:ilvl="7">
      <w:start w:val="1"/>
      <w:numFmt w:val="bullet"/>
      <w:lvlText w:val="○"/>
      <w:lvlJc w:val="left"/>
      <w:pPr>
        <w:ind w:left="5760" w:firstLine="11160"/>
      </w:pPr>
      <w:rPr>
        <w:rFonts w:ascii="Arial" w:eastAsia="Arial" w:hAnsi="Arial" w:cs="Arial"/>
        <w:u w:val="none"/>
      </w:rPr>
    </w:lvl>
    <w:lvl w:ilvl="8">
      <w:start w:val="1"/>
      <w:numFmt w:val="bullet"/>
      <w:lvlText w:val="■"/>
      <w:lvlJc w:val="left"/>
      <w:pPr>
        <w:ind w:left="6480" w:firstLine="12600"/>
      </w:pPr>
      <w:rPr>
        <w:rFonts w:ascii="Arial" w:eastAsia="Arial" w:hAnsi="Arial" w:cs="Arial"/>
        <w:u w:val="none"/>
      </w:rPr>
    </w:lvl>
  </w:abstractNum>
  <w:abstractNum w:abstractNumId="15" w15:restartNumberingAfterBreak="0">
    <w:nsid w:val="5C57425F"/>
    <w:multiLevelType w:val="hybridMultilevel"/>
    <w:tmpl w:val="B29A2BBC"/>
    <w:lvl w:ilvl="0" w:tplc="C3369918">
      <w:numFmt w:val="bullet"/>
      <w:lvlText w:val="•"/>
      <w:lvlJc w:val="left"/>
      <w:pPr>
        <w:ind w:left="720" w:hanging="360"/>
      </w:pPr>
      <w:rPr>
        <w:rFonts w:ascii="Calibri" w:eastAsia="Times New Roman" w:hAnsi="Calibri" w:cs="Calibri" w:hint="default"/>
      </w:rPr>
    </w:lvl>
    <w:lvl w:ilvl="1" w:tplc="7A3604CA">
      <w:numFmt w:val="bullet"/>
      <w:lvlText w:val="-"/>
      <w:lvlJc w:val="left"/>
      <w:pPr>
        <w:ind w:left="1440" w:hanging="360"/>
      </w:pPr>
      <w:rPr>
        <w:rFonts w:ascii="Calibri" w:eastAsia="Times New Roman" w:hAnsi="Calibri"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E21731C"/>
    <w:multiLevelType w:val="hybridMultilevel"/>
    <w:tmpl w:val="8F5EA138"/>
    <w:lvl w:ilvl="0" w:tplc="6D1C5CCC">
      <w:start w:val="3"/>
      <w:numFmt w:val="decimal"/>
      <w:pStyle w:val="TBL"/>
      <w:lvlText w:val="Table %1 - "/>
      <w:lvlJc w:val="left"/>
      <w:pPr>
        <w:ind w:left="720" w:hanging="360"/>
      </w:pPr>
      <w:rPr>
        <w:rFonts w:hint="eastAsi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28C699E"/>
    <w:multiLevelType w:val="hybridMultilevel"/>
    <w:tmpl w:val="1CF062C2"/>
    <w:lvl w:ilvl="0" w:tplc="04090015">
      <w:start w:val="1"/>
      <w:numFmt w:val="upperLetter"/>
      <w:lvlText w:val="%1."/>
      <w:lvlJc w:val="left"/>
      <w:pPr>
        <w:ind w:left="1296" w:hanging="360"/>
      </w:pPr>
    </w:lvl>
    <w:lvl w:ilvl="1" w:tplc="04090019" w:tentative="1">
      <w:start w:val="1"/>
      <w:numFmt w:val="lowerLetter"/>
      <w:lvlText w:val="%2."/>
      <w:lvlJc w:val="left"/>
      <w:pPr>
        <w:ind w:left="2016" w:hanging="360"/>
      </w:pPr>
    </w:lvl>
    <w:lvl w:ilvl="2" w:tplc="0409001B" w:tentative="1">
      <w:start w:val="1"/>
      <w:numFmt w:val="lowerRoman"/>
      <w:lvlText w:val="%3."/>
      <w:lvlJc w:val="right"/>
      <w:pPr>
        <w:ind w:left="2736" w:hanging="180"/>
      </w:pPr>
    </w:lvl>
    <w:lvl w:ilvl="3" w:tplc="0409000F" w:tentative="1">
      <w:start w:val="1"/>
      <w:numFmt w:val="decimal"/>
      <w:lvlText w:val="%4."/>
      <w:lvlJc w:val="left"/>
      <w:pPr>
        <w:ind w:left="3456" w:hanging="360"/>
      </w:pPr>
    </w:lvl>
    <w:lvl w:ilvl="4" w:tplc="04090019" w:tentative="1">
      <w:start w:val="1"/>
      <w:numFmt w:val="lowerLetter"/>
      <w:lvlText w:val="%5."/>
      <w:lvlJc w:val="left"/>
      <w:pPr>
        <w:ind w:left="4176" w:hanging="360"/>
      </w:pPr>
    </w:lvl>
    <w:lvl w:ilvl="5" w:tplc="0409001B" w:tentative="1">
      <w:start w:val="1"/>
      <w:numFmt w:val="lowerRoman"/>
      <w:lvlText w:val="%6."/>
      <w:lvlJc w:val="right"/>
      <w:pPr>
        <w:ind w:left="4896" w:hanging="180"/>
      </w:pPr>
    </w:lvl>
    <w:lvl w:ilvl="6" w:tplc="0409000F" w:tentative="1">
      <w:start w:val="1"/>
      <w:numFmt w:val="decimal"/>
      <w:lvlText w:val="%7."/>
      <w:lvlJc w:val="left"/>
      <w:pPr>
        <w:ind w:left="5616" w:hanging="360"/>
      </w:pPr>
    </w:lvl>
    <w:lvl w:ilvl="7" w:tplc="04090019" w:tentative="1">
      <w:start w:val="1"/>
      <w:numFmt w:val="lowerLetter"/>
      <w:lvlText w:val="%8."/>
      <w:lvlJc w:val="left"/>
      <w:pPr>
        <w:ind w:left="6336" w:hanging="360"/>
      </w:pPr>
    </w:lvl>
    <w:lvl w:ilvl="8" w:tplc="0409001B" w:tentative="1">
      <w:start w:val="1"/>
      <w:numFmt w:val="lowerRoman"/>
      <w:lvlText w:val="%9."/>
      <w:lvlJc w:val="right"/>
      <w:pPr>
        <w:ind w:left="7056" w:hanging="180"/>
      </w:pPr>
    </w:lvl>
  </w:abstractNum>
  <w:abstractNum w:abstractNumId="18" w15:restartNumberingAfterBreak="0">
    <w:nsid w:val="717F597A"/>
    <w:multiLevelType w:val="hybridMultilevel"/>
    <w:tmpl w:val="F1F015EA"/>
    <w:lvl w:ilvl="0" w:tplc="D6F068EA">
      <w:start w:val="1"/>
      <w:numFmt w:val="decimal"/>
      <w:lvlText w:val="Table %1 -"/>
      <w:lvlJc w:val="left"/>
      <w:pPr>
        <w:tabs>
          <w:tab w:val="num" w:pos="1080"/>
        </w:tabs>
        <w:ind w:left="1080" w:hanging="360"/>
      </w:pPr>
      <w:rPr>
        <w:rFonts w:ascii="Arial" w:hAnsi="Arial" w:hint="default"/>
        <w:b/>
        <w:i w:val="0"/>
      </w:rPr>
    </w:lvl>
    <w:lvl w:ilvl="1" w:tplc="04090019">
      <w:start w:val="1"/>
      <w:numFmt w:val="lowerLetter"/>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9" w15:restartNumberingAfterBreak="0">
    <w:nsid w:val="730016AE"/>
    <w:multiLevelType w:val="multilevel"/>
    <w:tmpl w:val="A308F48C"/>
    <w:lvl w:ilvl="0">
      <w:start w:val="1"/>
      <w:numFmt w:val="bullet"/>
      <w:lvlText w:val="●"/>
      <w:lvlJc w:val="left"/>
      <w:pPr>
        <w:ind w:left="720" w:firstLine="1080"/>
      </w:pPr>
      <w:rPr>
        <w:rFonts w:ascii="Arial" w:eastAsia="Arial" w:hAnsi="Arial" w:cs="Arial"/>
        <w:u w:val="none"/>
      </w:rPr>
    </w:lvl>
    <w:lvl w:ilvl="1">
      <w:start w:val="1"/>
      <w:numFmt w:val="bullet"/>
      <w:lvlText w:val="○"/>
      <w:lvlJc w:val="left"/>
      <w:pPr>
        <w:ind w:left="1440" w:firstLine="2520"/>
      </w:pPr>
      <w:rPr>
        <w:rFonts w:ascii="Arial" w:eastAsia="Arial" w:hAnsi="Arial" w:cs="Arial"/>
        <w:u w:val="none"/>
      </w:rPr>
    </w:lvl>
    <w:lvl w:ilvl="2">
      <w:start w:val="1"/>
      <w:numFmt w:val="bullet"/>
      <w:lvlText w:val="■"/>
      <w:lvlJc w:val="left"/>
      <w:pPr>
        <w:ind w:left="2160" w:firstLine="3960"/>
      </w:pPr>
      <w:rPr>
        <w:rFonts w:ascii="Arial" w:eastAsia="Arial" w:hAnsi="Arial" w:cs="Arial"/>
        <w:u w:val="none"/>
      </w:rPr>
    </w:lvl>
    <w:lvl w:ilvl="3">
      <w:start w:val="1"/>
      <w:numFmt w:val="bullet"/>
      <w:lvlText w:val="●"/>
      <w:lvlJc w:val="left"/>
      <w:pPr>
        <w:ind w:left="2880" w:firstLine="5400"/>
      </w:pPr>
      <w:rPr>
        <w:rFonts w:ascii="Arial" w:eastAsia="Arial" w:hAnsi="Arial" w:cs="Arial"/>
        <w:u w:val="none"/>
      </w:rPr>
    </w:lvl>
    <w:lvl w:ilvl="4">
      <w:start w:val="1"/>
      <w:numFmt w:val="bullet"/>
      <w:lvlText w:val="○"/>
      <w:lvlJc w:val="left"/>
      <w:pPr>
        <w:ind w:left="3600" w:firstLine="6840"/>
      </w:pPr>
      <w:rPr>
        <w:rFonts w:ascii="Arial" w:eastAsia="Arial" w:hAnsi="Arial" w:cs="Arial"/>
        <w:u w:val="none"/>
      </w:rPr>
    </w:lvl>
    <w:lvl w:ilvl="5">
      <w:start w:val="1"/>
      <w:numFmt w:val="bullet"/>
      <w:lvlText w:val="■"/>
      <w:lvlJc w:val="left"/>
      <w:pPr>
        <w:ind w:left="4320" w:firstLine="8280"/>
      </w:pPr>
      <w:rPr>
        <w:rFonts w:ascii="Arial" w:eastAsia="Arial" w:hAnsi="Arial" w:cs="Arial"/>
        <w:u w:val="none"/>
      </w:rPr>
    </w:lvl>
    <w:lvl w:ilvl="6">
      <w:start w:val="1"/>
      <w:numFmt w:val="bullet"/>
      <w:lvlText w:val="●"/>
      <w:lvlJc w:val="left"/>
      <w:pPr>
        <w:ind w:left="5040" w:firstLine="9720"/>
      </w:pPr>
      <w:rPr>
        <w:rFonts w:ascii="Arial" w:eastAsia="Arial" w:hAnsi="Arial" w:cs="Arial"/>
        <w:u w:val="none"/>
      </w:rPr>
    </w:lvl>
    <w:lvl w:ilvl="7">
      <w:start w:val="1"/>
      <w:numFmt w:val="bullet"/>
      <w:lvlText w:val="○"/>
      <w:lvlJc w:val="left"/>
      <w:pPr>
        <w:ind w:left="5760" w:firstLine="11160"/>
      </w:pPr>
      <w:rPr>
        <w:rFonts w:ascii="Arial" w:eastAsia="Arial" w:hAnsi="Arial" w:cs="Arial"/>
        <w:u w:val="none"/>
      </w:rPr>
    </w:lvl>
    <w:lvl w:ilvl="8">
      <w:start w:val="1"/>
      <w:numFmt w:val="bullet"/>
      <w:lvlText w:val="■"/>
      <w:lvlJc w:val="left"/>
      <w:pPr>
        <w:ind w:left="6480" w:firstLine="12600"/>
      </w:pPr>
      <w:rPr>
        <w:rFonts w:ascii="Arial" w:eastAsia="Arial" w:hAnsi="Arial" w:cs="Arial"/>
        <w:u w:val="none"/>
      </w:rPr>
    </w:lvl>
  </w:abstractNum>
  <w:abstractNum w:abstractNumId="20" w15:restartNumberingAfterBreak="0">
    <w:nsid w:val="7C7E2F62"/>
    <w:multiLevelType w:val="hybridMultilevel"/>
    <w:tmpl w:val="1D46581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7D167A69"/>
    <w:multiLevelType w:val="multilevel"/>
    <w:tmpl w:val="9F368302"/>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num w:numId="1">
    <w:abstractNumId w:val="7"/>
  </w:num>
  <w:num w:numId="2">
    <w:abstractNumId w:val="8"/>
  </w:num>
  <w:num w:numId="3">
    <w:abstractNumId w:val="2"/>
  </w:num>
  <w:num w:numId="4">
    <w:abstractNumId w:val="10"/>
  </w:num>
  <w:num w:numId="5">
    <w:abstractNumId w:val="13"/>
  </w:num>
  <w:num w:numId="6">
    <w:abstractNumId w:val="1"/>
  </w:num>
  <w:num w:numId="7">
    <w:abstractNumId w:val="16"/>
  </w:num>
  <w:num w:numId="8">
    <w:abstractNumId w:val="18"/>
  </w:num>
  <w:num w:numId="9">
    <w:abstractNumId w:val="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27"/>
    </w:lvlOverride>
  </w:num>
  <w:num w:numId="10">
    <w:abstractNumId w:val="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27"/>
    </w:lvlOverride>
  </w:num>
  <w:num w:numId="11">
    <w:abstractNumId w:val="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27"/>
    </w:lvlOverride>
  </w:num>
  <w:num w:numId="12">
    <w:abstractNumId w:val="6"/>
  </w:num>
  <w:num w:numId="13">
    <w:abstractNumId w:val="15"/>
  </w:num>
  <w:num w:numId="14">
    <w:abstractNumId w:val="17"/>
  </w:num>
  <w:num w:numId="15">
    <w:abstractNumId w:val="1"/>
  </w:num>
  <w:num w:numId="16">
    <w:abstractNumId w:val="1"/>
  </w:num>
  <w:num w:numId="17">
    <w:abstractNumId w:val="12"/>
  </w:num>
  <w:num w:numId="18">
    <w:abstractNumId w:val="9"/>
  </w:num>
  <w:num w:numId="19">
    <w:abstractNumId w:val="20"/>
  </w:num>
  <w:num w:numId="20">
    <w:abstractNumId w:val="5"/>
  </w:num>
  <w:num w:numId="21">
    <w:abstractNumId w:val="3"/>
  </w:num>
  <w:num w:numId="22">
    <w:abstractNumId w:val="21"/>
  </w:num>
  <w:num w:numId="23">
    <w:abstractNumId w:val="0"/>
  </w:num>
  <w:num w:numId="24">
    <w:abstractNumId w:val="4"/>
  </w:num>
  <w:num w:numId="25">
    <w:abstractNumId w:val="14"/>
  </w:num>
  <w:num w:numId="26">
    <w:abstractNumId w:val="19"/>
  </w:num>
  <w:num w:numId="2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20"/>
  <w:characterSpacingControl w:val="doNotCompress"/>
  <w:hdrShapeDefaults>
    <o:shapedefaults v:ext="edit" spidmax="1024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17C6"/>
    <w:rsid w:val="00001556"/>
    <w:rsid w:val="000143F0"/>
    <w:rsid w:val="00017E7E"/>
    <w:rsid w:val="0005267D"/>
    <w:rsid w:val="00052743"/>
    <w:rsid w:val="00052CE4"/>
    <w:rsid w:val="000E2E9B"/>
    <w:rsid w:val="000F0580"/>
    <w:rsid w:val="000F72EF"/>
    <w:rsid w:val="00107D86"/>
    <w:rsid w:val="001158E9"/>
    <w:rsid w:val="001272B0"/>
    <w:rsid w:val="001419AB"/>
    <w:rsid w:val="00152BB8"/>
    <w:rsid w:val="001879C7"/>
    <w:rsid w:val="00191296"/>
    <w:rsid w:val="00193E56"/>
    <w:rsid w:val="001D77F7"/>
    <w:rsid w:val="001E5E5C"/>
    <w:rsid w:val="001F020D"/>
    <w:rsid w:val="002057A3"/>
    <w:rsid w:val="00223B15"/>
    <w:rsid w:val="00226262"/>
    <w:rsid w:val="002372ED"/>
    <w:rsid w:val="00245B90"/>
    <w:rsid w:val="00250390"/>
    <w:rsid w:val="0025216C"/>
    <w:rsid w:val="00255991"/>
    <w:rsid w:val="00262398"/>
    <w:rsid w:val="002647E9"/>
    <w:rsid w:val="00282C54"/>
    <w:rsid w:val="002C7FB3"/>
    <w:rsid w:val="00307A88"/>
    <w:rsid w:val="003466A3"/>
    <w:rsid w:val="00353ECF"/>
    <w:rsid w:val="00353FEC"/>
    <w:rsid w:val="00362D4E"/>
    <w:rsid w:val="00392FA8"/>
    <w:rsid w:val="003A7B4E"/>
    <w:rsid w:val="003C4D88"/>
    <w:rsid w:val="003E122A"/>
    <w:rsid w:val="003E6FA5"/>
    <w:rsid w:val="003F0417"/>
    <w:rsid w:val="003F656F"/>
    <w:rsid w:val="0040214F"/>
    <w:rsid w:val="00424C7F"/>
    <w:rsid w:val="0044518E"/>
    <w:rsid w:val="004537B4"/>
    <w:rsid w:val="00476F40"/>
    <w:rsid w:val="00481DAD"/>
    <w:rsid w:val="0048680D"/>
    <w:rsid w:val="00487D18"/>
    <w:rsid w:val="004B1B5F"/>
    <w:rsid w:val="004C44B9"/>
    <w:rsid w:val="004F7C05"/>
    <w:rsid w:val="00500D21"/>
    <w:rsid w:val="00505172"/>
    <w:rsid w:val="0053719E"/>
    <w:rsid w:val="00563669"/>
    <w:rsid w:val="005815D4"/>
    <w:rsid w:val="00581D34"/>
    <w:rsid w:val="0059117D"/>
    <w:rsid w:val="005B439A"/>
    <w:rsid w:val="005C2962"/>
    <w:rsid w:val="005C2AFD"/>
    <w:rsid w:val="005F770E"/>
    <w:rsid w:val="006049AE"/>
    <w:rsid w:val="0062702B"/>
    <w:rsid w:val="00636490"/>
    <w:rsid w:val="00654030"/>
    <w:rsid w:val="00684ABA"/>
    <w:rsid w:val="006B2014"/>
    <w:rsid w:val="006E05ED"/>
    <w:rsid w:val="006F1B85"/>
    <w:rsid w:val="007123A8"/>
    <w:rsid w:val="00736DEF"/>
    <w:rsid w:val="0074139F"/>
    <w:rsid w:val="00741B15"/>
    <w:rsid w:val="0074209B"/>
    <w:rsid w:val="007632B7"/>
    <w:rsid w:val="00763E52"/>
    <w:rsid w:val="007A2886"/>
    <w:rsid w:val="007A3BC7"/>
    <w:rsid w:val="007F6B28"/>
    <w:rsid w:val="00822B6F"/>
    <w:rsid w:val="008301C9"/>
    <w:rsid w:val="0084491B"/>
    <w:rsid w:val="00861B74"/>
    <w:rsid w:val="00867C9A"/>
    <w:rsid w:val="008733BD"/>
    <w:rsid w:val="008828CF"/>
    <w:rsid w:val="008B6B70"/>
    <w:rsid w:val="008C3D1E"/>
    <w:rsid w:val="008E017D"/>
    <w:rsid w:val="009011AB"/>
    <w:rsid w:val="00904D62"/>
    <w:rsid w:val="00915FF5"/>
    <w:rsid w:val="009544BA"/>
    <w:rsid w:val="009604A3"/>
    <w:rsid w:val="009A0721"/>
    <w:rsid w:val="009A0F3E"/>
    <w:rsid w:val="009D106C"/>
    <w:rsid w:val="00A40890"/>
    <w:rsid w:val="00A43405"/>
    <w:rsid w:val="00A64AB4"/>
    <w:rsid w:val="00A738FF"/>
    <w:rsid w:val="00A75EDC"/>
    <w:rsid w:val="00AA2347"/>
    <w:rsid w:val="00AB3EEE"/>
    <w:rsid w:val="00AD41FF"/>
    <w:rsid w:val="00AF71B7"/>
    <w:rsid w:val="00B86725"/>
    <w:rsid w:val="00BA188B"/>
    <w:rsid w:val="00BF7104"/>
    <w:rsid w:val="00C13FDE"/>
    <w:rsid w:val="00C27546"/>
    <w:rsid w:val="00C361B3"/>
    <w:rsid w:val="00C469C4"/>
    <w:rsid w:val="00C84A06"/>
    <w:rsid w:val="00C85B1A"/>
    <w:rsid w:val="00CA3063"/>
    <w:rsid w:val="00CC12EC"/>
    <w:rsid w:val="00CE3C22"/>
    <w:rsid w:val="00D32070"/>
    <w:rsid w:val="00D426E4"/>
    <w:rsid w:val="00D60240"/>
    <w:rsid w:val="00D67814"/>
    <w:rsid w:val="00D77F05"/>
    <w:rsid w:val="00D83ED3"/>
    <w:rsid w:val="00D86243"/>
    <w:rsid w:val="00D90D41"/>
    <w:rsid w:val="00DA3395"/>
    <w:rsid w:val="00DB6775"/>
    <w:rsid w:val="00DC53A4"/>
    <w:rsid w:val="00DD4B93"/>
    <w:rsid w:val="00DF6FA0"/>
    <w:rsid w:val="00E00DCC"/>
    <w:rsid w:val="00E041B5"/>
    <w:rsid w:val="00E25322"/>
    <w:rsid w:val="00E42E3A"/>
    <w:rsid w:val="00E56CE7"/>
    <w:rsid w:val="00E70363"/>
    <w:rsid w:val="00E77D27"/>
    <w:rsid w:val="00EE19D6"/>
    <w:rsid w:val="00EE4316"/>
    <w:rsid w:val="00F108BD"/>
    <w:rsid w:val="00F117C6"/>
    <w:rsid w:val="00F11AF0"/>
    <w:rsid w:val="00F23AE9"/>
    <w:rsid w:val="00F56BE9"/>
    <w:rsid w:val="00F5794B"/>
    <w:rsid w:val="00F67334"/>
    <w:rsid w:val="00F77C08"/>
    <w:rsid w:val="00F8481C"/>
    <w:rsid w:val="00F95AC4"/>
    <w:rsid w:val="00FA5C27"/>
    <w:rsid w:val="00FD1321"/>
    <w:rsid w:val="00FE520B"/>
    <w:rsid w:val="00FF23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3"/>
    <o:shapelayout v:ext="edit">
      <o:idmap v:ext="edit" data="1"/>
    </o:shapelayout>
  </w:shapeDefaults>
  <w:decimalSymbol w:val="."/>
  <w:listSeparator w:val=","/>
  <w14:docId w14:val="1DA302AA"/>
  <w15:docId w15:val="{0C704C0F-65E9-4CD7-87C6-545140ACBB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2">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iPriority="0"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F117C6"/>
    <w:pPr>
      <w:spacing w:after="0" w:line="240" w:lineRule="auto"/>
    </w:pPr>
    <w:rPr>
      <w:rFonts w:eastAsia="Times New Roman" w:cs="Times New Roman"/>
      <w:szCs w:val="24"/>
    </w:rPr>
  </w:style>
  <w:style w:type="paragraph" w:styleId="Heading1">
    <w:name w:val="heading 1"/>
    <w:basedOn w:val="Normal"/>
    <w:next w:val="Normal"/>
    <w:link w:val="Heading1Char"/>
    <w:qFormat/>
    <w:rsid w:val="00F117C6"/>
    <w:pPr>
      <w:keepNext/>
      <w:spacing w:before="240" w:after="120"/>
      <w:outlineLvl w:val="0"/>
    </w:pPr>
    <w:rPr>
      <w:rFonts w:cs="Arial"/>
      <w:b/>
      <w:bCs/>
      <w:smallCaps/>
      <w:kern w:val="32"/>
      <w:sz w:val="36"/>
      <w:szCs w:val="32"/>
    </w:rPr>
  </w:style>
  <w:style w:type="paragraph" w:styleId="Heading2">
    <w:name w:val="heading 2"/>
    <w:basedOn w:val="Normal"/>
    <w:next w:val="Normal"/>
    <w:link w:val="Heading2Char"/>
    <w:qFormat/>
    <w:rsid w:val="00F117C6"/>
    <w:pPr>
      <w:keepNext/>
      <w:spacing w:before="240" w:after="60"/>
      <w:outlineLvl w:val="1"/>
    </w:pPr>
    <w:rPr>
      <w:rFonts w:ascii="Arial Narrow" w:hAnsi="Arial Narrow" w:cs="Arial"/>
      <w:b/>
      <w:bCs/>
      <w:iCs/>
      <w:smallCap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Reminders">
    <w:name w:val="Reminders"/>
    <w:basedOn w:val="Normal"/>
    <w:link w:val="RemindersChar"/>
    <w:rsid w:val="00F117C6"/>
    <w:pPr>
      <w:spacing w:before="40" w:after="40"/>
    </w:pPr>
    <w:rPr>
      <w:rFonts w:ascii="Trebuchet MS" w:hAnsi="Trebuchet MS"/>
      <w:i/>
      <w:color w:val="FF0000"/>
    </w:rPr>
  </w:style>
  <w:style w:type="character" w:customStyle="1" w:styleId="RemindersChar">
    <w:name w:val="Reminders Char"/>
    <w:basedOn w:val="DefaultParagraphFont"/>
    <w:link w:val="Reminders"/>
    <w:rsid w:val="00F117C6"/>
    <w:rPr>
      <w:rFonts w:ascii="Trebuchet MS" w:eastAsia="Times New Roman" w:hAnsi="Trebuchet MS" w:cs="Times New Roman"/>
      <w:i/>
      <w:color w:val="FF0000"/>
      <w:szCs w:val="24"/>
    </w:rPr>
  </w:style>
  <w:style w:type="paragraph" w:styleId="Caption">
    <w:name w:val="caption"/>
    <w:basedOn w:val="Normal"/>
    <w:next w:val="Normal"/>
    <w:link w:val="CaptionChar"/>
    <w:qFormat/>
    <w:rsid w:val="00F117C6"/>
    <w:rPr>
      <w:b/>
      <w:bCs/>
      <w:szCs w:val="3276"/>
    </w:rPr>
  </w:style>
  <w:style w:type="character" w:customStyle="1" w:styleId="CaptionChar">
    <w:name w:val="Caption Char"/>
    <w:basedOn w:val="DefaultParagraphFont"/>
    <w:link w:val="Caption"/>
    <w:rsid w:val="00F117C6"/>
    <w:rPr>
      <w:rFonts w:eastAsia="Times New Roman" w:cs="Times New Roman"/>
      <w:b/>
      <w:bCs/>
      <w:szCs w:val="3276"/>
    </w:rPr>
  </w:style>
  <w:style w:type="paragraph" w:styleId="Footer">
    <w:name w:val="footer"/>
    <w:basedOn w:val="Normal"/>
    <w:link w:val="FooterChar"/>
    <w:unhideWhenUsed/>
    <w:rsid w:val="00F117C6"/>
    <w:pPr>
      <w:tabs>
        <w:tab w:val="center" w:pos="4680"/>
        <w:tab w:val="right" w:pos="9360"/>
      </w:tabs>
    </w:pPr>
  </w:style>
  <w:style w:type="character" w:customStyle="1" w:styleId="FooterChar">
    <w:name w:val="Footer Char"/>
    <w:basedOn w:val="DefaultParagraphFont"/>
    <w:link w:val="Footer"/>
    <w:rsid w:val="00F117C6"/>
    <w:rPr>
      <w:rFonts w:eastAsia="Times New Roman" w:cs="Times New Roman"/>
      <w:szCs w:val="24"/>
    </w:rPr>
  </w:style>
  <w:style w:type="paragraph" w:customStyle="1" w:styleId="WPnumber">
    <w:name w:val="WPnumber"/>
    <w:basedOn w:val="Normal"/>
    <w:link w:val="WPnumberChar"/>
    <w:rsid w:val="00F117C6"/>
    <w:pPr>
      <w:jc w:val="right"/>
    </w:pPr>
    <w:rPr>
      <w:rFonts w:cstheme="minorHAnsi"/>
      <w:b/>
      <w:sz w:val="48"/>
      <w:szCs w:val="48"/>
    </w:rPr>
  </w:style>
  <w:style w:type="character" w:customStyle="1" w:styleId="WPnumberChar">
    <w:name w:val="WPnumber Char"/>
    <w:basedOn w:val="DefaultParagraphFont"/>
    <w:link w:val="WPnumber"/>
    <w:rsid w:val="00F117C6"/>
    <w:rPr>
      <w:rFonts w:eastAsia="Times New Roman" w:cstheme="minorHAnsi"/>
      <w:b/>
      <w:sz w:val="48"/>
      <w:szCs w:val="48"/>
    </w:rPr>
  </w:style>
  <w:style w:type="paragraph" w:customStyle="1" w:styleId="Revnumber">
    <w:name w:val="Revnumber"/>
    <w:basedOn w:val="WPnumber"/>
    <w:link w:val="RevnumberChar"/>
    <w:rsid w:val="00F117C6"/>
  </w:style>
  <w:style w:type="character" w:customStyle="1" w:styleId="RevnumberChar">
    <w:name w:val="Revnumber Char"/>
    <w:basedOn w:val="WPnumberChar"/>
    <w:link w:val="Revnumber"/>
    <w:rsid w:val="00F117C6"/>
    <w:rPr>
      <w:rFonts w:eastAsia="Times New Roman" w:cstheme="minorHAnsi"/>
      <w:b/>
      <w:sz w:val="48"/>
      <w:szCs w:val="48"/>
    </w:rPr>
  </w:style>
  <w:style w:type="character" w:styleId="PlaceholderText">
    <w:name w:val="Placeholder Text"/>
    <w:basedOn w:val="DefaultParagraphFont"/>
    <w:uiPriority w:val="99"/>
    <w:semiHidden/>
    <w:rsid w:val="00F117C6"/>
    <w:rPr>
      <w:color w:val="808080"/>
    </w:rPr>
  </w:style>
  <w:style w:type="paragraph" w:styleId="BalloonText">
    <w:name w:val="Balloon Text"/>
    <w:basedOn w:val="Normal"/>
    <w:link w:val="BalloonTextChar"/>
    <w:uiPriority w:val="99"/>
    <w:semiHidden/>
    <w:unhideWhenUsed/>
    <w:rsid w:val="00F117C6"/>
    <w:rPr>
      <w:rFonts w:ascii="Tahoma" w:hAnsi="Tahoma" w:cs="Tahoma"/>
      <w:sz w:val="16"/>
      <w:szCs w:val="16"/>
    </w:rPr>
  </w:style>
  <w:style w:type="character" w:customStyle="1" w:styleId="BalloonTextChar">
    <w:name w:val="Balloon Text Char"/>
    <w:basedOn w:val="DefaultParagraphFont"/>
    <w:link w:val="BalloonText"/>
    <w:uiPriority w:val="99"/>
    <w:semiHidden/>
    <w:rsid w:val="00F117C6"/>
    <w:rPr>
      <w:rFonts w:ascii="Tahoma" w:eastAsia="Times New Roman" w:hAnsi="Tahoma" w:cs="Tahoma"/>
      <w:sz w:val="16"/>
      <w:szCs w:val="16"/>
    </w:rPr>
  </w:style>
  <w:style w:type="character" w:customStyle="1" w:styleId="Heading1Char">
    <w:name w:val="Heading 1 Char"/>
    <w:basedOn w:val="DefaultParagraphFont"/>
    <w:link w:val="Heading1"/>
    <w:rsid w:val="00F117C6"/>
    <w:rPr>
      <w:rFonts w:eastAsia="Times New Roman" w:cs="Arial"/>
      <w:b/>
      <w:bCs/>
      <w:smallCaps/>
      <w:kern w:val="32"/>
      <w:sz w:val="36"/>
      <w:szCs w:val="32"/>
    </w:rPr>
  </w:style>
  <w:style w:type="character" w:customStyle="1" w:styleId="Heading2Char">
    <w:name w:val="Heading 2 Char"/>
    <w:basedOn w:val="DefaultParagraphFont"/>
    <w:link w:val="Heading2"/>
    <w:rsid w:val="00F117C6"/>
    <w:rPr>
      <w:rFonts w:ascii="Arial Narrow" w:eastAsia="Times New Roman" w:hAnsi="Arial Narrow" w:cs="Arial"/>
      <w:b/>
      <w:bCs/>
      <w:iCs/>
      <w:smallCaps/>
      <w:sz w:val="28"/>
      <w:szCs w:val="28"/>
    </w:rPr>
  </w:style>
  <w:style w:type="table" w:customStyle="1" w:styleId="TableGrid1">
    <w:name w:val="Table Grid1"/>
    <w:basedOn w:val="TableNormal"/>
    <w:next w:val="TableGrid"/>
    <w:rsid w:val="00F117C6"/>
    <w:pPr>
      <w:spacing w:after="0" w:line="240" w:lineRule="auto"/>
    </w:pPr>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rsid w:val="00F117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F117C6"/>
    <w:pPr>
      <w:ind w:left="720"/>
      <w:contextualSpacing/>
    </w:pPr>
  </w:style>
  <w:style w:type="paragraph" w:styleId="Header">
    <w:name w:val="header"/>
    <w:basedOn w:val="Normal"/>
    <w:link w:val="HeaderChar"/>
    <w:uiPriority w:val="99"/>
    <w:unhideWhenUsed/>
    <w:rsid w:val="00FE520B"/>
    <w:pPr>
      <w:tabs>
        <w:tab w:val="center" w:pos="4680"/>
        <w:tab w:val="right" w:pos="9360"/>
      </w:tabs>
    </w:pPr>
  </w:style>
  <w:style w:type="character" w:customStyle="1" w:styleId="HeaderChar">
    <w:name w:val="Header Char"/>
    <w:basedOn w:val="DefaultParagraphFont"/>
    <w:link w:val="Header"/>
    <w:uiPriority w:val="99"/>
    <w:rsid w:val="00FE520B"/>
    <w:rPr>
      <w:rFonts w:eastAsia="Times New Roman" w:cs="Times New Roman"/>
      <w:szCs w:val="24"/>
    </w:rPr>
  </w:style>
  <w:style w:type="table" w:styleId="TableContemporary">
    <w:name w:val="Table Contemporary"/>
    <w:basedOn w:val="TableNormal"/>
    <w:rsid w:val="00500D21"/>
    <w:pPr>
      <w:spacing w:after="0" w:line="240" w:lineRule="auto"/>
    </w:pPr>
    <w:rPr>
      <w:rFonts w:ascii="Times New Roman" w:eastAsia="Times New Roman" w:hAnsi="Times New Roman"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customStyle="1" w:styleId="ART">
    <w:name w:val="ART"/>
    <w:basedOn w:val="Normal"/>
    <w:next w:val="PR1"/>
    <w:rsid w:val="00A64AB4"/>
    <w:pPr>
      <w:numPr>
        <w:ilvl w:val="1"/>
        <w:numId w:val="6"/>
      </w:numPr>
      <w:suppressAutoHyphens/>
      <w:spacing w:before="240"/>
      <w:outlineLvl w:val="1"/>
    </w:pPr>
    <w:rPr>
      <w:rFonts w:ascii="Arial" w:eastAsia="Batang" w:hAnsi="Arial"/>
      <w:b/>
      <w:caps/>
      <w:sz w:val="20"/>
      <w:szCs w:val="20"/>
    </w:rPr>
  </w:style>
  <w:style w:type="paragraph" w:customStyle="1" w:styleId="PR1">
    <w:name w:val="PR1"/>
    <w:basedOn w:val="ART"/>
    <w:rsid w:val="00A64AB4"/>
    <w:pPr>
      <w:numPr>
        <w:ilvl w:val="2"/>
      </w:numPr>
      <w:outlineLvl w:val="2"/>
    </w:pPr>
    <w:rPr>
      <w:b w:val="0"/>
      <w:caps w:val="0"/>
    </w:rPr>
  </w:style>
  <w:style w:type="paragraph" w:customStyle="1" w:styleId="PR2">
    <w:name w:val="PR2"/>
    <w:basedOn w:val="PR1"/>
    <w:rsid w:val="00A64AB4"/>
    <w:pPr>
      <w:numPr>
        <w:ilvl w:val="3"/>
      </w:numPr>
      <w:spacing w:before="0"/>
      <w:outlineLvl w:val="3"/>
    </w:pPr>
  </w:style>
  <w:style w:type="paragraph" w:customStyle="1" w:styleId="PR3">
    <w:name w:val="PR3"/>
    <w:basedOn w:val="PR1"/>
    <w:rsid w:val="00A64AB4"/>
    <w:pPr>
      <w:numPr>
        <w:ilvl w:val="4"/>
      </w:numPr>
      <w:spacing w:before="0"/>
      <w:outlineLvl w:val="4"/>
    </w:pPr>
  </w:style>
  <w:style w:type="paragraph" w:customStyle="1" w:styleId="PR4">
    <w:name w:val="PR4"/>
    <w:basedOn w:val="PR1"/>
    <w:rsid w:val="00A64AB4"/>
    <w:pPr>
      <w:numPr>
        <w:ilvl w:val="5"/>
      </w:numPr>
      <w:tabs>
        <w:tab w:val="left" w:pos="2448"/>
      </w:tabs>
      <w:spacing w:before="0"/>
      <w:outlineLvl w:val="5"/>
    </w:pPr>
  </w:style>
  <w:style w:type="paragraph" w:customStyle="1" w:styleId="PR5">
    <w:name w:val="PR5"/>
    <w:basedOn w:val="PR1"/>
    <w:rsid w:val="00A64AB4"/>
    <w:pPr>
      <w:numPr>
        <w:ilvl w:val="6"/>
      </w:numPr>
      <w:spacing w:before="0"/>
      <w:outlineLvl w:val="6"/>
    </w:pPr>
  </w:style>
  <w:style w:type="paragraph" w:customStyle="1" w:styleId="PR6">
    <w:name w:val="PR6"/>
    <w:basedOn w:val="PR1"/>
    <w:rsid w:val="00A64AB4"/>
    <w:pPr>
      <w:numPr>
        <w:ilvl w:val="7"/>
      </w:numPr>
      <w:tabs>
        <w:tab w:val="left" w:pos="3744"/>
      </w:tabs>
      <w:spacing w:before="0"/>
      <w:outlineLvl w:val="7"/>
    </w:pPr>
  </w:style>
  <w:style w:type="paragraph" w:customStyle="1" w:styleId="PR7">
    <w:name w:val="PR7"/>
    <w:basedOn w:val="PR6"/>
    <w:rsid w:val="00A64AB4"/>
    <w:pPr>
      <w:numPr>
        <w:ilvl w:val="8"/>
      </w:numPr>
      <w:tabs>
        <w:tab w:val="left" w:pos="4464"/>
      </w:tabs>
    </w:pPr>
  </w:style>
  <w:style w:type="paragraph" w:customStyle="1" w:styleId="TBL">
    <w:name w:val="TBL"/>
    <w:rsid w:val="00A64AB4"/>
    <w:pPr>
      <w:numPr>
        <w:numId w:val="7"/>
      </w:numPr>
      <w:spacing w:before="120" w:after="120" w:line="240" w:lineRule="auto"/>
      <w:jc w:val="center"/>
    </w:pPr>
    <w:rPr>
      <w:rFonts w:ascii="Arial" w:eastAsia="Batang" w:hAnsi="Arial" w:cs="Times New Roman"/>
      <w:b/>
      <w:sz w:val="20"/>
      <w:szCs w:val="20"/>
    </w:rPr>
  </w:style>
  <w:style w:type="character" w:styleId="Hyperlink">
    <w:name w:val="Hyperlink"/>
    <w:basedOn w:val="DefaultParagraphFont"/>
    <w:uiPriority w:val="99"/>
    <w:rsid w:val="00A64AB4"/>
    <w:rPr>
      <w:rFonts w:cs="Times New Roman"/>
      <w:color w:val="0000FF"/>
      <w:u w:val="single"/>
    </w:rPr>
  </w:style>
  <w:style w:type="paragraph" w:customStyle="1" w:styleId="Normal1">
    <w:name w:val="Normal1"/>
    <w:basedOn w:val="Normal"/>
    <w:rsid w:val="00A64AB4"/>
    <w:pPr>
      <w:overflowPunct w:val="0"/>
      <w:autoSpaceDE w:val="0"/>
      <w:autoSpaceDN w:val="0"/>
      <w:adjustRightInd w:val="0"/>
      <w:spacing w:after="120" w:line="360" w:lineRule="atLeast"/>
      <w:textAlignment w:val="baseline"/>
    </w:pPr>
    <w:rPr>
      <w:rFonts w:ascii="Times New Roman" w:eastAsia="Batang" w:hAnsi="Times New Roman"/>
      <w:szCs w:val="20"/>
    </w:rPr>
  </w:style>
  <w:style w:type="paragraph" w:customStyle="1" w:styleId="WPSCT">
    <w:name w:val="WPSCT"/>
    <w:basedOn w:val="Normal"/>
    <w:next w:val="ART"/>
    <w:qFormat/>
    <w:rsid w:val="00A64AB4"/>
    <w:pPr>
      <w:numPr>
        <w:numId w:val="6"/>
      </w:numPr>
      <w:suppressAutoHyphens/>
      <w:spacing w:before="240"/>
      <w:outlineLvl w:val="0"/>
    </w:pPr>
    <w:rPr>
      <w:rFonts w:ascii="Arial" w:eastAsia="Batang" w:hAnsi="Arial"/>
      <w:b/>
      <w:caps/>
      <w:sz w:val="20"/>
      <w:szCs w:val="20"/>
    </w:rPr>
  </w:style>
  <w:style w:type="paragraph" w:customStyle="1" w:styleId="WPART">
    <w:name w:val="WPART"/>
    <w:basedOn w:val="ART"/>
    <w:qFormat/>
    <w:rsid w:val="00A64AB4"/>
    <w:pPr>
      <w:keepNext/>
    </w:pPr>
  </w:style>
  <w:style w:type="paragraph" w:customStyle="1" w:styleId="WPPR1">
    <w:name w:val="WPPR1"/>
    <w:basedOn w:val="PR1"/>
    <w:qFormat/>
    <w:rsid w:val="00A64AB4"/>
  </w:style>
  <w:style w:type="paragraph" w:customStyle="1" w:styleId="Vertical">
    <w:name w:val="Vertical"/>
    <w:basedOn w:val="Normal1"/>
    <w:qFormat/>
    <w:rsid w:val="00A64AB4"/>
    <w:pPr>
      <w:spacing w:line="240" w:lineRule="auto"/>
      <w:jc w:val="center"/>
    </w:pPr>
    <w:rPr>
      <w:rFonts w:ascii="Arial" w:eastAsia="Times New Roman" w:hAnsi="Arial"/>
      <w:sz w:val="20"/>
    </w:rPr>
  </w:style>
  <w:style w:type="paragraph" w:customStyle="1" w:styleId="WPPR2">
    <w:name w:val="WPPR2"/>
    <w:basedOn w:val="PR2"/>
    <w:qFormat/>
    <w:rsid w:val="005815D4"/>
    <w:pPr>
      <w:numPr>
        <w:numId w:val="1"/>
      </w:numPr>
    </w:pPr>
  </w:style>
  <w:style w:type="paragraph" w:customStyle="1" w:styleId="WPPR3">
    <w:name w:val="WPPR3"/>
    <w:basedOn w:val="PR3"/>
    <w:qFormat/>
    <w:rsid w:val="005815D4"/>
    <w:pPr>
      <w:numPr>
        <w:numId w:val="1"/>
      </w:numPr>
    </w:pPr>
  </w:style>
  <w:style w:type="character" w:styleId="EndnoteReference">
    <w:name w:val="endnote reference"/>
    <w:basedOn w:val="DefaultParagraphFont"/>
    <w:rsid w:val="00A64AB4"/>
    <w:rPr>
      <w:vertAlign w:val="superscript"/>
    </w:rPr>
  </w:style>
  <w:style w:type="paragraph" w:styleId="FootnoteText">
    <w:name w:val="footnote text"/>
    <w:basedOn w:val="Normal"/>
    <w:link w:val="FootnoteTextChar"/>
    <w:uiPriority w:val="99"/>
    <w:semiHidden/>
    <w:unhideWhenUsed/>
    <w:rsid w:val="00A64AB4"/>
    <w:rPr>
      <w:sz w:val="20"/>
      <w:szCs w:val="20"/>
    </w:rPr>
  </w:style>
  <w:style w:type="character" w:customStyle="1" w:styleId="FootnoteTextChar">
    <w:name w:val="Footnote Text Char"/>
    <w:basedOn w:val="DefaultParagraphFont"/>
    <w:link w:val="FootnoteText"/>
    <w:uiPriority w:val="99"/>
    <w:semiHidden/>
    <w:rsid w:val="00A64AB4"/>
    <w:rPr>
      <w:rFonts w:eastAsia="Times New Roman" w:cs="Times New Roman"/>
      <w:sz w:val="20"/>
      <w:szCs w:val="20"/>
    </w:rPr>
  </w:style>
  <w:style w:type="character" w:styleId="FootnoteReference">
    <w:name w:val="footnote reference"/>
    <w:basedOn w:val="DefaultParagraphFont"/>
    <w:uiPriority w:val="99"/>
    <w:semiHidden/>
    <w:unhideWhenUsed/>
    <w:rsid w:val="00A64AB4"/>
    <w:rPr>
      <w:vertAlign w:val="superscript"/>
    </w:rPr>
  </w:style>
  <w:style w:type="character" w:styleId="CommentReference">
    <w:name w:val="annotation reference"/>
    <w:basedOn w:val="DefaultParagraphFont"/>
    <w:uiPriority w:val="99"/>
    <w:semiHidden/>
    <w:unhideWhenUsed/>
    <w:rsid w:val="00A40890"/>
    <w:rPr>
      <w:sz w:val="16"/>
      <w:szCs w:val="16"/>
    </w:rPr>
  </w:style>
  <w:style w:type="paragraph" w:styleId="CommentText">
    <w:name w:val="annotation text"/>
    <w:basedOn w:val="Normal"/>
    <w:link w:val="CommentTextChar"/>
    <w:uiPriority w:val="99"/>
    <w:semiHidden/>
    <w:unhideWhenUsed/>
    <w:rsid w:val="00A40890"/>
    <w:rPr>
      <w:sz w:val="20"/>
      <w:szCs w:val="20"/>
    </w:rPr>
  </w:style>
  <w:style w:type="character" w:customStyle="1" w:styleId="CommentTextChar">
    <w:name w:val="Comment Text Char"/>
    <w:basedOn w:val="DefaultParagraphFont"/>
    <w:link w:val="CommentText"/>
    <w:uiPriority w:val="99"/>
    <w:semiHidden/>
    <w:rsid w:val="00A40890"/>
    <w:rPr>
      <w:rFonts w:eastAsia="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A40890"/>
    <w:rPr>
      <w:b/>
      <w:bCs/>
    </w:rPr>
  </w:style>
  <w:style w:type="character" w:customStyle="1" w:styleId="CommentSubjectChar">
    <w:name w:val="Comment Subject Char"/>
    <w:basedOn w:val="CommentTextChar"/>
    <w:link w:val="CommentSubject"/>
    <w:uiPriority w:val="99"/>
    <w:semiHidden/>
    <w:rsid w:val="00A40890"/>
    <w:rPr>
      <w:rFonts w:eastAsia="Times New Roman" w:cs="Times New Roman"/>
      <w:b/>
      <w:bCs/>
      <w:sz w:val="20"/>
      <w:szCs w:val="20"/>
    </w:rPr>
  </w:style>
  <w:style w:type="character" w:styleId="Strong">
    <w:name w:val="Strong"/>
    <w:qFormat/>
    <w:rsid w:val="0025216C"/>
    <w:rPr>
      <w:b/>
      <w:bCs/>
    </w:rPr>
  </w:style>
  <w:style w:type="table" w:customStyle="1" w:styleId="TableGrid11">
    <w:name w:val="Table Grid11"/>
    <w:basedOn w:val="TableNormal"/>
    <w:next w:val="TableGrid"/>
    <w:rsid w:val="0025216C"/>
    <w:pPr>
      <w:spacing w:after="0" w:line="240" w:lineRule="auto"/>
    </w:pPr>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2D1C3A54D61944DBB3D63B92C982C696"/>
        <w:category>
          <w:name w:val="General"/>
          <w:gallery w:val="placeholder"/>
        </w:category>
        <w:types>
          <w:type w:val="bbPlcHdr"/>
        </w:types>
        <w:behaviors>
          <w:behavior w:val="content"/>
        </w:behaviors>
        <w:guid w:val="{F650BA68-2FED-4C03-A228-33EEEE5F70A1}"/>
      </w:docPartPr>
      <w:docPartBody>
        <w:p w:rsidR="005C5C4F" w:rsidRDefault="001F1348" w:rsidP="001F1348">
          <w:pPr>
            <w:pStyle w:val="2D1C3A54D61944DBB3D63B92C982C696"/>
          </w:pPr>
          <w:r w:rsidRPr="0033327F">
            <w:rPr>
              <w:rStyle w:val="PlaceholderText"/>
            </w:rPr>
            <w:t>[Title]</w:t>
          </w:r>
        </w:p>
      </w:docPartBody>
    </w:docPart>
    <w:docPart>
      <w:docPartPr>
        <w:name w:val="5420FAF41CED451EAB8369D8BC2C0B60"/>
        <w:category>
          <w:name w:val="General"/>
          <w:gallery w:val="placeholder"/>
        </w:category>
        <w:types>
          <w:type w:val="bbPlcHdr"/>
        </w:types>
        <w:behaviors>
          <w:behavior w:val="content"/>
        </w:behaviors>
        <w:guid w:val="{07636B28-D62B-4A70-8ACE-F496EEC0C22D}"/>
      </w:docPartPr>
      <w:docPartBody>
        <w:p w:rsidR="005C5C4F" w:rsidRDefault="001F1348" w:rsidP="001F1348">
          <w:pPr>
            <w:pStyle w:val="5420FAF41CED451EAB8369D8BC2C0B60"/>
          </w:pPr>
          <w:r w:rsidRPr="0033327F">
            <w:rPr>
              <w:rStyle w:val="PlaceholderText"/>
            </w:rPr>
            <w:t>[Status]</w:t>
          </w:r>
        </w:p>
      </w:docPartBody>
    </w:docPart>
    <w:docPart>
      <w:docPartPr>
        <w:name w:val="954041495DA644508C725EBE45A9A075"/>
        <w:category>
          <w:name w:val="General"/>
          <w:gallery w:val="placeholder"/>
        </w:category>
        <w:types>
          <w:type w:val="bbPlcHdr"/>
        </w:types>
        <w:behaviors>
          <w:behavior w:val="content"/>
        </w:behaviors>
        <w:guid w:val="{E0F9CD43-C7D6-4BD6-B31F-DEA4DFBB8C2B}"/>
      </w:docPartPr>
      <w:docPartBody>
        <w:p w:rsidR="005C5C4F" w:rsidRDefault="001F1348" w:rsidP="001F1348">
          <w:pPr>
            <w:pStyle w:val="954041495DA644508C725EBE45A9A075"/>
          </w:pPr>
          <w:r w:rsidRPr="0033327F">
            <w:rPr>
              <w:rStyle w:val="PlaceholderText"/>
            </w:rPr>
            <w:t>[Company]</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1348"/>
    <w:rsid w:val="00131B1E"/>
    <w:rsid w:val="001F1348"/>
    <w:rsid w:val="00272735"/>
    <w:rsid w:val="002C53B6"/>
    <w:rsid w:val="00306DAD"/>
    <w:rsid w:val="00344BC0"/>
    <w:rsid w:val="0037586B"/>
    <w:rsid w:val="00400FBA"/>
    <w:rsid w:val="004071DC"/>
    <w:rsid w:val="004A6E2F"/>
    <w:rsid w:val="00523398"/>
    <w:rsid w:val="005C5C4F"/>
    <w:rsid w:val="00780E3A"/>
    <w:rsid w:val="008262D6"/>
    <w:rsid w:val="00882257"/>
    <w:rsid w:val="008D3C4F"/>
    <w:rsid w:val="009F7E92"/>
    <w:rsid w:val="00AC1BF4"/>
    <w:rsid w:val="00BC30DF"/>
    <w:rsid w:val="00DD71FD"/>
    <w:rsid w:val="00F34CD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306DAD"/>
    <w:rPr>
      <w:color w:val="808080"/>
    </w:rPr>
  </w:style>
  <w:style w:type="paragraph" w:customStyle="1" w:styleId="2D1C3A54D61944DBB3D63B92C982C696">
    <w:name w:val="2D1C3A54D61944DBB3D63B92C982C696"/>
    <w:rsid w:val="001F1348"/>
  </w:style>
  <w:style w:type="paragraph" w:customStyle="1" w:styleId="5420FAF41CED451EAB8369D8BC2C0B60">
    <w:name w:val="5420FAF41CED451EAB8369D8BC2C0B60"/>
    <w:rsid w:val="001F1348"/>
  </w:style>
  <w:style w:type="paragraph" w:customStyle="1" w:styleId="954041495DA644508C725EBE45A9A075">
    <w:name w:val="954041495DA644508C725EBE45A9A075"/>
    <w:rsid w:val="001F1348"/>
  </w:style>
  <w:style w:type="paragraph" w:customStyle="1" w:styleId="8C46EF96C9FB444D8B5F08F2D49CB598">
    <w:name w:val="8C46EF96C9FB444D8B5F08F2D49CB598"/>
    <w:rsid w:val="00306DAD"/>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A6198F-CA6A-4FF9-9C80-F1F6C06E89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1104</Words>
  <Characters>6293</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WPSDGEREHC0030</vt:lpstr>
    </vt:vector>
  </TitlesOfParts>
  <Company>San Diego Gas &amp; Electric</Company>
  <LinksUpToDate>false</LinksUpToDate>
  <CharactersWithSpaces>7383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WPSDGEREHC0030</dc:title>
  <dc:creator>Mark 2009</dc:creator>
  <cp:lastModifiedBy>Valenzuela, Kelvin</cp:lastModifiedBy>
  <cp:revision>2</cp:revision>
  <dcterms:created xsi:type="dcterms:W3CDTF">2017-06-29T13:55:00Z</dcterms:created>
  <dcterms:modified xsi:type="dcterms:W3CDTF">2017-06-29T13:55:00Z</dcterms:modified>
  <cp:contentStatus>Revision 0</cp:contentStatus>
</cp:coreProperties>
</file>