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C4111" w14:textId="28125DA2" w:rsidR="00F117C6" w:rsidRPr="00500C4E" w:rsidRDefault="009A0721" w:rsidP="00F117C6">
      <w:pPr>
        <w:pStyle w:val="WPnumber"/>
      </w:pPr>
      <w:bookmarkStart w:id="0" w:name="_Toc153189647"/>
      <w:r>
        <w:t xml:space="preserve">Short Form </w:t>
      </w:r>
      <w:r w:rsidR="00F117C6" w:rsidRPr="00500C4E">
        <w:t xml:space="preserve">Work Paper </w:t>
      </w:r>
      <w:sdt>
        <w:sdtPr>
          <w:rPr>
            <w:rFonts w:cs="Arial"/>
          </w:rPr>
          <w:alias w:val="Title"/>
          <w:tag w:val=""/>
          <w:id w:val="650333005"/>
          <w:placeholder>
            <w:docPart w:val="2D1C3A54D61944DBB3D63B92C982C696"/>
          </w:placeholder>
          <w:dataBinding w:prefixMappings="xmlns:ns0='http://purl.org/dc/elements/1.1/' xmlns:ns1='http://schemas.openxmlformats.org/package/2006/metadata/core-properties' " w:xpath="/ns1:coreProperties[1]/ns0:title[1]" w:storeItemID="{6C3C8BC8-F283-45AE-878A-BAB7291924A1}"/>
          <w:text/>
        </w:sdtPr>
        <w:sdtEndPr/>
        <w:sdtContent>
          <w:r w:rsidR="00047473">
            <w:rPr>
              <w:rFonts w:cs="Arial"/>
            </w:rPr>
            <w:t>WPSDGEREHC0024</w:t>
          </w:r>
        </w:sdtContent>
      </w:sdt>
    </w:p>
    <w:bookmarkEnd w:id="0"/>
    <w:p w14:paraId="0AE90950" w14:textId="35AE8473" w:rsidR="00F117C6" w:rsidRPr="00500C4E" w:rsidRDefault="00804FC4" w:rsidP="00F117C6">
      <w:pPr>
        <w:pStyle w:val="Revnumber"/>
        <w:rPr>
          <w:rStyle w:val="CaptionChar"/>
          <w:b/>
          <w:bCs w:val="0"/>
        </w:rPr>
      </w:pPr>
      <w:sdt>
        <w:sdtPr>
          <w:rPr>
            <w:rStyle w:val="CaptionChar"/>
            <w:b/>
            <w:bCs w:val="0"/>
          </w:rPr>
          <w:alias w:val="Revision"/>
          <w:tag w:val=""/>
          <w:id w:val="-1338455471"/>
          <w:placeholder>
            <w:docPart w:val="5420FAF41CED451EAB8369D8BC2C0B60"/>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7A725B">
            <w:rPr>
              <w:rStyle w:val="CaptionChar"/>
              <w:b/>
              <w:bCs w:val="0"/>
            </w:rPr>
            <w:t>Revision 2</w:t>
          </w:r>
        </w:sdtContent>
      </w:sdt>
    </w:p>
    <w:p w14:paraId="2916F743" w14:textId="77777777" w:rsidR="00F117C6" w:rsidRPr="00500C4E" w:rsidRDefault="00F117C6" w:rsidP="00F117C6">
      <w:pPr>
        <w:jc w:val="right"/>
        <w:rPr>
          <w:rFonts w:cstheme="minorHAnsi"/>
          <w:b/>
          <w:sz w:val="48"/>
          <w:szCs w:val="48"/>
        </w:rPr>
      </w:pPr>
    </w:p>
    <w:bookmarkStart w:id="1" w:name="SCE"/>
    <w:p w14:paraId="71189DD4" w14:textId="0C10FEA3" w:rsidR="00F117C6" w:rsidRPr="00500C4E" w:rsidRDefault="00804FC4" w:rsidP="00F117C6">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954041495DA644508C725EBE45A9A075"/>
          </w:placeholder>
          <w:dataBinding w:prefixMappings="xmlns:ns0='http://schemas.openxmlformats.org/officeDocument/2006/extended-properties' " w:xpath="/ns0:Properties[1]/ns0:Company[1]" w:storeItemID="{6668398D-A668-4E3E-A5EB-62B293D839F1}"/>
          <w:text/>
        </w:sdtPr>
        <w:sdtEndPr/>
        <w:sdtContent>
          <w:r w:rsidR="00B3313A">
            <w:rPr>
              <w:rFonts w:cstheme="minorHAnsi"/>
              <w:b/>
              <w:sz w:val="36"/>
              <w:szCs w:val="36"/>
            </w:rPr>
            <w:t>San Diego Gas &amp; Electric</w:t>
          </w:r>
        </w:sdtContent>
      </w:sdt>
      <w:bookmarkEnd w:id="1"/>
    </w:p>
    <w:p w14:paraId="586BBBB6" w14:textId="77777777" w:rsidR="00F117C6" w:rsidRPr="006049AE" w:rsidRDefault="006049AE" w:rsidP="00F117C6">
      <w:pPr>
        <w:rPr>
          <w:rFonts w:cstheme="minorHAnsi"/>
          <w:b/>
        </w:rPr>
      </w:pPr>
      <w:r w:rsidRPr="006049AE">
        <w:rPr>
          <w:rFonts w:cstheme="minorHAnsi"/>
          <w:b/>
        </w:rPr>
        <w:t>Energy Efficiency Engineering</w:t>
      </w:r>
    </w:p>
    <w:p w14:paraId="380D0BF6" w14:textId="77777777" w:rsidR="00F117C6" w:rsidRPr="00500C4E" w:rsidRDefault="00F117C6" w:rsidP="00F117C6">
      <w:pPr>
        <w:rPr>
          <w:rFonts w:cstheme="minorHAnsi"/>
        </w:rPr>
      </w:pPr>
    </w:p>
    <w:p w14:paraId="6790A3D9" w14:textId="77777777" w:rsidR="00F117C6" w:rsidRPr="00500C4E" w:rsidRDefault="00F117C6" w:rsidP="00F117C6">
      <w:pPr>
        <w:tabs>
          <w:tab w:val="left" w:pos="8190"/>
        </w:tabs>
        <w:rPr>
          <w:rFonts w:cstheme="minorHAnsi"/>
        </w:rPr>
      </w:pPr>
      <w:r w:rsidRPr="00500C4E">
        <w:rPr>
          <w:rFonts w:cstheme="minorHAnsi"/>
        </w:rPr>
        <w:tab/>
      </w:r>
    </w:p>
    <w:p w14:paraId="32EAA09D" w14:textId="77777777" w:rsidR="00F117C6" w:rsidRPr="00500C4E" w:rsidRDefault="00F117C6" w:rsidP="00F117C6">
      <w:pPr>
        <w:rPr>
          <w:rFonts w:cstheme="minorHAnsi"/>
        </w:rPr>
      </w:pPr>
    </w:p>
    <w:p w14:paraId="6E206646" w14:textId="77777777" w:rsidR="00F117C6" w:rsidRPr="00500C4E" w:rsidRDefault="00F117C6" w:rsidP="00F117C6">
      <w:pPr>
        <w:rPr>
          <w:rFonts w:cstheme="minorHAnsi"/>
        </w:rPr>
      </w:pPr>
    </w:p>
    <w:p w14:paraId="6C0070F5" w14:textId="77777777" w:rsidR="00F117C6" w:rsidRPr="00500C4E" w:rsidRDefault="00F117C6" w:rsidP="00F117C6">
      <w:pPr>
        <w:rPr>
          <w:rFonts w:cstheme="minorHAnsi"/>
        </w:rPr>
      </w:pPr>
    </w:p>
    <w:p w14:paraId="67FA45A3" w14:textId="77777777" w:rsidR="00F117C6" w:rsidRPr="00500C4E" w:rsidRDefault="00F117C6" w:rsidP="00F117C6">
      <w:pPr>
        <w:rPr>
          <w:rFonts w:cstheme="minorHAnsi"/>
        </w:rPr>
      </w:pPr>
    </w:p>
    <w:p w14:paraId="074E67F1" w14:textId="77777777" w:rsidR="00F117C6" w:rsidRPr="00500C4E" w:rsidRDefault="00F117C6" w:rsidP="00F117C6">
      <w:pPr>
        <w:rPr>
          <w:rFonts w:cstheme="minorHAnsi"/>
        </w:rPr>
      </w:pPr>
    </w:p>
    <w:p w14:paraId="7125267F" w14:textId="77777777" w:rsidR="00047473" w:rsidRPr="000B575F" w:rsidRDefault="00047473" w:rsidP="00047473">
      <w:pPr>
        <w:rPr>
          <w:rFonts w:cs="Calibri"/>
          <w:szCs w:val="22"/>
        </w:rPr>
      </w:pPr>
      <w:r>
        <w:rPr>
          <w:rFonts w:cstheme="minorHAnsi"/>
          <w:b/>
          <w:sz w:val="72"/>
          <w:szCs w:val="72"/>
        </w:rPr>
        <w:t>Efficient Fan Controller for Residential Air Conditioners</w:t>
      </w:r>
    </w:p>
    <w:p w14:paraId="341BB6B0" w14:textId="77777777" w:rsidR="00861B74" w:rsidRDefault="00861B74" w:rsidP="000F72EF">
      <w:pPr>
        <w:rPr>
          <w:rFonts w:cstheme="minorHAnsi"/>
          <w:b/>
          <w:sz w:val="72"/>
          <w:szCs w:val="72"/>
        </w:rPr>
      </w:pPr>
    </w:p>
    <w:p w14:paraId="263C4EDD" w14:textId="77777777" w:rsidR="00861B74" w:rsidRDefault="00861B74" w:rsidP="000F72EF">
      <w:pPr>
        <w:rPr>
          <w:rFonts w:cstheme="minorHAnsi"/>
          <w:b/>
          <w:sz w:val="72"/>
          <w:szCs w:val="72"/>
        </w:rPr>
      </w:pPr>
    </w:p>
    <w:p w14:paraId="72AA2E5A" w14:textId="77777777" w:rsidR="00861B74" w:rsidRDefault="00861B74" w:rsidP="000F72EF">
      <w:pPr>
        <w:rPr>
          <w:rFonts w:cstheme="minorHAnsi"/>
          <w:b/>
          <w:sz w:val="72"/>
          <w:szCs w:val="72"/>
        </w:rPr>
      </w:pPr>
    </w:p>
    <w:p w14:paraId="05C12A23" w14:textId="77777777" w:rsidR="00861B74" w:rsidRDefault="00861B74" w:rsidP="000F72EF">
      <w:pPr>
        <w:rPr>
          <w:rFonts w:cstheme="minorHAnsi"/>
          <w:b/>
          <w:sz w:val="72"/>
          <w:szCs w:val="72"/>
        </w:rPr>
      </w:pPr>
    </w:p>
    <w:p w14:paraId="0E8AABFF" w14:textId="77777777" w:rsidR="00861B74" w:rsidRDefault="00861B74" w:rsidP="000F72EF">
      <w:pPr>
        <w:rPr>
          <w:rFonts w:cstheme="minorHAnsi"/>
          <w:b/>
          <w:sz w:val="72"/>
          <w:szCs w:val="72"/>
        </w:rPr>
      </w:pPr>
    </w:p>
    <w:p w14:paraId="78F51626" w14:textId="77777777" w:rsidR="00861B74" w:rsidRDefault="00861B74" w:rsidP="000F72EF">
      <w:pPr>
        <w:rPr>
          <w:rFonts w:cstheme="minorHAnsi"/>
          <w:b/>
          <w:sz w:val="72"/>
          <w:szCs w:val="72"/>
        </w:rPr>
      </w:pPr>
    </w:p>
    <w:p w14:paraId="6D5F98B4" w14:textId="79F36DEA" w:rsidR="00861B74" w:rsidRPr="00861B74" w:rsidRDefault="00A4362B" w:rsidP="00861B74">
      <w:pPr>
        <w:jc w:val="right"/>
        <w:rPr>
          <w:rFonts w:cstheme="minorHAnsi"/>
          <w:b/>
          <w:sz w:val="28"/>
          <w:szCs w:val="28"/>
        </w:rPr>
        <w:sectPr w:rsidR="00861B74" w:rsidRPr="00861B74" w:rsidSect="00307E3B">
          <w:footerReference w:type="default" r:id="rId9"/>
          <w:pgSz w:w="12240" w:h="15840"/>
          <w:pgMar w:top="1440" w:right="1080" w:bottom="1440" w:left="1080" w:header="720" w:footer="720" w:gutter="0"/>
          <w:cols w:space="720"/>
          <w:titlePg/>
          <w:docGrid w:linePitch="360"/>
        </w:sectPr>
      </w:pPr>
      <w:r>
        <w:rPr>
          <w:rFonts w:cstheme="minorHAnsi"/>
          <w:b/>
          <w:sz w:val="28"/>
          <w:szCs w:val="28"/>
        </w:rPr>
        <w:t>December 15</w:t>
      </w:r>
      <w:r w:rsidR="00CE25BE">
        <w:rPr>
          <w:rFonts w:cstheme="minorHAnsi"/>
          <w:b/>
          <w:sz w:val="28"/>
          <w:szCs w:val="28"/>
        </w:rPr>
        <w:t>, 2016</w:t>
      </w:r>
    </w:p>
    <w:p w14:paraId="5FB9CFF2" w14:textId="618B1C0F" w:rsidR="00542511" w:rsidRPr="008828CF" w:rsidRDefault="00047473" w:rsidP="00542511">
      <w:pPr>
        <w:pStyle w:val="Heading1"/>
      </w:pPr>
      <w:bookmarkStart w:id="2" w:name="_Toc214003090"/>
      <w:r>
        <w:lastRenderedPageBreak/>
        <w:t>Efficient Fan Controller for Residential Conditioners</w:t>
      </w:r>
      <w:r w:rsidR="00611C59">
        <w:t xml:space="preserve"> </w:t>
      </w:r>
      <w:r w:rsidR="00542511" w:rsidRPr="008828CF">
        <w:t>Short Form WP</w:t>
      </w:r>
    </w:p>
    <w:p w14:paraId="766B6F9F" w14:textId="77777777" w:rsidR="00542511" w:rsidRPr="00711962" w:rsidRDefault="00542511" w:rsidP="00542511">
      <w:pPr>
        <w:pStyle w:val="Heading2"/>
      </w:pPr>
      <w:r w:rsidRPr="00711962">
        <w:t>Introduction</w:t>
      </w:r>
    </w:p>
    <w:p w14:paraId="24E79B0C" w14:textId="33A03F0F" w:rsidR="00711962" w:rsidRPr="004A6977" w:rsidRDefault="00542511" w:rsidP="00542511">
      <w:pPr>
        <w:rPr>
          <w:szCs w:val="22"/>
        </w:rPr>
      </w:pPr>
      <w:r w:rsidRPr="004A6977">
        <w:rPr>
          <w:szCs w:val="22"/>
        </w:rPr>
        <w:t xml:space="preserve">This short form workpaper </w:t>
      </w:r>
      <w:r w:rsidR="00711962" w:rsidRPr="004A6977">
        <w:rPr>
          <w:szCs w:val="22"/>
        </w:rPr>
        <w:t>(</w:t>
      </w:r>
      <w:r w:rsidR="00754912" w:rsidRPr="004A6977">
        <w:rPr>
          <w:szCs w:val="22"/>
        </w:rPr>
        <w:t>WP</w:t>
      </w:r>
      <w:r w:rsidR="00711962" w:rsidRPr="004A6977">
        <w:rPr>
          <w:szCs w:val="22"/>
        </w:rPr>
        <w:t xml:space="preserve">) </w:t>
      </w:r>
      <w:r w:rsidRPr="004A6977">
        <w:rPr>
          <w:szCs w:val="22"/>
        </w:rPr>
        <w:t xml:space="preserve">documents the values adopted from </w:t>
      </w:r>
      <w:r w:rsidR="00711962" w:rsidRPr="004A6977">
        <w:rPr>
          <w:szCs w:val="22"/>
        </w:rPr>
        <w:t>SC</w:t>
      </w:r>
      <w:r w:rsidR="00047473" w:rsidRPr="004A6977">
        <w:rPr>
          <w:szCs w:val="22"/>
        </w:rPr>
        <w:t>E</w:t>
      </w:r>
      <w:r w:rsidR="00711962" w:rsidRPr="004A6977">
        <w:rPr>
          <w:szCs w:val="22"/>
        </w:rPr>
        <w:t>’s</w:t>
      </w:r>
      <w:r w:rsidRPr="004A6977">
        <w:rPr>
          <w:szCs w:val="22"/>
        </w:rPr>
        <w:t xml:space="preserve"> </w:t>
      </w:r>
      <w:r w:rsidR="00711962" w:rsidRPr="004A6977">
        <w:rPr>
          <w:szCs w:val="22"/>
        </w:rPr>
        <w:t>w</w:t>
      </w:r>
      <w:r w:rsidR="00AA54FB" w:rsidRPr="004A6977">
        <w:rPr>
          <w:szCs w:val="22"/>
        </w:rPr>
        <w:t>ork</w:t>
      </w:r>
      <w:r w:rsidR="00711962" w:rsidRPr="004A6977">
        <w:rPr>
          <w:szCs w:val="22"/>
        </w:rPr>
        <w:t>p</w:t>
      </w:r>
      <w:r w:rsidR="00AA54FB" w:rsidRPr="004A6977">
        <w:rPr>
          <w:szCs w:val="22"/>
        </w:rPr>
        <w:t>aper</w:t>
      </w:r>
      <w:r w:rsidRPr="004A6977">
        <w:rPr>
          <w:szCs w:val="22"/>
        </w:rPr>
        <w:t xml:space="preserve"> entitled “</w:t>
      </w:r>
      <w:r w:rsidR="00047473" w:rsidRPr="004A6977">
        <w:rPr>
          <w:szCs w:val="22"/>
        </w:rPr>
        <w:t>Efficient Fan Controller for Residential Air Conditioners and Furnaces</w:t>
      </w:r>
      <w:r w:rsidR="00611C59" w:rsidRPr="004A6977">
        <w:rPr>
          <w:szCs w:val="22"/>
        </w:rPr>
        <w:t xml:space="preserve">” </w:t>
      </w:r>
      <w:r w:rsidRPr="004A6977">
        <w:rPr>
          <w:szCs w:val="22"/>
        </w:rPr>
        <w:t>(</w:t>
      </w:r>
      <w:r w:rsidR="00711962" w:rsidRPr="004A6977">
        <w:rPr>
          <w:szCs w:val="22"/>
        </w:rPr>
        <w:t>SC</w:t>
      </w:r>
      <w:r w:rsidR="00047473" w:rsidRPr="004A6977">
        <w:rPr>
          <w:szCs w:val="22"/>
        </w:rPr>
        <w:t>E1</w:t>
      </w:r>
      <w:r w:rsidR="00842DD2" w:rsidRPr="004A6977">
        <w:rPr>
          <w:szCs w:val="22"/>
        </w:rPr>
        <w:t>3</w:t>
      </w:r>
      <w:r w:rsidR="00047473" w:rsidRPr="004A6977">
        <w:rPr>
          <w:szCs w:val="22"/>
        </w:rPr>
        <w:t>HC052</w:t>
      </w:r>
      <w:r w:rsidR="00711962" w:rsidRPr="004A6977">
        <w:rPr>
          <w:szCs w:val="22"/>
        </w:rPr>
        <w:t xml:space="preserve"> Rev </w:t>
      </w:r>
      <w:r w:rsidR="00047473" w:rsidRPr="004A6977">
        <w:rPr>
          <w:szCs w:val="22"/>
        </w:rPr>
        <w:t>2</w:t>
      </w:r>
      <w:r w:rsidR="002137EC" w:rsidRPr="004A6977">
        <w:rPr>
          <w:szCs w:val="22"/>
        </w:rPr>
        <w:t xml:space="preserve">). </w:t>
      </w:r>
      <w:r w:rsidRPr="004A6977">
        <w:rPr>
          <w:szCs w:val="22"/>
        </w:rPr>
        <w:t>SD</w:t>
      </w:r>
      <w:r w:rsidR="00711962" w:rsidRPr="004A6977">
        <w:rPr>
          <w:szCs w:val="22"/>
        </w:rPr>
        <w:t xml:space="preserve">G&amp;E adopts all of the values </w:t>
      </w:r>
      <w:r w:rsidR="00AA1D02" w:rsidRPr="004A6977">
        <w:rPr>
          <w:szCs w:val="22"/>
        </w:rPr>
        <w:t xml:space="preserve">associated with our climate zone as stated </w:t>
      </w:r>
      <w:r w:rsidR="00711962" w:rsidRPr="004A6977">
        <w:rPr>
          <w:szCs w:val="22"/>
        </w:rPr>
        <w:t xml:space="preserve">in </w:t>
      </w:r>
      <w:r w:rsidRPr="004A6977">
        <w:rPr>
          <w:szCs w:val="22"/>
        </w:rPr>
        <w:t>S</w:t>
      </w:r>
      <w:r w:rsidR="00711962" w:rsidRPr="004A6977">
        <w:rPr>
          <w:szCs w:val="22"/>
        </w:rPr>
        <w:t>C</w:t>
      </w:r>
      <w:r w:rsidR="00047473" w:rsidRPr="004A6977">
        <w:rPr>
          <w:szCs w:val="22"/>
        </w:rPr>
        <w:t>E1</w:t>
      </w:r>
      <w:r w:rsidR="00842DD2" w:rsidRPr="004A6977">
        <w:rPr>
          <w:szCs w:val="22"/>
        </w:rPr>
        <w:t>3</w:t>
      </w:r>
      <w:r w:rsidR="00047473" w:rsidRPr="004A6977">
        <w:rPr>
          <w:szCs w:val="22"/>
        </w:rPr>
        <w:t>HC052</w:t>
      </w:r>
      <w:r w:rsidR="00611C59" w:rsidRPr="004A6977">
        <w:rPr>
          <w:szCs w:val="22"/>
        </w:rPr>
        <w:t xml:space="preserve"> </w:t>
      </w:r>
      <w:r w:rsidR="00711962" w:rsidRPr="004A6977">
        <w:rPr>
          <w:szCs w:val="22"/>
        </w:rPr>
        <w:t xml:space="preserve">Rev </w:t>
      </w:r>
      <w:r w:rsidR="00047473" w:rsidRPr="004A6977">
        <w:rPr>
          <w:szCs w:val="22"/>
        </w:rPr>
        <w:t>2</w:t>
      </w:r>
      <w:r w:rsidR="00711962" w:rsidRPr="004A6977">
        <w:rPr>
          <w:szCs w:val="22"/>
        </w:rPr>
        <w:t xml:space="preserve"> </w:t>
      </w:r>
      <w:r w:rsidR="00AA1D02" w:rsidRPr="004A6977">
        <w:rPr>
          <w:szCs w:val="22"/>
        </w:rPr>
        <w:t xml:space="preserve">workpaper </w:t>
      </w:r>
      <w:r w:rsidRPr="004A6977">
        <w:rPr>
          <w:szCs w:val="22"/>
        </w:rPr>
        <w:t xml:space="preserve">with the </w:t>
      </w:r>
      <w:r w:rsidR="00125989" w:rsidRPr="004A6977">
        <w:rPr>
          <w:szCs w:val="22"/>
        </w:rPr>
        <w:t xml:space="preserve">following </w:t>
      </w:r>
      <w:r w:rsidRPr="004A6977">
        <w:rPr>
          <w:szCs w:val="22"/>
        </w:rPr>
        <w:t>exception</w:t>
      </w:r>
      <w:r w:rsidR="00125989" w:rsidRPr="004A6977">
        <w:rPr>
          <w:szCs w:val="22"/>
        </w:rPr>
        <w:t>s</w:t>
      </w:r>
      <w:r w:rsidR="002137EC" w:rsidRPr="004A6977">
        <w:rPr>
          <w:szCs w:val="22"/>
        </w:rPr>
        <w:t>:</w:t>
      </w:r>
    </w:p>
    <w:p w14:paraId="375E2231" w14:textId="77777777" w:rsidR="00711962" w:rsidRPr="004A6977" w:rsidRDefault="00711962" w:rsidP="00542511">
      <w:pPr>
        <w:rPr>
          <w:szCs w:val="22"/>
        </w:rPr>
      </w:pPr>
    </w:p>
    <w:p w14:paraId="56711A79" w14:textId="7DEC26D5" w:rsidR="00711962" w:rsidRPr="004A6977" w:rsidRDefault="007B32FD" w:rsidP="00CF51EF">
      <w:pPr>
        <w:pStyle w:val="ListParagraph"/>
        <w:numPr>
          <w:ilvl w:val="0"/>
          <w:numId w:val="22"/>
        </w:numPr>
        <w:rPr>
          <w:szCs w:val="22"/>
        </w:rPr>
      </w:pPr>
      <w:r w:rsidRPr="004A6977">
        <w:rPr>
          <w:szCs w:val="22"/>
        </w:rPr>
        <w:t>SDG</w:t>
      </w:r>
      <w:r w:rsidR="005A0962" w:rsidRPr="004A6977">
        <w:rPr>
          <w:szCs w:val="22"/>
        </w:rPr>
        <w:t>&amp;</w:t>
      </w:r>
      <w:r w:rsidRPr="004A6977">
        <w:rPr>
          <w:szCs w:val="22"/>
        </w:rPr>
        <w:t xml:space="preserve">E intends to use </w:t>
      </w:r>
      <w:r w:rsidR="00542511" w:rsidRPr="004A6977">
        <w:rPr>
          <w:szCs w:val="22"/>
        </w:rPr>
        <w:t xml:space="preserve">the </w:t>
      </w:r>
      <w:r w:rsidR="003563C3" w:rsidRPr="004A6977">
        <w:rPr>
          <w:szCs w:val="22"/>
        </w:rPr>
        <w:t>“</w:t>
      </w:r>
      <w:proofErr w:type="spellStart"/>
      <w:r w:rsidR="00CF51EF" w:rsidRPr="004A6977">
        <w:rPr>
          <w:szCs w:val="22"/>
        </w:rPr>
        <w:t>SDG</w:t>
      </w:r>
      <w:proofErr w:type="gramStart"/>
      <w:r w:rsidR="00CF51EF" w:rsidRPr="004A6977">
        <w:rPr>
          <w:szCs w:val="22"/>
        </w:rPr>
        <w:t>:DEER:Res:HVAC</w:t>
      </w:r>
      <w:proofErr w:type="gramEnd"/>
      <w:r w:rsidR="00CF51EF" w:rsidRPr="004A6977">
        <w:rPr>
          <w:szCs w:val="22"/>
        </w:rPr>
        <w:t>_Eff_AC</w:t>
      </w:r>
      <w:proofErr w:type="spellEnd"/>
      <w:r w:rsidR="003563C3" w:rsidRPr="004A6977">
        <w:rPr>
          <w:szCs w:val="22"/>
        </w:rPr>
        <w:t>”</w:t>
      </w:r>
      <w:r w:rsidRPr="004A6977">
        <w:rPr>
          <w:szCs w:val="22"/>
        </w:rPr>
        <w:t xml:space="preserve"> </w:t>
      </w:r>
      <w:r w:rsidR="00542511" w:rsidRPr="004A6977">
        <w:rPr>
          <w:szCs w:val="22"/>
        </w:rPr>
        <w:t xml:space="preserve">E3 load </w:t>
      </w:r>
      <w:r w:rsidR="006A6EAE" w:rsidRPr="004A6977">
        <w:rPr>
          <w:szCs w:val="22"/>
        </w:rPr>
        <w:t>shape.</w:t>
      </w:r>
    </w:p>
    <w:p w14:paraId="60B2E3E2" w14:textId="162EDACF" w:rsidR="00BA1651" w:rsidRPr="004A6977" w:rsidRDefault="00BA1651" w:rsidP="007B32FD">
      <w:pPr>
        <w:pStyle w:val="ListParagraph"/>
        <w:numPr>
          <w:ilvl w:val="0"/>
          <w:numId w:val="22"/>
        </w:numPr>
        <w:rPr>
          <w:szCs w:val="22"/>
        </w:rPr>
      </w:pPr>
      <w:r w:rsidRPr="004A6977">
        <w:rPr>
          <w:szCs w:val="22"/>
        </w:rPr>
        <w:t xml:space="preserve">SDG&amp;E intends to offer </w:t>
      </w:r>
      <w:r w:rsidR="007F26F7" w:rsidRPr="004A6977">
        <w:rPr>
          <w:szCs w:val="22"/>
        </w:rPr>
        <w:t xml:space="preserve">Energy Impacts Common Units per controller or </w:t>
      </w:r>
      <w:r w:rsidR="00E37A5C" w:rsidRPr="004A6977">
        <w:rPr>
          <w:szCs w:val="22"/>
        </w:rPr>
        <w:t>each</w:t>
      </w:r>
      <w:r w:rsidR="00B45933" w:rsidRPr="004A6977">
        <w:rPr>
          <w:szCs w:val="22"/>
        </w:rPr>
        <w:t xml:space="preserve">. </w:t>
      </w:r>
      <w:r w:rsidR="00B45933" w:rsidRPr="004A6977">
        <w:rPr>
          <w:rFonts w:cstheme="minorHAnsi"/>
          <w:szCs w:val="22"/>
        </w:rPr>
        <w:t xml:space="preserve">For SDG&amp;E, the savings are normalized to a “per controller” value using tonnages for each building type extracted from the </w:t>
      </w:r>
      <w:proofErr w:type="spellStart"/>
      <w:r w:rsidR="00B45933" w:rsidRPr="004A6977">
        <w:rPr>
          <w:rFonts w:cstheme="minorHAnsi"/>
          <w:szCs w:val="22"/>
        </w:rPr>
        <w:t>MASControl</w:t>
      </w:r>
      <w:proofErr w:type="spellEnd"/>
      <w:r w:rsidR="00B45933" w:rsidRPr="004A6977">
        <w:rPr>
          <w:rFonts w:cstheme="minorHAnsi"/>
          <w:szCs w:val="22"/>
        </w:rPr>
        <w:t xml:space="preserve"> tool. These tonnages are 3.184, 2.123, and 1.122 for single family, double wide mobile home, and multi-family, respectively; </w:t>
      </w:r>
    </w:p>
    <w:p w14:paraId="2D303EA7" w14:textId="669D037B" w:rsidR="00B45933" w:rsidRPr="004A6977" w:rsidRDefault="007F26F7" w:rsidP="007F26F7">
      <w:pPr>
        <w:pStyle w:val="ListParagraph"/>
        <w:numPr>
          <w:ilvl w:val="0"/>
          <w:numId w:val="22"/>
        </w:numPr>
        <w:rPr>
          <w:szCs w:val="22"/>
        </w:rPr>
      </w:pPr>
      <w:r w:rsidRPr="004A6977">
        <w:rPr>
          <w:szCs w:val="22"/>
        </w:rPr>
        <w:t>SDG&amp;E intends to provide</w:t>
      </w:r>
      <w:r w:rsidR="00B45933" w:rsidRPr="004A6977">
        <w:rPr>
          <w:szCs w:val="22"/>
        </w:rPr>
        <w:t xml:space="preserve"> Measure Cost per unit ($/unit). </w:t>
      </w:r>
      <w:r w:rsidR="00B45933" w:rsidRPr="004A6977">
        <w:rPr>
          <w:rFonts w:cstheme="minorHAnsi"/>
          <w:szCs w:val="22"/>
        </w:rPr>
        <w:t xml:space="preserve">The controller cost is also normalized on a per-ton basis using the average rated capacities of the HVAC systems in the DEER eQuest models for DMO, MFM, and SFM. The average rated capacities for DMO, MFM, and SFM are 2.123, 1.122, and 3.184 tons, respectively; </w:t>
      </w:r>
    </w:p>
    <w:p w14:paraId="5A47E3A9" w14:textId="2EE05234" w:rsidR="007F26F7" w:rsidRPr="004A6977" w:rsidRDefault="00B45933" w:rsidP="007F26F7">
      <w:pPr>
        <w:pStyle w:val="ListParagraph"/>
        <w:numPr>
          <w:ilvl w:val="0"/>
          <w:numId w:val="22"/>
        </w:numPr>
        <w:rPr>
          <w:szCs w:val="22"/>
        </w:rPr>
      </w:pPr>
      <w:r w:rsidRPr="004A6977">
        <w:rPr>
          <w:szCs w:val="22"/>
        </w:rPr>
        <w:t xml:space="preserve"> </w:t>
      </w:r>
      <w:r w:rsidR="007F26F7" w:rsidRPr="004A6977">
        <w:rPr>
          <w:szCs w:val="22"/>
        </w:rPr>
        <w:t>SDG&amp;E intends to use a Net-to-Gross Ratio “Res-Default&gt;2” with 0.55 value.</w:t>
      </w:r>
    </w:p>
    <w:p w14:paraId="7D76F131" w14:textId="3F28717E" w:rsidR="00AD38B4" w:rsidRPr="004A6977" w:rsidRDefault="00AD38B4" w:rsidP="00AD38B4">
      <w:pPr>
        <w:pStyle w:val="ListParagraph"/>
        <w:numPr>
          <w:ilvl w:val="0"/>
          <w:numId w:val="22"/>
        </w:numPr>
        <w:rPr>
          <w:szCs w:val="22"/>
        </w:rPr>
      </w:pPr>
      <w:r w:rsidRPr="004A6977">
        <w:rPr>
          <w:szCs w:val="22"/>
        </w:rPr>
        <w:t>SDG&amp;E intends to use EUL_ID of “HV-</w:t>
      </w:r>
      <w:proofErr w:type="spellStart"/>
      <w:r w:rsidRPr="004A6977">
        <w:rPr>
          <w:szCs w:val="22"/>
        </w:rPr>
        <w:t>ResAC</w:t>
      </w:r>
      <w:proofErr w:type="spellEnd"/>
      <w:r w:rsidRPr="004A6977">
        <w:rPr>
          <w:szCs w:val="22"/>
        </w:rPr>
        <w:t>”;</w:t>
      </w:r>
    </w:p>
    <w:p w14:paraId="0906DC84" w14:textId="77777777" w:rsidR="00542511" w:rsidRDefault="00542511" w:rsidP="00542511">
      <w:pPr>
        <w:pStyle w:val="Heading2"/>
      </w:pPr>
      <w:r w:rsidRPr="005734A4">
        <w:t>Document Revision History</w:t>
      </w:r>
      <w:r w:rsidRPr="0025216C">
        <w:t xml:space="preserve"> </w:t>
      </w:r>
    </w:p>
    <w:tbl>
      <w:tblPr>
        <w:tblStyle w:val="TableGrid11"/>
        <w:tblW w:w="5015" w:type="pct"/>
        <w:tblLayout w:type="fixed"/>
        <w:tblLook w:val="01E0" w:firstRow="1" w:lastRow="1" w:firstColumn="1" w:lastColumn="1" w:noHBand="0" w:noVBand="0"/>
      </w:tblPr>
      <w:tblGrid>
        <w:gridCol w:w="509"/>
        <w:gridCol w:w="1078"/>
        <w:gridCol w:w="1656"/>
        <w:gridCol w:w="6362"/>
      </w:tblGrid>
      <w:tr w:rsidR="00542511" w:rsidRPr="00500C4E" w14:paraId="56302E5E" w14:textId="77777777" w:rsidTr="004A6977">
        <w:trPr>
          <w:trHeight w:val="20"/>
        </w:trPr>
        <w:tc>
          <w:tcPr>
            <w:tcW w:w="265" w:type="pct"/>
            <w:shd w:val="clear" w:color="auto" w:fill="D9D9D9" w:themeFill="background1" w:themeFillShade="D9"/>
          </w:tcPr>
          <w:p w14:paraId="67466AA6" w14:textId="77777777" w:rsidR="00542511" w:rsidRPr="000E2B6B" w:rsidRDefault="00542511" w:rsidP="005B2619">
            <w:pPr>
              <w:rPr>
                <w:rStyle w:val="Strong"/>
                <w:bCs w:val="0"/>
              </w:rPr>
            </w:pPr>
            <w:r w:rsidRPr="000E2B6B">
              <w:rPr>
                <w:rStyle w:val="Strong"/>
              </w:rPr>
              <w:t>Rev</w:t>
            </w:r>
          </w:p>
        </w:tc>
        <w:tc>
          <w:tcPr>
            <w:tcW w:w="561" w:type="pct"/>
            <w:shd w:val="clear" w:color="auto" w:fill="D9D9D9" w:themeFill="background1" w:themeFillShade="D9"/>
          </w:tcPr>
          <w:p w14:paraId="13765313" w14:textId="77777777" w:rsidR="00542511" w:rsidRPr="000E2B6B" w:rsidRDefault="00542511" w:rsidP="005B2619">
            <w:pPr>
              <w:rPr>
                <w:rStyle w:val="Strong"/>
                <w:bCs w:val="0"/>
              </w:rPr>
            </w:pPr>
            <w:r w:rsidRPr="000E2B6B">
              <w:rPr>
                <w:rStyle w:val="Strong"/>
              </w:rPr>
              <w:t>Date</w:t>
            </w:r>
          </w:p>
        </w:tc>
        <w:tc>
          <w:tcPr>
            <w:tcW w:w="862" w:type="pct"/>
            <w:shd w:val="clear" w:color="auto" w:fill="D9D9D9" w:themeFill="background1" w:themeFillShade="D9"/>
          </w:tcPr>
          <w:p w14:paraId="3D5DC18A" w14:textId="77777777" w:rsidR="00542511" w:rsidRPr="000E2B6B" w:rsidRDefault="00542511" w:rsidP="005B2619">
            <w:pPr>
              <w:rPr>
                <w:rStyle w:val="Strong"/>
                <w:bCs w:val="0"/>
              </w:rPr>
            </w:pPr>
            <w:r w:rsidRPr="000E2B6B">
              <w:rPr>
                <w:rStyle w:val="Strong"/>
              </w:rPr>
              <w:t>Author</w:t>
            </w:r>
          </w:p>
        </w:tc>
        <w:tc>
          <w:tcPr>
            <w:tcW w:w="3312" w:type="pct"/>
            <w:shd w:val="clear" w:color="auto" w:fill="D9D9D9" w:themeFill="background1" w:themeFillShade="D9"/>
          </w:tcPr>
          <w:p w14:paraId="50D6A978" w14:textId="77777777" w:rsidR="00542511" w:rsidRPr="000E2B6B" w:rsidRDefault="00542511" w:rsidP="005B2619">
            <w:pPr>
              <w:rPr>
                <w:rStyle w:val="Strong"/>
                <w:bCs w:val="0"/>
              </w:rPr>
            </w:pPr>
            <w:r w:rsidRPr="000E2B6B">
              <w:rPr>
                <w:rStyle w:val="Strong"/>
              </w:rPr>
              <w:t>Summary of Changes</w:t>
            </w:r>
          </w:p>
        </w:tc>
      </w:tr>
      <w:tr w:rsidR="00542511" w:rsidRPr="00500C4E" w14:paraId="710D7DFA" w14:textId="77777777" w:rsidTr="004A6977">
        <w:trPr>
          <w:trHeight w:val="20"/>
        </w:trPr>
        <w:tc>
          <w:tcPr>
            <w:tcW w:w="265" w:type="pct"/>
            <w:vAlign w:val="center"/>
          </w:tcPr>
          <w:p w14:paraId="116FBAD2" w14:textId="309B7999" w:rsidR="00542511" w:rsidRPr="000E2B6B" w:rsidRDefault="00B45933" w:rsidP="005B2619">
            <w:pPr>
              <w:jc w:val="center"/>
              <w:rPr>
                <w:rFonts w:cstheme="minorHAnsi"/>
                <w:szCs w:val="20"/>
              </w:rPr>
            </w:pPr>
            <w:r>
              <w:rPr>
                <w:rFonts w:cstheme="minorHAnsi"/>
                <w:szCs w:val="20"/>
              </w:rPr>
              <w:t>0</w:t>
            </w:r>
          </w:p>
        </w:tc>
        <w:tc>
          <w:tcPr>
            <w:tcW w:w="561" w:type="pct"/>
            <w:vAlign w:val="center"/>
          </w:tcPr>
          <w:p w14:paraId="065EC8A2" w14:textId="5794BC58" w:rsidR="00542511" w:rsidRPr="000E2B6B" w:rsidRDefault="00B45933" w:rsidP="005B2619">
            <w:pPr>
              <w:jc w:val="center"/>
              <w:rPr>
                <w:rFonts w:cstheme="minorHAnsi"/>
                <w:szCs w:val="20"/>
              </w:rPr>
            </w:pPr>
            <w:r>
              <w:rPr>
                <w:rFonts w:cstheme="minorHAnsi"/>
                <w:szCs w:val="20"/>
              </w:rPr>
              <w:t>10/25/10</w:t>
            </w:r>
          </w:p>
        </w:tc>
        <w:tc>
          <w:tcPr>
            <w:tcW w:w="862" w:type="pct"/>
            <w:vAlign w:val="center"/>
          </w:tcPr>
          <w:p w14:paraId="7D43A71F" w14:textId="16F182EC" w:rsidR="00542511" w:rsidRPr="000E2B6B" w:rsidRDefault="00542511" w:rsidP="00060A50">
            <w:pPr>
              <w:rPr>
                <w:rFonts w:cstheme="minorHAnsi"/>
                <w:szCs w:val="20"/>
              </w:rPr>
            </w:pPr>
          </w:p>
        </w:tc>
        <w:tc>
          <w:tcPr>
            <w:tcW w:w="3312" w:type="pct"/>
          </w:tcPr>
          <w:p w14:paraId="276F39EA" w14:textId="5570CD23" w:rsidR="00542511" w:rsidRPr="000E2B6B" w:rsidRDefault="00B45933" w:rsidP="005B2619">
            <w:pPr>
              <w:rPr>
                <w:rFonts w:cstheme="minorHAnsi"/>
              </w:rPr>
            </w:pPr>
            <w:r w:rsidRPr="00354B9B">
              <w:rPr>
                <w:rFonts w:cs="Arial"/>
                <w:color w:val="000000"/>
                <w:szCs w:val="20"/>
              </w:rPr>
              <w:t xml:space="preserve">Adapted from </w:t>
            </w:r>
            <w:proofErr w:type="spellStart"/>
            <w:r w:rsidRPr="00354B9B">
              <w:rPr>
                <w:rFonts w:cs="Arial"/>
                <w:color w:val="000000"/>
                <w:szCs w:val="20"/>
              </w:rPr>
              <w:t>SoCalGas</w:t>
            </w:r>
            <w:proofErr w:type="spellEnd"/>
            <w:r w:rsidRPr="00354B9B">
              <w:rPr>
                <w:rFonts w:cs="Arial"/>
                <w:color w:val="000000"/>
                <w:szCs w:val="20"/>
              </w:rPr>
              <w:t xml:space="preserve"> Workpaper SCG0077 Revision #0 dated April 4, 2010, developed by Verified, Inc. Revised weighting in multiple tables for SDGE Climate zones. Added SDGE Work paper number.</w:t>
            </w:r>
          </w:p>
        </w:tc>
      </w:tr>
      <w:tr w:rsidR="00542511" w:rsidRPr="00500C4E" w14:paraId="5F54B632" w14:textId="77777777" w:rsidTr="004A6977">
        <w:trPr>
          <w:trHeight w:val="20"/>
        </w:trPr>
        <w:tc>
          <w:tcPr>
            <w:tcW w:w="265" w:type="pct"/>
            <w:vAlign w:val="center"/>
          </w:tcPr>
          <w:p w14:paraId="2DA6D3F6" w14:textId="57F0082F" w:rsidR="00542511" w:rsidRPr="000E2B6B" w:rsidRDefault="0021346C" w:rsidP="005B2619">
            <w:pPr>
              <w:jc w:val="center"/>
              <w:rPr>
                <w:rStyle w:val="Strong"/>
                <w:b w:val="0"/>
              </w:rPr>
            </w:pPr>
            <w:r>
              <w:rPr>
                <w:rStyle w:val="Strong"/>
                <w:b w:val="0"/>
              </w:rPr>
              <w:t>1</w:t>
            </w:r>
          </w:p>
        </w:tc>
        <w:tc>
          <w:tcPr>
            <w:tcW w:w="561" w:type="pct"/>
            <w:vAlign w:val="center"/>
          </w:tcPr>
          <w:p w14:paraId="741E4CD2" w14:textId="2E76C50C" w:rsidR="00542511" w:rsidRPr="000E2B6B" w:rsidRDefault="0021346C" w:rsidP="005B2619">
            <w:pPr>
              <w:jc w:val="center"/>
              <w:rPr>
                <w:rStyle w:val="Strong"/>
                <w:b w:val="0"/>
              </w:rPr>
            </w:pPr>
            <w:r>
              <w:rPr>
                <w:rStyle w:val="Strong"/>
                <w:b w:val="0"/>
              </w:rPr>
              <w:t>08/25/14</w:t>
            </w:r>
          </w:p>
        </w:tc>
        <w:tc>
          <w:tcPr>
            <w:tcW w:w="862" w:type="pct"/>
            <w:vAlign w:val="center"/>
          </w:tcPr>
          <w:p w14:paraId="497606EE" w14:textId="787D45AC" w:rsidR="00542511" w:rsidRPr="000E2B6B" w:rsidRDefault="0021346C" w:rsidP="0021346C">
            <w:pPr>
              <w:rPr>
                <w:rStyle w:val="Strong"/>
                <w:b w:val="0"/>
              </w:rPr>
            </w:pPr>
            <w:r>
              <w:rPr>
                <w:rStyle w:val="Strong"/>
                <w:b w:val="0"/>
              </w:rPr>
              <w:t xml:space="preserve">Phillip </w:t>
            </w:r>
            <w:proofErr w:type="spellStart"/>
            <w:r>
              <w:rPr>
                <w:rStyle w:val="Strong"/>
                <w:b w:val="0"/>
              </w:rPr>
              <w:t>Hasley</w:t>
            </w:r>
            <w:proofErr w:type="spellEnd"/>
            <w:r>
              <w:rPr>
                <w:rStyle w:val="Strong"/>
                <w:b w:val="0"/>
              </w:rPr>
              <w:t xml:space="preserve">  (</w:t>
            </w:r>
            <w:proofErr w:type="spellStart"/>
            <w:r>
              <w:rPr>
                <w:rStyle w:val="Strong"/>
                <w:b w:val="0"/>
              </w:rPr>
              <w:t>Hasley</w:t>
            </w:r>
            <w:proofErr w:type="spellEnd"/>
            <w:r>
              <w:rPr>
                <w:rStyle w:val="Strong"/>
                <w:b w:val="0"/>
              </w:rPr>
              <w:t xml:space="preserve"> Consulting)</w:t>
            </w:r>
          </w:p>
        </w:tc>
        <w:tc>
          <w:tcPr>
            <w:tcW w:w="3312" w:type="pct"/>
          </w:tcPr>
          <w:p w14:paraId="5558F6A4" w14:textId="09B2B0DA" w:rsidR="0021346C" w:rsidRPr="00354B9B" w:rsidRDefault="0021346C" w:rsidP="0021346C">
            <w:pPr>
              <w:rPr>
                <w:rFonts w:cstheme="minorHAnsi"/>
                <w:b/>
                <w:szCs w:val="20"/>
              </w:rPr>
            </w:pPr>
            <w:r w:rsidRPr="00354B9B">
              <w:rPr>
                <w:rFonts w:cstheme="minorHAnsi"/>
                <w:szCs w:val="20"/>
              </w:rPr>
              <w:t>- Adopted SCE Work Paper SCE13HC052</w:t>
            </w:r>
            <w:r w:rsidR="006576DE">
              <w:rPr>
                <w:rFonts w:cstheme="minorHAnsi"/>
                <w:szCs w:val="20"/>
              </w:rPr>
              <w:t>.</w:t>
            </w:r>
            <w:r w:rsidRPr="00354B9B">
              <w:rPr>
                <w:rFonts w:cstheme="minorHAnsi"/>
                <w:szCs w:val="20"/>
              </w:rPr>
              <w:t>1</w:t>
            </w:r>
          </w:p>
          <w:p w14:paraId="50FAD083" w14:textId="77777777" w:rsidR="0021346C" w:rsidRPr="00354B9B" w:rsidRDefault="0021346C" w:rsidP="0021346C">
            <w:pPr>
              <w:rPr>
                <w:rFonts w:cstheme="minorHAnsi"/>
                <w:b/>
                <w:szCs w:val="20"/>
              </w:rPr>
            </w:pPr>
            <w:r w:rsidRPr="00354B9B">
              <w:rPr>
                <w:rFonts w:cstheme="minorHAnsi"/>
                <w:szCs w:val="20"/>
              </w:rPr>
              <w:t>- Updated Workpaper name</w:t>
            </w:r>
          </w:p>
          <w:p w14:paraId="411E10C0" w14:textId="77777777" w:rsidR="0021346C" w:rsidRPr="00012946" w:rsidRDefault="0021346C" w:rsidP="0021346C">
            <w:pPr>
              <w:rPr>
                <w:rFonts w:cstheme="minorHAnsi"/>
                <w:b/>
                <w:szCs w:val="20"/>
              </w:rPr>
            </w:pPr>
            <w:r w:rsidRPr="00012946">
              <w:rPr>
                <w:rFonts w:cstheme="minorHAnsi"/>
                <w:szCs w:val="20"/>
              </w:rPr>
              <w:t>- Removed calculation template</w:t>
            </w:r>
          </w:p>
          <w:p w14:paraId="39756374" w14:textId="77777777" w:rsidR="0021346C" w:rsidRPr="00354B9B" w:rsidRDefault="0021346C" w:rsidP="0021346C">
            <w:pPr>
              <w:rPr>
                <w:rFonts w:cstheme="minorHAnsi"/>
                <w:b/>
                <w:szCs w:val="20"/>
              </w:rPr>
            </w:pPr>
            <w:r w:rsidRPr="00012946">
              <w:rPr>
                <w:rFonts w:cstheme="minorHAnsi"/>
                <w:szCs w:val="20"/>
              </w:rPr>
              <w:t>-</w:t>
            </w:r>
            <w:r>
              <w:rPr>
                <w:rFonts w:cstheme="minorHAnsi"/>
                <w:szCs w:val="20"/>
              </w:rPr>
              <w:t xml:space="preserve"> </w:t>
            </w:r>
            <w:r w:rsidRPr="00012946">
              <w:rPr>
                <w:rFonts w:cstheme="minorHAnsi"/>
                <w:szCs w:val="20"/>
              </w:rPr>
              <w:t>Removed Table of Contents</w:t>
            </w:r>
          </w:p>
          <w:p w14:paraId="67751A7A" w14:textId="77777777" w:rsidR="0021346C" w:rsidRDefault="0021346C" w:rsidP="0021346C">
            <w:pPr>
              <w:rPr>
                <w:rFonts w:cstheme="minorHAnsi"/>
                <w:b/>
                <w:szCs w:val="20"/>
              </w:rPr>
            </w:pPr>
            <w:r w:rsidRPr="00354B9B">
              <w:rPr>
                <w:rFonts w:cstheme="minorHAnsi"/>
                <w:szCs w:val="20"/>
              </w:rPr>
              <w:t>- Replaced summary tables with At-A-Glance Summary</w:t>
            </w:r>
          </w:p>
          <w:p w14:paraId="1285A326" w14:textId="77777777" w:rsidR="0021346C" w:rsidRPr="005C47D1" w:rsidRDefault="0021346C" w:rsidP="0021346C">
            <w:pPr>
              <w:rPr>
                <w:rFonts w:ascii="Calibri" w:hAnsi="Calibri" w:cs="Calibri"/>
                <w:b/>
                <w:szCs w:val="20"/>
              </w:rPr>
            </w:pPr>
            <w:r w:rsidRPr="005C47D1">
              <w:rPr>
                <w:rFonts w:ascii="Calibri" w:hAnsi="Calibri" w:cs="Calibri"/>
                <w:szCs w:val="20"/>
              </w:rPr>
              <w:t>- Updated EUL_ID</w:t>
            </w:r>
          </w:p>
          <w:p w14:paraId="2BD0A0B4" w14:textId="77777777" w:rsidR="0021346C" w:rsidRPr="005C47D1" w:rsidRDefault="0021346C" w:rsidP="0021346C">
            <w:pPr>
              <w:rPr>
                <w:rFonts w:ascii="Calibri" w:hAnsi="Calibri" w:cs="Calibri"/>
                <w:b/>
                <w:szCs w:val="20"/>
              </w:rPr>
            </w:pPr>
            <w:r w:rsidRPr="005C47D1">
              <w:rPr>
                <w:rFonts w:ascii="Calibri" w:hAnsi="Calibri" w:cs="Calibri"/>
                <w:szCs w:val="20"/>
              </w:rPr>
              <w:t>- Updated NTG</w:t>
            </w:r>
          </w:p>
          <w:p w14:paraId="7DB1E032" w14:textId="77777777" w:rsidR="0021346C" w:rsidRPr="005C47D1" w:rsidRDefault="0021346C" w:rsidP="0021346C">
            <w:pPr>
              <w:rPr>
                <w:rFonts w:ascii="Calibri" w:hAnsi="Calibri" w:cs="Calibri"/>
                <w:b/>
                <w:szCs w:val="20"/>
              </w:rPr>
            </w:pPr>
            <w:r w:rsidRPr="005C47D1">
              <w:rPr>
                <w:rFonts w:ascii="Calibri" w:hAnsi="Calibri" w:cs="Calibri"/>
                <w:szCs w:val="20"/>
              </w:rPr>
              <w:t>- Added GSIA</w:t>
            </w:r>
          </w:p>
          <w:p w14:paraId="2BF2D0F5" w14:textId="77777777" w:rsidR="0021346C" w:rsidRPr="005C47D1" w:rsidRDefault="0021346C" w:rsidP="0021346C">
            <w:pPr>
              <w:rPr>
                <w:rFonts w:ascii="Calibri" w:hAnsi="Calibri" w:cs="Calibri"/>
                <w:b/>
                <w:szCs w:val="20"/>
              </w:rPr>
            </w:pPr>
            <w:r w:rsidRPr="005C47D1">
              <w:rPr>
                <w:rFonts w:ascii="Calibri" w:hAnsi="Calibri" w:cs="Calibri"/>
                <w:szCs w:val="20"/>
              </w:rPr>
              <w:t>- Updated load shapes</w:t>
            </w:r>
          </w:p>
          <w:p w14:paraId="119A1643" w14:textId="1D4704F9" w:rsidR="00542511" w:rsidRPr="000E2B6B" w:rsidRDefault="0021346C" w:rsidP="0021346C">
            <w:pPr>
              <w:rPr>
                <w:rStyle w:val="Strong"/>
                <w:b w:val="0"/>
                <w:bCs w:val="0"/>
              </w:rPr>
            </w:pPr>
            <w:r w:rsidRPr="005C47D1">
              <w:rPr>
                <w:rFonts w:ascii="Calibri" w:hAnsi="Calibri" w:cs="Calibri"/>
                <w:szCs w:val="20"/>
              </w:rPr>
              <w:t>- Updated building types</w:t>
            </w:r>
          </w:p>
        </w:tc>
      </w:tr>
      <w:tr w:rsidR="000D7357" w:rsidRPr="00500C4E" w14:paraId="390103E0" w14:textId="77777777" w:rsidTr="004A6977">
        <w:trPr>
          <w:trHeight w:val="20"/>
        </w:trPr>
        <w:tc>
          <w:tcPr>
            <w:tcW w:w="265" w:type="pct"/>
            <w:vAlign w:val="center"/>
          </w:tcPr>
          <w:p w14:paraId="65005A86" w14:textId="36821139" w:rsidR="000D7357" w:rsidRDefault="007A725B" w:rsidP="005B2619">
            <w:pPr>
              <w:jc w:val="center"/>
              <w:rPr>
                <w:rStyle w:val="Strong"/>
                <w:b w:val="0"/>
              </w:rPr>
            </w:pPr>
            <w:r>
              <w:rPr>
                <w:rStyle w:val="Strong"/>
                <w:b w:val="0"/>
              </w:rPr>
              <w:t>2</w:t>
            </w:r>
          </w:p>
        </w:tc>
        <w:tc>
          <w:tcPr>
            <w:tcW w:w="561" w:type="pct"/>
            <w:vAlign w:val="center"/>
          </w:tcPr>
          <w:p w14:paraId="599DC322" w14:textId="3F4EA0F1" w:rsidR="000D7357" w:rsidRDefault="00E94375" w:rsidP="0021346C">
            <w:pPr>
              <w:jc w:val="center"/>
              <w:rPr>
                <w:rFonts w:cstheme="minorHAnsi"/>
                <w:szCs w:val="20"/>
              </w:rPr>
            </w:pPr>
            <w:r>
              <w:rPr>
                <w:rFonts w:cstheme="minorHAnsi"/>
                <w:szCs w:val="20"/>
              </w:rPr>
              <w:t>12/15/16</w:t>
            </w:r>
          </w:p>
        </w:tc>
        <w:tc>
          <w:tcPr>
            <w:tcW w:w="862" w:type="pct"/>
            <w:vAlign w:val="center"/>
          </w:tcPr>
          <w:p w14:paraId="1453E43E" w14:textId="4AE411C6" w:rsidR="000D7357" w:rsidRPr="007C69D9" w:rsidRDefault="00B837F8" w:rsidP="00D35C9C">
            <w:pPr>
              <w:rPr>
                <w:rFonts w:cstheme="minorHAnsi"/>
                <w:szCs w:val="20"/>
              </w:rPr>
            </w:pPr>
            <w:r>
              <w:rPr>
                <w:rFonts w:cstheme="minorHAnsi"/>
                <w:szCs w:val="20"/>
              </w:rPr>
              <w:t>Eduardo Reynoso</w:t>
            </w:r>
            <w:r w:rsidR="0021346C">
              <w:rPr>
                <w:rFonts w:cstheme="minorHAnsi"/>
                <w:szCs w:val="20"/>
              </w:rPr>
              <w:t xml:space="preserve"> (SDG&amp;E)</w:t>
            </w:r>
          </w:p>
        </w:tc>
        <w:tc>
          <w:tcPr>
            <w:tcW w:w="3312" w:type="pct"/>
          </w:tcPr>
          <w:p w14:paraId="7167DFC9" w14:textId="57ECF88A" w:rsidR="000D7357" w:rsidRPr="007C69D9" w:rsidRDefault="00B837F8" w:rsidP="00842DD2">
            <w:pPr>
              <w:rPr>
                <w:rFonts w:cstheme="minorHAnsi"/>
                <w:bCs/>
                <w:szCs w:val="20"/>
              </w:rPr>
            </w:pPr>
            <w:r>
              <w:rPr>
                <w:rFonts w:cstheme="minorHAnsi"/>
                <w:bCs/>
                <w:szCs w:val="20"/>
              </w:rPr>
              <w:t>Adopted Short Form Workpaper based on referen</w:t>
            </w:r>
            <w:r w:rsidR="00842DD2">
              <w:rPr>
                <w:rFonts w:cstheme="minorHAnsi"/>
                <w:bCs/>
                <w:szCs w:val="20"/>
              </w:rPr>
              <w:t>cing IOU lead workpaper by SCE, SCE13HC052 Rev2.</w:t>
            </w:r>
          </w:p>
        </w:tc>
      </w:tr>
    </w:tbl>
    <w:p w14:paraId="234E9571" w14:textId="77777777" w:rsidR="006576DE" w:rsidRDefault="006576DE" w:rsidP="00CB11C9">
      <w:pPr>
        <w:pStyle w:val="Caption"/>
        <w:keepNext/>
        <w:jc w:val="center"/>
      </w:pPr>
    </w:p>
    <w:p w14:paraId="5C961968" w14:textId="5B1881B1" w:rsidR="006527B1" w:rsidRDefault="006527B1">
      <w:pPr>
        <w:spacing w:after="200" w:line="276" w:lineRule="auto"/>
        <w:rPr>
          <w:b/>
          <w:bCs/>
          <w:szCs w:val="3276"/>
        </w:rPr>
      </w:pPr>
      <w:r>
        <w:br w:type="page"/>
      </w:r>
    </w:p>
    <w:p w14:paraId="01957425" w14:textId="77777777" w:rsidR="00CB11C9" w:rsidRPr="006527B1" w:rsidRDefault="00CB11C9" w:rsidP="00CB11C9">
      <w:pPr>
        <w:pStyle w:val="Caption"/>
        <w:keepNext/>
        <w:jc w:val="center"/>
        <w:rPr>
          <w:sz w:val="20"/>
          <w:szCs w:val="20"/>
        </w:rPr>
      </w:pPr>
      <w:r w:rsidRPr="006527B1">
        <w:rPr>
          <w:sz w:val="20"/>
          <w:szCs w:val="20"/>
        </w:rPr>
        <w:lastRenderedPageBreak/>
        <w:t xml:space="preserve">Table </w:t>
      </w:r>
      <w:r w:rsidR="005167C8" w:rsidRPr="006527B1">
        <w:rPr>
          <w:sz w:val="20"/>
          <w:szCs w:val="20"/>
        </w:rPr>
        <w:fldChar w:fldCharType="begin"/>
      </w:r>
      <w:r w:rsidR="005167C8" w:rsidRPr="006527B1">
        <w:rPr>
          <w:sz w:val="20"/>
          <w:szCs w:val="20"/>
        </w:rPr>
        <w:instrText xml:space="preserve"> SEQ Table \* ARABIC </w:instrText>
      </w:r>
      <w:r w:rsidR="005167C8" w:rsidRPr="006527B1">
        <w:rPr>
          <w:sz w:val="20"/>
          <w:szCs w:val="20"/>
        </w:rPr>
        <w:fldChar w:fldCharType="separate"/>
      </w:r>
      <w:r w:rsidRPr="006527B1">
        <w:rPr>
          <w:noProof/>
          <w:sz w:val="20"/>
          <w:szCs w:val="20"/>
        </w:rPr>
        <w:t>1</w:t>
      </w:r>
      <w:r w:rsidR="005167C8" w:rsidRPr="006527B1">
        <w:rPr>
          <w:noProof/>
          <w:sz w:val="20"/>
          <w:szCs w:val="20"/>
        </w:rPr>
        <w:fldChar w:fldCharType="end"/>
      </w:r>
      <w:r w:rsidRPr="006527B1">
        <w:rPr>
          <w:sz w:val="20"/>
          <w:szCs w:val="20"/>
        </w:rPr>
        <w:t>: Measure Summary Table</w:t>
      </w:r>
    </w:p>
    <w:p w14:paraId="5D95525B" w14:textId="77777777" w:rsidR="00CB11C9" w:rsidRPr="006527B1" w:rsidRDefault="00CB11C9" w:rsidP="00CB11C9">
      <w:pPr>
        <w:rPr>
          <w:sz w:val="20"/>
          <w:szCs w:val="20"/>
        </w:rPr>
      </w:pPr>
    </w:p>
    <w:tbl>
      <w:tblPr>
        <w:tblStyle w:val="TableGrid"/>
        <w:tblW w:w="9587" w:type="dxa"/>
        <w:tblLook w:val="04A0" w:firstRow="1" w:lastRow="0" w:firstColumn="1" w:lastColumn="0" w:noHBand="0" w:noVBand="1"/>
      </w:tblPr>
      <w:tblGrid>
        <w:gridCol w:w="3174"/>
        <w:gridCol w:w="6413"/>
      </w:tblGrid>
      <w:tr w:rsidR="00CB11C9" w:rsidRPr="006527B1" w14:paraId="13E75198" w14:textId="77777777" w:rsidTr="004A6977">
        <w:trPr>
          <w:trHeight w:val="179"/>
        </w:trPr>
        <w:tc>
          <w:tcPr>
            <w:tcW w:w="3178" w:type="dxa"/>
          </w:tcPr>
          <w:p w14:paraId="44855FA0" w14:textId="77777777" w:rsidR="00CB11C9" w:rsidRPr="006527B1" w:rsidRDefault="00CB11C9" w:rsidP="005B2619">
            <w:pPr>
              <w:jc w:val="center"/>
              <w:rPr>
                <w:b/>
                <w:sz w:val="20"/>
                <w:szCs w:val="20"/>
              </w:rPr>
            </w:pPr>
            <w:r w:rsidRPr="006527B1">
              <w:rPr>
                <w:b/>
                <w:sz w:val="20"/>
                <w:szCs w:val="20"/>
              </w:rPr>
              <w:t>Section</w:t>
            </w:r>
          </w:p>
        </w:tc>
        <w:tc>
          <w:tcPr>
            <w:tcW w:w="6409" w:type="dxa"/>
          </w:tcPr>
          <w:p w14:paraId="4BB25803" w14:textId="77777777" w:rsidR="00CB11C9" w:rsidRPr="006527B1" w:rsidRDefault="00CB11C9" w:rsidP="005B2619">
            <w:pPr>
              <w:jc w:val="center"/>
              <w:rPr>
                <w:b/>
                <w:sz w:val="20"/>
                <w:szCs w:val="20"/>
              </w:rPr>
            </w:pPr>
            <w:r w:rsidRPr="006527B1">
              <w:rPr>
                <w:b/>
                <w:sz w:val="20"/>
                <w:szCs w:val="20"/>
              </w:rPr>
              <w:t>Value</w:t>
            </w:r>
          </w:p>
        </w:tc>
      </w:tr>
      <w:tr w:rsidR="00CB11C9" w:rsidRPr="006527B1" w14:paraId="0D167685" w14:textId="77777777" w:rsidTr="004A6977">
        <w:trPr>
          <w:trHeight w:val="776"/>
        </w:trPr>
        <w:tc>
          <w:tcPr>
            <w:tcW w:w="3178" w:type="dxa"/>
            <w:vAlign w:val="center"/>
          </w:tcPr>
          <w:p w14:paraId="2C31FA47" w14:textId="77777777" w:rsidR="00CB11C9" w:rsidRPr="004A6977" w:rsidRDefault="00CB11C9" w:rsidP="005B2619">
            <w:pPr>
              <w:rPr>
                <w:b/>
                <w:szCs w:val="22"/>
              </w:rPr>
            </w:pPr>
            <w:r w:rsidRPr="004A6977">
              <w:rPr>
                <w:b/>
                <w:szCs w:val="22"/>
              </w:rPr>
              <w:t>1.1 Measure &amp; Baseline Data</w:t>
            </w:r>
          </w:p>
        </w:tc>
        <w:tc>
          <w:tcPr>
            <w:tcW w:w="6409" w:type="dxa"/>
          </w:tcPr>
          <w:p w14:paraId="145B4944" w14:textId="249C252A" w:rsidR="00F67972" w:rsidRPr="006527B1" w:rsidRDefault="0021346C" w:rsidP="00811AE6">
            <w:pPr>
              <w:rPr>
                <w:rFonts w:cs="Arial"/>
                <w:sz w:val="20"/>
                <w:szCs w:val="20"/>
              </w:rPr>
            </w:pPr>
            <w:r w:rsidRPr="006527B1">
              <w:rPr>
                <w:rFonts w:cstheme="minorHAnsi"/>
                <w:sz w:val="20"/>
                <w:szCs w:val="20"/>
              </w:rPr>
              <w:t>The retrofit add-on of an efficient fan controller (EFC) device onto a residential single-family, multi-family or double-wide mobile home split-system air conditioner. The base case is a 14 SEER AC unit without an EFC</w:t>
            </w:r>
            <w:r w:rsidR="002E48F7">
              <w:rPr>
                <w:rFonts w:cstheme="minorHAnsi"/>
                <w:sz w:val="20"/>
                <w:szCs w:val="20"/>
              </w:rPr>
              <w:t xml:space="preserve"> and without a built in fan delay</w:t>
            </w:r>
            <w:r w:rsidRPr="006527B1">
              <w:rPr>
                <w:rFonts w:cstheme="minorHAnsi"/>
                <w:sz w:val="20"/>
                <w:szCs w:val="20"/>
              </w:rPr>
              <w:t>.</w:t>
            </w:r>
          </w:p>
        </w:tc>
      </w:tr>
      <w:tr w:rsidR="00CB11C9" w:rsidRPr="006527B1" w14:paraId="7C876EEE" w14:textId="77777777" w:rsidTr="004A6977">
        <w:trPr>
          <w:trHeight w:val="1816"/>
        </w:trPr>
        <w:tc>
          <w:tcPr>
            <w:tcW w:w="3178" w:type="dxa"/>
            <w:vAlign w:val="center"/>
          </w:tcPr>
          <w:p w14:paraId="31CD845D" w14:textId="48686D76" w:rsidR="00CB11C9" w:rsidRPr="004A6977" w:rsidRDefault="00CB11C9" w:rsidP="005B2619">
            <w:pPr>
              <w:rPr>
                <w:b/>
                <w:szCs w:val="22"/>
              </w:rPr>
            </w:pPr>
            <w:r w:rsidRPr="004A6977">
              <w:rPr>
                <w:b/>
                <w:szCs w:val="22"/>
              </w:rPr>
              <w:t xml:space="preserve">1.2 Technical Description </w:t>
            </w:r>
          </w:p>
        </w:tc>
        <w:tc>
          <w:tcPr>
            <w:tcW w:w="6409" w:type="dxa"/>
          </w:tcPr>
          <w:p w14:paraId="3B62B839" w14:textId="77777777" w:rsidR="0021346C" w:rsidRPr="006527B1" w:rsidRDefault="0021346C" w:rsidP="0021346C">
            <w:pPr>
              <w:pStyle w:val="Reminder"/>
              <w:rPr>
                <w:rFonts w:asciiTheme="minorHAnsi" w:hAnsiTheme="minorHAnsi" w:cstheme="minorHAnsi"/>
                <w:i w:val="0"/>
                <w:color w:val="auto"/>
                <w:sz w:val="20"/>
                <w:szCs w:val="20"/>
              </w:rPr>
            </w:pPr>
            <w:r w:rsidRPr="006527B1">
              <w:rPr>
                <w:rFonts w:asciiTheme="minorHAnsi" w:hAnsiTheme="minorHAnsi" w:cstheme="minorHAnsi"/>
                <w:i w:val="0"/>
                <w:color w:val="auto"/>
                <w:sz w:val="20"/>
                <w:szCs w:val="20"/>
              </w:rPr>
              <w:t>EFC devices delay the evaporator fan cycle off time to take advantage of the residual liquid refrigerant remaining in the evaporator after the compressor cycles off. The controller can delay the fan cycle off time either by allowing the user to set the time delay period, or by using built-in logic to delay the fan cycle off time based on the compressor run time. This work paper only allows the installation of a fan controller with built-in logic, heretofore after referred to as “automated fan controller,” unless the manually set time delay is set and commissioned by a trained contractor.</w:t>
            </w:r>
          </w:p>
          <w:p w14:paraId="3DC2FD97" w14:textId="26C91653" w:rsidR="00CB11C9" w:rsidRPr="006527B1" w:rsidRDefault="00CB11C9" w:rsidP="0021346C">
            <w:pPr>
              <w:rPr>
                <w:rFonts w:cs="Arial"/>
                <w:sz w:val="20"/>
                <w:szCs w:val="20"/>
              </w:rPr>
            </w:pPr>
          </w:p>
        </w:tc>
      </w:tr>
      <w:tr w:rsidR="00CB11C9" w:rsidRPr="006527B1" w14:paraId="7D223C90" w14:textId="77777777" w:rsidTr="004A6977">
        <w:trPr>
          <w:trHeight w:val="776"/>
        </w:trPr>
        <w:tc>
          <w:tcPr>
            <w:tcW w:w="3178" w:type="dxa"/>
            <w:vAlign w:val="center"/>
          </w:tcPr>
          <w:p w14:paraId="167CF132" w14:textId="523DCD7A" w:rsidR="00136EEC" w:rsidRPr="006527B1" w:rsidRDefault="00136EEC" w:rsidP="00136EEC">
            <w:pPr>
              <w:jc w:val="right"/>
              <w:rPr>
                <w:rFonts w:cs="Arial"/>
                <w:sz w:val="20"/>
                <w:szCs w:val="20"/>
              </w:rPr>
            </w:pPr>
            <w:r w:rsidRPr="006527B1">
              <w:rPr>
                <w:rFonts w:cs="Arial"/>
                <w:sz w:val="20"/>
                <w:szCs w:val="20"/>
              </w:rPr>
              <w:t>Measure 1 (placeholder)</w:t>
            </w:r>
          </w:p>
          <w:p w14:paraId="14922653" w14:textId="4094B3EC" w:rsidR="00136EEC" w:rsidRPr="006527B1" w:rsidRDefault="00136EEC" w:rsidP="00136EEC">
            <w:pPr>
              <w:jc w:val="right"/>
              <w:rPr>
                <w:rFonts w:cs="Arial"/>
                <w:sz w:val="20"/>
                <w:szCs w:val="20"/>
              </w:rPr>
            </w:pPr>
            <w:r w:rsidRPr="006527B1">
              <w:rPr>
                <w:rFonts w:cs="Arial"/>
                <w:sz w:val="20"/>
                <w:szCs w:val="20"/>
              </w:rPr>
              <w:t>Measure 2</w:t>
            </w:r>
            <w:r w:rsidR="006576DE" w:rsidRPr="006527B1">
              <w:rPr>
                <w:rFonts w:cs="Arial"/>
                <w:sz w:val="20"/>
                <w:szCs w:val="20"/>
              </w:rPr>
              <w:t xml:space="preserve"> </w:t>
            </w:r>
            <w:r w:rsidRPr="006527B1">
              <w:rPr>
                <w:rFonts w:cs="Arial"/>
                <w:sz w:val="20"/>
                <w:szCs w:val="20"/>
              </w:rPr>
              <w:t>(placeholder)</w:t>
            </w:r>
          </w:p>
          <w:p w14:paraId="32ECF35A" w14:textId="47409B49" w:rsidR="00136EEC" w:rsidRPr="006527B1" w:rsidRDefault="00136EEC" w:rsidP="00136EEC">
            <w:pPr>
              <w:jc w:val="right"/>
              <w:rPr>
                <w:rFonts w:cs="Arial"/>
                <w:sz w:val="20"/>
                <w:szCs w:val="20"/>
              </w:rPr>
            </w:pPr>
            <w:r w:rsidRPr="006527B1">
              <w:rPr>
                <w:rFonts w:cs="Arial"/>
                <w:sz w:val="20"/>
                <w:szCs w:val="20"/>
              </w:rPr>
              <w:t>Measure 3 (placeholder)</w:t>
            </w:r>
          </w:p>
          <w:p w14:paraId="72B7A1EF" w14:textId="0E92DB1F" w:rsidR="00CB11C9" w:rsidRPr="006527B1" w:rsidRDefault="00CB11C9" w:rsidP="00136EEC">
            <w:pPr>
              <w:jc w:val="right"/>
              <w:rPr>
                <w:rFonts w:cs="Arial"/>
                <w:sz w:val="20"/>
                <w:szCs w:val="20"/>
              </w:rPr>
            </w:pPr>
            <w:r w:rsidRPr="006527B1">
              <w:rPr>
                <w:rFonts w:cs="Arial"/>
                <w:sz w:val="20"/>
                <w:szCs w:val="20"/>
              </w:rPr>
              <w:t xml:space="preserve">Measure </w:t>
            </w:r>
            <w:r w:rsidR="00136EEC" w:rsidRPr="006527B1">
              <w:rPr>
                <w:rFonts w:cs="Arial"/>
                <w:sz w:val="20"/>
                <w:szCs w:val="20"/>
              </w:rPr>
              <w:t>4</w:t>
            </w:r>
          </w:p>
        </w:tc>
        <w:tc>
          <w:tcPr>
            <w:tcW w:w="6409" w:type="dxa"/>
          </w:tcPr>
          <w:p w14:paraId="3A97C589" w14:textId="6FFC83ED" w:rsidR="00136EEC" w:rsidRPr="006527B1" w:rsidRDefault="00136EEC" w:rsidP="00136EEC">
            <w:pPr>
              <w:rPr>
                <w:rFonts w:cstheme="minorHAnsi"/>
                <w:sz w:val="20"/>
                <w:szCs w:val="20"/>
              </w:rPr>
            </w:pPr>
            <w:r w:rsidRPr="006527B1">
              <w:rPr>
                <w:rFonts w:cstheme="minorHAnsi"/>
                <w:sz w:val="20"/>
                <w:szCs w:val="20"/>
              </w:rPr>
              <w:t xml:space="preserve">Measures 1, 2 and 3 are legacy placeholders and are necessary for SDG&amp;E Ex-ante database alignment. </w:t>
            </w:r>
          </w:p>
          <w:p w14:paraId="09CC493C" w14:textId="0D81D15D" w:rsidR="00CB11C9" w:rsidRPr="006527B1" w:rsidRDefault="003D4D84" w:rsidP="00136EEC">
            <w:pPr>
              <w:rPr>
                <w:sz w:val="20"/>
                <w:szCs w:val="20"/>
              </w:rPr>
            </w:pPr>
            <w:r>
              <w:rPr>
                <w:rFonts w:cstheme="minorHAnsi"/>
                <w:sz w:val="20"/>
                <w:szCs w:val="20"/>
              </w:rPr>
              <w:t>Measure 4</w:t>
            </w:r>
            <w:r w:rsidR="00804FC4">
              <w:rPr>
                <w:rFonts w:cstheme="minorHAnsi"/>
                <w:sz w:val="20"/>
                <w:szCs w:val="20"/>
              </w:rPr>
              <w:t xml:space="preserve"> (462282, 420156)</w:t>
            </w:r>
            <w:r>
              <w:rPr>
                <w:rFonts w:cstheme="minorHAnsi"/>
                <w:sz w:val="20"/>
                <w:szCs w:val="20"/>
              </w:rPr>
              <w:t xml:space="preserve">:  </w:t>
            </w:r>
            <w:r w:rsidR="0021346C" w:rsidRPr="006527B1">
              <w:rPr>
                <w:rFonts w:cstheme="minorHAnsi"/>
                <w:sz w:val="20"/>
                <w:szCs w:val="20"/>
              </w:rPr>
              <w:t>Fan controller device using built-in logic to delay the evaporator fan cycle off time.</w:t>
            </w:r>
          </w:p>
        </w:tc>
      </w:tr>
      <w:tr w:rsidR="00CB11C9" w:rsidRPr="006527B1" w14:paraId="11CCD6A4" w14:textId="77777777" w:rsidTr="004A6977">
        <w:trPr>
          <w:trHeight w:val="1159"/>
        </w:trPr>
        <w:tc>
          <w:tcPr>
            <w:tcW w:w="3178" w:type="dxa"/>
            <w:vAlign w:val="center"/>
          </w:tcPr>
          <w:p w14:paraId="43BF6E65" w14:textId="77777777" w:rsidR="00CB11C9" w:rsidRDefault="00CB11C9" w:rsidP="00F40E3E">
            <w:pPr>
              <w:jc w:val="right"/>
              <w:rPr>
                <w:rFonts w:cs="Arial"/>
                <w:sz w:val="20"/>
                <w:szCs w:val="20"/>
              </w:rPr>
            </w:pPr>
            <w:r w:rsidRPr="006527B1">
              <w:rPr>
                <w:rFonts w:cs="Arial"/>
                <w:sz w:val="20"/>
                <w:szCs w:val="20"/>
              </w:rPr>
              <w:t xml:space="preserve">Code </w:t>
            </w:r>
            <w:r w:rsidR="00F67972" w:rsidRPr="006527B1">
              <w:rPr>
                <w:rFonts w:cs="Arial"/>
                <w:sz w:val="20"/>
                <w:szCs w:val="20"/>
              </w:rPr>
              <w:t>for Measure</w:t>
            </w:r>
          </w:p>
          <w:p w14:paraId="376F7E81" w14:textId="12538794" w:rsidR="00A4362B" w:rsidRPr="006527B1" w:rsidRDefault="00A4362B" w:rsidP="00A4362B">
            <w:pPr>
              <w:rPr>
                <w:rFonts w:cs="Arial"/>
                <w:sz w:val="20"/>
                <w:szCs w:val="20"/>
              </w:rPr>
            </w:pPr>
            <w:r>
              <w:rPr>
                <w:b/>
                <w:sz w:val="20"/>
                <w:szCs w:val="20"/>
              </w:rPr>
              <w:t>(Cited per SCE Workpaper as stated in Document Revision History)</w:t>
            </w:r>
          </w:p>
        </w:tc>
        <w:tc>
          <w:tcPr>
            <w:tcW w:w="6409" w:type="dxa"/>
          </w:tcPr>
          <w:p w14:paraId="4D51CA3F" w14:textId="06AD58AF" w:rsidR="00F40E3E" w:rsidRPr="006527B1" w:rsidRDefault="00F40E3E" w:rsidP="00F40E3E">
            <w:pPr>
              <w:rPr>
                <w:sz w:val="20"/>
                <w:szCs w:val="20"/>
              </w:rPr>
            </w:pPr>
            <w:r w:rsidRPr="006527B1">
              <w:rPr>
                <w:sz w:val="20"/>
                <w:szCs w:val="20"/>
              </w:rPr>
              <w:t>There is no code or other jurisdictional requirements related to these measures.</w:t>
            </w:r>
            <w:r w:rsidR="0021346C" w:rsidRPr="006527B1">
              <w:rPr>
                <w:sz w:val="20"/>
                <w:szCs w:val="20"/>
              </w:rPr>
              <w:t xml:space="preserve"> </w:t>
            </w:r>
            <w:r w:rsidR="0021346C" w:rsidRPr="006527B1">
              <w:rPr>
                <w:rFonts w:cstheme="minorHAnsi"/>
                <w:sz w:val="20"/>
                <w:szCs w:val="20"/>
              </w:rPr>
              <w:t>However, starting in 2015 federal code requires a packaged residential AC unit installed in California to have a SEER (Seasonal Energy Efficiency Ratio) rating of at least 14. This efficiency rating was used to establish the baseline AC unit for this measure.</w:t>
            </w:r>
          </w:p>
          <w:p w14:paraId="4B54DDC6" w14:textId="6E9460C8" w:rsidR="00F67972" w:rsidRPr="006527B1" w:rsidRDefault="00F67972" w:rsidP="00F40E3E">
            <w:pPr>
              <w:pStyle w:val="ListParagraph"/>
              <w:ind w:left="360"/>
              <w:rPr>
                <w:rFonts w:cs="Arial"/>
                <w:sz w:val="20"/>
                <w:szCs w:val="20"/>
              </w:rPr>
            </w:pPr>
            <w:bookmarkStart w:id="3" w:name="_GoBack"/>
            <w:bookmarkEnd w:id="3"/>
          </w:p>
        </w:tc>
      </w:tr>
      <w:tr w:rsidR="00754912" w:rsidRPr="006527B1" w14:paraId="179750D8" w14:textId="77777777" w:rsidTr="004A6977">
        <w:trPr>
          <w:trHeight w:val="1660"/>
        </w:trPr>
        <w:tc>
          <w:tcPr>
            <w:tcW w:w="3178" w:type="dxa"/>
            <w:vAlign w:val="center"/>
          </w:tcPr>
          <w:p w14:paraId="06128CD8" w14:textId="2060BA86" w:rsidR="00754912" w:rsidRPr="006527B1" w:rsidRDefault="00754912" w:rsidP="00F40E3E">
            <w:pPr>
              <w:jc w:val="right"/>
              <w:rPr>
                <w:rFonts w:cs="Arial"/>
                <w:sz w:val="20"/>
                <w:szCs w:val="20"/>
              </w:rPr>
            </w:pPr>
            <w:r w:rsidRPr="006527B1">
              <w:rPr>
                <w:rFonts w:cs="Arial"/>
                <w:sz w:val="20"/>
                <w:szCs w:val="20"/>
              </w:rPr>
              <w:t>Requirements</w:t>
            </w:r>
          </w:p>
        </w:tc>
        <w:tc>
          <w:tcPr>
            <w:tcW w:w="6409" w:type="dxa"/>
          </w:tcPr>
          <w:p w14:paraId="33C0CDF5" w14:textId="77777777" w:rsidR="00924B14" w:rsidRPr="006527B1" w:rsidRDefault="00924B14" w:rsidP="00924B14">
            <w:pPr>
              <w:pStyle w:val="Reminders"/>
              <w:numPr>
                <w:ilvl w:val="0"/>
                <w:numId w:val="27"/>
              </w:numPr>
              <w:rPr>
                <w:rFonts w:asciiTheme="minorHAnsi" w:hAnsiTheme="minorHAnsi" w:cstheme="minorHAnsi"/>
                <w:i w:val="0"/>
                <w:color w:val="auto"/>
                <w:sz w:val="20"/>
                <w:szCs w:val="20"/>
              </w:rPr>
            </w:pPr>
            <w:r w:rsidRPr="006527B1">
              <w:rPr>
                <w:rFonts w:asciiTheme="minorHAnsi" w:hAnsiTheme="minorHAnsi" w:cstheme="minorHAnsi"/>
                <w:i w:val="0"/>
                <w:color w:val="auto"/>
                <w:sz w:val="20"/>
                <w:szCs w:val="20"/>
              </w:rPr>
              <w:t>This measure only applies to residential split-system air conditioning units with an indoor evaporator coil. The baseline air conditioning system cannot have built-in delay.</w:t>
            </w:r>
          </w:p>
          <w:p w14:paraId="10B1FF2E" w14:textId="2F0D5B0E" w:rsidR="00754912" w:rsidRPr="006527B1" w:rsidRDefault="00924B14" w:rsidP="00924B14">
            <w:pPr>
              <w:pStyle w:val="Reminders"/>
              <w:numPr>
                <w:ilvl w:val="0"/>
                <w:numId w:val="27"/>
              </w:numPr>
              <w:rPr>
                <w:rFonts w:asciiTheme="minorHAnsi" w:hAnsiTheme="minorHAnsi" w:cstheme="minorHAnsi"/>
                <w:color w:val="auto"/>
                <w:sz w:val="20"/>
                <w:szCs w:val="20"/>
              </w:rPr>
            </w:pPr>
            <w:r w:rsidRPr="006527B1">
              <w:rPr>
                <w:rFonts w:asciiTheme="minorHAnsi" w:hAnsiTheme="minorHAnsi" w:cstheme="minorHAnsi"/>
                <w:i w:val="0"/>
                <w:color w:val="auto"/>
                <w:sz w:val="20"/>
                <w:szCs w:val="20"/>
              </w:rPr>
              <w:t>This work paper only allows the installation of an automated fan controller, unless the manually-set time-delay fan controller is set and commissioned by a trained contractor. This measure can be installed in single family, multi-family, and double-wide mobile homes in all SDG&amp;E climate zones.</w:t>
            </w:r>
          </w:p>
        </w:tc>
      </w:tr>
      <w:tr w:rsidR="00CB11C9" w:rsidRPr="006527B1" w14:paraId="7BB7F14B" w14:textId="77777777" w:rsidTr="004A6977">
        <w:trPr>
          <w:trHeight w:val="430"/>
        </w:trPr>
        <w:tc>
          <w:tcPr>
            <w:tcW w:w="3178" w:type="dxa"/>
          </w:tcPr>
          <w:p w14:paraId="49BE6A1A" w14:textId="77777777" w:rsidR="00CB11C9" w:rsidRPr="004A6977" w:rsidRDefault="00CB11C9" w:rsidP="005B2619">
            <w:pPr>
              <w:rPr>
                <w:b/>
                <w:szCs w:val="22"/>
              </w:rPr>
            </w:pPr>
            <w:r w:rsidRPr="004A6977">
              <w:rPr>
                <w:b/>
                <w:szCs w:val="22"/>
              </w:rPr>
              <w:t>1.3 Installation Type and Delivery Mechanisms</w:t>
            </w:r>
          </w:p>
        </w:tc>
        <w:tc>
          <w:tcPr>
            <w:tcW w:w="6409" w:type="dxa"/>
          </w:tcPr>
          <w:p w14:paraId="28F936CC" w14:textId="77777777" w:rsidR="00CB11C9" w:rsidRPr="006527B1" w:rsidRDefault="00CB11C9" w:rsidP="005B2619">
            <w:pPr>
              <w:rPr>
                <w:rFonts w:cs="Arial"/>
                <w:sz w:val="20"/>
                <w:szCs w:val="20"/>
              </w:rPr>
            </w:pPr>
          </w:p>
        </w:tc>
      </w:tr>
      <w:tr w:rsidR="00CB11C9" w:rsidRPr="006527B1" w14:paraId="1706D494" w14:textId="77777777" w:rsidTr="004A6977">
        <w:trPr>
          <w:trHeight w:val="191"/>
        </w:trPr>
        <w:tc>
          <w:tcPr>
            <w:tcW w:w="3178" w:type="dxa"/>
            <w:vAlign w:val="center"/>
          </w:tcPr>
          <w:p w14:paraId="5AB0CB7F" w14:textId="77777777" w:rsidR="00CB11C9" w:rsidRPr="006527B1" w:rsidRDefault="00CB11C9" w:rsidP="005B2619">
            <w:pPr>
              <w:jc w:val="right"/>
              <w:rPr>
                <w:sz w:val="20"/>
                <w:szCs w:val="20"/>
              </w:rPr>
            </w:pPr>
            <w:r w:rsidRPr="006527B1">
              <w:rPr>
                <w:sz w:val="20"/>
                <w:szCs w:val="20"/>
              </w:rPr>
              <w:t>Installation Type</w:t>
            </w:r>
          </w:p>
        </w:tc>
        <w:tc>
          <w:tcPr>
            <w:tcW w:w="6409" w:type="dxa"/>
          </w:tcPr>
          <w:p w14:paraId="62C41281" w14:textId="555DC6AB" w:rsidR="00CB11C9" w:rsidRPr="006527B1" w:rsidRDefault="00B6605C" w:rsidP="00B6605C">
            <w:pPr>
              <w:rPr>
                <w:rFonts w:cs="Arial"/>
                <w:sz w:val="20"/>
                <w:szCs w:val="20"/>
              </w:rPr>
            </w:pPr>
            <w:r w:rsidRPr="006527B1">
              <w:rPr>
                <w:rFonts w:cs="Arial"/>
                <w:sz w:val="20"/>
                <w:szCs w:val="20"/>
              </w:rPr>
              <w:t>Retrofit Add-On (REA)</w:t>
            </w:r>
          </w:p>
        </w:tc>
      </w:tr>
      <w:tr w:rsidR="00CB11C9" w:rsidRPr="006527B1" w14:paraId="135D5ADE" w14:textId="77777777" w:rsidTr="004A6977">
        <w:trPr>
          <w:trHeight w:val="394"/>
        </w:trPr>
        <w:tc>
          <w:tcPr>
            <w:tcW w:w="3178" w:type="dxa"/>
            <w:vAlign w:val="center"/>
          </w:tcPr>
          <w:p w14:paraId="7C15F2F3" w14:textId="77777777" w:rsidR="00CB11C9" w:rsidRPr="006527B1" w:rsidRDefault="00CB11C9" w:rsidP="005B2619">
            <w:pPr>
              <w:jc w:val="right"/>
              <w:rPr>
                <w:sz w:val="20"/>
                <w:szCs w:val="20"/>
              </w:rPr>
            </w:pPr>
            <w:r w:rsidRPr="006527B1">
              <w:rPr>
                <w:sz w:val="20"/>
                <w:szCs w:val="20"/>
              </w:rPr>
              <w:t>Delivery Mechanisms</w:t>
            </w:r>
          </w:p>
        </w:tc>
        <w:tc>
          <w:tcPr>
            <w:tcW w:w="6409" w:type="dxa"/>
          </w:tcPr>
          <w:p w14:paraId="1C36DF90" w14:textId="62FE046D" w:rsidR="00CB11C9" w:rsidRPr="006527B1" w:rsidRDefault="00F67972" w:rsidP="00B6605C">
            <w:pPr>
              <w:pStyle w:val="ListParagraph"/>
              <w:numPr>
                <w:ilvl w:val="0"/>
                <w:numId w:val="28"/>
              </w:numPr>
              <w:rPr>
                <w:rFonts w:cs="Arial"/>
                <w:sz w:val="20"/>
                <w:szCs w:val="20"/>
              </w:rPr>
            </w:pPr>
            <w:r w:rsidRPr="006527B1">
              <w:rPr>
                <w:rFonts w:cs="Arial"/>
                <w:sz w:val="20"/>
                <w:szCs w:val="20"/>
              </w:rPr>
              <w:t xml:space="preserve">Financial Support </w:t>
            </w:r>
            <w:r w:rsidR="00F40E3E" w:rsidRPr="006527B1">
              <w:rPr>
                <w:rFonts w:cs="Arial"/>
                <w:sz w:val="20"/>
                <w:szCs w:val="20"/>
              </w:rPr>
              <w:t>–</w:t>
            </w:r>
            <w:r w:rsidRPr="006527B1">
              <w:rPr>
                <w:rFonts w:cs="Arial"/>
                <w:sz w:val="20"/>
                <w:szCs w:val="20"/>
              </w:rPr>
              <w:t xml:space="preserve"> </w:t>
            </w:r>
            <w:r w:rsidR="00F40E3E" w:rsidRPr="006527B1">
              <w:rPr>
                <w:rFonts w:cs="Arial"/>
                <w:sz w:val="20"/>
                <w:szCs w:val="20"/>
              </w:rPr>
              <w:t>Downstream Prescriptive Rebate -“</w:t>
            </w:r>
            <w:proofErr w:type="spellStart"/>
            <w:r w:rsidR="00F40E3E" w:rsidRPr="006527B1">
              <w:rPr>
                <w:rFonts w:cs="Arial"/>
                <w:sz w:val="20"/>
                <w:szCs w:val="20"/>
              </w:rPr>
              <w:t>PreRebDown</w:t>
            </w:r>
            <w:proofErr w:type="spellEnd"/>
            <w:r w:rsidR="00F40E3E" w:rsidRPr="006527B1">
              <w:rPr>
                <w:rFonts w:cs="Arial"/>
                <w:sz w:val="20"/>
                <w:szCs w:val="20"/>
              </w:rPr>
              <w:t>”</w:t>
            </w:r>
          </w:p>
          <w:p w14:paraId="00DC02A0" w14:textId="45FCBD96" w:rsidR="00B6605C" w:rsidRPr="006527B1" w:rsidRDefault="00B6605C" w:rsidP="00B6605C">
            <w:pPr>
              <w:pStyle w:val="ListParagraph"/>
              <w:numPr>
                <w:ilvl w:val="0"/>
                <w:numId w:val="28"/>
              </w:numPr>
              <w:rPr>
                <w:rFonts w:cs="Arial"/>
                <w:sz w:val="20"/>
                <w:szCs w:val="20"/>
              </w:rPr>
            </w:pPr>
            <w:r w:rsidRPr="006527B1">
              <w:rPr>
                <w:sz w:val="20"/>
                <w:szCs w:val="20"/>
              </w:rPr>
              <w:t>Deemed and Financial Support/Direct Install</w:t>
            </w:r>
          </w:p>
        </w:tc>
      </w:tr>
      <w:tr w:rsidR="00CB11C9" w:rsidRPr="006527B1" w14:paraId="1CEA8B67" w14:textId="77777777" w:rsidTr="004A6977">
        <w:trPr>
          <w:trHeight w:val="215"/>
        </w:trPr>
        <w:tc>
          <w:tcPr>
            <w:tcW w:w="3178" w:type="dxa"/>
          </w:tcPr>
          <w:p w14:paraId="7F73A69A" w14:textId="77777777" w:rsidR="00CB11C9" w:rsidRPr="004A6977" w:rsidRDefault="00CB11C9" w:rsidP="005B2619">
            <w:pPr>
              <w:rPr>
                <w:b/>
                <w:szCs w:val="22"/>
              </w:rPr>
            </w:pPr>
            <w:r w:rsidRPr="004A6977">
              <w:rPr>
                <w:b/>
                <w:szCs w:val="22"/>
              </w:rPr>
              <w:t>1.4.1 DEER Data</w:t>
            </w:r>
          </w:p>
        </w:tc>
        <w:tc>
          <w:tcPr>
            <w:tcW w:w="6409" w:type="dxa"/>
          </w:tcPr>
          <w:p w14:paraId="12CB50E1" w14:textId="77777777" w:rsidR="00CB11C9" w:rsidRPr="006527B1" w:rsidRDefault="00CB11C9" w:rsidP="005B2619">
            <w:pPr>
              <w:rPr>
                <w:sz w:val="20"/>
                <w:szCs w:val="20"/>
              </w:rPr>
            </w:pPr>
          </w:p>
        </w:tc>
      </w:tr>
      <w:tr w:rsidR="00CB11C9" w:rsidRPr="006527B1" w14:paraId="01BD478D" w14:textId="77777777" w:rsidTr="004A6977">
        <w:trPr>
          <w:trHeight w:val="191"/>
        </w:trPr>
        <w:tc>
          <w:tcPr>
            <w:tcW w:w="3178" w:type="dxa"/>
          </w:tcPr>
          <w:p w14:paraId="6CF2A2B7" w14:textId="77777777" w:rsidR="00CB11C9" w:rsidRPr="006527B1" w:rsidRDefault="00CB11C9" w:rsidP="005B2619">
            <w:pPr>
              <w:jc w:val="right"/>
              <w:rPr>
                <w:sz w:val="20"/>
                <w:szCs w:val="20"/>
              </w:rPr>
            </w:pPr>
            <w:r w:rsidRPr="006527B1">
              <w:rPr>
                <w:sz w:val="20"/>
                <w:szCs w:val="20"/>
              </w:rPr>
              <w:t>DEER Measure ID</w:t>
            </w:r>
          </w:p>
        </w:tc>
        <w:tc>
          <w:tcPr>
            <w:tcW w:w="6409" w:type="dxa"/>
          </w:tcPr>
          <w:p w14:paraId="33593E71" w14:textId="77777777" w:rsidR="00CB11C9" w:rsidRPr="006527B1" w:rsidRDefault="00CB11C9" w:rsidP="005B2619">
            <w:pPr>
              <w:rPr>
                <w:rFonts w:cs="Arial"/>
                <w:sz w:val="20"/>
                <w:szCs w:val="20"/>
              </w:rPr>
            </w:pPr>
            <w:r w:rsidRPr="006527B1">
              <w:rPr>
                <w:rFonts w:cs="Arial"/>
                <w:sz w:val="20"/>
                <w:szCs w:val="20"/>
              </w:rPr>
              <w:t>DEER does not contain this type of measure.</w:t>
            </w:r>
          </w:p>
        </w:tc>
      </w:tr>
      <w:tr w:rsidR="00CB11C9" w:rsidRPr="006527B1" w14:paraId="37374930" w14:textId="77777777" w:rsidTr="004A6977">
        <w:trPr>
          <w:trHeight w:val="191"/>
        </w:trPr>
        <w:tc>
          <w:tcPr>
            <w:tcW w:w="3178" w:type="dxa"/>
            <w:vAlign w:val="center"/>
          </w:tcPr>
          <w:p w14:paraId="556E9F2C" w14:textId="77777777" w:rsidR="00CB11C9" w:rsidRPr="006527B1" w:rsidRDefault="00CB11C9" w:rsidP="005B2619">
            <w:pPr>
              <w:jc w:val="right"/>
              <w:rPr>
                <w:sz w:val="20"/>
                <w:szCs w:val="20"/>
              </w:rPr>
            </w:pPr>
            <w:r w:rsidRPr="006527B1">
              <w:rPr>
                <w:sz w:val="20"/>
                <w:szCs w:val="20"/>
              </w:rPr>
              <w:t>Net-to-Gross Ratio</w:t>
            </w:r>
          </w:p>
        </w:tc>
        <w:tc>
          <w:tcPr>
            <w:tcW w:w="6409" w:type="dxa"/>
          </w:tcPr>
          <w:p w14:paraId="0FDD489C" w14:textId="2F8F089D" w:rsidR="00CB11C9" w:rsidRPr="006527B1" w:rsidRDefault="00CF0DA9" w:rsidP="005B2619">
            <w:pPr>
              <w:rPr>
                <w:rFonts w:cs="Arial"/>
                <w:sz w:val="20"/>
                <w:szCs w:val="20"/>
              </w:rPr>
            </w:pPr>
            <w:r w:rsidRPr="006527B1">
              <w:rPr>
                <w:rFonts w:cs="Arial"/>
                <w:sz w:val="20"/>
                <w:szCs w:val="20"/>
              </w:rPr>
              <w:t>Com-Default&gt;2yrs</w:t>
            </w:r>
          </w:p>
        </w:tc>
      </w:tr>
      <w:tr w:rsidR="00CB11C9" w:rsidRPr="006527B1" w14:paraId="2A6F9BA0" w14:textId="77777777" w:rsidTr="004A6977">
        <w:trPr>
          <w:trHeight w:val="968"/>
        </w:trPr>
        <w:tc>
          <w:tcPr>
            <w:tcW w:w="3178" w:type="dxa"/>
            <w:vAlign w:val="center"/>
          </w:tcPr>
          <w:p w14:paraId="058912D1" w14:textId="76A393F8" w:rsidR="00CB11C9" w:rsidRDefault="00CB11C9" w:rsidP="005B2619">
            <w:pPr>
              <w:jc w:val="right"/>
              <w:rPr>
                <w:sz w:val="20"/>
                <w:szCs w:val="20"/>
              </w:rPr>
            </w:pPr>
            <w:r w:rsidRPr="006527B1">
              <w:rPr>
                <w:sz w:val="20"/>
                <w:szCs w:val="20"/>
              </w:rPr>
              <w:t>Effective and Remaining Useful Life</w:t>
            </w:r>
            <w:r w:rsidR="00A4362B">
              <w:rPr>
                <w:sz w:val="20"/>
                <w:szCs w:val="20"/>
              </w:rPr>
              <w:t xml:space="preserve"> </w:t>
            </w:r>
          </w:p>
          <w:p w14:paraId="5EFF78F9" w14:textId="47A8A941" w:rsidR="00A4362B" w:rsidRPr="006527B1" w:rsidRDefault="00A4362B" w:rsidP="00A4362B">
            <w:pPr>
              <w:jc w:val="right"/>
              <w:rPr>
                <w:sz w:val="20"/>
                <w:szCs w:val="20"/>
              </w:rPr>
            </w:pPr>
            <w:r>
              <w:rPr>
                <w:b/>
                <w:sz w:val="20"/>
                <w:szCs w:val="20"/>
              </w:rPr>
              <w:t>(Cited per SCE Workpaper as stated in Document Revision History)</w:t>
            </w:r>
          </w:p>
        </w:tc>
        <w:tc>
          <w:tcPr>
            <w:tcW w:w="6409" w:type="dxa"/>
          </w:tcPr>
          <w:p w14:paraId="3AC3F417" w14:textId="72DF0870" w:rsidR="00CB11C9" w:rsidRPr="006527B1" w:rsidRDefault="00B6605C" w:rsidP="005B2619">
            <w:pPr>
              <w:rPr>
                <w:rFonts w:cstheme="minorHAnsi"/>
                <w:sz w:val="20"/>
                <w:szCs w:val="20"/>
              </w:rPr>
            </w:pPr>
            <w:r w:rsidRPr="006527B1">
              <w:rPr>
                <w:rFonts w:cstheme="minorHAnsi"/>
                <w:sz w:val="20"/>
                <w:szCs w:val="20"/>
              </w:rPr>
              <w:t>EUL_ID</w:t>
            </w:r>
            <w:r w:rsidR="00B270D6">
              <w:rPr>
                <w:rFonts w:cstheme="minorHAnsi"/>
                <w:sz w:val="20"/>
                <w:szCs w:val="20"/>
              </w:rPr>
              <w:t xml:space="preserve"> / RUL_ID </w:t>
            </w:r>
            <w:r w:rsidRPr="006527B1">
              <w:rPr>
                <w:rFonts w:cstheme="minorHAnsi"/>
                <w:sz w:val="20"/>
                <w:szCs w:val="20"/>
              </w:rPr>
              <w:t>: HV-</w:t>
            </w:r>
            <w:proofErr w:type="spellStart"/>
            <w:r w:rsidRPr="006527B1">
              <w:rPr>
                <w:rFonts w:cstheme="minorHAnsi"/>
                <w:sz w:val="20"/>
                <w:szCs w:val="20"/>
              </w:rPr>
              <w:t>ResAC</w:t>
            </w:r>
            <w:proofErr w:type="spellEnd"/>
            <w:r w:rsidR="00B270D6">
              <w:rPr>
                <w:rFonts w:cstheme="minorHAnsi"/>
                <w:sz w:val="20"/>
                <w:szCs w:val="20"/>
              </w:rPr>
              <w:t xml:space="preserve"> = </w:t>
            </w:r>
            <w:r w:rsidR="00A4362B">
              <w:rPr>
                <w:rFonts w:cstheme="minorHAnsi"/>
                <w:sz w:val="20"/>
                <w:szCs w:val="20"/>
              </w:rPr>
              <w:t>15 / 5 years</w:t>
            </w:r>
          </w:p>
          <w:p w14:paraId="09D0CDB0" w14:textId="47FA6448" w:rsidR="00B6605C" w:rsidRPr="006527B1" w:rsidRDefault="00B6605C" w:rsidP="005B2619">
            <w:pPr>
              <w:rPr>
                <w:rFonts w:cs="Arial"/>
                <w:sz w:val="20"/>
                <w:szCs w:val="20"/>
              </w:rPr>
            </w:pPr>
            <w:r w:rsidRPr="006527B1">
              <w:rPr>
                <w:rFonts w:cstheme="minorHAnsi"/>
                <w:sz w:val="20"/>
                <w:szCs w:val="20"/>
              </w:rPr>
              <w:t xml:space="preserve">The EUL of the measure is capped at the remaining useful life of split and package equipment, as it is assumed that the controller would be removed with the equipment once it reaches its remaining useful life. </w:t>
            </w:r>
            <w:r w:rsidRPr="006527B1">
              <w:rPr>
                <w:rFonts w:cs="Calibri"/>
                <w:sz w:val="20"/>
                <w:szCs w:val="20"/>
              </w:rPr>
              <w:t>Refer to the Ex-Ante Database for the EUL and RUL values.</w:t>
            </w:r>
          </w:p>
        </w:tc>
      </w:tr>
      <w:tr w:rsidR="00CB11C9" w:rsidRPr="006527B1" w14:paraId="1AAF5F25" w14:textId="77777777" w:rsidTr="004A6977">
        <w:trPr>
          <w:trHeight w:val="215"/>
        </w:trPr>
        <w:tc>
          <w:tcPr>
            <w:tcW w:w="3178" w:type="dxa"/>
            <w:vAlign w:val="center"/>
          </w:tcPr>
          <w:p w14:paraId="391E1CE3" w14:textId="53471398" w:rsidR="00CB11C9" w:rsidRPr="004A6977" w:rsidRDefault="00CB11C9" w:rsidP="005B2619">
            <w:pPr>
              <w:rPr>
                <w:b/>
                <w:szCs w:val="22"/>
              </w:rPr>
            </w:pPr>
            <w:r w:rsidRPr="004A6977">
              <w:rPr>
                <w:b/>
                <w:szCs w:val="22"/>
              </w:rPr>
              <w:t xml:space="preserve">Section 2. Calculation </w:t>
            </w:r>
            <w:r w:rsidRPr="004A6977">
              <w:rPr>
                <w:b/>
                <w:szCs w:val="22"/>
              </w:rPr>
              <w:lastRenderedPageBreak/>
              <w:t>Methodology</w:t>
            </w:r>
            <w:r w:rsidR="00B270D6" w:rsidRPr="004A6977">
              <w:rPr>
                <w:b/>
                <w:szCs w:val="22"/>
              </w:rPr>
              <w:t xml:space="preserve"> </w:t>
            </w:r>
          </w:p>
          <w:p w14:paraId="16B215EE" w14:textId="2AC6AD22" w:rsidR="00B270D6" w:rsidRPr="006527B1" w:rsidRDefault="00B270D6" w:rsidP="00A4362B">
            <w:pPr>
              <w:rPr>
                <w:b/>
                <w:sz w:val="20"/>
                <w:szCs w:val="20"/>
              </w:rPr>
            </w:pPr>
            <w:r>
              <w:rPr>
                <w:b/>
                <w:sz w:val="20"/>
                <w:szCs w:val="20"/>
              </w:rPr>
              <w:t>(Cited per SCE Workpaper as stated in Document Revision His</w:t>
            </w:r>
            <w:r w:rsidR="00A4362B">
              <w:rPr>
                <w:b/>
                <w:sz w:val="20"/>
                <w:szCs w:val="20"/>
              </w:rPr>
              <w:t>t</w:t>
            </w:r>
            <w:r>
              <w:rPr>
                <w:b/>
                <w:sz w:val="20"/>
                <w:szCs w:val="20"/>
              </w:rPr>
              <w:t>ory)</w:t>
            </w:r>
          </w:p>
        </w:tc>
        <w:tc>
          <w:tcPr>
            <w:tcW w:w="6409" w:type="dxa"/>
            <w:vAlign w:val="center"/>
          </w:tcPr>
          <w:p w14:paraId="19663C1A" w14:textId="282431B9" w:rsidR="00CB11C9" w:rsidRDefault="00136EEC" w:rsidP="00136EEC">
            <w:pPr>
              <w:rPr>
                <w:rFonts w:cstheme="minorHAnsi"/>
                <w:sz w:val="20"/>
                <w:szCs w:val="20"/>
              </w:rPr>
            </w:pPr>
            <w:r w:rsidRPr="006527B1">
              <w:rPr>
                <w:rFonts w:cstheme="minorHAnsi"/>
                <w:sz w:val="20"/>
                <w:szCs w:val="20"/>
              </w:rPr>
              <w:lastRenderedPageBreak/>
              <w:t xml:space="preserve">Energy savings was calculated using eQuest v3.64 to establish the baseline </w:t>
            </w:r>
            <w:r w:rsidRPr="006527B1">
              <w:rPr>
                <w:rFonts w:cstheme="minorHAnsi"/>
                <w:sz w:val="20"/>
                <w:szCs w:val="20"/>
              </w:rPr>
              <w:lastRenderedPageBreak/>
              <w:t>energy consumption then applying the part load ratio curve fit equation from the ET report. The eQuest simulations used a minimally above-code SEER 14 split-AC system to be slightly conservative. The cooling capacity varied by building type and climate zone based on the DEER building prototypes for double-wide mobile home, multi-family, and single family residential buildings.</w:t>
            </w:r>
            <w:r w:rsidR="004B18FA">
              <w:rPr>
                <w:rFonts w:cstheme="minorHAnsi"/>
                <w:sz w:val="20"/>
                <w:szCs w:val="20"/>
              </w:rPr>
              <w:t xml:space="preserve"> </w:t>
            </w:r>
            <w:r w:rsidR="004B18FA" w:rsidRPr="006527B1">
              <w:rPr>
                <w:rFonts w:cstheme="minorHAnsi"/>
                <w:sz w:val="20"/>
                <w:szCs w:val="20"/>
              </w:rPr>
              <w:t xml:space="preserve">For SDG&amp;E, the savings are normalized to a “per controller” value using tonnages for each building type extracted from the </w:t>
            </w:r>
            <w:proofErr w:type="spellStart"/>
            <w:r w:rsidR="004B18FA" w:rsidRPr="006527B1">
              <w:rPr>
                <w:rFonts w:cstheme="minorHAnsi"/>
                <w:sz w:val="20"/>
                <w:szCs w:val="20"/>
              </w:rPr>
              <w:t>MASControl</w:t>
            </w:r>
            <w:proofErr w:type="spellEnd"/>
            <w:r w:rsidR="004B18FA" w:rsidRPr="006527B1">
              <w:rPr>
                <w:rFonts w:cstheme="minorHAnsi"/>
                <w:sz w:val="20"/>
                <w:szCs w:val="20"/>
              </w:rPr>
              <w:t xml:space="preserve"> tool. These tonnages are 3.184, 2.123, and 1.122 for single family, double wide mobile home, and multi-family, respectively</w:t>
            </w:r>
            <w:r w:rsidR="00094401">
              <w:rPr>
                <w:rFonts w:cstheme="minorHAnsi"/>
                <w:sz w:val="20"/>
                <w:szCs w:val="20"/>
              </w:rPr>
              <w:t>.</w:t>
            </w:r>
          </w:p>
          <w:p w14:paraId="63C13B7A" w14:textId="77777777" w:rsidR="004B18FA" w:rsidRDefault="004B18FA" w:rsidP="00136EEC">
            <w:pPr>
              <w:rPr>
                <w:rFonts w:cstheme="minorHAnsi"/>
                <w:sz w:val="20"/>
                <w:szCs w:val="20"/>
              </w:rPr>
            </w:pPr>
          </w:p>
          <w:tbl>
            <w:tblPr>
              <w:tblStyle w:val="TableGrid"/>
              <w:tblW w:w="6192" w:type="dxa"/>
              <w:tblLook w:val="04A0" w:firstRow="1" w:lastRow="0" w:firstColumn="1" w:lastColumn="0" w:noHBand="0" w:noVBand="1"/>
            </w:tblPr>
            <w:tblGrid>
              <w:gridCol w:w="1027"/>
              <w:gridCol w:w="1021"/>
              <w:gridCol w:w="1027"/>
              <w:gridCol w:w="1023"/>
              <w:gridCol w:w="1066"/>
              <w:gridCol w:w="1028"/>
            </w:tblGrid>
            <w:tr w:rsidR="0012738E" w:rsidRPr="004B18FA" w14:paraId="7C798D6D" w14:textId="77777777" w:rsidTr="004A6977">
              <w:trPr>
                <w:trHeight w:val="191"/>
              </w:trPr>
              <w:tc>
                <w:tcPr>
                  <w:tcW w:w="2060" w:type="dxa"/>
                  <w:gridSpan w:val="2"/>
                  <w:tcBorders>
                    <w:top w:val="nil"/>
                    <w:left w:val="nil"/>
                    <w:bottom w:val="single" w:sz="4" w:space="0" w:color="auto"/>
                    <w:right w:val="single" w:sz="4" w:space="0" w:color="auto"/>
                  </w:tcBorders>
                </w:tcPr>
                <w:p w14:paraId="55DB548E" w14:textId="77777777" w:rsidR="0012738E" w:rsidRPr="004A6977" w:rsidRDefault="0012738E" w:rsidP="00136EEC">
                  <w:pPr>
                    <w:rPr>
                      <w:rFonts w:cs="Arial"/>
                      <w:sz w:val="20"/>
                      <w:szCs w:val="20"/>
                    </w:rPr>
                  </w:pPr>
                </w:p>
              </w:tc>
              <w:tc>
                <w:tcPr>
                  <w:tcW w:w="4132" w:type="dxa"/>
                  <w:gridSpan w:val="4"/>
                  <w:tcBorders>
                    <w:left w:val="single" w:sz="4" w:space="0" w:color="auto"/>
                  </w:tcBorders>
                </w:tcPr>
                <w:p w14:paraId="61F48405" w14:textId="036E91CC" w:rsidR="0012738E" w:rsidRPr="004A6977" w:rsidRDefault="0012738E" w:rsidP="0012738E">
                  <w:pPr>
                    <w:jc w:val="center"/>
                    <w:rPr>
                      <w:rFonts w:cs="Arial"/>
                      <w:sz w:val="20"/>
                      <w:szCs w:val="20"/>
                    </w:rPr>
                  </w:pPr>
                  <w:r w:rsidRPr="004A6977">
                    <w:rPr>
                      <w:rFonts w:cs="Arial"/>
                      <w:sz w:val="20"/>
                      <w:szCs w:val="20"/>
                    </w:rPr>
                    <w:t>Impacts</w:t>
                  </w:r>
                </w:p>
              </w:tc>
            </w:tr>
            <w:tr w:rsidR="0012738E" w:rsidRPr="0012738E" w14:paraId="35D6E066" w14:textId="77777777" w:rsidTr="004A6977">
              <w:trPr>
                <w:trHeight w:val="573"/>
              </w:trPr>
              <w:tc>
                <w:tcPr>
                  <w:tcW w:w="1030" w:type="dxa"/>
                  <w:tcBorders>
                    <w:top w:val="single" w:sz="4" w:space="0" w:color="auto"/>
                  </w:tcBorders>
                </w:tcPr>
                <w:p w14:paraId="5E339817" w14:textId="4D0570DA" w:rsidR="0012738E" w:rsidRPr="004A6977" w:rsidRDefault="0012738E" w:rsidP="00136EEC">
                  <w:pPr>
                    <w:rPr>
                      <w:rFonts w:cs="Arial"/>
                      <w:sz w:val="20"/>
                      <w:szCs w:val="20"/>
                    </w:rPr>
                  </w:pPr>
                  <w:proofErr w:type="spellStart"/>
                  <w:r w:rsidRPr="004A6977">
                    <w:rPr>
                      <w:rFonts w:cs="Arial"/>
                      <w:sz w:val="20"/>
                      <w:szCs w:val="20"/>
                    </w:rPr>
                    <w:t>BldgType</w:t>
                  </w:r>
                  <w:proofErr w:type="spellEnd"/>
                </w:p>
              </w:tc>
              <w:tc>
                <w:tcPr>
                  <w:tcW w:w="1030" w:type="dxa"/>
                  <w:tcBorders>
                    <w:top w:val="single" w:sz="4" w:space="0" w:color="auto"/>
                  </w:tcBorders>
                </w:tcPr>
                <w:p w14:paraId="64C72E71" w14:textId="77777777" w:rsidR="0012738E" w:rsidRPr="004A6977" w:rsidRDefault="0012738E" w:rsidP="00136EEC">
                  <w:pPr>
                    <w:rPr>
                      <w:rFonts w:cs="Arial"/>
                      <w:sz w:val="20"/>
                      <w:szCs w:val="20"/>
                    </w:rPr>
                  </w:pPr>
                  <w:r w:rsidRPr="004A6977">
                    <w:rPr>
                      <w:rFonts w:cs="Arial"/>
                      <w:sz w:val="20"/>
                      <w:szCs w:val="20"/>
                    </w:rPr>
                    <w:t>Climate Zn</w:t>
                  </w:r>
                </w:p>
                <w:p w14:paraId="7C5E902E" w14:textId="77777777" w:rsidR="0012738E" w:rsidRPr="004A6977" w:rsidRDefault="0012738E" w:rsidP="00136EEC">
                  <w:pPr>
                    <w:rPr>
                      <w:rFonts w:cs="Arial"/>
                      <w:sz w:val="20"/>
                      <w:szCs w:val="20"/>
                    </w:rPr>
                  </w:pPr>
                </w:p>
              </w:tc>
              <w:tc>
                <w:tcPr>
                  <w:tcW w:w="1030" w:type="dxa"/>
                </w:tcPr>
                <w:p w14:paraId="52CE2F25" w14:textId="43DC0159" w:rsidR="0012738E" w:rsidRPr="004A6977" w:rsidRDefault="0012738E" w:rsidP="00136EEC">
                  <w:pPr>
                    <w:rPr>
                      <w:rFonts w:cs="Arial"/>
                      <w:sz w:val="20"/>
                      <w:szCs w:val="20"/>
                    </w:rPr>
                  </w:pPr>
                  <w:r w:rsidRPr="004A6977">
                    <w:rPr>
                      <w:rFonts w:cs="Arial"/>
                      <w:sz w:val="20"/>
                      <w:szCs w:val="20"/>
                    </w:rPr>
                    <w:t>KWh/ton</w:t>
                  </w:r>
                </w:p>
              </w:tc>
              <w:tc>
                <w:tcPr>
                  <w:tcW w:w="1031" w:type="dxa"/>
                </w:tcPr>
                <w:p w14:paraId="4AF370A3" w14:textId="6A2C7CAF" w:rsidR="0012738E" w:rsidRPr="004A6977" w:rsidRDefault="0012738E" w:rsidP="00136EEC">
                  <w:pPr>
                    <w:rPr>
                      <w:rFonts w:cs="Arial"/>
                      <w:sz w:val="20"/>
                      <w:szCs w:val="20"/>
                    </w:rPr>
                  </w:pPr>
                  <w:r w:rsidRPr="004A6977">
                    <w:rPr>
                      <w:rFonts w:cs="Arial"/>
                      <w:sz w:val="20"/>
                      <w:szCs w:val="20"/>
                    </w:rPr>
                    <w:t>KW/ton</w:t>
                  </w:r>
                </w:p>
              </w:tc>
              <w:tc>
                <w:tcPr>
                  <w:tcW w:w="1040" w:type="dxa"/>
                </w:tcPr>
                <w:p w14:paraId="78350104" w14:textId="47B83F1C" w:rsidR="0012738E" w:rsidRPr="004A6977" w:rsidRDefault="0012738E" w:rsidP="00136EEC">
                  <w:pPr>
                    <w:rPr>
                      <w:rFonts w:cs="Arial"/>
                      <w:sz w:val="20"/>
                      <w:szCs w:val="20"/>
                    </w:rPr>
                  </w:pPr>
                  <w:r w:rsidRPr="004A6977">
                    <w:rPr>
                      <w:rFonts w:cs="Arial"/>
                      <w:sz w:val="20"/>
                      <w:szCs w:val="20"/>
                    </w:rPr>
                    <w:t>KWh/each</w:t>
                  </w:r>
                </w:p>
              </w:tc>
              <w:tc>
                <w:tcPr>
                  <w:tcW w:w="1031" w:type="dxa"/>
                </w:tcPr>
                <w:p w14:paraId="2474F48F" w14:textId="0259E07B" w:rsidR="0012738E" w:rsidRPr="004A6977" w:rsidRDefault="0012738E" w:rsidP="00136EEC">
                  <w:pPr>
                    <w:rPr>
                      <w:rFonts w:cs="Arial"/>
                      <w:sz w:val="20"/>
                      <w:szCs w:val="20"/>
                    </w:rPr>
                  </w:pPr>
                  <w:r w:rsidRPr="004A6977">
                    <w:rPr>
                      <w:rFonts w:cs="Arial"/>
                      <w:sz w:val="20"/>
                      <w:szCs w:val="20"/>
                    </w:rPr>
                    <w:t>KW/each</w:t>
                  </w:r>
                </w:p>
              </w:tc>
            </w:tr>
            <w:tr w:rsidR="0012738E" w14:paraId="45062EAA" w14:textId="77777777" w:rsidTr="004A6977">
              <w:trPr>
                <w:trHeight w:val="191"/>
              </w:trPr>
              <w:tc>
                <w:tcPr>
                  <w:tcW w:w="1030" w:type="dxa"/>
                </w:tcPr>
                <w:p w14:paraId="0F6B89B7" w14:textId="7E8A85B8" w:rsidR="0012738E" w:rsidRPr="004A6977" w:rsidRDefault="0012738E" w:rsidP="00D366F7">
                  <w:pPr>
                    <w:jc w:val="center"/>
                    <w:rPr>
                      <w:rFonts w:cs="Arial"/>
                      <w:sz w:val="20"/>
                      <w:szCs w:val="20"/>
                    </w:rPr>
                  </w:pPr>
                  <w:proofErr w:type="spellStart"/>
                  <w:r w:rsidRPr="004A6977">
                    <w:rPr>
                      <w:rFonts w:cs="Arial"/>
                      <w:sz w:val="20"/>
                      <w:szCs w:val="20"/>
                    </w:rPr>
                    <w:t>DMo</w:t>
                  </w:r>
                  <w:proofErr w:type="spellEnd"/>
                </w:p>
              </w:tc>
              <w:tc>
                <w:tcPr>
                  <w:tcW w:w="1030" w:type="dxa"/>
                </w:tcPr>
                <w:p w14:paraId="2B8EF119" w14:textId="3862ACA5" w:rsidR="0012738E" w:rsidRPr="004A6977" w:rsidRDefault="0012738E" w:rsidP="00D366F7">
                  <w:pPr>
                    <w:jc w:val="center"/>
                    <w:rPr>
                      <w:rFonts w:cs="Arial"/>
                      <w:sz w:val="20"/>
                      <w:szCs w:val="20"/>
                    </w:rPr>
                  </w:pPr>
                  <w:r w:rsidRPr="004A6977">
                    <w:rPr>
                      <w:rFonts w:cs="Arial"/>
                      <w:sz w:val="20"/>
                      <w:szCs w:val="20"/>
                    </w:rPr>
                    <w:t>6</w:t>
                  </w:r>
                </w:p>
              </w:tc>
              <w:tc>
                <w:tcPr>
                  <w:tcW w:w="1030" w:type="dxa"/>
                  <w:vAlign w:val="bottom"/>
                </w:tcPr>
                <w:p w14:paraId="25C407BA" w14:textId="37964168" w:rsidR="0012738E" w:rsidRPr="004A6977" w:rsidRDefault="0012738E" w:rsidP="00136EEC">
                  <w:pPr>
                    <w:rPr>
                      <w:rFonts w:cs="Arial"/>
                      <w:sz w:val="20"/>
                      <w:szCs w:val="20"/>
                    </w:rPr>
                  </w:pPr>
                  <w:r w:rsidRPr="004A6977">
                    <w:rPr>
                      <w:color w:val="000000"/>
                      <w:sz w:val="20"/>
                      <w:szCs w:val="20"/>
                    </w:rPr>
                    <w:t>7.415</w:t>
                  </w:r>
                </w:p>
              </w:tc>
              <w:tc>
                <w:tcPr>
                  <w:tcW w:w="1031" w:type="dxa"/>
                  <w:vAlign w:val="bottom"/>
                </w:tcPr>
                <w:p w14:paraId="6C693486" w14:textId="33E4800F" w:rsidR="0012738E" w:rsidRPr="004A6977" w:rsidRDefault="0012738E" w:rsidP="00136EEC">
                  <w:pPr>
                    <w:rPr>
                      <w:rFonts w:cs="Arial"/>
                      <w:sz w:val="20"/>
                      <w:szCs w:val="20"/>
                    </w:rPr>
                  </w:pPr>
                  <w:r w:rsidRPr="004A6977">
                    <w:rPr>
                      <w:color w:val="000000"/>
                      <w:sz w:val="20"/>
                      <w:szCs w:val="20"/>
                    </w:rPr>
                    <w:t>0.001</w:t>
                  </w:r>
                </w:p>
              </w:tc>
              <w:tc>
                <w:tcPr>
                  <w:tcW w:w="1040" w:type="dxa"/>
                  <w:vAlign w:val="bottom"/>
                </w:tcPr>
                <w:p w14:paraId="1B10DD3C" w14:textId="775693CC" w:rsidR="0012738E" w:rsidRPr="004A6977" w:rsidRDefault="0012738E" w:rsidP="00136EEC">
                  <w:pPr>
                    <w:rPr>
                      <w:rFonts w:cs="Arial"/>
                      <w:sz w:val="20"/>
                      <w:szCs w:val="20"/>
                    </w:rPr>
                  </w:pPr>
                  <w:r w:rsidRPr="004A6977">
                    <w:rPr>
                      <w:bCs/>
                      <w:color w:val="000000"/>
                      <w:sz w:val="20"/>
                      <w:szCs w:val="20"/>
                    </w:rPr>
                    <w:t>15.742</w:t>
                  </w:r>
                </w:p>
              </w:tc>
              <w:tc>
                <w:tcPr>
                  <w:tcW w:w="1031" w:type="dxa"/>
                  <w:vAlign w:val="bottom"/>
                </w:tcPr>
                <w:p w14:paraId="7104177E" w14:textId="554DBF32" w:rsidR="0012738E" w:rsidRPr="004A6977" w:rsidRDefault="0012738E" w:rsidP="00136EEC">
                  <w:pPr>
                    <w:rPr>
                      <w:rFonts w:cs="Arial"/>
                      <w:sz w:val="20"/>
                      <w:szCs w:val="20"/>
                    </w:rPr>
                  </w:pPr>
                  <w:r w:rsidRPr="004A6977">
                    <w:rPr>
                      <w:bCs/>
                      <w:color w:val="000000"/>
                      <w:sz w:val="20"/>
                      <w:szCs w:val="20"/>
                    </w:rPr>
                    <w:t>0.003</w:t>
                  </w:r>
                </w:p>
              </w:tc>
            </w:tr>
            <w:tr w:rsidR="0012738E" w14:paraId="76924F99" w14:textId="77777777" w:rsidTr="004A6977">
              <w:trPr>
                <w:trHeight w:val="191"/>
              </w:trPr>
              <w:tc>
                <w:tcPr>
                  <w:tcW w:w="1030" w:type="dxa"/>
                </w:tcPr>
                <w:p w14:paraId="19390D32" w14:textId="497D87C2" w:rsidR="0012738E" w:rsidRPr="004A6977" w:rsidRDefault="0012738E" w:rsidP="00D366F7">
                  <w:pPr>
                    <w:jc w:val="center"/>
                    <w:rPr>
                      <w:rFonts w:cs="Arial"/>
                      <w:sz w:val="20"/>
                      <w:szCs w:val="20"/>
                    </w:rPr>
                  </w:pPr>
                  <w:proofErr w:type="spellStart"/>
                  <w:r w:rsidRPr="004A6977">
                    <w:rPr>
                      <w:rFonts w:cs="Arial"/>
                      <w:sz w:val="20"/>
                      <w:szCs w:val="20"/>
                    </w:rPr>
                    <w:t>DMo</w:t>
                  </w:r>
                  <w:proofErr w:type="spellEnd"/>
                </w:p>
              </w:tc>
              <w:tc>
                <w:tcPr>
                  <w:tcW w:w="1030" w:type="dxa"/>
                </w:tcPr>
                <w:p w14:paraId="3CBBFE0C" w14:textId="3C860B83" w:rsidR="0012738E" w:rsidRPr="004A6977" w:rsidRDefault="0012738E" w:rsidP="00D366F7">
                  <w:pPr>
                    <w:jc w:val="center"/>
                    <w:rPr>
                      <w:rFonts w:cs="Arial"/>
                      <w:sz w:val="20"/>
                      <w:szCs w:val="20"/>
                    </w:rPr>
                  </w:pPr>
                  <w:r w:rsidRPr="004A6977">
                    <w:rPr>
                      <w:rFonts w:cs="Arial"/>
                      <w:sz w:val="20"/>
                      <w:szCs w:val="20"/>
                    </w:rPr>
                    <w:t>7</w:t>
                  </w:r>
                </w:p>
              </w:tc>
              <w:tc>
                <w:tcPr>
                  <w:tcW w:w="1030" w:type="dxa"/>
                  <w:vAlign w:val="bottom"/>
                </w:tcPr>
                <w:p w14:paraId="130DE5C2" w14:textId="1A5806DA" w:rsidR="0012738E" w:rsidRPr="004A6977" w:rsidRDefault="0012738E" w:rsidP="00136EEC">
                  <w:pPr>
                    <w:rPr>
                      <w:rFonts w:cs="Arial"/>
                      <w:sz w:val="20"/>
                      <w:szCs w:val="20"/>
                    </w:rPr>
                  </w:pPr>
                  <w:r w:rsidRPr="004A6977">
                    <w:rPr>
                      <w:color w:val="000000"/>
                      <w:sz w:val="20"/>
                      <w:szCs w:val="20"/>
                    </w:rPr>
                    <w:t>15.843</w:t>
                  </w:r>
                </w:p>
              </w:tc>
              <w:tc>
                <w:tcPr>
                  <w:tcW w:w="1031" w:type="dxa"/>
                  <w:vAlign w:val="bottom"/>
                </w:tcPr>
                <w:p w14:paraId="1733FD53" w14:textId="601193F7" w:rsidR="0012738E" w:rsidRPr="004A6977" w:rsidRDefault="0012738E" w:rsidP="00136EEC">
                  <w:pPr>
                    <w:rPr>
                      <w:rFonts w:cs="Arial"/>
                      <w:sz w:val="20"/>
                      <w:szCs w:val="20"/>
                    </w:rPr>
                  </w:pPr>
                  <w:r w:rsidRPr="004A6977">
                    <w:rPr>
                      <w:color w:val="000000"/>
                      <w:sz w:val="20"/>
                      <w:szCs w:val="20"/>
                    </w:rPr>
                    <w:t>0.000</w:t>
                  </w:r>
                </w:p>
              </w:tc>
              <w:tc>
                <w:tcPr>
                  <w:tcW w:w="1040" w:type="dxa"/>
                  <w:vAlign w:val="bottom"/>
                </w:tcPr>
                <w:p w14:paraId="408A1552" w14:textId="4F70EB9A" w:rsidR="0012738E" w:rsidRPr="004A6977" w:rsidRDefault="0012738E" w:rsidP="00136EEC">
                  <w:pPr>
                    <w:rPr>
                      <w:rFonts w:cs="Arial"/>
                      <w:sz w:val="20"/>
                      <w:szCs w:val="20"/>
                    </w:rPr>
                  </w:pPr>
                  <w:r w:rsidRPr="004A6977">
                    <w:rPr>
                      <w:bCs/>
                      <w:color w:val="000000"/>
                      <w:sz w:val="20"/>
                      <w:szCs w:val="20"/>
                    </w:rPr>
                    <w:t>33.635</w:t>
                  </w:r>
                </w:p>
              </w:tc>
              <w:tc>
                <w:tcPr>
                  <w:tcW w:w="1031" w:type="dxa"/>
                  <w:vAlign w:val="bottom"/>
                </w:tcPr>
                <w:p w14:paraId="0C60BF29" w14:textId="22ACD1C9" w:rsidR="0012738E" w:rsidRPr="004A6977" w:rsidRDefault="0012738E" w:rsidP="00136EEC">
                  <w:pPr>
                    <w:rPr>
                      <w:rFonts w:cs="Arial"/>
                      <w:sz w:val="20"/>
                      <w:szCs w:val="20"/>
                    </w:rPr>
                  </w:pPr>
                  <w:r w:rsidRPr="004A6977">
                    <w:rPr>
                      <w:bCs/>
                      <w:color w:val="000000"/>
                      <w:sz w:val="20"/>
                      <w:szCs w:val="20"/>
                    </w:rPr>
                    <w:t>0.000</w:t>
                  </w:r>
                </w:p>
              </w:tc>
            </w:tr>
            <w:tr w:rsidR="0012738E" w14:paraId="4549BE70" w14:textId="77777777" w:rsidTr="004A6977">
              <w:trPr>
                <w:trHeight w:val="191"/>
              </w:trPr>
              <w:tc>
                <w:tcPr>
                  <w:tcW w:w="1030" w:type="dxa"/>
                </w:tcPr>
                <w:p w14:paraId="66049A43" w14:textId="6FCE08D9" w:rsidR="0012738E" w:rsidRPr="004A6977" w:rsidRDefault="0012738E" w:rsidP="00D366F7">
                  <w:pPr>
                    <w:jc w:val="center"/>
                    <w:rPr>
                      <w:rFonts w:cs="Arial"/>
                      <w:sz w:val="20"/>
                      <w:szCs w:val="20"/>
                    </w:rPr>
                  </w:pPr>
                  <w:proofErr w:type="spellStart"/>
                  <w:r w:rsidRPr="004A6977">
                    <w:rPr>
                      <w:rFonts w:cs="Arial"/>
                      <w:sz w:val="20"/>
                      <w:szCs w:val="20"/>
                    </w:rPr>
                    <w:t>DMo</w:t>
                  </w:r>
                  <w:proofErr w:type="spellEnd"/>
                </w:p>
              </w:tc>
              <w:tc>
                <w:tcPr>
                  <w:tcW w:w="1030" w:type="dxa"/>
                </w:tcPr>
                <w:p w14:paraId="599EFBF1" w14:textId="7D7464B2" w:rsidR="0012738E" w:rsidRPr="004A6977" w:rsidRDefault="0012738E" w:rsidP="00D366F7">
                  <w:pPr>
                    <w:jc w:val="center"/>
                    <w:rPr>
                      <w:rFonts w:cs="Arial"/>
                      <w:sz w:val="20"/>
                      <w:szCs w:val="20"/>
                    </w:rPr>
                  </w:pPr>
                  <w:r w:rsidRPr="004A6977">
                    <w:rPr>
                      <w:rFonts w:cs="Arial"/>
                      <w:sz w:val="20"/>
                      <w:szCs w:val="20"/>
                    </w:rPr>
                    <w:t>8</w:t>
                  </w:r>
                </w:p>
              </w:tc>
              <w:tc>
                <w:tcPr>
                  <w:tcW w:w="1030" w:type="dxa"/>
                  <w:vAlign w:val="bottom"/>
                </w:tcPr>
                <w:p w14:paraId="43343334" w14:textId="3E0BAB64" w:rsidR="0012738E" w:rsidRPr="004A6977" w:rsidRDefault="0012738E" w:rsidP="00136EEC">
                  <w:pPr>
                    <w:rPr>
                      <w:rFonts w:cs="Arial"/>
                      <w:sz w:val="20"/>
                      <w:szCs w:val="20"/>
                    </w:rPr>
                  </w:pPr>
                  <w:r w:rsidRPr="004A6977">
                    <w:rPr>
                      <w:color w:val="000000"/>
                      <w:sz w:val="20"/>
                      <w:szCs w:val="20"/>
                    </w:rPr>
                    <w:t>43.093</w:t>
                  </w:r>
                </w:p>
              </w:tc>
              <w:tc>
                <w:tcPr>
                  <w:tcW w:w="1031" w:type="dxa"/>
                  <w:vAlign w:val="bottom"/>
                </w:tcPr>
                <w:p w14:paraId="449D25E3" w14:textId="1D6666BD" w:rsidR="0012738E" w:rsidRPr="004A6977" w:rsidRDefault="0012738E" w:rsidP="00136EEC">
                  <w:pPr>
                    <w:rPr>
                      <w:rFonts w:cs="Arial"/>
                      <w:sz w:val="20"/>
                      <w:szCs w:val="20"/>
                    </w:rPr>
                  </w:pPr>
                  <w:r w:rsidRPr="004A6977">
                    <w:rPr>
                      <w:color w:val="000000"/>
                      <w:sz w:val="20"/>
                      <w:szCs w:val="20"/>
                    </w:rPr>
                    <w:t>0.020</w:t>
                  </w:r>
                </w:p>
              </w:tc>
              <w:tc>
                <w:tcPr>
                  <w:tcW w:w="1040" w:type="dxa"/>
                  <w:vAlign w:val="bottom"/>
                </w:tcPr>
                <w:p w14:paraId="5BC340B1" w14:textId="3A0B46F1" w:rsidR="0012738E" w:rsidRPr="004A6977" w:rsidRDefault="0012738E" w:rsidP="00136EEC">
                  <w:pPr>
                    <w:rPr>
                      <w:rFonts w:cs="Arial"/>
                      <w:sz w:val="20"/>
                      <w:szCs w:val="20"/>
                    </w:rPr>
                  </w:pPr>
                  <w:r w:rsidRPr="004A6977">
                    <w:rPr>
                      <w:bCs/>
                      <w:color w:val="000000"/>
                      <w:sz w:val="20"/>
                      <w:szCs w:val="20"/>
                    </w:rPr>
                    <w:t>91.487</w:t>
                  </w:r>
                </w:p>
              </w:tc>
              <w:tc>
                <w:tcPr>
                  <w:tcW w:w="1031" w:type="dxa"/>
                  <w:vAlign w:val="bottom"/>
                </w:tcPr>
                <w:p w14:paraId="6C95AE39" w14:textId="5AF8BFB8" w:rsidR="0012738E" w:rsidRPr="004A6977" w:rsidRDefault="0012738E" w:rsidP="00136EEC">
                  <w:pPr>
                    <w:rPr>
                      <w:rFonts w:cs="Arial"/>
                      <w:sz w:val="20"/>
                      <w:szCs w:val="20"/>
                    </w:rPr>
                  </w:pPr>
                  <w:r w:rsidRPr="004A6977">
                    <w:rPr>
                      <w:bCs/>
                      <w:color w:val="000000"/>
                      <w:sz w:val="20"/>
                      <w:szCs w:val="20"/>
                    </w:rPr>
                    <w:t>0.043</w:t>
                  </w:r>
                </w:p>
              </w:tc>
            </w:tr>
            <w:tr w:rsidR="0012738E" w14:paraId="674BED42" w14:textId="77777777" w:rsidTr="004A6977">
              <w:trPr>
                <w:trHeight w:val="191"/>
              </w:trPr>
              <w:tc>
                <w:tcPr>
                  <w:tcW w:w="1030" w:type="dxa"/>
                </w:tcPr>
                <w:p w14:paraId="391BA096" w14:textId="4E3651D6" w:rsidR="0012738E" w:rsidRPr="004A6977" w:rsidRDefault="0012738E" w:rsidP="00D366F7">
                  <w:pPr>
                    <w:jc w:val="center"/>
                    <w:rPr>
                      <w:rFonts w:cs="Arial"/>
                      <w:sz w:val="20"/>
                      <w:szCs w:val="20"/>
                    </w:rPr>
                  </w:pPr>
                  <w:proofErr w:type="spellStart"/>
                  <w:r w:rsidRPr="004A6977">
                    <w:rPr>
                      <w:rFonts w:cs="Arial"/>
                      <w:sz w:val="20"/>
                      <w:szCs w:val="20"/>
                    </w:rPr>
                    <w:t>DMo</w:t>
                  </w:r>
                  <w:proofErr w:type="spellEnd"/>
                </w:p>
              </w:tc>
              <w:tc>
                <w:tcPr>
                  <w:tcW w:w="1030" w:type="dxa"/>
                </w:tcPr>
                <w:p w14:paraId="73EC626C" w14:textId="75480522" w:rsidR="0012738E" w:rsidRPr="004A6977" w:rsidRDefault="0012738E" w:rsidP="00D366F7">
                  <w:pPr>
                    <w:jc w:val="center"/>
                    <w:rPr>
                      <w:rFonts w:cs="Arial"/>
                      <w:sz w:val="20"/>
                      <w:szCs w:val="20"/>
                    </w:rPr>
                  </w:pPr>
                  <w:r w:rsidRPr="004A6977">
                    <w:rPr>
                      <w:rFonts w:cs="Arial"/>
                      <w:sz w:val="20"/>
                      <w:szCs w:val="20"/>
                    </w:rPr>
                    <w:t>10</w:t>
                  </w:r>
                </w:p>
              </w:tc>
              <w:tc>
                <w:tcPr>
                  <w:tcW w:w="1030" w:type="dxa"/>
                  <w:vAlign w:val="bottom"/>
                </w:tcPr>
                <w:p w14:paraId="4E88B176" w14:textId="60BAFF22" w:rsidR="0012738E" w:rsidRPr="004A6977" w:rsidRDefault="0012738E" w:rsidP="00136EEC">
                  <w:pPr>
                    <w:rPr>
                      <w:rFonts w:cs="Arial"/>
                      <w:sz w:val="20"/>
                      <w:szCs w:val="20"/>
                    </w:rPr>
                  </w:pPr>
                  <w:r w:rsidRPr="004A6977">
                    <w:rPr>
                      <w:color w:val="000000"/>
                      <w:sz w:val="20"/>
                      <w:szCs w:val="20"/>
                    </w:rPr>
                    <w:t>90.611</w:t>
                  </w:r>
                </w:p>
              </w:tc>
              <w:tc>
                <w:tcPr>
                  <w:tcW w:w="1031" w:type="dxa"/>
                  <w:vAlign w:val="bottom"/>
                </w:tcPr>
                <w:p w14:paraId="6D0CC8D1" w14:textId="7C802BBC" w:rsidR="0012738E" w:rsidRPr="004A6977" w:rsidRDefault="0012738E" w:rsidP="00136EEC">
                  <w:pPr>
                    <w:rPr>
                      <w:rFonts w:cs="Arial"/>
                      <w:sz w:val="20"/>
                      <w:szCs w:val="20"/>
                    </w:rPr>
                  </w:pPr>
                  <w:r w:rsidRPr="004A6977">
                    <w:rPr>
                      <w:color w:val="000000"/>
                      <w:sz w:val="20"/>
                      <w:szCs w:val="20"/>
                    </w:rPr>
                    <w:t>0.057</w:t>
                  </w:r>
                </w:p>
              </w:tc>
              <w:tc>
                <w:tcPr>
                  <w:tcW w:w="1040" w:type="dxa"/>
                  <w:vAlign w:val="bottom"/>
                </w:tcPr>
                <w:p w14:paraId="1E80E8AC" w14:textId="5DAD56C7" w:rsidR="0012738E" w:rsidRPr="004A6977" w:rsidRDefault="0012738E" w:rsidP="00136EEC">
                  <w:pPr>
                    <w:rPr>
                      <w:rFonts w:cs="Arial"/>
                      <w:sz w:val="20"/>
                      <w:szCs w:val="20"/>
                    </w:rPr>
                  </w:pPr>
                  <w:r w:rsidRPr="004A6977">
                    <w:rPr>
                      <w:bCs/>
                      <w:color w:val="000000"/>
                      <w:sz w:val="20"/>
                      <w:szCs w:val="20"/>
                    </w:rPr>
                    <w:t>192.368</w:t>
                  </w:r>
                </w:p>
              </w:tc>
              <w:tc>
                <w:tcPr>
                  <w:tcW w:w="1031" w:type="dxa"/>
                  <w:vAlign w:val="bottom"/>
                </w:tcPr>
                <w:p w14:paraId="526AD3CB" w14:textId="13DFDC6C" w:rsidR="0012738E" w:rsidRPr="004A6977" w:rsidRDefault="0012738E" w:rsidP="00136EEC">
                  <w:pPr>
                    <w:rPr>
                      <w:rFonts w:cs="Arial"/>
                      <w:sz w:val="20"/>
                      <w:szCs w:val="20"/>
                    </w:rPr>
                  </w:pPr>
                  <w:r w:rsidRPr="004A6977">
                    <w:rPr>
                      <w:bCs/>
                      <w:color w:val="000000"/>
                      <w:sz w:val="20"/>
                      <w:szCs w:val="20"/>
                    </w:rPr>
                    <w:t>0.122</w:t>
                  </w:r>
                </w:p>
              </w:tc>
            </w:tr>
            <w:tr w:rsidR="0012738E" w14:paraId="35B9F405" w14:textId="77777777" w:rsidTr="004A6977">
              <w:trPr>
                <w:trHeight w:val="191"/>
              </w:trPr>
              <w:tc>
                <w:tcPr>
                  <w:tcW w:w="1030" w:type="dxa"/>
                </w:tcPr>
                <w:p w14:paraId="66D9E700" w14:textId="14EE52E4" w:rsidR="0012738E" w:rsidRPr="004A6977" w:rsidRDefault="0012738E" w:rsidP="00D366F7">
                  <w:pPr>
                    <w:jc w:val="center"/>
                    <w:rPr>
                      <w:rFonts w:cs="Arial"/>
                      <w:sz w:val="20"/>
                      <w:szCs w:val="20"/>
                    </w:rPr>
                  </w:pPr>
                  <w:proofErr w:type="spellStart"/>
                  <w:r w:rsidRPr="004A6977">
                    <w:rPr>
                      <w:rFonts w:cs="Arial"/>
                      <w:sz w:val="20"/>
                      <w:szCs w:val="20"/>
                    </w:rPr>
                    <w:t>DMo</w:t>
                  </w:r>
                  <w:proofErr w:type="spellEnd"/>
                </w:p>
              </w:tc>
              <w:tc>
                <w:tcPr>
                  <w:tcW w:w="1030" w:type="dxa"/>
                </w:tcPr>
                <w:p w14:paraId="507FC5AA" w14:textId="66F9EEF2" w:rsidR="0012738E" w:rsidRPr="004A6977" w:rsidRDefault="0012738E" w:rsidP="00D366F7">
                  <w:pPr>
                    <w:jc w:val="center"/>
                    <w:rPr>
                      <w:rFonts w:cs="Arial"/>
                      <w:sz w:val="20"/>
                      <w:szCs w:val="20"/>
                    </w:rPr>
                  </w:pPr>
                  <w:r w:rsidRPr="004A6977">
                    <w:rPr>
                      <w:rFonts w:cs="Arial"/>
                      <w:sz w:val="20"/>
                      <w:szCs w:val="20"/>
                    </w:rPr>
                    <w:t>14</w:t>
                  </w:r>
                </w:p>
              </w:tc>
              <w:tc>
                <w:tcPr>
                  <w:tcW w:w="1030" w:type="dxa"/>
                  <w:vAlign w:val="bottom"/>
                </w:tcPr>
                <w:p w14:paraId="50CEDC5B" w14:textId="00DA9319" w:rsidR="0012738E" w:rsidRPr="004A6977" w:rsidRDefault="0012738E" w:rsidP="00136EEC">
                  <w:pPr>
                    <w:rPr>
                      <w:rFonts w:cs="Arial"/>
                      <w:sz w:val="20"/>
                      <w:szCs w:val="20"/>
                    </w:rPr>
                  </w:pPr>
                  <w:r w:rsidRPr="004A6977">
                    <w:rPr>
                      <w:color w:val="000000"/>
                      <w:sz w:val="20"/>
                      <w:szCs w:val="20"/>
                    </w:rPr>
                    <w:t>105.550</w:t>
                  </w:r>
                </w:p>
              </w:tc>
              <w:tc>
                <w:tcPr>
                  <w:tcW w:w="1031" w:type="dxa"/>
                  <w:vAlign w:val="bottom"/>
                </w:tcPr>
                <w:p w14:paraId="2AE8617B" w14:textId="5C1ACBA6" w:rsidR="0012738E" w:rsidRPr="004A6977" w:rsidRDefault="0012738E" w:rsidP="00136EEC">
                  <w:pPr>
                    <w:rPr>
                      <w:rFonts w:cs="Arial"/>
                      <w:sz w:val="20"/>
                      <w:szCs w:val="20"/>
                    </w:rPr>
                  </w:pPr>
                  <w:r w:rsidRPr="004A6977">
                    <w:rPr>
                      <w:color w:val="000000"/>
                      <w:sz w:val="20"/>
                      <w:szCs w:val="20"/>
                    </w:rPr>
                    <w:t>0.066</w:t>
                  </w:r>
                </w:p>
              </w:tc>
              <w:tc>
                <w:tcPr>
                  <w:tcW w:w="1040" w:type="dxa"/>
                  <w:vAlign w:val="bottom"/>
                </w:tcPr>
                <w:p w14:paraId="2FF07E08" w14:textId="5DE6F838" w:rsidR="0012738E" w:rsidRPr="004A6977" w:rsidRDefault="0012738E" w:rsidP="00136EEC">
                  <w:pPr>
                    <w:rPr>
                      <w:rFonts w:cs="Arial"/>
                      <w:sz w:val="20"/>
                      <w:szCs w:val="20"/>
                    </w:rPr>
                  </w:pPr>
                  <w:r w:rsidRPr="004A6977">
                    <w:rPr>
                      <w:bCs/>
                      <w:color w:val="000000"/>
                      <w:sz w:val="20"/>
                      <w:szCs w:val="20"/>
                    </w:rPr>
                    <w:t>224.082</w:t>
                  </w:r>
                </w:p>
              </w:tc>
              <w:tc>
                <w:tcPr>
                  <w:tcW w:w="1031" w:type="dxa"/>
                  <w:vAlign w:val="bottom"/>
                </w:tcPr>
                <w:p w14:paraId="381FC449" w14:textId="0E17E844" w:rsidR="0012738E" w:rsidRPr="004A6977" w:rsidRDefault="0012738E" w:rsidP="00136EEC">
                  <w:pPr>
                    <w:rPr>
                      <w:rFonts w:cs="Arial"/>
                      <w:sz w:val="20"/>
                      <w:szCs w:val="20"/>
                    </w:rPr>
                  </w:pPr>
                  <w:r w:rsidRPr="004A6977">
                    <w:rPr>
                      <w:bCs/>
                      <w:color w:val="000000"/>
                      <w:sz w:val="20"/>
                      <w:szCs w:val="20"/>
                    </w:rPr>
                    <w:t>0.140</w:t>
                  </w:r>
                </w:p>
              </w:tc>
            </w:tr>
            <w:tr w:rsidR="0012738E" w14:paraId="58C35458" w14:textId="77777777" w:rsidTr="004A6977">
              <w:trPr>
                <w:trHeight w:val="191"/>
              </w:trPr>
              <w:tc>
                <w:tcPr>
                  <w:tcW w:w="1030" w:type="dxa"/>
                </w:tcPr>
                <w:p w14:paraId="1B3D3791" w14:textId="13921092" w:rsidR="0012738E" w:rsidRPr="004A6977" w:rsidRDefault="0012738E" w:rsidP="00D366F7">
                  <w:pPr>
                    <w:jc w:val="center"/>
                    <w:rPr>
                      <w:rFonts w:cs="Arial"/>
                      <w:sz w:val="20"/>
                      <w:szCs w:val="20"/>
                    </w:rPr>
                  </w:pPr>
                  <w:proofErr w:type="spellStart"/>
                  <w:r w:rsidRPr="004A6977">
                    <w:rPr>
                      <w:rFonts w:cs="Arial"/>
                      <w:sz w:val="20"/>
                      <w:szCs w:val="20"/>
                    </w:rPr>
                    <w:t>DMo</w:t>
                  </w:r>
                  <w:proofErr w:type="spellEnd"/>
                </w:p>
              </w:tc>
              <w:tc>
                <w:tcPr>
                  <w:tcW w:w="1030" w:type="dxa"/>
                </w:tcPr>
                <w:p w14:paraId="16897C30" w14:textId="1D50B506" w:rsidR="0012738E" w:rsidRPr="004A6977" w:rsidRDefault="0012738E" w:rsidP="00D366F7">
                  <w:pPr>
                    <w:jc w:val="center"/>
                    <w:rPr>
                      <w:rFonts w:cs="Arial"/>
                      <w:sz w:val="20"/>
                      <w:szCs w:val="20"/>
                    </w:rPr>
                  </w:pPr>
                  <w:r w:rsidRPr="004A6977">
                    <w:rPr>
                      <w:rFonts w:cs="Arial"/>
                      <w:sz w:val="20"/>
                      <w:szCs w:val="20"/>
                    </w:rPr>
                    <w:t>15</w:t>
                  </w:r>
                </w:p>
              </w:tc>
              <w:tc>
                <w:tcPr>
                  <w:tcW w:w="1030" w:type="dxa"/>
                  <w:vAlign w:val="bottom"/>
                </w:tcPr>
                <w:p w14:paraId="336DEDFE" w14:textId="5C49CE18" w:rsidR="0012738E" w:rsidRPr="004A6977" w:rsidRDefault="0012738E" w:rsidP="00136EEC">
                  <w:pPr>
                    <w:rPr>
                      <w:rFonts w:cs="Arial"/>
                      <w:sz w:val="20"/>
                      <w:szCs w:val="20"/>
                    </w:rPr>
                  </w:pPr>
                  <w:r w:rsidRPr="004A6977">
                    <w:rPr>
                      <w:color w:val="000000"/>
                      <w:sz w:val="20"/>
                      <w:szCs w:val="20"/>
                    </w:rPr>
                    <w:t>215.529</w:t>
                  </w:r>
                </w:p>
              </w:tc>
              <w:tc>
                <w:tcPr>
                  <w:tcW w:w="1031" w:type="dxa"/>
                  <w:vAlign w:val="bottom"/>
                </w:tcPr>
                <w:p w14:paraId="1B4FF7BA" w14:textId="0B037EFE" w:rsidR="0012738E" w:rsidRPr="004A6977" w:rsidRDefault="0012738E" w:rsidP="00136EEC">
                  <w:pPr>
                    <w:rPr>
                      <w:rFonts w:cs="Arial"/>
                      <w:sz w:val="20"/>
                      <w:szCs w:val="20"/>
                    </w:rPr>
                  </w:pPr>
                  <w:r w:rsidRPr="004A6977">
                    <w:rPr>
                      <w:color w:val="000000"/>
                      <w:sz w:val="20"/>
                      <w:szCs w:val="20"/>
                    </w:rPr>
                    <w:t>0.047</w:t>
                  </w:r>
                </w:p>
              </w:tc>
              <w:tc>
                <w:tcPr>
                  <w:tcW w:w="1040" w:type="dxa"/>
                  <w:vAlign w:val="bottom"/>
                </w:tcPr>
                <w:p w14:paraId="65DF54DD" w14:textId="00CD53B7" w:rsidR="0012738E" w:rsidRPr="004A6977" w:rsidRDefault="0012738E" w:rsidP="00136EEC">
                  <w:pPr>
                    <w:rPr>
                      <w:rFonts w:cs="Arial"/>
                      <w:sz w:val="20"/>
                      <w:szCs w:val="20"/>
                    </w:rPr>
                  </w:pPr>
                  <w:r w:rsidRPr="004A6977">
                    <w:rPr>
                      <w:bCs/>
                      <w:color w:val="000000"/>
                      <w:sz w:val="20"/>
                      <w:szCs w:val="20"/>
                    </w:rPr>
                    <w:t>457.567</w:t>
                  </w:r>
                </w:p>
              </w:tc>
              <w:tc>
                <w:tcPr>
                  <w:tcW w:w="1031" w:type="dxa"/>
                  <w:vAlign w:val="bottom"/>
                </w:tcPr>
                <w:p w14:paraId="43C78843" w14:textId="463621B0" w:rsidR="0012738E" w:rsidRPr="004A6977" w:rsidRDefault="0012738E" w:rsidP="00136EEC">
                  <w:pPr>
                    <w:rPr>
                      <w:rFonts w:cs="Arial"/>
                      <w:sz w:val="20"/>
                      <w:szCs w:val="20"/>
                    </w:rPr>
                  </w:pPr>
                  <w:r w:rsidRPr="004A6977">
                    <w:rPr>
                      <w:bCs/>
                      <w:color w:val="000000"/>
                      <w:sz w:val="20"/>
                      <w:szCs w:val="20"/>
                    </w:rPr>
                    <w:t>0.100</w:t>
                  </w:r>
                </w:p>
              </w:tc>
            </w:tr>
            <w:tr w:rsidR="00D366F7" w14:paraId="51243FCC" w14:textId="77777777" w:rsidTr="004A6977">
              <w:trPr>
                <w:trHeight w:val="191"/>
              </w:trPr>
              <w:tc>
                <w:tcPr>
                  <w:tcW w:w="1030" w:type="dxa"/>
                </w:tcPr>
                <w:p w14:paraId="5887A449" w14:textId="3AEB80F2" w:rsidR="00D366F7" w:rsidRPr="004A6977" w:rsidRDefault="00D366F7" w:rsidP="00D366F7">
                  <w:pPr>
                    <w:jc w:val="center"/>
                    <w:rPr>
                      <w:rFonts w:cs="Arial"/>
                      <w:sz w:val="20"/>
                      <w:szCs w:val="20"/>
                    </w:rPr>
                  </w:pPr>
                  <w:r w:rsidRPr="004A6977">
                    <w:rPr>
                      <w:rFonts w:cs="Arial"/>
                      <w:sz w:val="20"/>
                      <w:szCs w:val="20"/>
                    </w:rPr>
                    <w:t>MFm</w:t>
                  </w:r>
                </w:p>
              </w:tc>
              <w:tc>
                <w:tcPr>
                  <w:tcW w:w="1030" w:type="dxa"/>
                </w:tcPr>
                <w:p w14:paraId="66B66912" w14:textId="3301CE86" w:rsidR="00D366F7" w:rsidRPr="004A6977" w:rsidRDefault="00D366F7" w:rsidP="00D366F7">
                  <w:pPr>
                    <w:jc w:val="center"/>
                    <w:rPr>
                      <w:rFonts w:cs="Arial"/>
                      <w:sz w:val="20"/>
                      <w:szCs w:val="20"/>
                    </w:rPr>
                  </w:pPr>
                  <w:r w:rsidRPr="004A6977">
                    <w:rPr>
                      <w:rFonts w:cs="Arial"/>
                      <w:sz w:val="20"/>
                      <w:szCs w:val="20"/>
                    </w:rPr>
                    <w:t>6</w:t>
                  </w:r>
                </w:p>
              </w:tc>
              <w:tc>
                <w:tcPr>
                  <w:tcW w:w="1030" w:type="dxa"/>
                  <w:vAlign w:val="bottom"/>
                </w:tcPr>
                <w:p w14:paraId="7EE9CE99" w14:textId="16744869" w:rsidR="00D366F7" w:rsidRPr="004A6977" w:rsidRDefault="00D366F7" w:rsidP="00136EEC">
                  <w:pPr>
                    <w:rPr>
                      <w:rFonts w:cs="Arial"/>
                      <w:sz w:val="20"/>
                      <w:szCs w:val="20"/>
                    </w:rPr>
                  </w:pPr>
                  <w:r w:rsidRPr="004A6977">
                    <w:rPr>
                      <w:color w:val="000000"/>
                      <w:sz w:val="20"/>
                      <w:szCs w:val="20"/>
                    </w:rPr>
                    <w:t>6.710</w:t>
                  </w:r>
                </w:p>
              </w:tc>
              <w:tc>
                <w:tcPr>
                  <w:tcW w:w="1031" w:type="dxa"/>
                  <w:vAlign w:val="bottom"/>
                </w:tcPr>
                <w:p w14:paraId="6AA7B579" w14:textId="202B8807" w:rsidR="00D366F7" w:rsidRPr="004A6977" w:rsidRDefault="00D366F7" w:rsidP="00136EEC">
                  <w:pPr>
                    <w:rPr>
                      <w:rFonts w:cs="Arial"/>
                      <w:sz w:val="20"/>
                      <w:szCs w:val="20"/>
                    </w:rPr>
                  </w:pPr>
                  <w:r w:rsidRPr="004A6977">
                    <w:rPr>
                      <w:color w:val="000000"/>
                      <w:sz w:val="20"/>
                      <w:szCs w:val="20"/>
                    </w:rPr>
                    <w:t>0.001</w:t>
                  </w:r>
                </w:p>
              </w:tc>
              <w:tc>
                <w:tcPr>
                  <w:tcW w:w="1040" w:type="dxa"/>
                  <w:vAlign w:val="bottom"/>
                </w:tcPr>
                <w:p w14:paraId="3EE9C065" w14:textId="60113F03" w:rsidR="00D366F7" w:rsidRPr="004A6977" w:rsidRDefault="00D366F7" w:rsidP="00136EEC">
                  <w:pPr>
                    <w:rPr>
                      <w:rFonts w:cs="Arial"/>
                      <w:sz w:val="20"/>
                      <w:szCs w:val="20"/>
                    </w:rPr>
                  </w:pPr>
                  <w:r w:rsidRPr="004A6977">
                    <w:rPr>
                      <w:bCs/>
                      <w:color w:val="000000"/>
                      <w:sz w:val="20"/>
                      <w:szCs w:val="20"/>
                    </w:rPr>
                    <w:t>7.528</w:t>
                  </w:r>
                </w:p>
              </w:tc>
              <w:tc>
                <w:tcPr>
                  <w:tcW w:w="1031" w:type="dxa"/>
                  <w:vAlign w:val="bottom"/>
                </w:tcPr>
                <w:p w14:paraId="2886A993" w14:textId="1CC957B3" w:rsidR="00D366F7" w:rsidRPr="004A6977" w:rsidRDefault="00D366F7" w:rsidP="00136EEC">
                  <w:pPr>
                    <w:rPr>
                      <w:rFonts w:cs="Arial"/>
                      <w:sz w:val="20"/>
                      <w:szCs w:val="20"/>
                    </w:rPr>
                  </w:pPr>
                  <w:r w:rsidRPr="004A6977">
                    <w:rPr>
                      <w:bCs/>
                      <w:color w:val="000000"/>
                      <w:sz w:val="20"/>
                      <w:szCs w:val="20"/>
                    </w:rPr>
                    <w:t>0.001</w:t>
                  </w:r>
                </w:p>
              </w:tc>
            </w:tr>
            <w:tr w:rsidR="00D366F7" w14:paraId="0FF6B259" w14:textId="77777777" w:rsidTr="004A6977">
              <w:trPr>
                <w:trHeight w:val="191"/>
              </w:trPr>
              <w:tc>
                <w:tcPr>
                  <w:tcW w:w="1030" w:type="dxa"/>
                </w:tcPr>
                <w:p w14:paraId="76B05550" w14:textId="5FE97C52" w:rsidR="00D366F7" w:rsidRPr="004A6977" w:rsidRDefault="00D366F7" w:rsidP="00D366F7">
                  <w:pPr>
                    <w:jc w:val="center"/>
                    <w:rPr>
                      <w:rFonts w:cs="Arial"/>
                      <w:sz w:val="20"/>
                      <w:szCs w:val="20"/>
                    </w:rPr>
                  </w:pPr>
                  <w:r w:rsidRPr="004A6977">
                    <w:rPr>
                      <w:rFonts w:cs="Arial"/>
                      <w:sz w:val="20"/>
                      <w:szCs w:val="20"/>
                    </w:rPr>
                    <w:t>MFm</w:t>
                  </w:r>
                </w:p>
              </w:tc>
              <w:tc>
                <w:tcPr>
                  <w:tcW w:w="1030" w:type="dxa"/>
                </w:tcPr>
                <w:p w14:paraId="65C5E6F4" w14:textId="675CBB00" w:rsidR="00D366F7" w:rsidRPr="004A6977" w:rsidRDefault="00D366F7" w:rsidP="00D366F7">
                  <w:pPr>
                    <w:jc w:val="center"/>
                    <w:rPr>
                      <w:rFonts w:cs="Arial"/>
                      <w:sz w:val="20"/>
                      <w:szCs w:val="20"/>
                    </w:rPr>
                  </w:pPr>
                  <w:r w:rsidRPr="004A6977">
                    <w:rPr>
                      <w:rFonts w:cs="Arial"/>
                      <w:sz w:val="20"/>
                      <w:szCs w:val="20"/>
                    </w:rPr>
                    <w:t>7</w:t>
                  </w:r>
                </w:p>
              </w:tc>
              <w:tc>
                <w:tcPr>
                  <w:tcW w:w="1030" w:type="dxa"/>
                  <w:vAlign w:val="bottom"/>
                </w:tcPr>
                <w:p w14:paraId="743A1972" w14:textId="060AB359" w:rsidR="00D366F7" w:rsidRPr="004A6977" w:rsidRDefault="00D366F7" w:rsidP="00136EEC">
                  <w:pPr>
                    <w:rPr>
                      <w:rFonts w:cs="Arial"/>
                      <w:sz w:val="20"/>
                      <w:szCs w:val="20"/>
                    </w:rPr>
                  </w:pPr>
                  <w:r w:rsidRPr="004A6977">
                    <w:rPr>
                      <w:color w:val="000000"/>
                      <w:sz w:val="20"/>
                      <w:szCs w:val="20"/>
                    </w:rPr>
                    <w:t>10.397</w:t>
                  </w:r>
                </w:p>
              </w:tc>
              <w:tc>
                <w:tcPr>
                  <w:tcW w:w="1031" w:type="dxa"/>
                  <w:vAlign w:val="bottom"/>
                </w:tcPr>
                <w:p w14:paraId="73EF1F73" w14:textId="410E3F66" w:rsidR="00D366F7" w:rsidRPr="004A6977" w:rsidRDefault="00D366F7" w:rsidP="00136EEC">
                  <w:pPr>
                    <w:rPr>
                      <w:rFonts w:cs="Arial"/>
                      <w:sz w:val="20"/>
                      <w:szCs w:val="20"/>
                    </w:rPr>
                  </w:pPr>
                  <w:r w:rsidRPr="004A6977">
                    <w:rPr>
                      <w:color w:val="000000"/>
                      <w:sz w:val="20"/>
                      <w:szCs w:val="20"/>
                    </w:rPr>
                    <w:t>0.005</w:t>
                  </w:r>
                </w:p>
              </w:tc>
              <w:tc>
                <w:tcPr>
                  <w:tcW w:w="1040" w:type="dxa"/>
                  <w:vAlign w:val="bottom"/>
                </w:tcPr>
                <w:p w14:paraId="37967457" w14:textId="10AB4463" w:rsidR="00D366F7" w:rsidRPr="004A6977" w:rsidRDefault="00D366F7" w:rsidP="00136EEC">
                  <w:pPr>
                    <w:rPr>
                      <w:rFonts w:cs="Arial"/>
                      <w:sz w:val="20"/>
                      <w:szCs w:val="20"/>
                    </w:rPr>
                  </w:pPr>
                  <w:r w:rsidRPr="004A6977">
                    <w:rPr>
                      <w:bCs/>
                      <w:color w:val="000000"/>
                      <w:sz w:val="20"/>
                      <w:szCs w:val="20"/>
                    </w:rPr>
                    <w:t>11.666</w:t>
                  </w:r>
                </w:p>
              </w:tc>
              <w:tc>
                <w:tcPr>
                  <w:tcW w:w="1031" w:type="dxa"/>
                  <w:vAlign w:val="bottom"/>
                </w:tcPr>
                <w:p w14:paraId="21FA074C" w14:textId="73363A27" w:rsidR="00D366F7" w:rsidRPr="004A6977" w:rsidRDefault="00D366F7" w:rsidP="00136EEC">
                  <w:pPr>
                    <w:rPr>
                      <w:rFonts w:cs="Arial"/>
                      <w:sz w:val="20"/>
                      <w:szCs w:val="20"/>
                    </w:rPr>
                  </w:pPr>
                  <w:r w:rsidRPr="004A6977">
                    <w:rPr>
                      <w:bCs/>
                      <w:color w:val="000000"/>
                      <w:sz w:val="20"/>
                      <w:szCs w:val="20"/>
                    </w:rPr>
                    <w:t>0.006</w:t>
                  </w:r>
                </w:p>
              </w:tc>
            </w:tr>
            <w:tr w:rsidR="00D366F7" w14:paraId="7679D785" w14:textId="77777777" w:rsidTr="004A6977">
              <w:trPr>
                <w:trHeight w:val="191"/>
              </w:trPr>
              <w:tc>
                <w:tcPr>
                  <w:tcW w:w="1030" w:type="dxa"/>
                </w:tcPr>
                <w:p w14:paraId="0624BB9B" w14:textId="1B533088" w:rsidR="00D366F7" w:rsidRPr="004A6977" w:rsidRDefault="00D366F7" w:rsidP="00D366F7">
                  <w:pPr>
                    <w:jc w:val="center"/>
                    <w:rPr>
                      <w:rFonts w:cs="Arial"/>
                      <w:sz w:val="20"/>
                      <w:szCs w:val="20"/>
                    </w:rPr>
                  </w:pPr>
                  <w:r w:rsidRPr="004A6977">
                    <w:rPr>
                      <w:rFonts w:cs="Arial"/>
                      <w:sz w:val="20"/>
                      <w:szCs w:val="20"/>
                    </w:rPr>
                    <w:t>MFm</w:t>
                  </w:r>
                </w:p>
              </w:tc>
              <w:tc>
                <w:tcPr>
                  <w:tcW w:w="1030" w:type="dxa"/>
                </w:tcPr>
                <w:p w14:paraId="4A3DD06C" w14:textId="6B7EE469" w:rsidR="00D366F7" w:rsidRPr="004A6977" w:rsidRDefault="00D366F7" w:rsidP="00D366F7">
                  <w:pPr>
                    <w:jc w:val="center"/>
                    <w:rPr>
                      <w:rFonts w:cs="Arial"/>
                      <w:sz w:val="20"/>
                      <w:szCs w:val="20"/>
                    </w:rPr>
                  </w:pPr>
                  <w:r w:rsidRPr="004A6977">
                    <w:rPr>
                      <w:rFonts w:cs="Arial"/>
                      <w:sz w:val="20"/>
                      <w:szCs w:val="20"/>
                    </w:rPr>
                    <w:t>8</w:t>
                  </w:r>
                </w:p>
              </w:tc>
              <w:tc>
                <w:tcPr>
                  <w:tcW w:w="1030" w:type="dxa"/>
                  <w:vAlign w:val="bottom"/>
                </w:tcPr>
                <w:p w14:paraId="40719208" w14:textId="638F1095" w:rsidR="00D366F7" w:rsidRPr="004A6977" w:rsidRDefault="00D366F7" w:rsidP="00136EEC">
                  <w:pPr>
                    <w:rPr>
                      <w:rFonts w:cs="Arial"/>
                      <w:sz w:val="20"/>
                      <w:szCs w:val="20"/>
                    </w:rPr>
                  </w:pPr>
                  <w:r w:rsidRPr="004A6977">
                    <w:rPr>
                      <w:color w:val="000000"/>
                      <w:sz w:val="20"/>
                      <w:szCs w:val="20"/>
                    </w:rPr>
                    <w:t>24.850</w:t>
                  </w:r>
                </w:p>
              </w:tc>
              <w:tc>
                <w:tcPr>
                  <w:tcW w:w="1031" w:type="dxa"/>
                  <w:vAlign w:val="bottom"/>
                </w:tcPr>
                <w:p w14:paraId="5FFC0BBB" w14:textId="5AA2F123" w:rsidR="00D366F7" w:rsidRPr="004A6977" w:rsidRDefault="00D366F7" w:rsidP="00136EEC">
                  <w:pPr>
                    <w:rPr>
                      <w:rFonts w:cs="Arial"/>
                      <w:sz w:val="20"/>
                      <w:szCs w:val="20"/>
                    </w:rPr>
                  </w:pPr>
                  <w:r w:rsidRPr="004A6977">
                    <w:rPr>
                      <w:color w:val="000000"/>
                      <w:sz w:val="20"/>
                      <w:szCs w:val="20"/>
                    </w:rPr>
                    <w:t>0.007</w:t>
                  </w:r>
                </w:p>
              </w:tc>
              <w:tc>
                <w:tcPr>
                  <w:tcW w:w="1040" w:type="dxa"/>
                  <w:vAlign w:val="bottom"/>
                </w:tcPr>
                <w:p w14:paraId="635AE211" w14:textId="156B574B" w:rsidR="00D366F7" w:rsidRPr="004A6977" w:rsidRDefault="00D366F7" w:rsidP="00136EEC">
                  <w:pPr>
                    <w:rPr>
                      <w:rFonts w:cs="Arial"/>
                      <w:sz w:val="20"/>
                      <w:szCs w:val="20"/>
                    </w:rPr>
                  </w:pPr>
                  <w:r w:rsidRPr="004A6977">
                    <w:rPr>
                      <w:bCs/>
                      <w:color w:val="000000"/>
                      <w:sz w:val="20"/>
                      <w:szCs w:val="20"/>
                    </w:rPr>
                    <w:t>27.881</w:t>
                  </w:r>
                </w:p>
              </w:tc>
              <w:tc>
                <w:tcPr>
                  <w:tcW w:w="1031" w:type="dxa"/>
                  <w:vAlign w:val="bottom"/>
                </w:tcPr>
                <w:p w14:paraId="309F9DEA" w14:textId="0261D8FE" w:rsidR="00D366F7" w:rsidRPr="004A6977" w:rsidRDefault="00D366F7" w:rsidP="00136EEC">
                  <w:pPr>
                    <w:rPr>
                      <w:rFonts w:cs="Arial"/>
                      <w:sz w:val="20"/>
                      <w:szCs w:val="20"/>
                    </w:rPr>
                  </w:pPr>
                  <w:r w:rsidRPr="004A6977">
                    <w:rPr>
                      <w:bCs/>
                      <w:color w:val="000000"/>
                      <w:sz w:val="20"/>
                      <w:szCs w:val="20"/>
                    </w:rPr>
                    <w:t>0.007</w:t>
                  </w:r>
                </w:p>
              </w:tc>
            </w:tr>
            <w:tr w:rsidR="00D366F7" w14:paraId="443364A6" w14:textId="77777777" w:rsidTr="004A6977">
              <w:trPr>
                <w:trHeight w:val="191"/>
              </w:trPr>
              <w:tc>
                <w:tcPr>
                  <w:tcW w:w="1030" w:type="dxa"/>
                </w:tcPr>
                <w:p w14:paraId="0C8BD047" w14:textId="6179839B" w:rsidR="00D366F7" w:rsidRPr="004A6977" w:rsidRDefault="00D366F7" w:rsidP="00D366F7">
                  <w:pPr>
                    <w:jc w:val="center"/>
                    <w:rPr>
                      <w:rFonts w:cs="Arial"/>
                      <w:sz w:val="20"/>
                      <w:szCs w:val="20"/>
                    </w:rPr>
                  </w:pPr>
                  <w:r w:rsidRPr="004A6977">
                    <w:rPr>
                      <w:rFonts w:cs="Arial"/>
                      <w:sz w:val="20"/>
                      <w:szCs w:val="20"/>
                    </w:rPr>
                    <w:t>MFm</w:t>
                  </w:r>
                </w:p>
              </w:tc>
              <w:tc>
                <w:tcPr>
                  <w:tcW w:w="1030" w:type="dxa"/>
                </w:tcPr>
                <w:p w14:paraId="6AC1E851" w14:textId="7E0D822F" w:rsidR="00D366F7" w:rsidRPr="004A6977" w:rsidRDefault="00D366F7" w:rsidP="00D366F7">
                  <w:pPr>
                    <w:jc w:val="center"/>
                    <w:rPr>
                      <w:rFonts w:cs="Arial"/>
                      <w:sz w:val="20"/>
                      <w:szCs w:val="20"/>
                    </w:rPr>
                  </w:pPr>
                  <w:r w:rsidRPr="004A6977">
                    <w:rPr>
                      <w:rFonts w:cs="Arial"/>
                      <w:sz w:val="20"/>
                      <w:szCs w:val="20"/>
                    </w:rPr>
                    <w:t>10</w:t>
                  </w:r>
                </w:p>
              </w:tc>
              <w:tc>
                <w:tcPr>
                  <w:tcW w:w="1030" w:type="dxa"/>
                  <w:vAlign w:val="bottom"/>
                </w:tcPr>
                <w:p w14:paraId="2BFA51EE" w14:textId="027C0743" w:rsidR="00D366F7" w:rsidRPr="004A6977" w:rsidRDefault="00D366F7" w:rsidP="00136EEC">
                  <w:pPr>
                    <w:rPr>
                      <w:rFonts w:cs="Arial"/>
                      <w:sz w:val="20"/>
                      <w:szCs w:val="20"/>
                    </w:rPr>
                  </w:pPr>
                  <w:r w:rsidRPr="004A6977">
                    <w:rPr>
                      <w:color w:val="000000"/>
                      <w:sz w:val="20"/>
                      <w:szCs w:val="20"/>
                    </w:rPr>
                    <w:t>55.120</w:t>
                  </w:r>
                </w:p>
              </w:tc>
              <w:tc>
                <w:tcPr>
                  <w:tcW w:w="1031" w:type="dxa"/>
                  <w:vAlign w:val="bottom"/>
                </w:tcPr>
                <w:p w14:paraId="3D25DD85" w14:textId="3809B7B0" w:rsidR="00D366F7" w:rsidRPr="004A6977" w:rsidRDefault="00D366F7" w:rsidP="00136EEC">
                  <w:pPr>
                    <w:rPr>
                      <w:rFonts w:cs="Arial"/>
                      <w:sz w:val="20"/>
                      <w:szCs w:val="20"/>
                    </w:rPr>
                  </w:pPr>
                  <w:r w:rsidRPr="004A6977">
                    <w:rPr>
                      <w:color w:val="000000"/>
                      <w:sz w:val="20"/>
                      <w:szCs w:val="20"/>
                    </w:rPr>
                    <w:t>0.055</w:t>
                  </w:r>
                </w:p>
              </w:tc>
              <w:tc>
                <w:tcPr>
                  <w:tcW w:w="1040" w:type="dxa"/>
                  <w:vAlign w:val="bottom"/>
                </w:tcPr>
                <w:p w14:paraId="70B00AC9" w14:textId="52009D1B" w:rsidR="00D366F7" w:rsidRPr="004A6977" w:rsidRDefault="00D366F7" w:rsidP="00136EEC">
                  <w:pPr>
                    <w:rPr>
                      <w:rFonts w:cs="Arial"/>
                      <w:sz w:val="20"/>
                      <w:szCs w:val="20"/>
                    </w:rPr>
                  </w:pPr>
                  <w:r w:rsidRPr="004A6977">
                    <w:rPr>
                      <w:bCs/>
                      <w:color w:val="000000"/>
                      <w:sz w:val="20"/>
                      <w:szCs w:val="20"/>
                    </w:rPr>
                    <w:t>61.845</w:t>
                  </w:r>
                </w:p>
              </w:tc>
              <w:tc>
                <w:tcPr>
                  <w:tcW w:w="1031" w:type="dxa"/>
                  <w:vAlign w:val="bottom"/>
                </w:tcPr>
                <w:p w14:paraId="2C9AA833" w14:textId="7ECE2E42" w:rsidR="00D366F7" w:rsidRPr="004A6977" w:rsidRDefault="00D366F7" w:rsidP="00136EEC">
                  <w:pPr>
                    <w:rPr>
                      <w:rFonts w:cs="Arial"/>
                      <w:sz w:val="20"/>
                      <w:szCs w:val="20"/>
                    </w:rPr>
                  </w:pPr>
                  <w:r w:rsidRPr="004A6977">
                    <w:rPr>
                      <w:bCs/>
                      <w:color w:val="000000"/>
                      <w:sz w:val="20"/>
                      <w:szCs w:val="20"/>
                    </w:rPr>
                    <w:t>0.062</w:t>
                  </w:r>
                </w:p>
              </w:tc>
            </w:tr>
            <w:tr w:rsidR="00D366F7" w14:paraId="18976BF9" w14:textId="77777777" w:rsidTr="004A6977">
              <w:trPr>
                <w:trHeight w:val="191"/>
              </w:trPr>
              <w:tc>
                <w:tcPr>
                  <w:tcW w:w="1030" w:type="dxa"/>
                </w:tcPr>
                <w:p w14:paraId="02A91005" w14:textId="0DBAC5FA" w:rsidR="00D366F7" w:rsidRPr="004A6977" w:rsidRDefault="00D366F7" w:rsidP="00D366F7">
                  <w:pPr>
                    <w:jc w:val="center"/>
                    <w:rPr>
                      <w:rFonts w:cs="Arial"/>
                      <w:sz w:val="20"/>
                      <w:szCs w:val="20"/>
                    </w:rPr>
                  </w:pPr>
                  <w:r w:rsidRPr="004A6977">
                    <w:rPr>
                      <w:rFonts w:cs="Arial"/>
                      <w:sz w:val="20"/>
                      <w:szCs w:val="20"/>
                    </w:rPr>
                    <w:t>MFm</w:t>
                  </w:r>
                </w:p>
              </w:tc>
              <w:tc>
                <w:tcPr>
                  <w:tcW w:w="1030" w:type="dxa"/>
                </w:tcPr>
                <w:p w14:paraId="2AD84FE2" w14:textId="67483072" w:rsidR="00D366F7" w:rsidRPr="004A6977" w:rsidRDefault="00D366F7" w:rsidP="00D366F7">
                  <w:pPr>
                    <w:jc w:val="center"/>
                    <w:rPr>
                      <w:rFonts w:cs="Arial"/>
                      <w:sz w:val="20"/>
                      <w:szCs w:val="20"/>
                    </w:rPr>
                  </w:pPr>
                  <w:r w:rsidRPr="004A6977">
                    <w:rPr>
                      <w:rFonts w:cs="Arial"/>
                      <w:sz w:val="20"/>
                      <w:szCs w:val="20"/>
                    </w:rPr>
                    <w:t>14</w:t>
                  </w:r>
                </w:p>
              </w:tc>
              <w:tc>
                <w:tcPr>
                  <w:tcW w:w="1030" w:type="dxa"/>
                  <w:vAlign w:val="bottom"/>
                </w:tcPr>
                <w:p w14:paraId="477D5032" w14:textId="6B2F54BA" w:rsidR="00D366F7" w:rsidRPr="004A6977" w:rsidRDefault="00D366F7" w:rsidP="00136EEC">
                  <w:pPr>
                    <w:rPr>
                      <w:rFonts w:cs="Arial"/>
                      <w:sz w:val="20"/>
                      <w:szCs w:val="20"/>
                    </w:rPr>
                  </w:pPr>
                  <w:r w:rsidRPr="004A6977">
                    <w:rPr>
                      <w:color w:val="000000"/>
                      <w:sz w:val="20"/>
                      <w:szCs w:val="20"/>
                    </w:rPr>
                    <w:t>70.317</w:t>
                  </w:r>
                </w:p>
              </w:tc>
              <w:tc>
                <w:tcPr>
                  <w:tcW w:w="1031" w:type="dxa"/>
                  <w:vAlign w:val="bottom"/>
                </w:tcPr>
                <w:p w14:paraId="2D7A5665" w14:textId="67D8AAF5" w:rsidR="00D366F7" w:rsidRPr="004A6977" w:rsidRDefault="00D366F7" w:rsidP="00136EEC">
                  <w:pPr>
                    <w:rPr>
                      <w:rFonts w:cs="Arial"/>
                      <w:sz w:val="20"/>
                      <w:szCs w:val="20"/>
                    </w:rPr>
                  </w:pPr>
                  <w:r w:rsidRPr="004A6977">
                    <w:rPr>
                      <w:color w:val="000000"/>
                      <w:sz w:val="20"/>
                      <w:szCs w:val="20"/>
                    </w:rPr>
                    <w:t>0.059</w:t>
                  </w:r>
                </w:p>
              </w:tc>
              <w:tc>
                <w:tcPr>
                  <w:tcW w:w="1040" w:type="dxa"/>
                  <w:vAlign w:val="bottom"/>
                </w:tcPr>
                <w:p w14:paraId="49513E6D" w14:textId="7C97EBDF" w:rsidR="00D366F7" w:rsidRPr="004A6977" w:rsidRDefault="00D366F7" w:rsidP="00136EEC">
                  <w:pPr>
                    <w:rPr>
                      <w:rFonts w:cs="Arial"/>
                      <w:sz w:val="20"/>
                      <w:szCs w:val="20"/>
                    </w:rPr>
                  </w:pPr>
                  <w:r w:rsidRPr="004A6977">
                    <w:rPr>
                      <w:bCs/>
                      <w:color w:val="000000"/>
                      <w:sz w:val="20"/>
                      <w:szCs w:val="20"/>
                    </w:rPr>
                    <w:t>78.896</w:t>
                  </w:r>
                </w:p>
              </w:tc>
              <w:tc>
                <w:tcPr>
                  <w:tcW w:w="1031" w:type="dxa"/>
                  <w:vAlign w:val="bottom"/>
                </w:tcPr>
                <w:p w14:paraId="4CD4BE5A" w14:textId="46D19DB4" w:rsidR="00D366F7" w:rsidRPr="004A6977" w:rsidRDefault="00D366F7" w:rsidP="00136EEC">
                  <w:pPr>
                    <w:rPr>
                      <w:rFonts w:cs="Arial"/>
                      <w:sz w:val="20"/>
                      <w:szCs w:val="20"/>
                    </w:rPr>
                  </w:pPr>
                  <w:r w:rsidRPr="004A6977">
                    <w:rPr>
                      <w:bCs/>
                      <w:color w:val="000000"/>
                      <w:sz w:val="20"/>
                      <w:szCs w:val="20"/>
                    </w:rPr>
                    <w:t>0.066</w:t>
                  </w:r>
                </w:p>
              </w:tc>
            </w:tr>
            <w:tr w:rsidR="00D366F7" w14:paraId="300631CE" w14:textId="77777777" w:rsidTr="004A6977">
              <w:trPr>
                <w:trHeight w:val="191"/>
              </w:trPr>
              <w:tc>
                <w:tcPr>
                  <w:tcW w:w="1030" w:type="dxa"/>
                </w:tcPr>
                <w:p w14:paraId="0415EACE" w14:textId="5149B42D" w:rsidR="00D366F7" w:rsidRPr="004A6977" w:rsidRDefault="00D366F7" w:rsidP="00D366F7">
                  <w:pPr>
                    <w:jc w:val="center"/>
                    <w:rPr>
                      <w:rFonts w:cs="Arial"/>
                      <w:sz w:val="20"/>
                      <w:szCs w:val="20"/>
                    </w:rPr>
                  </w:pPr>
                  <w:r w:rsidRPr="004A6977">
                    <w:rPr>
                      <w:rFonts w:cs="Arial"/>
                      <w:sz w:val="20"/>
                      <w:szCs w:val="20"/>
                    </w:rPr>
                    <w:t>MFm</w:t>
                  </w:r>
                </w:p>
              </w:tc>
              <w:tc>
                <w:tcPr>
                  <w:tcW w:w="1030" w:type="dxa"/>
                </w:tcPr>
                <w:p w14:paraId="57DD8EEA" w14:textId="57776A7E" w:rsidR="00D366F7" w:rsidRPr="004A6977" w:rsidRDefault="00D366F7" w:rsidP="00D366F7">
                  <w:pPr>
                    <w:jc w:val="center"/>
                    <w:rPr>
                      <w:rFonts w:cs="Arial"/>
                      <w:sz w:val="20"/>
                      <w:szCs w:val="20"/>
                    </w:rPr>
                  </w:pPr>
                  <w:r w:rsidRPr="004A6977">
                    <w:rPr>
                      <w:rFonts w:cs="Arial"/>
                      <w:sz w:val="20"/>
                      <w:szCs w:val="20"/>
                    </w:rPr>
                    <w:t>15</w:t>
                  </w:r>
                </w:p>
              </w:tc>
              <w:tc>
                <w:tcPr>
                  <w:tcW w:w="1030" w:type="dxa"/>
                  <w:vAlign w:val="bottom"/>
                </w:tcPr>
                <w:p w14:paraId="69C09C0B" w14:textId="11D2570A" w:rsidR="00D366F7" w:rsidRPr="004A6977" w:rsidRDefault="00D366F7" w:rsidP="00136EEC">
                  <w:pPr>
                    <w:rPr>
                      <w:rFonts w:cs="Arial"/>
                      <w:sz w:val="20"/>
                      <w:szCs w:val="20"/>
                    </w:rPr>
                  </w:pPr>
                  <w:r w:rsidRPr="004A6977">
                    <w:rPr>
                      <w:color w:val="000000"/>
                      <w:sz w:val="20"/>
                      <w:szCs w:val="20"/>
                    </w:rPr>
                    <w:t>174.247</w:t>
                  </w:r>
                </w:p>
              </w:tc>
              <w:tc>
                <w:tcPr>
                  <w:tcW w:w="1031" w:type="dxa"/>
                  <w:vAlign w:val="bottom"/>
                </w:tcPr>
                <w:p w14:paraId="1D2F4790" w14:textId="7E2378E7" w:rsidR="00D366F7" w:rsidRPr="004A6977" w:rsidRDefault="00D366F7" w:rsidP="00136EEC">
                  <w:pPr>
                    <w:rPr>
                      <w:rFonts w:cs="Arial"/>
                      <w:sz w:val="20"/>
                      <w:szCs w:val="20"/>
                    </w:rPr>
                  </w:pPr>
                  <w:r w:rsidRPr="004A6977">
                    <w:rPr>
                      <w:color w:val="000000"/>
                      <w:sz w:val="20"/>
                      <w:szCs w:val="20"/>
                    </w:rPr>
                    <w:t>0.059</w:t>
                  </w:r>
                </w:p>
              </w:tc>
              <w:tc>
                <w:tcPr>
                  <w:tcW w:w="1040" w:type="dxa"/>
                  <w:vAlign w:val="bottom"/>
                </w:tcPr>
                <w:p w14:paraId="39D91290" w14:textId="6B40CCC2" w:rsidR="00D366F7" w:rsidRPr="004A6977" w:rsidRDefault="00D366F7" w:rsidP="00136EEC">
                  <w:pPr>
                    <w:rPr>
                      <w:rFonts w:cs="Arial"/>
                      <w:sz w:val="20"/>
                      <w:szCs w:val="20"/>
                    </w:rPr>
                  </w:pPr>
                  <w:r w:rsidRPr="004A6977">
                    <w:rPr>
                      <w:bCs/>
                      <w:color w:val="000000"/>
                      <w:sz w:val="20"/>
                      <w:szCs w:val="20"/>
                    </w:rPr>
                    <w:t>195.505</w:t>
                  </w:r>
                </w:p>
              </w:tc>
              <w:tc>
                <w:tcPr>
                  <w:tcW w:w="1031" w:type="dxa"/>
                  <w:vAlign w:val="bottom"/>
                </w:tcPr>
                <w:p w14:paraId="57AA0171" w14:textId="729BD93B" w:rsidR="00D366F7" w:rsidRPr="004A6977" w:rsidRDefault="00D366F7" w:rsidP="00136EEC">
                  <w:pPr>
                    <w:rPr>
                      <w:rFonts w:cs="Arial"/>
                      <w:sz w:val="20"/>
                      <w:szCs w:val="20"/>
                    </w:rPr>
                  </w:pPr>
                  <w:r w:rsidRPr="004A6977">
                    <w:rPr>
                      <w:bCs/>
                      <w:color w:val="000000"/>
                      <w:sz w:val="20"/>
                      <w:szCs w:val="20"/>
                    </w:rPr>
                    <w:t>0.066</w:t>
                  </w:r>
                </w:p>
              </w:tc>
            </w:tr>
            <w:tr w:rsidR="00D366F7" w14:paraId="44E1EBD4" w14:textId="77777777" w:rsidTr="004A6977">
              <w:trPr>
                <w:trHeight w:val="191"/>
              </w:trPr>
              <w:tc>
                <w:tcPr>
                  <w:tcW w:w="1030" w:type="dxa"/>
                </w:tcPr>
                <w:p w14:paraId="78B178EF" w14:textId="64C2C183" w:rsidR="00D366F7" w:rsidRPr="004A6977" w:rsidRDefault="00D366F7" w:rsidP="00D366F7">
                  <w:pPr>
                    <w:jc w:val="center"/>
                    <w:rPr>
                      <w:rFonts w:cs="Arial"/>
                      <w:sz w:val="20"/>
                      <w:szCs w:val="20"/>
                    </w:rPr>
                  </w:pPr>
                  <w:proofErr w:type="spellStart"/>
                  <w:r w:rsidRPr="004A6977">
                    <w:rPr>
                      <w:rFonts w:cs="Arial"/>
                      <w:sz w:val="20"/>
                      <w:szCs w:val="20"/>
                    </w:rPr>
                    <w:t>SFm</w:t>
                  </w:r>
                  <w:proofErr w:type="spellEnd"/>
                </w:p>
              </w:tc>
              <w:tc>
                <w:tcPr>
                  <w:tcW w:w="1030" w:type="dxa"/>
                </w:tcPr>
                <w:p w14:paraId="4B796581" w14:textId="2BEC1426" w:rsidR="00D366F7" w:rsidRPr="004A6977" w:rsidRDefault="00D366F7" w:rsidP="00D366F7">
                  <w:pPr>
                    <w:jc w:val="center"/>
                    <w:rPr>
                      <w:rFonts w:cs="Arial"/>
                      <w:sz w:val="20"/>
                      <w:szCs w:val="20"/>
                    </w:rPr>
                  </w:pPr>
                  <w:r w:rsidRPr="004A6977">
                    <w:rPr>
                      <w:rFonts w:cs="Arial"/>
                      <w:sz w:val="20"/>
                      <w:szCs w:val="20"/>
                    </w:rPr>
                    <w:t>6</w:t>
                  </w:r>
                </w:p>
              </w:tc>
              <w:tc>
                <w:tcPr>
                  <w:tcW w:w="1030" w:type="dxa"/>
                  <w:vAlign w:val="bottom"/>
                </w:tcPr>
                <w:p w14:paraId="0B37E94C" w14:textId="4D61E197" w:rsidR="00D366F7" w:rsidRPr="004A6977" w:rsidRDefault="00D366F7" w:rsidP="00136EEC">
                  <w:pPr>
                    <w:rPr>
                      <w:rFonts w:cs="Arial"/>
                      <w:sz w:val="20"/>
                      <w:szCs w:val="20"/>
                    </w:rPr>
                  </w:pPr>
                  <w:r w:rsidRPr="004A6977">
                    <w:rPr>
                      <w:color w:val="000000"/>
                      <w:sz w:val="20"/>
                      <w:szCs w:val="20"/>
                    </w:rPr>
                    <w:t>13.457</w:t>
                  </w:r>
                </w:p>
              </w:tc>
              <w:tc>
                <w:tcPr>
                  <w:tcW w:w="1031" w:type="dxa"/>
                  <w:vAlign w:val="bottom"/>
                </w:tcPr>
                <w:p w14:paraId="7AFDBD81" w14:textId="31E23872" w:rsidR="00D366F7" w:rsidRPr="004A6977" w:rsidRDefault="00D366F7" w:rsidP="00136EEC">
                  <w:pPr>
                    <w:rPr>
                      <w:rFonts w:cs="Arial"/>
                      <w:sz w:val="20"/>
                      <w:szCs w:val="20"/>
                    </w:rPr>
                  </w:pPr>
                  <w:r w:rsidRPr="004A6977">
                    <w:rPr>
                      <w:color w:val="000000"/>
                      <w:sz w:val="20"/>
                      <w:szCs w:val="20"/>
                    </w:rPr>
                    <w:t>0.001</w:t>
                  </w:r>
                </w:p>
              </w:tc>
              <w:tc>
                <w:tcPr>
                  <w:tcW w:w="1040" w:type="dxa"/>
                  <w:vAlign w:val="bottom"/>
                </w:tcPr>
                <w:p w14:paraId="735C0734" w14:textId="2FFC2D55" w:rsidR="00D366F7" w:rsidRPr="004A6977" w:rsidRDefault="00D366F7" w:rsidP="00136EEC">
                  <w:pPr>
                    <w:rPr>
                      <w:rFonts w:cs="Arial"/>
                      <w:sz w:val="20"/>
                      <w:szCs w:val="20"/>
                    </w:rPr>
                  </w:pPr>
                  <w:r w:rsidRPr="004A6977">
                    <w:rPr>
                      <w:bCs/>
                      <w:color w:val="000000"/>
                      <w:sz w:val="20"/>
                      <w:szCs w:val="20"/>
                    </w:rPr>
                    <w:t>42.846</w:t>
                  </w:r>
                </w:p>
              </w:tc>
              <w:tc>
                <w:tcPr>
                  <w:tcW w:w="1031" w:type="dxa"/>
                  <w:vAlign w:val="bottom"/>
                </w:tcPr>
                <w:p w14:paraId="2C8D5425" w14:textId="7AE26A60" w:rsidR="00D366F7" w:rsidRPr="004A6977" w:rsidRDefault="00D366F7" w:rsidP="00136EEC">
                  <w:pPr>
                    <w:rPr>
                      <w:rFonts w:cs="Arial"/>
                      <w:sz w:val="20"/>
                      <w:szCs w:val="20"/>
                    </w:rPr>
                  </w:pPr>
                  <w:r w:rsidRPr="004A6977">
                    <w:rPr>
                      <w:bCs/>
                      <w:color w:val="000000"/>
                      <w:sz w:val="20"/>
                      <w:szCs w:val="20"/>
                    </w:rPr>
                    <w:t>0.002</w:t>
                  </w:r>
                </w:p>
              </w:tc>
            </w:tr>
            <w:tr w:rsidR="00D366F7" w14:paraId="6C898FE8" w14:textId="77777777" w:rsidTr="004A6977">
              <w:trPr>
                <w:trHeight w:val="191"/>
              </w:trPr>
              <w:tc>
                <w:tcPr>
                  <w:tcW w:w="1030" w:type="dxa"/>
                </w:tcPr>
                <w:p w14:paraId="5B8A7FC5" w14:textId="5AC39D1D" w:rsidR="00D366F7" w:rsidRPr="004A6977" w:rsidRDefault="00D366F7" w:rsidP="00D366F7">
                  <w:pPr>
                    <w:jc w:val="center"/>
                    <w:rPr>
                      <w:rFonts w:cs="Arial"/>
                      <w:sz w:val="20"/>
                      <w:szCs w:val="20"/>
                    </w:rPr>
                  </w:pPr>
                  <w:proofErr w:type="spellStart"/>
                  <w:r w:rsidRPr="004A6977">
                    <w:rPr>
                      <w:rFonts w:cs="Arial"/>
                      <w:sz w:val="20"/>
                      <w:szCs w:val="20"/>
                    </w:rPr>
                    <w:t>SFm</w:t>
                  </w:r>
                  <w:proofErr w:type="spellEnd"/>
                </w:p>
              </w:tc>
              <w:tc>
                <w:tcPr>
                  <w:tcW w:w="1030" w:type="dxa"/>
                </w:tcPr>
                <w:p w14:paraId="6B549FB3" w14:textId="1ACDBCC4" w:rsidR="00D366F7" w:rsidRPr="004A6977" w:rsidRDefault="00D366F7" w:rsidP="00D366F7">
                  <w:pPr>
                    <w:jc w:val="center"/>
                    <w:rPr>
                      <w:rFonts w:cs="Arial"/>
                      <w:sz w:val="20"/>
                      <w:szCs w:val="20"/>
                    </w:rPr>
                  </w:pPr>
                  <w:r w:rsidRPr="004A6977">
                    <w:rPr>
                      <w:rFonts w:cs="Arial"/>
                      <w:sz w:val="20"/>
                      <w:szCs w:val="20"/>
                    </w:rPr>
                    <w:t>7</w:t>
                  </w:r>
                </w:p>
              </w:tc>
              <w:tc>
                <w:tcPr>
                  <w:tcW w:w="1030" w:type="dxa"/>
                  <w:vAlign w:val="bottom"/>
                </w:tcPr>
                <w:p w14:paraId="287F8EE3" w14:textId="3F183838" w:rsidR="00D366F7" w:rsidRPr="004A6977" w:rsidRDefault="00D366F7" w:rsidP="00136EEC">
                  <w:pPr>
                    <w:rPr>
                      <w:rFonts w:cs="Arial"/>
                      <w:sz w:val="20"/>
                      <w:szCs w:val="20"/>
                    </w:rPr>
                  </w:pPr>
                  <w:r w:rsidRPr="004A6977">
                    <w:rPr>
                      <w:color w:val="000000"/>
                      <w:sz w:val="20"/>
                      <w:szCs w:val="20"/>
                    </w:rPr>
                    <w:t>23.650</w:t>
                  </w:r>
                </w:p>
              </w:tc>
              <w:tc>
                <w:tcPr>
                  <w:tcW w:w="1031" w:type="dxa"/>
                  <w:vAlign w:val="bottom"/>
                </w:tcPr>
                <w:p w14:paraId="409973DB" w14:textId="4E9C30ED" w:rsidR="00D366F7" w:rsidRPr="004A6977" w:rsidRDefault="00D366F7" w:rsidP="00136EEC">
                  <w:pPr>
                    <w:rPr>
                      <w:rFonts w:cs="Arial"/>
                      <w:sz w:val="20"/>
                      <w:szCs w:val="20"/>
                    </w:rPr>
                  </w:pPr>
                  <w:r w:rsidRPr="004A6977">
                    <w:rPr>
                      <w:color w:val="000000"/>
                      <w:sz w:val="20"/>
                      <w:szCs w:val="20"/>
                    </w:rPr>
                    <w:t>0.006</w:t>
                  </w:r>
                </w:p>
              </w:tc>
              <w:tc>
                <w:tcPr>
                  <w:tcW w:w="1040" w:type="dxa"/>
                  <w:vAlign w:val="bottom"/>
                </w:tcPr>
                <w:p w14:paraId="59FE66C8" w14:textId="7863DD48" w:rsidR="00D366F7" w:rsidRPr="004A6977" w:rsidRDefault="00D366F7" w:rsidP="00136EEC">
                  <w:pPr>
                    <w:rPr>
                      <w:rFonts w:cs="Arial"/>
                      <w:sz w:val="20"/>
                      <w:szCs w:val="20"/>
                    </w:rPr>
                  </w:pPr>
                  <w:r w:rsidRPr="004A6977">
                    <w:rPr>
                      <w:bCs/>
                      <w:color w:val="000000"/>
                      <w:sz w:val="20"/>
                      <w:szCs w:val="20"/>
                    </w:rPr>
                    <w:t>75.303</w:t>
                  </w:r>
                </w:p>
              </w:tc>
              <w:tc>
                <w:tcPr>
                  <w:tcW w:w="1031" w:type="dxa"/>
                  <w:vAlign w:val="bottom"/>
                </w:tcPr>
                <w:p w14:paraId="0FB9F8C6" w14:textId="5B17DFE8" w:rsidR="00D366F7" w:rsidRPr="004A6977" w:rsidRDefault="00D366F7" w:rsidP="00136EEC">
                  <w:pPr>
                    <w:rPr>
                      <w:rFonts w:cs="Arial"/>
                      <w:sz w:val="20"/>
                      <w:szCs w:val="20"/>
                    </w:rPr>
                  </w:pPr>
                  <w:r w:rsidRPr="004A6977">
                    <w:rPr>
                      <w:bCs/>
                      <w:color w:val="000000"/>
                      <w:sz w:val="20"/>
                      <w:szCs w:val="20"/>
                    </w:rPr>
                    <w:t>0.020</w:t>
                  </w:r>
                </w:p>
              </w:tc>
            </w:tr>
            <w:tr w:rsidR="00D366F7" w14:paraId="391D0D11" w14:textId="77777777" w:rsidTr="004A6977">
              <w:trPr>
                <w:trHeight w:val="191"/>
              </w:trPr>
              <w:tc>
                <w:tcPr>
                  <w:tcW w:w="1030" w:type="dxa"/>
                </w:tcPr>
                <w:p w14:paraId="74629829" w14:textId="1D6F5274" w:rsidR="00D366F7" w:rsidRPr="004A6977" w:rsidRDefault="00D366F7" w:rsidP="00D366F7">
                  <w:pPr>
                    <w:jc w:val="center"/>
                    <w:rPr>
                      <w:rFonts w:cs="Arial"/>
                      <w:sz w:val="20"/>
                      <w:szCs w:val="20"/>
                    </w:rPr>
                  </w:pPr>
                  <w:proofErr w:type="spellStart"/>
                  <w:r w:rsidRPr="004A6977">
                    <w:rPr>
                      <w:rFonts w:cs="Arial"/>
                      <w:sz w:val="20"/>
                      <w:szCs w:val="20"/>
                    </w:rPr>
                    <w:t>SFm</w:t>
                  </w:r>
                  <w:proofErr w:type="spellEnd"/>
                </w:p>
              </w:tc>
              <w:tc>
                <w:tcPr>
                  <w:tcW w:w="1030" w:type="dxa"/>
                </w:tcPr>
                <w:p w14:paraId="057457DB" w14:textId="61CF5F34" w:rsidR="00D366F7" w:rsidRPr="004A6977" w:rsidRDefault="00D366F7" w:rsidP="00D366F7">
                  <w:pPr>
                    <w:jc w:val="center"/>
                    <w:rPr>
                      <w:rFonts w:cs="Arial"/>
                      <w:sz w:val="20"/>
                      <w:szCs w:val="20"/>
                    </w:rPr>
                  </w:pPr>
                  <w:r w:rsidRPr="004A6977">
                    <w:rPr>
                      <w:rFonts w:cs="Arial"/>
                      <w:sz w:val="20"/>
                      <w:szCs w:val="20"/>
                    </w:rPr>
                    <w:t>8</w:t>
                  </w:r>
                </w:p>
              </w:tc>
              <w:tc>
                <w:tcPr>
                  <w:tcW w:w="1030" w:type="dxa"/>
                  <w:vAlign w:val="bottom"/>
                </w:tcPr>
                <w:p w14:paraId="5B5B22E1" w14:textId="1F31986F" w:rsidR="00D366F7" w:rsidRPr="004A6977" w:rsidRDefault="00D366F7" w:rsidP="00136EEC">
                  <w:pPr>
                    <w:rPr>
                      <w:rFonts w:cs="Arial"/>
                      <w:sz w:val="20"/>
                      <w:szCs w:val="20"/>
                    </w:rPr>
                  </w:pPr>
                  <w:r w:rsidRPr="004A6977">
                    <w:rPr>
                      <w:color w:val="000000"/>
                      <w:sz w:val="20"/>
                      <w:szCs w:val="20"/>
                    </w:rPr>
                    <w:t>52.753</w:t>
                  </w:r>
                </w:p>
              </w:tc>
              <w:tc>
                <w:tcPr>
                  <w:tcW w:w="1031" w:type="dxa"/>
                  <w:vAlign w:val="bottom"/>
                </w:tcPr>
                <w:p w14:paraId="52560607" w14:textId="590DC0D3" w:rsidR="00D366F7" w:rsidRPr="004A6977" w:rsidRDefault="00D366F7" w:rsidP="00136EEC">
                  <w:pPr>
                    <w:rPr>
                      <w:rFonts w:cs="Arial"/>
                      <w:sz w:val="20"/>
                      <w:szCs w:val="20"/>
                    </w:rPr>
                  </w:pPr>
                  <w:r w:rsidRPr="004A6977">
                    <w:rPr>
                      <w:color w:val="000000"/>
                      <w:sz w:val="20"/>
                      <w:szCs w:val="20"/>
                    </w:rPr>
                    <w:t>0.025</w:t>
                  </w:r>
                </w:p>
              </w:tc>
              <w:tc>
                <w:tcPr>
                  <w:tcW w:w="1040" w:type="dxa"/>
                  <w:vAlign w:val="bottom"/>
                </w:tcPr>
                <w:p w14:paraId="493210C9" w14:textId="2A2D1755" w:rsidR="00D366F7" w:rsidRPr="004A6977" w:rsidRDefault="00D366F7" w:rsidP="00136EEC">
                  <w:pPr>
                    <w:rPr>
                      <w:rFonts w:cs="Arial"/>
                      <w:sz w:val="20"/>
                      <w:szCs w:val="20"/>
                    </w:rPr>
                  </w:pPr>
                  <w:r w:rsidRPr="004A6977">
                    <w:rPr>
                      <w:bCs/>
                      <w:color w:val="000000"/>
                      <w:sz w:val="20"/>
                      <w:szCs w:val="20"/>
                    </w:rPr>
                    <w:t>167.966</w:t>
                  </w:r>
                </w:p>
              </w:tc>
              <w:tc>
                <w:tcPr>
                  <w:tcW w:w="1031" w:type="dxa"/>
                  <w:vAlign w:val="bottom"/>
                </w:tcPr>
                <w:p w14:paraId="20BACB7C" w14:textId="3DF5AADD" w:rsidR="00D366F7" w:rsidRPr="004A6977" w:rsidRDefault="00D366F7" w:rsidP="00136EEC">
                  <w:pPr>
                    <w:rPr>
                      <w:rFonts w:cs="Arial"/>
                      <w:sz w:val="20"/>
                      <w:szCs w:val="20"/>
                    </w:rPr>
                  </w:pPr>
                  <w:r w:rsidRPr="004A6977">
                    <w:rPr>
                      <w:bCs/>
                      <w:color w:val="000000"/>
                      <w:sz w:val="20"/>
                      <w:szCs w:val="20"/>
                    </w:rPr>
                    <w:t>0.080</w:t>
                  </w:r>
                </w:p>
              </w:tc>
            </w:tr>
            <w:tr w:rsidR="00D366F7" w14:paraId="6A2C21B5" w14:textId="77777777" w:rsidTr="004A6977">
              <w:trPr>
                <w:trHeight w:val="179"/>
              </w:trPr>
              <w:tc>
                <w:tcPr>
                  <w:tcW w:w="1030" w:type="dxa"/>
                </w:tcPr>
                <w:p w14:paraId="2A8B27C8" w14:textId="52BAFBB7" w:rsidR="00D366F7" w:rsidRPr="004A6977" w:rsidRDefault="00D366F7" w:rsidP="00D366F7">
                  <w:pPr>
                    <w:jc w:val="center"/>
                    <w:rPr>
                      <w:rFonts w:cs="Arial"/>
                      <w:sz w:val="20"/>
                      <w:szCs w:val="20"/>
                    </w:rPr>
                  </w:pPr>
                  <w:proofErr w:type="spellStart"/>
                  <w:r w:rsidRPr="004A6977">
                    <w:rPr>
                      <w:rFonts w:cs="Arial"/>
                      <w:sz w:val="20"/>
                      <w:szCs w:val="20"/>
                    </w:rPr>
                    <w:t>SFm</w:t>
                  </w:r>
                  <w:proofErr w:type="spellEnd"/>
                </w:p>
              </w:tc>
              <w:tc>
                <w:tcPr>
                  <w:tcW w:w="1030" w:type="dxa"/>
                </w:tcPr>
                <w:p w14:paraId="3781FEFF" w14:textId="6B8429FA" w:rsidR="00D366F7" w:rsidRPr="004A6977" w:rsidRDefault="00D366F7" w:rsidP="00D366F7">
                  <w:pPr>
                    <w:jc w:val="center"/>
                    <w:rPr>
                      <w:rFonts w:cs="Arial"/>
                      <w:sz w:val="20"/>
                      <w:szCs w:val="20"/>
                    </w:rPr>
                  </w:pPr>
                  <w:r w:rsidRPr="004A6977">
                    <w:rPr>
                      <w:rFonts w:cs="Arial"/>
                      <w:sz w:val="20"/>
                      <w:szCs w:val="20"/>
                    </w:rPr>
                    <w:t>10</w:t>
                  </w:r>
                </w:p>
              </w:tc>
              <w:tc>
                <w:tcPr>
                  <w:tcW w:w="1030" w:type="dxa"/>
                  <w:vAlign w:val="bottom"/>
                </w:tcPr>
                <w:p w14:paraId="1120403A" w14:textId="4CB196DE" w:rsidR="00D366F7" w:rsidRPr="004A6977" w:rsidRDefault="00D366F7" w:rsidP="00136EEC">
                  <w:pPr>
                    <w:rPr>
                      <w:rFonts w:cs="Arial"/>
                      <w:sz w:val="20"/>
                      <w:szCs w:val="20"/>
                    </w:rPr>
                  </w:pPr>
                  <w:r w:rsidRPr="004A6977">
                    <w:rPr>
                      <w:color w:val="000000"/>
                      <w:sz w:val="20"/>
                      <w:szCs w:val="20"/>
                    </w:rPr>
                    <w:t>98.394</w:t>
                  </w:r>
                </w:p>
              </w:tc>
              <w:tc>
                <w:tcPr>
                  <w:tcW w:w="1031" w:type="dxa"/>
                  <w:vAlign w:val="bottom"/>
                </w:tcPr>
                <w:p w14:paraId="1D4C9E68" w14:textId="7FAB387D" w:rsidR="00D366F7" w:rsidRPr="004A6977" w:rsidRDefault="00D366F7" w:rsidP="00136EEC">
                  <w:pPr>
                    <w:rPr>
                      <w:rFonts w:cs="Arial"/>
                      <w:sz w:val="20"/>
                      <w:szCs w:val="20"/>
                    </w:rPr>
                  </w:pPr>
                  <w:r w:rsidRPr="004A6977">
                    <w:rPr>
                      <w:color w:val="000000"/>
                      <w:sz w:val="20"/>
                      <w:szCs w:val="20"/>
                    </w:rPr>
                    <w:t>0.051</w:t>
                  </w:r>
                </w:p>
              </w:tc>
              <w:tc>
                <w:tcPr>
                  <w:tcW w:w="1040" w:type="dxa"/>
                  <w:vAlign w:val="bottom"/>
                </w:tcPr>
                <w:p w14:paraId="1F65AB23" w14:textId="1EE4DB3E" w:rsidR="00D366F7" w:rsidRPr="004A6977" w:rsidRDefault="00D366F7" w:rsidP="00136EEC">
                  <w:pPr>
                    <w:rPr>
                      <w:rFonts w:cs="Arial"/>
                      <w:sz w:val="20"/>
                      <w:szCs w:val="20"/>
                    </w:rPr>
                  </w:pPr>
                  <w:r w:rsidRPr="004A6977">
                    <w:rPr>
                      <w:bCs/>
                      <w:color w:val="000000"/>
                      <w:sz w:val="20"/>
                      <w:szCs w:val="20"/>
                    </w:rPr>
                    <w:t>313.288</w:t>
                  </w:r>
                </w:p>
              </w:tc>
              <w:tc>
                <w:tcPr>
                  <w:tcW w:w="1031" w:type="dxa"/>
                  <w:vAlign w:val="bottom"/>
                </w:tcPr>
                <w:p w14:paraId="1A632FC4" w14:textId="14A8A320" w:rsidR="00D366F7" w:rsidRPr="004A6977" w:rsidRDefault="00D366F7" w:rsidP="00136EEC">
                  <w:pPr>
                    <w:rPr>
                      <w:rFonts w:cs="Arial"/>
                      <w:sz w:val="20"/>
                      <w:szCs w:val="20"/>
                    </w:rPr>
                  </w:pPr>
                  <w:r w:rsidRPr="004A6977">
                    <w:rPr>
                      <w:bCs/>
                      <w:color w:val="000000"/>
                      <w:sz w:val="20"/>
                      <w:szCs w:val="20"/>
                    </w:rPr>
                    <w:t>0.163</w:t>
                  </w:r>
                </w:p>
              </w:tc>
            </w:tr>
            <w:tr w:rsidR="00D366F7" w14:paraId="4B83E3D9" w14:textId="77777777" w:rsidTr="004A6977">
              <w:trPr>
                <w:trHeight w:val="191"/>
              </w:trPr>
              <w:tc>
                <w:tcPr>
                  <w:tcW w:w="1030" w:type="dxa"/>
                  <w:tcBorders>
                    <w:bottom w:val="single" w:sz="4" w:space="0" w:color="auto"/>
                  </w:tcBorders>
                </w:tcPr>
                <w:p w14:paraId="3A15FCBD" w14:textId="6A577192" w:rsidR="00D366F7" w:rsidRPr="004A6977" w:rsidRDefault="00D366F7" w:rsidP="00D366F7">
                  <w:pPr>
                    <w:jc w:val="center"/>
                    <w:rPr>
                      <w:rFonts w:cs="Arial"/>
                      <w:sz w:val="20"/>
                      <w:szCs w:val="20"/>
                    </w:rPr>
                  </w:pPr>
                  <w:proofErr w:type="spellStart"/>
                  <w:r w:rsidRPr="004A6977">
                    <w:rPr>
                      <w:rFonts w:cs="Arial"/>
                      <w:sz w:val="20"/>
                      <w:szCs w:val="20"/>
                    </w:rPr>
                    <w:t>SFm</w:t>
                  </w:r>
                  <w:proofErr w:type="spellEnd"/>
                </w:p>
              </w:tc>
              <w:tc>
                <w:tcPr>
                  <w:tcW w:w="1030" w:type="dxa"/>
                  <w:tcBorders>
                    <w:bottom w:val="single" w:sz="4" w:space="0" w:color="auto"/>
                  </w:tcBorders>
                </w:tcPr>
                <w:p w14:paraId="788DAC48" w14:textId="484B3EBA" w:rsidR="00D366F7" w:rsidRPr="004A6977" w:rsidRDefault="00D366F7" w:rsidP="00D366F7">
                  <w:pPr>
                    <w:jc w:val="center"/>
                    <w:rPr>
                      <w:rFonts w:cs="Arial"/>
                      <w:sz w:val="20"/>
                      <w:szCs w:val="20"/>
                    </w:rPr>
                  </w:pPr>
                  <w:r w:rsidRPr="004A6977">
                    <w:rPr>
                      <w:rFonts w:cs="Arial"/>
                      <w:sz w:val="20"/>
                      <w:szCs w:val="20"/>
                    </w:rPr>
                    <w:t>14</w:t>
                  </w:r>
                </w:p>
              </w:tc>
              <w:tc>
                <w:tcPr>
                  <w:tcW w:w="1030" w:type="dxa"/>
                  <w:tcBorders>
                    <w:bottom w:val="single" w:sz="4" w:space="0" w:color="auto"/>
                  </w:tcBorders>
                  <w:vAlign w:val="bottom"/>
                </w:tcPr>
                <w:p w14:paraId="6E174D40" w14:textId="53F5937F" w:rsidR="00D366F7" w:rsidRPr="004A6977" w:rsidRDefault="00D366F7" w:rsidP="00136EEC">
                  <w:pPr>
                    <w:rPr>
                      <w:rFonts w:cs="Arial"/>
                      <w:sz w:val="20"/>
                      <w:szCs w:val="20"/>
                    </w:rPr>
                  </w:pPr>
                  <w:r w:rsidRPr="004A6977">
                    <w:rPr>
                      <w:color w:val="000000"/>
                      <w:sz w:val="20"/>
                      <w:szCs w:val="20"/>
                    </w:rPr>
                    <w:t>109.927</w:t>
                  </w:r>
                </w:p>
              </w:tc>
              <w:tc>
                <w:tcPr>
                  <w:tcW w:w="1031" w:type="dxa"/>
                  <w:tcBorders>
                    <w:bottom w:val="single" w:sz="4" w:space="0" w:color="auto"/>
                  </w:tcBorders>
                  <w:vAlign w:val="bottom"/>
                </w:tcPr>
                <w:p w14:paraId="0EFB7D46" w14:textId="66A30B71" w:rsidR="00D366F7" w:rsidRPr="004A6977" w:rsidRDefault="00D366F7" w:rsidP="00136EEC">
                  <w:pPr>
                    <w:rPr>
                      <w:rFonts w:cs="Arial"/>
                      <w:sz w:val="20"/>
                      <w:szCs w:val="20"/>
                    </w:rPr>
                  </w:pPr>
                  <w:r w:rsidRPr="004A6977">
                    <w:rPr>
                      <w:color w:val="000000"/>
                      <w:sz w:val="20"/>
                      <w:szCs w:val="20"/>
                    </w:rPr>
                    <w:t>0.061</w:t>
                  </w:r>
                </w:p>
              </w:tc>
              <w:tc>
                <w:tcPr>
                  <w:tcW w:w="1040" w:type="dxa"/>
                  <w:tcBorders>
                    <w:bottom w:val="single" w:sz="4" w:space="0" w:color="auto"/>
                  </w:tcBorders>
                  <w:vAlign w:val="bottom"/>
                </w:tcPr>
                <w:p w14:paraId="6101A4FE" w14:textId="4CBB9850" w:rsidR="00D366F7" w:rsidRPr="004A6977" w:rsidRDefault="00D366F7" w:rsidP="00136EEC">
                  <w:pPr>
                    <w:rPr>
                      <w:rFonts w:cs="Arial"/>
                      <w:sz w:val="20"/>
                      <w:szCs w:val="20"/>
                    </w:rPr>
                  </w:pPr>
                  <w:r w:rsidRPr="004A6977">
                    <w:rPr>
                      <w:bCs/>
                      <w:color w:val="000000"/>
                      <w:sz w:val="20"/>
                      <w:szCs w:val="20"/>
                    </w:rPr>
                    <w:t>350.006</w:t>
                  </w:r>
                </w:p>
              </w:tc>
              <w:tc>
                <w:tcPr>
                  <w:tcW w:w="1031" w:type="dxa"/>
                  <w:tcBorders>
                    <w:bottom w:val="single" w:sz="4" w:space="0" w:color="auto"/>
                  </w:tcBorders>
                  <w:vAlign w:val="bottom"/>
                </w:tcPr>
                <w:p w14:paraId="172397D1" w14:textId="2486B700" w:rsidR="00D366F7" w:rsidRPr="004A6977" w:rsidRDefault="00D366F7" w:rsidP="00136EEC">
                  <w:pPr>
                    <w:rPr>
                      <w:rFonts w:cs="Arial"/>
                      <w:sz w:val="20"/>
                      <w:szCs w:val="20"/>
                    </w:rPr>
                  </w:pPr>
                  <w:r w:rsidRPr="004A6977">
                    <w:rPr>
                      <w:bCs/>
                      <w:color w:val="000000"/>
                      <w:sz w:val="20"/>
                      <w:szCs w:val="20"/>
                    </w:rPr>
                    <w:t>0.196</w:t>
                  </w:r>
                </w:p>
              </w:tc>
            </w:tr>
            <w:tr w:rsidR="00D366F7" w14:paraId="6D527151" w14:textId="77777777" w:rsidTr="004A6977">
              <w:trPr>
                <w:trHeight w:val="191"/>
              </w:trPr>
              <w:tc>
                <w:tcPr>
                  <w:tcW w:w="1030" w:type="dxa"/>
                  <w:tcBorders>
                    <w:bottom w:val="single" w:sz="4" w:space="0" w:color="auto"/>
                  </w:tcBorders>
                </w:tcPr>
                <w:p w14:paraId="1DC8DB25" w14:textId="37ACE2EE" w:rsidR="00D366F7" w:rsidRPr="004A6977" w:rsidRDefault="00D366F7" w:rsidP="00D366F7">
                  <w:pPr>
                    <w:jc w:val="center"/>
                    <w:rPr>
                      <w:rFonts w:cs="Arial"/>
                      <w:sz w:val="20"/>
                      <w:szCs w:val="20"/>
                    </w:rPr>
                  </w:pPr>
                  <w:proofErr w:type="spellStart"/>
                  <w:r w:rsidRPr="004A6977">
                    <w:rPr>
                      <w:rFonts w:cs="Arial"/>
                      <w:sz w:val="20"/>
                      <w:szCs w:val="20"/>
                    </w:rPr>
                    <w:t>SFm</w:t>
                  </w:r>
                  <w:proofErr w:type="spellEnd"/>
                </w:p>
              </w:tc>
              <w:tc>
                <w:tcPr>
                  <w:tcW w:w="1030" w:type="dxa"/>
                  <w:tcBorders>
                    <w:bottom w:val="single" w:sz="4" w:space="0" w:color="auto"/>
                  </w:tcBorders>
                </w:tcPr>
                <w:p w14:paraId="3D8BCFB7" w14:textId="09B2366C" w:rsidR="00D366F7" w:rsidRPr="004A6977" w:rsidRDefault="00D366F7" w:rsidP="00D366F7">
                  <w:pPr>
                    <w:jc w:val="center"/>
                    <w:rPr>
                      <w:rFonts w:cs="Arial"/>
                      <w:sz w:val="20"/>
                      <w:szCs w:val="20"/>
                    </w:rPr>
                  </w:pPr>
                  <w:r w:rsidRPr="004A6977">
                    <w:rPr>
                      <w:rFonts w:cs="Arial"/>
                      <w:sz w:val="20"/>
                      <w:szCs w:val="20"/>
                    </w:rPr>
                    <w:t>15</w:t>
                  </w:r>
                </w:p>
              </w:tc>
              <w:tc>
                <w:tcPr>
                  <w:tcW w:w="1030" w:type="dxa"/>
                  <w:tcBorders>
                    <w:bottom w:val="single" w:sz="4" w:space="0" w:color="auto"/>
                  </w:tcBorders>
                  <w:vAlign w:val="bottom"/>
                </w:tcPr>
                <w:p w14:paraId="37AC7EF1" w14:textId="0F28489B" w:rsidR="00D366F7" w:rsidRPr="004A6977" w:rsidRDefault="00D366F7" w:rsidP="00136EEC">
                  <w:pPr>
                    <w:rPr>
                      <w:rFonts w:cs="Arial"/>
                      <w:sz w:val="20"/>
                      <w:szCs w:val="20"/>
                    </w:rPr>
                  </w:pPr>
                  <w:r w:rsidRPr="004A6977">
                    <w:rPr>
                      <w:color w:val="000000"/>
                      <w:sz w:val="20"/>
                      <w:szCs w:val="20"/>
                    </w:rPr>
                    <w:t>217.884</w:t>
                  </w:r>
                </w:p>
              </w:tc>
              <w:tc>
                <w:tcPr>
                  <w:tcW w:w="1031" w:type="dxa"/>
                  <w:tcBorders>
                    <w:bottom w:val="single" w:sz="4" w:space="0" w:color="auto"/>
                  </w:tcBorders>
                  <w:vAlign w:val="bottom"/>
                </w:tcPr>
                <w:p w14:paraId="6F8EA6C2" w14:textId="17FAEDCE" w:rsidR="00D366F7" w:rsidRPr="004A6977" w:rsidRDefault="00D366F7" w:rsidP="00136EEC">
                  <w:pPr>
                    <w:rPr>
                      <w:rFonts w:cs="Arial"/>
                      <w:sz w:val="20"/>
                      <w:szCs w:val="20"/>
                    </w:rPr>
                  </w:pPr>
                  <w:r w:rsidRPr="004A6977">
                    <w:rPr>
                      <w:color w:val="000000"/>
                      <w:sz w:val="20"/>
                      <w:szCs w:val="20"/>
                    </w:rPr>
                    <w:t>0.046</w:t>
                  </w:r>
                </w:p>
              </w:tc>
              <w:tc>
                <w:tcPr>
                  <w:tcW w:w="1040" w:type="dxa"/>
                  <w:tcBorders>
                    <w:bottom w:val="single" w:sz="4" w:space="0" w:color="auto"/>
                  </w:tcBorders>
                  <w:vAlign w:val="bottom"/>
                </w:tcPr>
                <w:p w14:paraId="4EA05E0E" w14:textId="53CF1725" w:rsidR="00D366F7" w:rsidRPr="004A6977" w:rsidRDefault="00D366F7" w:rsidP="00136EEC">
                  <w:pPr>
                    <w:rPr>
                      <w:rFonts w:cs="Arial"/>
                      <w:sz w:val="20"/>
                      <w:szCs w:val="20"/>
                    </w:rPr>
                  </w:pPr>
                  <w:r w:rsidRPr="004A6977">
                    <w:rPr>
                      <w:bCs/>
                      <w:color w:val="000000"/>
                      <w:sz w:val="20"/>
                      <w:szCs w:val="20"/>
                    </w:rPr>
                    <w:t>693.743</w:t>
                  </w:r>
                </w:p>
              </w:tc>
              <w:tc>
                <w:tcPr>
                  <w:tcW w:w="1031" w:type="dxa"/>
                  <w:tcBorders>
                    <w:bottom w:val="single" w:sz="4" w:space="0" w:color="auto"/>
                  </w:tcBorders>
                  <w:vAlign w:val="bottom"/>
                </w:tcPr>
                <w:p w14:paraId="79452968" w14:textId="5F275390" w:rsidR="00D366F7" w:rsidRPr="004A6977" w:rsidRDefault="00D366F7" w:rsidP="00136EEC">
                  <w:pPr>
                    <w:rPr>
                      <w:rFonts w:cs="Arial"/>
                      <w:sz w:val="20"/>
                      <w:szCs w:val="20"/>
                    </w:rPr>
                  </w:pPr>
                  <w:r w:rsidRPr="004A6977">
                    <w:rPr>
                      <w:bCs/>
                      <w:color w:val="000000"/>
                      <w:sz w:val="20"/>
                      <w:szCs w:val="20"/>
                    </w:rPr>
                    <w:t>0.146</w:t>
                  </w:r>
                </w:p>
              </w:tc>
            </w:tr>
            <w:tr w:rsidR="00D366F7" w14:paraId="2CEEDF78" w14:textId="77777777" w:rsidTr="004A6977">
              <w:trPr>
                <w:trHeight w:val="215"/>
              </w:trPr>
              <w:tc>
                <w:tcPr>
                  <w:tcW w:w="1030" w:type="dxa"/>
                  <w:tcBorders>
                    <w:top w:val="single" w:sz="4" w:space="0" w:color="auto"/>
                    <w:left w:val="nil"/>
                    <w:bottom w:val="nil"/>
                    <w:right w:val="nil"/>
                  </w:tcBorders>
                </w:tcPr>
                <w:p w14:paraId="6276B058" w14:textId="77777777" w:rsidR="00D366F7" w:rsidRPr="00E815E8" w:rsidRDefault="00D366F7" w:rsidP="00136EEC">
                  <w:pPr>
                    <w:rPr>
                      <w:rFonts w:cs="Arial"/>
                      <w:sz w:val="20"/>
                      <w:szCs w:val="20"/>
                    </w:rPr>
                  </w:pPr>
                </w:p>
              </w:tc>
              <w:tc>
                <w:tcPr>
                  <w:tcW w:w="1030" w:type="dxa"/>
                  <w:tcBorders>
                    <w:top w:val="single" w:sz="4" w:space="0" w:color="auto"/>
                    <w:left w:val="nil"/>
                    <w:bottom w:val="nil"/>
                    <w:right w:val="nil"/>
                  </w:tcBorders>
                </w:tcPr>
                <w:p w14:paraId="7E581860" w14:textId="77777777" w:rsidR="00D366F7" w:rsidRDefault="00D366F7" w:rsidP="00136EEC">
                  <w:pPr>
                    <w:rPr>
                      <w:rFonts w:cs="Arial"/>
                      <w:sz w:val="20"/>
                      <w:szCs w:val="20"/>
                    </w:rPr>
                  </w:pPr>
                </w:p>
              </w:tc>
              <w:tc>
                <w:tcPr>
                  <w:tcW w:w="1030" w:type="dxa"/>
                  <w:tcBorders>
                    <w:top w:val="single" w:sz="4" w:space="0" w:color="auto"/>
                    <w:left w:val="nil"/>
                    <w:bottom w:val="nil"/>
                    <w:right w:val="nil"/>
                  </w:tcBorders>
                  <w:vAlign w:val="bottom"/>
                </w:tcPr>
                <w:p w14:paraId="14AC171C" w14:textId="77777777" w:rsidR="00D366F7" w:rsidRDefault="00D366F7" w:rsidP="00136EEC">
                  <w:pPr>
                    <w:rPr>
                      <w:rFonts w:ascii="Calibri" w:hAnsi="Calibri"/>
                      <w:color w:val="000000"/>
                      <w:szCs w:val="22"/>
                    </w:rPr>
                  </w:pPr>
                </w:p>
              </w:tc>
              <w:tc>
                <w:tcPr>
                  <w:tcW w:w="1031" w:type="dxa"/>
                  <w:tcBorders>
                    <w:top w:val="single" w:sz="4" w:space="0" w:color="auto"/>
                    <w:left w:val="nil"/>
                    <w:bottom w:val="nil"/>
                    <w:right w:val="nil"/>
                  </w:tcBorders>
                  <w:vAlign w:val="bottom"/>
                </w:tcPr>
                <w:p w14:paraId="28FF46CB" w14:textId="77777777" w:rsidR="00D366F7" w:rsidRDefault="00D366F7" w:rsidP="00136EEC">
                  <w:pPr>
                    <w:rPr>
                      <w:rFonts w:ascii="Calibri" w:hAnsi="Calibri"/>
                      <w:color w:val="000000"/>
                      <w:szCs w:val="22"/>
                    </w:rPr>
                  </w:pPr>
                </w:p>
              </w:tc>
              <w:tc>
                <w:tcPr>
                  <w:tcW w:w="1040" w:type="dxa"/>
                  <w:tcBorders>
                    <w:top w:val="single" w:sz="4" w:space="0" w:color="auto"/>
                    <w:left w:val="nil"/>
                    <w:bottom w:val="nil"/>
                    <w:right w:val="nil"/>
                  </w:tcBorders>
                  <w:vAlign w:val="bottom"/>
                </w:tcPr>
                <w:p w14:paraId="644BA75F" w14:textId="77777777" w:rsidR="00D366F7" w:rsidRPr="0012738E" w:rsidRDefault="00D366F7" w:rsidP="00136EEC">
                  <w:pPr>
                    <w:rPr>
                      <w:rFonts w:ascii="Calibri" w:hAnsi="Calibri"/>
                      <w:bCs/>
                      <w:color w:val="000000"/>
                      <w:szCs w:val="22"/>
                    </w:rPr>
                  </w:pPr>
                </w:p>
              </w:tc>
              <w:tc>
                <w:tcPr>
                  <w:tcW w:w="1031" w:type="dxa"/>
                  <w:tcBorders>
                    <w:top w:val="single" w:sz="4" w:space="0" w:color="auto"/>
                    <w:left w:val="nil"/>
                    <w:bottom w:val="nil"/>
                    <w:right w:val="nil"/>
                  </w:tcBorders>
                  <w:vAlign w:val="bottom"/>
                </w:tcPr>
                <w:p w14:paraId="4560C83E" w14:textId="77777777" w:rsidR="00D366F7" w:rsidRPr="0012738E" w:rsidRDefault="00D366F7" w:rsidP="00136EEC">
                  <w:pPr>
                    <w:rPr>
                      <w:rFonts w:ascii="Calibri" w:hAnsi="Calibri"/>
                      <w:bCs/>
                      <w:color w:val="000000"/>
                      <w:szCs w:val="22"/>
                    </w:rPr>
                  </w:pPr>
                </w:p>
              </w:tc>
            </w:tr>
          </w:tbl>
          <w:p w14:paraId="20EF62D6" w14:textId="5A91B669" w:rsidR="00545278" w:rsidRPr="006527B1" w:rsidRDefault="00545278" w:rsidP="004B18FA">
            <w:pPr>
              <w:rPr>
                <w:rFonts w:cs="Arial"/>
                <w:sz w:val="20"/>
                <w:szCs w:val="20"/>
              </w:rPr>
            </w:pPr>
          </w:p>
        </w:tc>
      </w:tr>
      <w:tr w:rsidR="0025623A" w:rsidRPr="006527B1" w14:paraId="2786E351" w14:textId="77777777" w:rsidTr="004A6977">
        <w:trPr>
          <w:trHeight w:val="115"/>
        </w:trPr>
        <w:tc>
          <w:tcPr>
            <w:tcW w:w="3178" w:type="dxa"/>
            <w:vAlign w:val="center"/>
          </w:tcPr>
          <w:p w14:paraId="48F4AE72" w14:textId="7CCB716A" w:rsidR="0025623A" w:rsidRPr="006527B1" w:rsidRDefault="0025623A" w:rsidP="0025623A">
            <w:pPr>
              <w:jc w:val="right"/>
              <w:rPr>
                <w:b/>
                <w:sz w:val="20"/>
                <w:szCs w:val="20"/>
              </w:rPr>
            </w:pPr>
            <w:r w:rsidRPr="006527B1">
              <w:rPr>
                <w:b/>
                <w:sz w:val="20"/>
                <w:szCs w:val="20"/>
              </w:rPr>
              <w:lastRenderedPageBreak/>
              <w:t>Units</w:t>
            </w:r>
          </w:p>
        </w:tc>
        <w:tc>
          <w:tcPr>
            <w:tcW w:w="6409" w:type="dxa"/>
            <w:vAlign w:val="center"/>
          </w:tcPr>
          <w:p w14:paraId="6DD53609" w14:textId="23CAEB4B" w:rsidR="0025623A" w:rsidRPr="006527B1" w:rsidRDefault="0025623A" w:rsidP="00136EEC">
            <w:pPr>
              <w:rPr>
                <w:rFonts w:cstheme="minorHAnsi"/>
                <w:sz w:val="20"/>
                <w:szCs w:val="20"/>
              </w:rPr>
            </w:pPr>
            <w:r w:rsidRPr="006527B1">
              <w:rPr>
                <w:rFonts w:cstheme="minorHAnsi"/>
                <w:sz w:val="20"/>
                <w:szCs w:val="20"/>
              </w:rPr>
              <w:t>Per Controller (each)</w:t>
            </w:r>
          </w:p>
        </w:tc>
      </w:tr>
      <w:tr w:rsidR="00CB11C9" w:rsidRPr="006527B1" w14:paraId="2ED6E4F8" w14:textId="77777777" w:rsidTr="004A6977">
        <w:trPr>
          <w:trHeight w:val="115"/>
        </w:trPr>
        <w:tc>
          <w:tcPr>
            <w:tcW w:w="3178" w:type="dxa"/>
            <w:vAlign w:val="center"/>
          </w:tcPr>
          <w:p w14:paraId="31EC274C" w14:textId="77777777" w:rsidR="00CB11C9" w:rsidRPr="004A6977" w:rsidRDefault="00CB11C9" w:rsidP="005B2619">
            <w:pPr>
              <w:rPr>
                <w:b/>
                <w:szCs w:val="22"/>
              </w:rPr>
            </w:pPr>
            <w:r w:rsidRPr="004A6977">
              <w:rPr>
                <w:b/>
                <w:szCs w:val="22"/>
              </w:rPr>
              <w:t>Section 3. Load Shapes</w:t>
            </w:r>
          </w:p>
        </w:tc>
        <w:tc>
          <w:tcPr>
            <w:tcW w:w="6409" w:type="dxa"/>
          </w:tcPr>
          <w:p w14:paraId="4BAC5F75" w14:textId="0B50E196" w:rsidR="00CB11C9" w:rsidRPr="006527B1" w:rsidRDefault="0067406D" w:rsidP="005B2619">
            <w:pPr>
              <w:rPr>
                <w:rFonts w:cs="Arial"/>
                <w:sz w:val="20"/>
                <w:szCs w:val="20"/>
              </w:rPr>
            </w:pPr>
            <w:proofErr w:type="spellStart"/>
            <w:r w:rsidRPr="006527B1">
              <w:rPr>
                <w:sz w:val="20"/>
                <w:szCs w:val="20"/>
              </w:rPr>
              <w:t>SDG:DEER:Res:HVAC_Eff_AC</w:t>
            </w:r>
            <w:proofErr w:type="spellEnd"/>
          </w:p>
        </w:tc>
      </w:tr>
      <w:tr w:rsidR="00CB11C9" w:rsidRPr="006527B1" w14:paraId="3A96E54E" w14:textId="77777777" w:rsidTr="004A6977">
        <w:trPr>
          <w:trHeight w:val="115"/>
        </w:trPr>
        <w:tc>
          <w:tcPr>
            <w:tcW w:w="3178" w:type="dxa"/>
            <w:vAlign w:val="center"/>
          </w:tcPr>
          <w:p w14:paraId="051AD34B" w14:textId="77777777" w:rsidR="00CB11C9" w:rsidRPr="004A6977" w:rsidRDefault="00CB11C9" w:rsidP="005B2619">
            <w:pPr>
              <w:rPr>
                <w:b/>
                <w:szCs w:val="22"/>
              </w:rPr>
            </w:pPr>
            <w:r w:rsidRPr="004A6977">
              <w:rPr>
                <w:b/>
                <w:szCs w:val="22"/>
              </w:rPr>
              <w:t>Section 4. Costs</w:t>
            </w:r>
          </w:p>
        </w:tc>
        <w:tc>
          <w:tcPr>
            <w:tcW w:w="6409" w:type="dxa"/>
          </w:tcPr>
          <w:p w14:paraId="71288583" w14:textId="77777777" w:rsidR="00CB11C9" w:rsidRPr="006527B1" w:rsidRDefault="00CB11C9" w:rsidP="005B2619">
            <w:pPr>
              <w:rPr>
                <w:rFonts w:cs="Arial"/>
                <w:sz w:val="20"/>
                <w:szCs w:val="20"/>
              </w:rPr>
            </w:pPr>
          </w:p>
        </w:tc>
      </w:tr>
      <w:tr w:rsidR="0025623A" w:rsidRPr="006527B1" w14:paraId="4B6B250C" w14:textId="77777777" w:rsidTr="004A6977">
        <w:trPr>
          <w:trHeight w:val="115"/>
        </w:trPr>
        <w:tc>
          <w:tcPr>
            <w:tcW w:w="3178" w:type="dxa"/>
            <w:vAlign w:val="center"/>
          </w:tcPr>
          <w:p w14:paraId="37188EA2" w14:textId="09000B41" w:rsidR="0025623A" w:rsidRPr="006527B1" w:rsidRDefault="0025623A" w:rsidP="0025623A">
            <w:pPr>
              <w:jc w:val="right"/>
              <w:rPr>
                <w:sz w:val="20"/>
                <w:szCs w:val="20"/>
              </w:rPr>
            </w:pPr>
            <w:r w:rsidRPr="006527B1">
              <w:rPr>
                <w:sz w:val="20"/>
                <w:szCs w:val="20"/>
              </w:rPr>
              <w:t xml:space="preserve">Units </w:t>
            </w:r>
          </w:p>
        </w:tc>
        <w:tc>
          <w:tcPr>
            <w:tcW w:w="6409" w:type="dxa"/>
          </w:tcPr>
          <w:p w14:paraId="44249B6B" w14:textId="11B94356" w:rsidR="0025623A" w:rsidRPr="006527B1" w:rsidRDefault="0025623A" w:rsidP="005B2619">
            <w:pPr>
              <w:rPr>
                <w:rFonts w:cs="Arial"/>
                <w:sz w:val="20"/>
                <w:szCs w:val="20"/>
              </w:rPr>
            </w:pPr>
            <w:r w:rsidRPr="006527B1">
              <w:rPr>
                <w:rFonts w:cs="Arial"/>
                <w:sz w:val="20"/>
                <w:szCs w:val="20"/>
              </w:rPr>
              <w:t>Per Controller (each)</w:t>
            </w:r>
          </w:p>
        </w:tc>
      </w:tr>
      <w:tr w:rsidR="0025623A" w:rsidRPr="006527B1" w14:paraId="7AACC812" w14:textId="77777777" w:rsidTr="004A6977">
        <w:trPr>
          <w:trHeight w:val="115"/>
        </w:trPr>
        <w:tc>
          <w:tcPr>
            <w:tcW w:w="3178" w:type="dxa"/>
            <w:vAlign w:val="center"/>
          </w:tcPr>
          <w:p w14:paraId="5210E1EF" w14:textId="77777777" w:rsidR="0025623A" w:rsidRPr="006527B1" w:rsidRDefault="0025623A" w:rsidP="0025623A">
            <w:pPr>
              <w:jc w:val="right"/>
              <w:rPr>
                <w:sz w:val="20"/>
                <w:szCs w:val="20"/>
              </w:rPr>
            </w:pPr>
          </w:p>
        </w:tc>
        <w:tc>
          <w:tcPr>
            <w:tcW w:w="6409" w:type="dxa"/>
          </w:tcPr>
          <w:p w14:paraId="138FB40B" w14:textId="77777777" w:rsidR="0025623A" w:rsidRDefault="0025623A" w:rsidP="00CF5321">
            <w:pPr>
              <w:jc w:val="center"/>
              <w:rPr>
                <w:rFonts w:cs="Arial"/>
                <w:sz w:val="20"/>
                <w:szCs w:val="20"/>
              </w:rPr>
            </w:pPr>
            <w:r w:rsidRPr="006527B1">
              <w:rPr>
                <w:rFonts w:cs="Arial"/>
                <w:sz w:val="20"/>
                <w:szCs w:val="20"/>
              </w:rPr>
              <w:t>Downstream Prescriptive Rebate</w:t>
            </w:r>
            <w:r w:rsidR="00B270D6">
              <w:rPr>
                <w:rFonts w:cs="Arial"/>
                <w:sz w:val="20"/>
                <w:szCs w:val="20"/>
              </w:rPr>
              <w:t xml:space="preserve"> </w:t>
            </w:r>
          </w:p>
          <w:p w14:paraId="6CB86FFA" w14:textId="6F683965" w:rsidR="00B270D6" w:rsidRPr="006527B1" w:rsidRDefault="00B270D6" w:rsidP="00CF5321">
            <w:pPr>
              <w:jc w:val="center"/>
              <w:rPr>
                <w:rFonts w:cs="Arial"/>
                <w:sz w:val="20"/>
                <w:szCs w:val="20"/>
              </w:rPr>
            </w:pPr>
            <w:r>
              <w:rPr>
                <w:rFonts w:cs="Arial"/>
                <w:sz w:val="20"/>
                <w:szCs w:val="20"/>
              </w:rPr>
              <w:t>(All Cost References per SCE Workpaper-Lead IOU)</w:t>
            </w:r>
          </w:p>
        </w:tc>
      </w:tr>
      <w:tr w:rsidR="00CB11C9" w:rsidRPr="006527B1" w14:paraId="26BD96F6" w14:textId="77777777" w:rsidTr="004A6977">
        <w:trPr>
          <w:trHeight w:val="115"/>
        </w:trPr>
        <w:tc>
          <w:tcPr>
            <w:tcW w:w="3178" w:type="dxa"/>
          </w:tcPr>
          <w:p w14:paraId="49E7BEC5" w14:textId="0AFABE60" w:rsidR="00CB11C9" w:rsidRPr="006527B1" w:rsidRDefault="00CB11C9" w:rsidP="00136EEC">
            <w:pPr>
              <w:jc w:val="right"/>
              <w:rPr>
                <w:sz w:val="20"/>
                <w:szCs w:val="20"/>
              </w:rPr>
            </w:pPr>
            <w:r w:rsidRPr="006527B1">
              <w:rPr>
                <w:sz w:val="20"/>
                <w:szCs w:val="20"/>
              </w:rPr>
              <w:t xml:space="preserve">Base Cost – Measure </w:t>
            </w:r>
            <w:r w:rsidR="00136EEC" w:rsidRPr="006527B1">
              <w:rPr>
                <w:sz w:val="20"/>
                <w:szCs w:val="20"/>
              </w:rPr>
              <w:t>4</w:t>
            </w:r>
          </w:p>
        </w:tc>
        <w:tc>
          <w:tcPr>
            <w:tcW w:w="6409" w:type="dxa"/>
          </w:tcPr>
          <w:p w14:paraId="5A8E78D0" w14:textId="48550147" w:rsidR="00CB11C9" w:rsidRPr="006527B1" w:rsidRDefault="002C2AE7" w:rsidP="005B2619">
            <w:pPr>
              <w:rPr>
                <w:rFonts w:cs="Arial"/>
                <w:color w:val="000000" w:themeColor="text1"/>
                <w:sz w:val="20"/>
                <w:szCs w:val="20"/>
              </w:rPr>
            </w:pPr>
            <w:r w:rsidRPr="006527B1">
              <w:rPr>
                <w:rFonts w:cs="Arial"/>
                <w:color w:val="000000" w:themeColor="text1"/>
                <w:sz w:val="20"/>
                <w:szCs w:val="20"/>
              </w:rPr>
              <w:t xml:space="preserve">= </w:t>
            </w:r>
            <w:r w:rsidR="00CF0DA9" w:rsidRPr="006527B1">
              <w:rPr>
                <w:rFonts w:cs="Arial"/>
                <w:color w:val="000000" w:themeColor="text1"/>
                <w:sz w:val="20"/>
                <w:szCs w:val="20"/>
              </w:rPr>
              <w:t>$0</w:t>
            </w:r>
            <w:r w:rsidR="00136EEC" w:rsidRPr="006527B1">
              <w:rPr>
                <w:rFonts w:cs="Arial"/>
                <w:color w:val="000000" w:themeColor="text1"/>
                <w:sz w:val="20"/>
                <w:szCs w:val="20"/>
              </w:rPr>
              <w:t>.00</w:t>
            </w:r>
            <w:r w:rsidR="00B270D6">
              <w:rPr>
                <w:rFonts w:cs="Arial"/>
                <w:color w:val="000000" w:themeColor="text1"/>
                <w:sz w:val="20"/>
                <w:szCs w:val="20"/>
              </w:rPr>
              <w:t xml:space="preserve"> </w:t>
            </w:r>
          </w:p>
        </w:tc>
      </w:tr>
      <w:tr w:rsidR="00CB11C9" w:rsidRPr="006527B1" w14:paraId="61FFA715" w14:textId="77777777" w:rsidTr="004A6977">
        <w:trPr>
          <w:trHeight w:val="115"/>
        </w:trPr>
        <w:tc>
          <w:tcPr>
            <w:tcW w:w="3178" w:type="dxa"/>
          </w:tcPr>
          <w:p w14:paraId="064CC879" w14:textId="1DF0F6C7" w:rsidR="00CB11C9" w:rsidRPr="006527B1" w:rsidRDefault="00136EEC" w:rsidP="005B2619">
            <w:pPr>
              <w:jc w:val="right"/>
              <w:rPr>
                <w:sz w:val="20"/>
                <w:szCs w:val="20"/>
              </w:rPr>
            </w:pPr>
            <w:r w:rsidRPr="006527B1">
              <w:rPr>
                <w:sz w:val="20"/>
                <w:szCs w:val="20"/>
              </w:rPr>
              <w:t>Measure Cost – Measure 4</w:t>
            </w:r>
          </w:p>
        </w:tc>
        <w:tc>
          <w:tcPr>
            <w:tcW w:w="6409" w:type="dxa"/>
          </w:tcPr>
          <w:p w14:paraId="4AB37797" w14:textId="0CA1F1BA" w:rsidR="00CF0DA9" w:rsidRPr="006527B1" w:rsidRDefault="00136EEC" w:rsidP="00AA54FB">
            <w:pPr>
              <w:rPr>
                <w:rFonts w:cs="Arial"/>
                <w:color w:val="000000" w:themeColor="text1"/>
                <w:sz w:val="20"/>
                <w:szCs w:val="20"/>
              </w:rPr>
            </w:pPr>
            <w:r w:rsidRPr="006527B1">
              <w:rPr>
                <w:rFonts w:cs="Arial"/>
                <w:color w:val="000000" w:themeColor="text1"/>
                <w:sz w:val="20"/>
                <w:szCs w:val="20"/>
              </w:rPr>
              <w:t>=</w:t>
            </w:r>
            <w:r w:rsidR="0025623A" w:rsidRPr="006527B1">
              <w:rPr>
                <w:rFonts w:cs="Arial"/>
                <w:color w:val="000000" w:themeColor="text1"/>
                <w:sz w:val="20"/>
                <w:szCs w:val="20"/>
              </w:rPr>
              <w:t xml:space="preserve"> </w:t>
            </w:r>
            <w:r w:rsidRPr="006527B1">
              <w:rPr>
                <w:rFonts w:cs="Arial"/>
                <w:color w:val="000000" w:themeColor="text1"/>
                <w:sz w:val="20"/>
                <w:szCs w:val="20"/>
              </w:rPr>
              <w:t>Equipment Cost +Labor Cost = $28.50 +135.76 = $164.26</w:t>
            </w:r>
            <w:r w:rsidR="0025623A" w:rsidRPr="006527B1">
              <w:rPr>
                <w:rFonts w:cs="Arial"/>
                <w:color w:val="000000" w:themeColor="text1"/>
                <w:sz w:val="20"/>
                <w:szCs w:val="20"/>
              </w:rPr>
              <w:t>/controller</w:t>
            </w:r>
            <w:r w:rsidR="002C2AE7" w:rsidRPr="006527B1">
              <w:rPr>
                <w:rFonts w:cs="Arial"/>
                <w:color w:val="000000" w:themeColor="text1"/>
                <w:sz w:val="20"/>
                <w:szCs w:val="20"/>
              </w:rPr>
              <w:t xml:space="preserve"> (each)</w:t>
            </w:r>
          </w:p>
        </w:tc>
      </w:tr>
      <w:tr w:rsidR="00F934EC" w:rsidRPr="006527B1" w14:paraId="1E24AF9D" w14:textId="77777777" w:rsidTr="004A6977">
        <w:trPr>
          <w:trHeight w:val="115"/>
        </w:trPr>
        <w:tc>
          <w:tcPr>
            <w:tcW w:w="3178" w:type="dxa"/>
          </w:tcPr>
          <w:p w14:paraId="7B0B4B26" w14:textId="3D7433DB" w:rsidR="00F934EC" w:rsidRPr="006527B1" w:rsidRDefault="003D3517" w:rsidP="00136EEC">
            <w:pPr>
              <w:jc w:val="right"/>
              <w:rPr>
                <w:sz w:val="20"/>
                <w:szCs w:val="20"/>
              </w:rPr>
            </w:pPr>
            <w:r w:rsidRPr="006527B1">
              <w:rPr>
                <w:sz w:val="20"/>
                <w:szCs w:val="20"/>
              </w:rPr>
              <w:t>Incremental Cost</w:t>
            </w:r>
            <w:r w:rsidR="00F934EC" w:rsidRPr="006527B1">
              <w:rPr>
                <w:sz w:val="20"/>
                <w:szCs w:val="20"/>
              </w:rPr>
              <w:t xml:space="preserve"> – Measure </w:t>
            </w:r>
            <w:r w:rsidR="00136EEC" w:rsidRPr="006527B1">
              <w:rPr>
                <w:sz w:val="20"/>
                <w:szCs w:val="20"/>
              </w:rPr>
              <w:t>4</w:t>
            </w:r>
          </w:p>
        </w:tc>
        <w:tc>
          <w:tcPr>
            <w:tcW w:w="6409" w:type="dxa"/>
          </w:tcPr>
          <w:p w14:paraId="7B4EEE9B" w14:textId="5CC1A9F5" w:rsidR="00F934EC" w:rsidRPr="006527B1" w:rsidRDefault="002C2AE7" w:rsidP="0025623A">
            <w:pPr>
              <w:rPr>
                <w:color w:val="000000" w:themeColor="text1"/>
                <w:sz w:val="20"/>
                <w:szCs w:val="20"/>
              </w:rPr>
            </w:pPr>
            <w:r w:rsidRPr="006527B1">
              <w:rPr>
                <w:rFonts w:cs="Arial"/>
                <w:color w:val="000000" w:themeColor="text1"/>
                <w:sz w:val="20"/>
                <w:szCs w:val="20"/>
              </w:rPr>
              <w:t xml:space="preserve">= </w:t>
            </w:r>
            <w:r w:rsidR="00F934EC" w:rsidRPr="006527B1">
              <w:rPr>
                <w:rFonts w:cs="Arial"/>
                <w:color w:val="000000" w:themeColor="text1"/>
                <w:sz w:val="20"/>
                <w:szCs w:val="20"/>
              </w:rPr>
              <w:t xml:space="preserve">$ </w:t>
            </w:r>
            <w:r w:rsidR="0025623A" w:rsidRPr="006527B1">
              <w:rPr>
                <w:rFonts w:cs="Arial"/>
                <w:color w:val="000000" w:themeColor="text1"/>
                <w:sz w:val="20"/>
                <w:szCs w:val="20"/>
              </w:rPr>
              <w:t>164.26/Controller (each</w:t>
            </w:r>
            <w:r w:rsidR="00F934EC" w:rsidRPr="006527B1">
              <w:rPr>
                <w:rFonts w:cs="Arial"/>
                <w:color w:val="000000" w:themeColor="text1"/>
                <w:sz w:val="20"/>
                <w:szCs w:val="20"/>
              </w:rPr>
              <w:t>)</w:t>
            </w:r>
          </w:p>
        </w:tc>
      </w:tr>
      <w:tr w:rsidR="0025623A" w:rsidRPr="006527B1" w14:paraId="21F5F889" w14:textId="77777777" w:rsidTr="004A6977">
        <w:trPr>
          <w:trHeight w:val="115"/>
        </w:trPr>
        <w:tc>
          <w:tcPr>
            <w:tcW w:w="3178" w:type="dxa"/>
          </w:tcPr>
          <w:p w14:paraId="16E13918" w14:textId="77777777" w:rsidR="0025623A" w:rsidRPr="006527B1" w:rsidRDefault="0025623A" w:rsidP="00136EEC">
            <w:pPr>
              <w:jc w:val="right"/>
              <w:rPr>
                <w:sz w:val="20"/>
                <w:szCs w:val="20"/>
              </w:rPr>
            </w:pPr>
          </w:p>
        </w:tc>
        <w:tc>
          <w:tcPr>
            <w:tcW w:w="6409" w:type="dxa"/>
          </w:tcPr>
          <w:p w14:paraId="59580CF5" w14:textId="475E0845" w:rsidR="0025623A" w:rsidRPr="006527B1" w:rsidRDefault="0025623A" w:rsidP="005807A6">
            <w:pPr>
              <w:jc w:val="center"/>
              <w:rPr>
                <w:rFonts w:cs="Arial"/>
                <w:color w:val="000000" w:themeColor="text1"/>
                <w:sz w:val="20"/>
                <w:szCs w:val="20"/>
              </w:rPr>
            </w:pPr>
            <w:r w:rsidRPr="006527B1">
              <w:rPr>
                <w:sz w:val="20"/>
                <w:szCs w:val="20"/>
              </w:rPr>
              <w:t>Direct Install</w:t>
            </w:r>
          </w:p>
        </w:tc>
      </w:tr>
      <w:tr w:rsidR="0025623A" w:rsidRPr="006527B1" w14:paraId="7C681D03" w14:textId="77777777" w:rsidTr="004A6977">
        <w:trPr>
          <w:trHeight w:val="115"/>
        </w:trPr>
        <w:tc>
          <w:tcPr>
            <w:tcW w:w="3178" w:type="dxa"/>
          </w:tcPr>
          <w:p w14:paraId="6CD59E30" w14:textId="311E3D46" w:rsidR="0025623A" w:rsidRPr="006527B1" w:rsidRDefault="0025623A" w:rsidP="0025623A">
            <w:pPr>
              <w:jc w:val="right"/>
              <w:rPr>
                <w:sz w:val="20"/>
                <w:szCs w:val="20"/>
              </w:rPr>
            </w:pPr>
            <w:r w:rsidRPr="006527B1">
              <w:rPr>
                <w:sz w:val="20"/>
                <w:szCs w:val="20"/>
              </w:rPr>
              <w:t xml:space="preserve">DI Cost Measure 4 </w:t>
            </w:r>
          </w:p>
        </w:tc>
        <w:tc>
          <w:tcPr>
            <w:tcW w:w="6409" w:type="dxa"/>
          </w:tcPr>
          <w:p w14:paraId="62AECE1E" w14:textId="77777777" w:rsidR="002C2AE7" w:rsidRPr="006527B1" w:rsidRDefault="0025623A" w:rsidP="0025623A">
            <w:pPr>
              <w:rPr>
                <w:rFonts w:cs="Arial"/>
                <w:color w:val="000000" w:themeColor="text1"/>
                <w:sz w:val="20"/>
                <w:szCs w:val="20"/>
              </w:rPr>
            </w:pPr>
            <w:r w:rsidRPr="006527B1">
              <w:rPr>
                <w:rFonts w:cs="Arial"/>
                <w:color w:val="000000" w:themeColor="text1"/>
                <w:sz w:val="20"/>
                <w:szCs w:val="20"/>
              </w:rPr>
              <w:t xml:space="preserve">= DI Material Cost + DI Material Cost = $64.60 +78.95 </w:t>
            </w:r>
          </w:p>
          <w:p w14:paraId="5A229983" w14:textId="672641D8" w:rsidR="0025623A" w:rsidRPr="006527B1" w:rsidRDefault="0025623A" w:rsidP="0025623A">
            <w:pPr>
              <w:rPr>
                <w:rFonts w:cs="Arial"/>
                <w:color w:val="000000" w:themeColor="text1"/>
                <w:sz w:val="20"/>
                <w:szCs w:val="20"/>
              </w:rPr>
            </w:pPr>
            <w:r w:rsidRPr="006527B1">
              <w:rPr>
                <w:rFonts w:cs="Arial"/>
                <w:color w:val="000000" w:themeColor="text1"/>
                <w:sz w:val="20"/>
                <w:szCs w:val="20"/>
              </w:rPr>
              <w:t xml:space="preserve">= </w:t>
            </w:r>
            <w:r w:rsidR="005807A6" w:rsidRPr="006527B1">
              <w:rPr>
                <w:rFonts w:cs="Arial"/>
                <w:color w:val="000000" w:themeColor="text1"/>
                <w:sz w:val="20"/>
                <w:szCs w:val="20"/>
              </w:rPr>
              <w:t>$143.55</w:t>
            </w:r>
            <w:r w:rsidR="002C2AE7" w:rsidRPr="006527B1">
              <w:rPr>
                <w:rFonts w:cs="Arial"/>
                <w:color w:val="000000" w:themeColor="text1"/>
                <w:sz w:val="20"/>
                <w:szCs w:val="20"/>
              </w:rPr>
              <w:t>/controller (each)</w:t>
            </w:r>
          </w:p>
        </w:tc>
      </w:tr>
      <w:bookmarkEnd w:id="2"/>
    </w:tbl>
    <w:p w14:paraId="01721B88" w14:textId="40B8D429" w:rsidR="000F5531" w:rsidRPr="006527B1" w:rsidRDefault="000F5531" w:rsidP="000D7357">
      <w:pPr>
        <w:pStyle w:val="Heading2"/>
        <w:rPr>
          <w:rFonts w:asciiTheme="minorHAnsi" w:hAnsiTheme="minorHAnsi"/>
          <w:sz w:val="20"/>
          <w:szCs w:val="20"/>
        </w:rPr>
      </w:pPr>
    </w:p>
    <w:sectPr w:rsidR="000F5531" w:rsidRPr="006527B1" w:rsidSect="002F49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C7B9A3" w14:textId="77777777" w:rsidR="00983D11" w:rsidRDefault="00983D11" w:rsidP="00FE520B">
      <w:r>
        <w:separator/>
      </w:r>
    </w:p>
  </w:endnote>
  <w:endnote w:type="continuationSeparator" w:id="0">
    <w:p w14:paraId="55BD36F5" w14:textId="77777777" w:rsidR="00983D11" w:rsidRDefault="00983D11"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055B9" w14:textId="77777777" w:rsidR="00CD5F37" w:rsidRDefault="00804FC4" w:rsidP="00BF7104">
    <w:pPr>
      <w:pStyle w:val="Footer"/>
      <w:jc w:val="right"/>
      <w:rPr>
        <w:rFonts w:cstheme="minorHAnsi"/>
        <w:b/>
        <w:sz w:val="36"/>
        <w:szCs w:val="36"/>
      </w:rPr>
    </w:pPr>
    <w:sdt>
      <w:sdtPr>
        <w:rPr>
          <w:rFonts w:cstheme="minorHAnsi"/>
          <w:b/>
          <w:sz w:val="36"/>
          <w:szCs w:val="36"/>
        </w:rPr>
        <w:alias w:val="Date"/>
        <w:tag w:val=""/>
        <w:id w:val="2115088896"/>
        <w:showingPlcHdr/>
        <w:dataBinding w:prefixMappings="xmlns:ns0='http://schemas.microsoft.com/office/2006/coverPageProps' " w:xpath="/ns0:CoverPageProperties[1]/ns0:PublishDate[1]" w:storeItemID="{55AF091B-3C7A-41E3-B477-F2FDAA23CFDA}"/>
        <w:date w:fullDate="2015-12-23T00:00:00Z">
          <w:dateFormat w:val="MMMM d, yyyy"/>
          <w:lid w:val="en-US"/>
          <w:storeMappedDataAs w:val="dateTime"/>
          <w:calendar w:val="gregorian"/>
        </w:date>
      </w:sdtPr>
      <w:sdtEndPr/>
      <w:sdtContent>
        <w:r w:rsidR="00CD5F37">
          <w:rPr>
            <w:rFonts w:cstheme="minorHAnsi"/>
            <w:b/>
            <w:sz w:val="36"/>
            <w:szCs w:val="36"/>
          </w:rPr>
          <w:t xml:space="preserve">     </w:t>
        </w:r>
      </w:sdtContent>
    </w:sdt>
  </w:p>
  <w:p w14:paraId="09558C54" w14:textId="2DBD1E6B" w:rsidR="00CD5F37" w:rsidRPr="004A6977" w:rsidRDefault="00CD5F37" w:rsidP="0084491B">
    <w:pPr>
      <w:pStyle w:val="Footer"/>
      <w:pBdr>
        <w:top w:val="single" w:sz="4" w:space="1" w:color="auto"/>
      </w:pBdr>
      <w:rPr>
        <w:b/>
      </w:rPr>
    </w:pPr>
    <w:r w:rsidRPr="004A6977">
      <w:rPr>
        <w:b/>
      </w:rPr>
      <w:t xml:space="preserve">Workpaper </w:t>
    </w:r>
    <w:sdt>
      <w:sdtPr>
        <w:rPr>
          <w:b/>
        </w:rPr>
        <w:alias w:val="Title"/>
        <w:tag w:val=""/>
        <w:id w:val="496232258"/>
        <w:dataBinding w:prefixMappings="xmlns:ns0='http://purl.org/dc/elements/1.1/' xmlns:ns1='http://schemas.openxmlformats.org/package/2006/metadata/core-properties' " w:xpath="/ns1:coreProperties[1]/ns0:title[1]" w:storeItemID="{6C3C8BC8-F283-45AE-878A-BAB7291924A1}"/>
        <w:text/>
      </w:sdtPr>
      <w:sdtEndPr/>
      <w:sdtContent>
        <w:r w:rsidR="00047473" w:rsidRPr="004A6977">
          <w:rPr>
            <w:b/>
          </w:rPr>
          <w:t>WPSDGEREHC0024</w:t>
        </w:r>
      </w:sdtContent>
    </w:sdt>
    <w:r w:rsidR="007A725B" w:rsidRPr="004A6977">
      <w:rPr>
        <w:b/>
      </w:rPr>
      <w:t>, Revision 2</w:t>
    </w:r>
    <w:r w:rsidRPr="004A6977">
      <w:rPr>
        <w:b/>
      </w:rPr>
      <w:tab/>
    </w:r>
    <w:r w:rsidR="00E94375" w:rsidRPr="004A6977">
      <w:rPr>
        <w:b/>
      </w:rPr>
      <w:t>December 15</w:t>
    </w:r>
    <w:r w:rsidRPr="004A6977">
      <w:rPr>
        <w:b/>
      </w:rPr>
      <w:t>, 2016</w:t>
    </w:r>
  </w:p>
  <w:p w14:paraId="31F51835" w14:textId="7C519638" w:rsidR="00CD5F37" w:rsidRPr="004A6977" w:rsidRDefault="00CD5F37" w:rsidP="007A725B">
    <w:pPr>
      <w:pStyle w:val="Footer"/>
      <w:rPr>
        <w:b/>
      </w:rPr>
    </w:pPr>
    <w:r w:rsidRPr="004A6977">
      <w:rPr>
        <w:b/>
      </w:rPr>
      <w:t>San Diego Gas &amp; Electric</w:t>
    </w:r>
    <w:r w:rsidR="007A725B" w:rsidRPr="004A6977">
      <w:rPr>
        <w:b/>
      </w:rPr>
      <w:tab/>
    </w:r>
    <w:r w:rsidR="00024946" w:rsidRPr="004A6977">
      <w:rPr>
        <w:b/>
      </w:rPr>
      <w:tab/>
    </w:r>
    <w:r w:rsidR="007A725B" w:rsidRPr="004A6977">
      <w:rPr>
        <w:b/>
      </w:rPr>
      <w:t xml:space="preserve">page </w:t>
    </w:r>
    <w:r w:rsidR="007A725B" w:rsidRPr="004A6977">
      <w:rPr>
        <w:b/>
      </w:rPr>
      <w:fldChar w:fldCharType="begin"/>
    </w:r>
    <w:r w:rsidR="007A725B" w:rsidRPr="004A6977">
      <w:rPr>
        <w:b/>
      </w:rPr>
      <w:instrText xml:space="preserve"> PAGE   \* MERGEFORMAT </w:instrText>
    </w:r>
    <w:r w:rsidR="007A725B" w:rsidRPr="004A6977">
      <w:rPr>
        <w:b/>
      </w:rPr>
      <w:fldChar w:fldCharType="separate"/>
    </w:r>
    <w:r w:rsidR="00804FC4">
      <w:rPr>
        <w:b/>
        <w:noProof/>
      </w:rPr>
      <w:t>2</w:t>
    </w:r>
    <w:r w:rsidR="007A725B" w:rsidRPr="004A6977">
      <w:rPr>
        <w:b/>
        <w:noProof/>
      </w:rPr>
      <w:fldChar w:fldCharType="end"/>
    </w:r>
    <w:r w:rsidR="007A725B" w:rsidRPr="004A6977">
      <w:rPr>
        <w:b/>
        <w:noProof/>
      </w:rPr>
      <w:t xml:space="preserve"> of 4</w:t>
    </w:r>
  </w:p>
  <w:p w14:paraId="22AE6ABE" w14:textId="77777777" w:rsidR="00CD5F37" w:rsidRPr="009500DC" w:rsidRDefault="00CD5F37" w:rsidP="00BF7104">
    <w:pPr>
      <w:pStyle w:val="Footer"/>
      <w:jc w:val="right"/>
      <w:rPr>
        <w:rFonts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CFDC9" w14:textId="77777777" w:rsidR="00983D11" w:rsidRDefault="00983D11" w:rsidP="00FE520B">
      <w:r>
        <w:separator/>
      </w:r>
    </w:p>
  </w:footnote>
  <w:footnote w:type="continuationSeparator" w:id="0">
    <w:p w14:paraId="1773FAC1" w14:textId="77777777" w:rsidR="00983D11" w:rsidRDefault="00983D11" w:rsidP="00FE5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E901136"/>
    <w:lvl w:ilvl="0">
      <w:start w:val="1"/>
      <w:numFmt w:val="decimal"/>
      <w:lvlText w:val="%1."/>
      <w:lvlJc w:val="left"/>
      <w:pPr>
        <w:tabs>
          <w:tab w:val="num" w:pos="1800"/>
        </w:tabs>
        <w:ind w:left="1800" w:hanging="360"/>
      </w:pPr>
    </w:lvl>
  </w:abstractNum>
  <w:abstractNum w:abstractNumId="1">
    <w:nsid w:val="097D3701"/>
    <w:multiLevelType w:val="hybridMultilevel"/>
    <w:tmpl w:val="DF9AD1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99B2A3D"/>
    <w:multiLevelType w:val="hybridMultilevel"/>
    <w:tmpl w:val="39200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E50C2C"/>
    <w:multiLevelType w:val="hybridMultilevel"/>
    <w:tmpl w:val="4E72E94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25C19D9"/>
    <w:multiLevelType w:val="multilevel"/>
    <w:tmpl w:val="DCAC44A6"/>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047623"/>
    <w:multiLevelType w:val="hybridMultilevel"/>
    <w:tmpl w:val="DD185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77138"/>
    <w:multiLevelType w:val="hybridMultilevel"/>
    <w:tmpl w:val="8AB827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A4316BA"/>
    <w:multiLevelType w:val="multilevel"/>
    <w:tmpl w:val="407435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ADF5B3C"/>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881DEE"/>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4A670D"/>
    <w:multiLevelType w:val="hybridMultilevel"/>
    <w:tmpl w:val="49CA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696663"/>
    <w:multiLevelType w:val="hybridMultilevel"/>
    <w:tmpl w:val="494A2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B6B48CB"/>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9"/>
  </w:num>
  <w:num w:numId="3">
    <w:abstractNumId w:val="5"/>
  </w:num>
  <w:num w:numId="4">
    <w:abstractNumId w:val="14"/>
  </w:num>
  <w:num w:numId="5">
    <w:abstractNumId w:val="15"/>
  </w:num>
  <w:num w:numId="6">
    <w:abstractNumId w:val="4"/>
  </w:num>
  <w:num w:numId="7">
    <w:abstractNumId w:val="17"/>
  </w:num>
  <w:num w:numId="8">
    <w:abstractNumId w:val="20"/>
  </w:num>
  <w:num w:numId="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4">
    <w:abstractNumId w:val="3"/>
  </w:num>
  <w:num w:numId="15">
    <w:abstractNumId w:val="4"/>
    <w:lvlOverride w:ilvl="0">
      <w:startOverride w:val="1"/>
    </w:lvlOverride>
    <w:lvlOverride w:ilvl="1">
      <w:startOverride w:val="1"/>
    </w:lvlOverride>
    <w:lvlOverride w:ilvl="2">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0"/>
  </w:num>
  <w:num w:numId="20">
    <w:abstractNumId w:val="21"/>
  </w:num>
  <w:num w:numId="21">
    <w:abstractNumId w:val="6"/>
  </w:num>
  <w:num w:numId="22">
    <w:abstractNumId w:val="12"/>
  </w:num>
  <w:num w:numId="23">
    <w:abstractNumId w:val="18"/>
  </w:num>
  <w:num w:numId="24">
    <w:abstractNumId w:val="13"/>
  </w:num>
  <w:num w:numId="25">
    <w:abstractNumId w:val="19"/>
  </w:num>
  <w:num w:numId="26">
    <w:abstractNumId w:val="16"/>
  </w:num>
  <w:num w:numId="27">
    <w:abstractNumId w:val="1"/>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24946"/>
    <w:rsid w:val="00030310"/>
    <w:rsid w:val="00042383"/>
    <w:rsid w:val="000467FD"/>
    <w:rsid w:val="00047473"/>
    <w:rsid w:val="00050C01"/>
    <w:rsid w:val="00052743"/>
    <w:rsid w:val="00052CE4"/>
    <w:rsid w:val="00060A50"/>
    <w:rsid w:val="00071E10"/>
    <w:rsid w:val="000821DF"/>
    <w:rsid w:val="00094401"/>
    <w:rsid w:val="000A602F"/>
    <w:rsid w:val="000B17A7"/>
    <w:rsid w:val="000D7357"/>
    <w:rsid w:val="000E2E9B"/>
    <w:rsid w:val="000F5531"/>
    <w:rsid w:val="000F72EF"/>
    <w:rsid w:val="001075D8"/>
    <w:rsid w:val="001104CA"/>
    <w:rsid w:val="0011063E"/>
    <w:rsid w:val="001158E9"/>
    <w:rsid w:val="00125989"/>
    <w:rsid w:val="001259FE"/>
    <w:rsid w:val="0012738E"/>
    <w:rsid w:val="00136EEC"/>
    <w:rsid w:val="0018635C"/>
    <w:rsid w:val="001879C7"/>
    <w:rsid w:val="00191296"/>
    <w:rsid w:val="00192ACF"/>
    <w:rsid w:val="00193E56"/>
    <w:rsid w:val="001953D4"/>
    <w:rsid w:val="001B3C29"/>
    <w:rsid w:val="001E4B3A"/>
    <w:rsid w:val="001E5E5C"/>
    <w:rsid w:val="001E6FF4"/>
    <w:rsid w:val="001F21C7"/>
    <w:rsid w:val="002057A3"/>
    <w:rsid w:val="0021346C"/>
    <w:rsid w:val="002137EC"/>
    <w:rsid w:val="00226262"/>
    <w:rsid w:val="00236DA6"/>
    <w:rsid w:val="0025623A"/>
    <w:rsid w:val="002648E8"/>
    <w:rsid w:val="00275512"/>
    <w:rsid w:val="002A4E55"/>
    <w:rsid w:val="002A4EAA"/>
    <w:rsid w:val="002C2AE7"/>
    <w:rsid w:val="002C3A20"/>
    <w:rsid w:val="002C7FB3"/>
    <w:rsid w:val="002E48F7"/>
    <w:rsid w:val="002F494C"/>
    <w:rsid w:val="003047F7"/>
    <w:rsid w:val="00307E3B"/>
    <w:rsid w:val="00316680"/>
    <w:rsid w:val="00353ECF"/>
    <w:rsid w:val="003563C3"/>
    <w:rsid w:val="003A7B4E"/>
    <w:rsid w:val="003C4D88"/>
    <w:rsid w:val="003C681B"/>
    <w:rsid w:val="003D3517"/>
    <w:rsid w:val="003D3CB0"/>
    <w:rsid w:val="003D4D84"/>
    <w:rsid w:val="003E122A"/>
    <w:rsid w:val="003E6FA5"/>
    <w:rsid w:val="00427A32"/>
    <w:rsid w:val="00427FF0"/>
    <w:rsid w:val="00434029"/>
    <w:rsid w:val="00437BE6"/>
    <w:rsid w:val="004537B4"/>
    <w:rsid w:val="004A6977"/>
    <w:rsid w:val="004B18FA"/>
    <w:rsid w:val="004B1B5F"/>
    <w:rsid w:val="004C44B9"/>
    <w:rsid w:val="004F2982"/>
    <w:rsid w:val="00500D21"/>
    <w:rsid w:val="00505172"/>
    <w:rsid w:val="005167C8"/>
    <w:rsid w:val="0053719E"/>
    <w:rsid w:val="00542511"/>
    <w:rsid w:val="00545278"/>
    <w:rsid w:val="00547A0B"/>
    <w:rsid w:val="00574F70"/>
    <w:rsid w:val="005807A6"/>
    <w:rsid w:val="005815D4"/>
    <w:rsid w:val="0059117D"/>
    <w:rsid w:val="005913E3"/>
    <w:rsid w:val="005A0962"/>
    <w:rsid w:val="005B17FE"/>
    <w:rsid w:val="005B2619"/>
    <w:rsid w:val="005B439A"/>
    <w:rsid w:val="005C2234"/>
    <w:rsid w:val="005C2962"/>
    <w:rsid w:val="005D30A9"/>
    <w:rsid w:val="005E7861"/>
    <w:rsid w:val="006049AE"/>
    <w:rsid w:val="006063BE"/>
    <w:rsid w:val="00611C59"/>
    <w:rsid w:val="0062702B"/>
    <w:rsid w:val="00636490"/>
    <w:rsid w:val="006527B1"/>
    <w:rsid w:val="00654030"/>
    <w:rsid w:val="006576DE"/>
    <w:rsid w:val="00657D44"/>
    <w:rsid w:val="0067406D"/>
    <w:rsid w:val="006843C6"/>
    <w:rsid w:val="00684ABA"/>
    <w:rsid w:val="00692BF3"/>
    <w:rsid w:val="006A6EAE"/>
    <w:rsid w:val="006B2014"/>
    <w:rsid w:val="006B5381"/>
    <w:rsid w:val="006C514F"/>
    <w:rsid w:val="0070412B"/>
    <w:rsid w:val="00711962"/>
    <w:rsid w:val="007123A8"/>
    <w:rsid w:val="007129E3"/>
    <w:rsid w:val="0074209B"/>
    <w:rsid w:val="00754473"/>
    <w:rsid w:val="00754912"/>
    <w:rsid w:val="00763E52"/>
    <w:rsid w:val="00776B39"/>
    <w:rsid w:val="007810E3"/>
    <w:rsid w:val="007A725B"/>
    <w:rsid w:val="007B32FD"/>
    <w:rsid w:val="007E477E"/>
    <w:rsid w:val="007F26F7"/>
    <w:rsid w:val="007F28EB"/>
    <w:rsid w:val="007F6B28"/>
    <w:rsid w:val="00804FC4"/>
    <w:rsid w:val="0080699B"/>
    <w:rsid w:val="00811AE6"/>
    <w:rsid w:val="008301C9"/>
    <w:rsid w:val="00842DD2"/>
    <w:rsid w:val="0084491B"/>
    <w:rsid w:val="00861B74"/>
    <w:rsid w:val="00867C9A"/>
    <w:rsid w:val="008733BD"/>
    <w:rsid w:val="008828C6"/>
    <w:rsid w:val="008C3D1E"/>
    <w:rsid w:val="008D560C"/>
    <w:rsid w:val="008E784F"/>
    <w:rsid w:val="00924B14"/>
    <w:rsid w:val="009452F7"/>
    <w:rsid w:val="009544BA"/>
    <w:rsid w:val="0095772C"/>
    <w:rsid w:val="009604A3"/>
    <w:rsid w:val="00963A45"/>
    <w:rsid w:val="00963EAB"/>
    <w:rsid w:val="00983D11"/>
    <w:rsid w:val="009A0721"/>
    <w:rsid w:val="009A0F3E"/>
    <w:rsid w:val="009A57F0"/>
    <w:rsid w:val="009B29D0"/>
    <w:rsid w:val="009B3CEE"/>
    <w:rsid w:val="009B68D1"/>
    <w:rsid w:val="009D5C08"/>
    <w:rsid w:val="00A1579B"/>
    <w:rsid w:val="00A16023"/>
    <w:rsid w:val="00A36DA4"/>
    <w:rsid w:val="00A40890"/>
    <w:rsid w:val="00A43405"/>
    <w:rsid w:val="00A4362B"/>
    <w:rsid w:val="00A54587"/>
    <w:rsid w:val="00A573B4"/>
    <w:rsid w:val="00A64AB4"/>
    <w:rsid w:val="00A72369"/>
    <w:rsid w:val="00A75EDC"/>
    <w:rsid w:val="00A833B9"/>
    <w:rsid w:val="00AA1D02"/>
    <w:rsid w:val="00AA54FB"/>
    <w:rsid w:val="00AB537D"/>
    <w:rsid w:val="00AD38B4"/>
    <w:rsid w:val="00AD41FF"/>
    <w:rsid w:val="00AD4275"/>
    <w:rsid w:val="00B044FB"/>
    <w:rsid w:val="00B270D6"/>
    <w:rsid w:val="00B3313A"/>
    <w:rsid w:val="00B45933"/>
    <w:rsid w:val="00B540E5"/>
    <w:rsid w:val="00B6605C"/>
    <w:rsid w:val="00B76B3E"/>
    <w:rsid w:val="00B837F8"/>
    <w:rsid w:val="00B86725"/>
    <w:rsid w:val="00BA08D7"/>
    <w:rsid w:val="00BA1651"/>
    <w:rsid w:val="00BA188B"/>
    <w:rsid w:val="00BB5EFE"/>
    <w:rsid w:val="00BF7104"/>
    <w:rsid w:val="00C079D4"/>
    <w:rsid w:val="00C13FDE"/>
    <w:rsid w:val="00C201B9"/>
    <w:rsid w:val="00C361B3"/>
    <w:rsid w:val="00C72399"/>
    <w:rsid w:val="00C84A06"/>
    <w:rsid w:val="00C91AC2"/>
    <w:rsid w:val="00C936FB"/>
    <w:rsid w:val="00CB11C9"/>
    <w:rsid w:val="00CC12EC"/>
    <w:rsid w:val="00CD4890"/>
    <w:rsid w:val="00CD5F37"/>
    <w:rsid w:val="00CE25BE"/>
    <w:rsid w:val="00CF01C0"/>
    <w:rsid w:val="00CF0DA9"/>
    <w:rsid w:val="00CF51EF"/>
    <w:rsid w:val="00CF5321"/>
    <w:rsid w:val="00D172E6"/>
    <w:rsid w:val="00D17EAB"/>
    <w:rsid w:val="00D35C9C"/>
    <w:rsid w:val="00D366F7"/>
    <w:rsid w:val="00D41500"/>
    <w:rsid w:val="00D60240"/>
    <w:rsid w:val="00D619EC"/>
    <w:rsid w:val="00D63331"/>
    <w:rsid w:val="00D67814"/>
    <w:rsid w:val="00D75EED"/>
    <w:rsid w:val="00D77F05"/>
    <w:rsid w:val="00DB6775"/>
    <w:rsid w:val="00DC53A4"/>
    <w:rsid w:val="00DC7417"/>
    <w:rsid w:val="00DF6A32"/>
    <w:rsid w:val="00DF6FA0"/>
    <w:rsid w:val="00E00DCC"/>
    <w:rsid w:val="00E041B5"/>
    <w:rsid w:val="00E26645"/>
    <w:rsid w:val="00E37A5C"/>
    <w:rsid w:val="00E40E43"/>
    <w:rsid w:val="00E56CE7"/>
    <w:rsid w:val="00E70363"/>
    <w:rsid w:val="00E77D27"/>
    <w:rsid w:val="00E94375"/>
    <w:rsid w:val="00EB0C05"/>
    <w:rsid w:val="00EC20C1"/>
    <w:rsid w:val="00ED4597"/>
    <w:rsid w:val="00EE19D6"/>
    <w:rsid w:val="00F117C6"/>
    <w:rsid w:val="00F11AF0"/>
    <w:rsid w:val="00F177CE"/>
    <w:rsid w:val="00F40E3E"/>
    <w:rsid w:val="00F51D52"/>
    <w:rsid w:val="00F55CAE"/>
    <w:rsid w:val="00F56D41"/>
    <w:rsid w:val="00F67972"/>
    <w:rsid w:val="00F77684"/>
    <w:rsid w:val="00F77C08"/>
    <w:rsid w:val="00F90D2E"/>
    <w:rsid w:val="00F934EC"/>
    <w:rsid w:val="00F95AC4"/>
    <w:rsid w:val="00FA1A85"/>
    <w:rsid w:val="00FA5C27"/>
    <w:rsid w:val="00FC0E20"/>
    <w:rsid w:val="00FE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EB2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F679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nhideWhenUsed/>
    <w:rsid w:val="00F117C6"/>
    <w:pPr>
      <w:tabs>
        <w:tab w:val="center" w:pos="4680"/>
        <w:tab w:val="right" w:pos="9360"/>
      </w:tabs>
    </w:pPr>
  </w:style>
  <w:style w:type="character" w:customStyle="1" w:styleId="FooterChar">
    <w:name w:val="Footer Char"/>
    <w:basedOn w:val="DefaultParagraphFont"/>
    <w:link w:val="Footer"/>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uiPriority w:val="99"/>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paragraph" w:styleId="EndnoteText">
    <w:name w:val="endnote text"/>
    <w:basedOn w:val="Normal"/>
    <w:link w:val="EndnoteTextChar"/>
    <w:rsid w:val="00E40E43"/>
    <w:rPr>
      <w:rFonts w:ascii="Times New Roman" w:hAnsi="Times New Roman"/>
      <w:sz w:val="20"/>
      <w:szCs w:val="20"/>
    </w:rPr>
  </w:style>
  <w:style w:type="character" w:customStyle="1" w:styleId="EndnoteTextChar">
    <w:name w:val="Endnote Text Char"/>
    <w:basedOn w:val="DefaultParagraphFont"/>
    <w:link w:val="EndnoteText"/>
    <w:rsid w:val="00E40E43"/>
    <w:rPr>
      <w:rFonts w:ascii="Times New Roman" w:eastAsia="Times New Roman" w:hAnsi="Times New Roman" w:cs="Times New Roman"/>
      <w:sz w:val="20"/>
      <w:szCs w:val="20"/>
    </w:rPr>
  </w:style>
  <w:style w:type="character" w:styleId="Strong">
    <w:name w:val="Strong"/>
    <w:qFormat/>
    <w:rsid w:val="00542511"/>
    <w:rPr>
      <w:b/>
      <w:bCs/>
    </w:rPr>
  </w:style>
  <w:style w:type="table" w:customStyle="1" w:styleId="TableGrid11">
    <w:name w:val="Table Grid11"/>
    <w:basedOn w:val="TableNormal"/>
    <w:next w:val="TableGrid"/>
    <w:rsid w:val="0054251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67972"/>
    <w:rPr>
      <w:rFonts w:asciiTheme="majorHAnsi" w:eastAsiaTheme="majorEastAsia" w:hAnsiTheme="majorHAnsi" w:cstheme="majorBidi"/>
      <w:b/>
      <w:bCs/>
      <w:color w:val="4F81BD" w:themeColor="accent1"/>
      <w:szCs w:val="24"/>
    </w:rPr>
  </w:style>
  <w:style w:type="paragraph" w:customStyle="1" w:styleId="WPText">
    <w:name w:val="WP Text"/>
    <w:link w:val="WPTextChar"/>
    <w:rsid w:val="00B837F8"/>
    <w:pPr>
      <w:spacing w:after="0" w:line="240" w:lineRule="auto"/>
    </w:pPr>
    <w:rPr>
      <w:rFonts w:ascii="Times New Roman" w:eastAsia="Times New Roman" w:hAnsi="Times New Roman" w:cs="Times New Roman"/>
      <w:sz w:val="24"/>
      <w:szCs w:val="24"/>
    </w:rPr>
  </w:style>
  <w:style w:type="character" w:customStyle="1" w:styleId="WPTextChar">
    <w:name w:val="WP Text Char"/>
    <w:link w:val="WPText"/>
    <w:rsid w:val="00B837F8"/>
    <w:rPr>
      <w:rFonts w:ascii="Times New Roman" w:eastAsia="Times New Roman" w:hAnsi="Times New Roman" w:cs="Times New Roman"/>
      <w:sz w:val="24"/>
      <w:szCs w:val="24"/>
    </w:rPr>
  </w:style>
  <w:style w:type="paragraph" w:customStyle="1" w:styleId="Reminder">
    <w:name w:val="Reminder"/>
    <w:basedOn w:val="Reminders"/>
    <w:link w:val="ReminderChar"/>
    <w:rsid w:val="0021346C"/>
    <w:rPr>
      <w:sz w:val="24"/>
    </w:rPr>
  </w:style>
  <w:style w:type="character" w:customStyle="1" w:styleId="ReminderChar">
    <w:name w:val="Reminder Char"/>
    <w:basedOn w:val="RemindersChar"/>
    <w:link w:val="Reminder"/>
    <w:locked/>
    <w:rsid w:val="0021346C"/>
    <w:rPr>
      <w:rFonts w:ascii="Trebuchet MS" w:eastAsia="Times New Roman" w:hAnsi="Trebuchet MS" w:cs="Times New Roman"/>
      <w:i/>
      <w:color w:val="FF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F679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nhideWhenUsed/>
    <w:rsid w:val="00F117C6"/>
    <w:pPr>
      <w:tabs>
        <w:tab w:val="center" w:pos="4680"/>
        <w:tab w:val="right" w:pos="9360"/>
      </w:tabs>
    </w:pPr>
  </w:style>
  <w:style w:type="character" w:customStyle="1" w:styleId="FooterChar">
    <w:name w:val="Footer Char"/>
    <w:basedOn w:val="DefaultParagraphFont"/>
    <w:link w:val="Footer"/>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uiPriority w:val="99"/>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paragraph" w:styleId="EndnoteText">
    <w:name w:val="endnote text"/>
    <w:basedOn w:val="Normal"/>
    <w:link w:val="EndnoteTextChar"/>
    <w:rsid w:val="00E40E43"/>
    <w:rPr>
      <w:rFonts w:ascii="Times New Roman" w:hAnsi="Times New Roman"/>
      <w:sz w:val="20"/>
      <w:szCs w:val="20"/>
    </w:rPr>
  </w:style>
  <w:style w:type="character" w:customStyle="1" w:styleId="EndnoteTextChar">
    <w:name w:val="Endnote Text Char"/>
    <w:basedOn w:val="DefaultParagraphFont"/>
    <w:link w:val="EndnoteText"/>
    <w:rsid w:val="00E40E43"/>
    <w:rPr>
      <w:rFonts w:ascii="Times New Roman" w:eastAsia="Times New Roman" w:hAnsi="Times New Roman" w:cs="Times New Roman"/>
      <w:sz w:val="20"/>
      <w:szCs w:val="20"/>
    </w:rPr>
  </w:style>
  <w:style w:type="character" w:styleId="Strong">
    <w:name w:val="Strong"/>
    <w:qFormat/>
    <w:rsid w:val="00542511"/>
    <w:rPr>
      <w:b/>
      <w:bCs/>
    </w:rPr>
  </w:style>
  <w:style w:type="table" w:customStyle="1" w:styleId="TableGrid11">
    <w:name w:val="Table Grid11"/>
    <w:basedOn w:val="TableNormal"/>
    <w:next w:val="TableGrid"/>
    <w:rsid w:val="0054251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67972"/>
    <w:rPr>
      <w:rFonts w:asciiTheme="majorHAnsi" w:eastAsiaTheme="majorEastAsia" w:hAnsiTheme="majorHAnsi" w:cstheme="majorBidi"/>
      <w:b/>
      <w:bCs/>
      <w:color w:val="4F81BD" w:themeColor="accent1"/>
      <w:szCs w:val="24"/>
    </w:rPr>
  </w:style>
  <w:style w:type="paragraph" w:customStyle="1" w:styleId="WPText">
    <w:name w:val="WP Text"/>
    <w:link w:val="WPTextChar"/>
    <w:rsid w:val="00B837F8"/>
    <w:pPr>
      <w:spacing w:after="0" w:line="240" w:lineRule="auto"/>
    </w:pPr>
    <w:rPr>
      <w:rFonts w:ascii="Times New Roman" w:eastAsia="Times New Roman" w:hAnsi="Times New Roman" w:cs="Times New Roman"/>
      <w:sz w:val="24"/>
      <w:szCs w:val="24"/>
    </w:rPr>
  </w:style>
  <w:style w:type="character" w:customStyle="1" w:styleId="WPTextChar">
    <w:name w:val="WP Text Char"/>
    <w:link w:val="WPText"/>
    <w:rsid w:val="00B837F8"/>
    <w:rPr>
      <w:rFonts w:ascii="Times New Roman" w:eastAsia="Times New Roman" w:hAnsi="Times New Roman" w:cs="Times New Roman"/>
      <w:sz w:val="24"/>
      <w:szCs w:val="24"/>
    </w:rPr>
  </w:style>
  <w:style w:type="paragraph" w:customStyle="1" w:styleId="Reminder">
    <w:name w:val="Reminder"/>
    <w:basedOn w:val="Reminders"/>
    <w:link w:val="ReminderChar"/>
    <w:rsid w:val="0021346C"/>
    <w:rPr>
      <w:sz w:val="24"/>
    </w:rPr>
  </w:style>
  <w:style w:type="character" w:customStyle="1" w:styleId="ReminderChar">
    <w:name w:val="Reminder Char"/>
    <w:basedOn w:val="RemindersChar"/>
    <w:link w:val="Reminder"/>
    <w:locked/>
    <w:rsid w:val="0021346C"/>
    <w:rPr>
      <w:rFonts w:ascii="Trebuchet MS" w:eastAsia="Times New Roman" w:hAnsi="Trebuchet MS" w:cs="Times New Roman"/>
      <w:i/>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189879">
      <w:bodyDiv w:val="1"/>
      <w:marLeft w:val="0"/>
      <w:marRight w:val="0"/>
      <w:marTop w:val="0"/>
      <w:marBottom w:val="0"/>
      <w:divBdr>
        <w:top w:val="none" w:sz="0" w:space="0" w:color="auto"/>
        <w:left w:val="none" w:sz="0" w:space="0" w:color="auto"/>
        <w:bottom w:val="none" w:sz="0" w:space="0" w:color="auto"/>
        <w:right w:val="none" w:sz="0" w:space="0" w:color="auto"/>
      </w:divBdr>
    </w:div>
    <w:div w:id="117153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D1C3A54D61944DBB3D63B92C982C696"/>
        <w:category>
          <w:name w:val="General"/>
          <w:gallery w:val="placeholder"/>
        </w:category>
        <w:types>
          <w:type w:val="bbPlcHdr"/>
        </w:types>
        <w:behaviors>
          <w:behavior w:val="content"/>
        </w:behaviors>
        <w:guid w:val="{F650BA68-2FED-4C03-A228-33EEEE5F70A1}"/>
      </w:docPartPr>
      <w:docPartBody>
        <w:p w:rsidR="005C5C4F" w:rsidRDefault="001F1348" w:rsidP="001F1348">
          <w:pPr>
            <w:pStyle w:val="2D1C3A54D61944DBB3D63B92C982C696"/>
          </w:pPr>
          <w:r w:rsidRPr="0033327F">
            <w:rPr>
              <w:rStyle w:val="PlaceholderText"/>
            </w:rPr>
            <w:t>[Title]</w:t>
          </w:r>
        </w:p>
      </w:docPartBody>
    </w:docPart>
    <w:docPart>
      <w:docPartPr>
        <w:name w:val="5420FAF41CED451EAB8369D8BC2C0B60"/>
        <w:category>
          <w:name w:val="General"/>
          <w:gallery w:val="placeholder"/>
        </w:category>
        <w:types>
          <w:type w:val="bbPlcHdr"/>
        </w:types>
        <w:behaviors>
          <w:behavior w:val="content"/>
        </w:behaviors>
        <w:guid w:val="{07636B28-D62B-4A70-8ACE-F496EEC0C22D}"/>
      </w:docPartPr>
      <w:docPartBody>
        <w:p w:rsidR="005C5C4F" w:rsidRDefault="001F1348" w:rsidP="001F1348">
          <w:pPr>
            <w:pStyle w:val="5420FAF41CED451EAB8369D8BC2C0B60"/>
          </w:pPr>
          <w:r w:rsidRPr="0033327F">
            <w:rPr>
              <w:rStyle w:val="PlaceholderText"/>
            </w:rPr>
            <w:t>[Status]</w:t>
          </w:r>
        </w:p>
      </w:docPartBody>
    </w:docPart>
    <w:docPart>
      <w:docPartPr>
        <w:name w:val="954041495DA644508C725EBE45A9A075"/>
        <w:category>
          <w:name w:val="General"/>
          <w:gallery w:val="placeholder"/>
        </w:category>
        <w:types>
          <w:type w:val="bbPlcHdr"/>
        </w:types>
        <w:behaviors>
          <w:behavior w:val="content"/>
        </w:behaviors>
        <w:guid w:val="{E0F9CD43-C7D6-4BD6-B31F-DEA4DFBB8C2B}"/>
      </w:docPartPr>
      <w:docPartBody>
        <w:p w:rsidR="005C5C4F" w:rsidRDefault="001F1348" w:rsidP="001F1348">
          <w:pPr>
            <w:pStyle w:val="954041495DA644508C725EBE45A9A0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348"/>
    <w:rsid w:val="00062309"/>
    <w:rsid w:val="00094A67"/>
    <w:rsid w:val="000E697B"/>
    <w:rsid w:val="00102DA5"/>
    <w:rsid w:val="00166D59"/>
    <w:rsid w:val="00184C22"/>
    <w:rsid w:val="001F1348"/>
    <w:rsid w:val="0023512F"/>
    <w:rsid w:val="00306DAD"/>
    <w:rsid w:val="00344BC0"/>
    <w:rsid w:val="0037586B"/>
    <w:rsid w:val="003B198D"/>
    <w:rsid w:val="004071DC"/>
    <w:rsid w:val="004E7D02"/>
    <w:rsid w:val="005C5C4F"/>
    <w:rsid w:val="006E695C"/>
    <w:rsid w:val="00780E3A"/>
    <w:rsid w:val="007B00D5"/>
    <w:rsid w:val="007C317C"/>
    <w:rsid w:val="007E2A46"/>
    <w:rsid w:val="0081757C"/>
    <w:rsid w:val="008262D6"/>
    <w:rsid w:val="008715A6"/>
    <w:rsid w:val="008D7252"/>
    <w:rsid w:val="008E1A68"/>
    <w:rsid w:val="00A27CF8"/>
    <w:rsid w:val="00AC1BF4"/>
    <w:rsid w:val="00C17C9C"/>
    <w:rsid w:val="00C25CB0"/>
    <w:rsid w:val="00D044EC"/>
    <w:rsid w:val="00D92837"/>
    <w:rsid w:val="00E41F35"/>
    <w:rsid w:val="00E947C7"/>
    <w:rsid w:val="00ED1317"/>
    <w:rsid w:val="00EE60A5"/>
    <w:rsid w:val="00F12837"/>
    <w:rsid w:val="00F501EF"/>
    <w:rsid w:val="00F814FC"/>
    <w:rsid w:val="00F90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1317"/>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 w:type="paragraph" w:customStyle="1" w:styleId="450E4005F0DD044EA9838BAF8414B1D2">
    <w:name w:val="450E4005F0DD044EA9838BAF8414B1D2"/>
    <w:rsid w:val="00ED1317"/>
    <w:pPr>
      <w:spacing w:after="0" w:line="240" w:lineRule="auto"/>
    </w:pPr>
    <w:rPr>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1317"/>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 w:type="paragraph" w:customStyle="1" w:styleId="450E4005F0DD044EA9838BAF8414B1D2">
    <w:name w:val="450E4005F0DD044EA9838BAF8414B1D2"/>
    <w:rsid w:val="00ED1317"/>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CE591-11A4-4B64-B039-64D46D851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1061</Words>
  <Characters>6048</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WPSDGEREHC0024</vt:lpstr>
    </vt:vector>
  </TitlesOfParts>
  <Company>San Diego Gas &amp; Electric</Company>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WPSDGEREHC0024</dc:title>
  <dc:creator>Mark 2009</dc:creator>
  <cp:lastModifiedBy>kvalenzu</cp:lastModifiedBy>
  <cp:revision>2</cp:revision>
  <dcterms:created xsi:type="dcterms:W3CDTF">2016-12-30T17:23:00Z</dcterms:created>
  <dcterms:modified xsi:type="dcterms:W3CDTF">2016-12-30T17:23:00Z</dcterms:modified>
  <cp:contentStatus>Revision 2</cp:contentStatus>
</cp:coreProperties>
</file>