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9C7AB" w14:textId="389828D2" w:rsidR="000E19CA" w:rsidRPr="00500C4E" w:rsidRDefault="00F22B12" w:rsidP="000E19CA">
      <w:pPr>
        <w:pStyle w:val="WPnumber"/>
      </w:pPr>
      <w:bookmarkStart w:id="0" w:name="_Toc153189647"/>
      <w:r>
        <w:t xml:space="preserve">  </w:t>
      </w:r>
      <w:r w:rsidR="00E6385A">
        <w:t xml:space="preserve">Short Form </w:t>
      </w:r>
      <w:r w:rsidR="00F117C6" w:rsidRPr="00500C4E">
        <w:t>Work Paper</w:t>
      </w:r>
      <w:r w:rsidR="00E6385A">
        <w:t xml:space="preserve"> </w:t>
      </w:r>
      <w:r w:rsidR="000E19CA">
        <w:t>WPSDGE</w:t>
      </w:r>
      <w:r w:rsidR="00B84B23">
        <w:t>NR</w:t>
      </w:r>
      <w:r w:rsidR="00904F72">
        <w:t>WH1208</w:t>
      </w:r>
    </w:p>
    <w:p w14:paraId="4659C7AC" w14:textId="3C859EB3" w:rsidR="00E6385A" w:rsidRPr="00500C4E" w:rsidRDefault="00E6385A" w:rsidP="00F117C6">
      <w:pPr>
        <w:pStyle w:val="WPnumber"/>
      </w:pPr>
      <w:r>
        <w:tab/>
      </w:r>
      <w:r w:rsidR="000E19CA">
        <w:rPr>
          <w:rStyle w:val="CaptionChar"/>
          <w:b/>
          <w:bCs w:val="0"/>
        </w:rPr>
        <w:t xml:space="preserve">Revision </w:t>
      </w:r>
      <w:r w:rsidR="00904F72">
        <w:rPr>
          <w:rStyle w:val="CaptionChar"/>
          <w:b/>
          <w:bCs w:val="0"/>
        </w:rPr>
        <w:t>0</w:t>
      </w:r>
    </w:p>
    <w:bookmarkEnd w:id="0"/>
    <w:p w14:paraId="4659C7AD" w14:textId="77777777" w:rsidR="00F117C6" w:rsidRPr="00500C4E" w:rsidRDefault="00F117C6" w:rsidP="00F117C6">
      <w:pPr>
        <w:jc w:val="right"/>
        <w:rPr>
          <w:rFonts w:cstheme="minorHAnsi"/>
          <w:b/>
          <w:sz w:val="48"/>
          <w:szCs w:val="48"/>
        </w:rPr>
      </w:pPr>
    </w:p>
    <w:p w14:paraId="4659C7AE" w14:textId="77777777"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14:paraId="4659C7AF" w14:textId="77777777" w:rsidR="00E6385A" w:rsidRPr="00E6385A" w:rsidRDefault="00E6385A" w:rsidP="00E6385A">
      <w:pPr>
        <w:rPr>
          <w:rFonts w:cstheme="minorHAnsi"/>
          <w:b/>
          <w:sz w:val="32"/>
        </w:rPr>
      </w:pPr>
      <w:r w:rsidRPr="00E6385A">
        <w:rPr>
          <w:rFonts w:cstheme="minorHAnsi"/>
          <w:b/>
          <w:sz w:val="32"/>
        </w:rPr>
        <w:t>Energy Efficiency Engineering</w:t>
      </w:r>
    </w:p>
    <w:p w14:paraId="4659C7B0" w14:textId="77777777" w:rsidR="00F117C6" w:rsidRPr="00500C4E" w:rsidRDefault="00F117C6" w:rsidP="00F117C6">
      <w:pPr>
        <w:rPr>
          <w:rFonts w:cstheme="minorHAnsi"/>
        </w:rPr>
      </w:pPr>
    </w:p>
    <w:p w14:paraId="4659C7B1" w14:textId="77777777" w:rsidR="00F117C6" w:rsidRPr="00500C4E" w:rsidRDefault="00F117C6" w:rsidP="00F117C6">
      <w:pPr>
        <w:tabs>
          <w:tab w:val="left" w:pos="8190"/>
        </w:tabs>
        <w:rPr>
          <w:rFonts w:cstheme="minorHAnsi"/>
        </w:rPr>
      </w:pPr>
      <w:r w:rsidRPr="00500C4E">
        <w:rPr>
          <w:rFonts w:cstheme="minorHAnsi"/>
        </w:rPr>
        <w:tab/>
      </w:r>
    </w:p>
    <w:p w14:paraId="4659C7B2" w14:textId="77777777" w:rsidR="00F117C6" w:rsidRPr="00500C4E" w:rsidRDefault="00F117C6" w:rsidP="00F117C6">
      <w:pPr>
        <w:rPr>
          <w:rFonts w:cstheme="minorHAnsi"/>
        </w:rPr>
      </w:pPr>
    </w:p>
    <w:p w14:paraId="4659C7B3" w14:textId="77777777" w:rsidR="00F117C6" w:rsidRPr="00500C4E" w:rsidRDefault="00F117C6" w:rsidP="00F117C6">
      <w:pPr>
        <w:rPr>
          <w:rFonts w:cstheme="minorHAnsi"/>
        </w:rPr>
      </w:pPr>
    </w:p>
    <w:p w14:paraId="4659C7B4" w14:textId="77777777" w:rsidR="00F117C6" w:rsidRPr="00500C4E" w:rsidRDefault="00F117C6" w:rsidP="00F117C6">
      <w:pPr>
        <w:rPr>
          <w:rFonts w:cstheme="minorHAnsi"/>
        </w:rPr>
      </w:pPr>
    </w:p>
    <w:p w14:paraId="4659C7B5" w14:textId="77777777" w:rsidR="00F117C6" w:rsidRPr="00500C4E" w:rsidRDefault="00F117C6" w:rsidP="00F117C6">
      <w:pPr>
        <w:rPr>
          <w:rFonts w:cstheme="minorHAnsi"/>
        </w:rPr>
      </w:pPr>
    </w:p>
    <w:p w14:paraId="4659C7B6" w14:textId="77777777" w:rsidR="00F117C6" w:rsidRPr="00500C4E" w:rsidRDefault="00F117C6" w:rsidP="00B84B23">
      <w:pPr>
        <w:rPr>
          <w:rFonts w:cstheme="minorHAnsi"/>
        </w:rPr>
      </w:pPr>
    </w:p>
    <w:p w14:paraId="37A15E76" w14:textId="07435B0C" w:rsidR="00911637" w:rsidRDefault="00904F72" w:rsidP="00B84B23">
      <w:pPr>
        <w:rPr>
          <w:rFonts w:cstheme="minorHAnsi"/>
          <w:b/>
          <w:sz w:val="72"/>
          <w:szCs w:val="72"/>
        </w:rPr>
      </w:pPr>
      <w:r>
        <w:rPr>
          <w:rFonts w:cstheme="minorHAnsi"/>
          <w:b/>
          <w:sz w:val="72"/>
          <w:szCs w:val="72"/>
        </w:rPr>
        <w:t>Commercial Low Flow Showerhead</w:t>
      </w:r>
    </w:p>
    <w:p w14:paraId="7CC2E91A" w14:textId="77777777" w:rsidR="00911637" w:rsidRDefault="00911637" w:rsidP="00911637">
      <w:pPr>
        <w:pStyle w:val="Default"/>
      </w:pPr>
    </w:p>
    <w:p w14:paraId="470D9883" w14:textId="77777777" w:rsidR="00EC1F80" w:rsidRDefault="00911637" w:rsidP="00904F72">
      <w:pPr>
        <w:rPr>
          <w:b/>
          <w:bCs/>
          <w:sz w:val="23"/>
          <w:szCs w:val="23"/>
        </w:rPr>
      </w:pPr>
      <w:r>
        <w:t xml:space="preserve"> </w:t>
      </w:r>
      <w:r>
        <w:rPr>
          <w:b/>
          <w:bCs/>
          <w:sz w:val="23"/>
          <w:szCs w:val="23"/>
        </w:rPr>
        <w:t xml:space="preserve">Implementation IDs: </w:t>
      </w:r>
      <w:r>
        <w:rPr>
          <w:b/>
          <w:bCs/>
          <w:sz w:val="23"/>
          <w:szCs w:val="23"/>
        </w:rPr>
        <w:tab/>
      </w:r>
    </w:p>
    <w:p w14:paraId="3A75D51C" w14:textId="23F601CC" w:rsidR="005A7ADD" w:rsidRDefault="00EC1F80" w:rsidP="00904F72">
      <w:pPr>
        <w:rPr>
          <w:b/>
          <w:bCs/>
          <w:sz w:val="23"/>
          <w:szCs w:val="23"/>
        </w:rPr>
      </w:pPr>
      <w:r>
        <w:rPr>
          <w:b/>
          <w:bCs/>
          <w:sz w:val="23"/>
          <w:szCs w:val="23"/>
        </w:rPr>
        <w:t>465279-</w:t>
      </w:r>
      <w:r w:rsidRPr="00EC1F80">
        <w:t xml:space="preserve"> </w:t>
      </w:r>
      <w:r w:rsidRPr="00EC1F80">
        <w:rPr>
          <w:b/>
          <w:bCs/>
          <w:sz w:val="23"/>
          <w:szCs w:val="23"/>
        </w:rPr>
        <w:t>Low Flow Showerhead for Commercial Buildings - 1.5 GPM Flow Rate</w:t>
      </w:r>
    </w:p>
    <w:p w14:paraId="2FAFC7C0" w14:textId="08384848" w:rsidR="00EC1F80" w:rsidRDefault="00EC1F80" w:rsidP="00904F72">
      <w:pPr>
        <w:rPr>
          <w:b/>
          <w:bCs/>
          <w:sz w:val="23"/>
          <w:szCs w:val="23"/>
        </w:rPr>
      </w:pPr>
      <w:r>
        <w:rPr>
          <w:b/>
          <w:bCs/>
          <w:sz w:val="23"/>
          <w:szCs w:val="23"/>
        </w:rPr>
        <w:t>465280-</w:t>
      </w:r>
      <w:r w:rsidRPr="00EC1F80">
        <w:t xml:space="preserve"> </w:t>
      </w:r>
      <w:r w:rsidRPr="00EC1F80">
        <w:rPr>
          <w:b/>
          <w:bCs/>
          <w:sz w:val="23"/>
          <w:szCs w:val="23"/>
        </w:rPr>
        <w:t>Low Flow Showerhead for Commercial Buildings - 1.8 GPM Flow Rate</w:t>
      </w:r>
    </w:p>
    <w:p w14:paraId="6C4A9DAA" w14:textId="00CCE4A4" w:rsidR="00E4164B" w:rsidRDefault="00E4164B" w:rsidP="00911637">
      <w:pPr>
        <w:ind w:left="1440" w:firstLine="720"/>
        <w:rPr>
          <w:b/>
          <w:bCs/>
          <w:sz w:val="23"/>
          <w:szCs w:val="23"/>
        </w:rPr>
      </w:pPr>
    </w:p>
    <w:p w14:paraId="4659C7BB" w14:textId="77777777" w:rsidR="000E19CA" w:rsidRDefault="000E19CA" w:rsidP="000E19CA">
      <w:pPr>
        <w:jc w:val="right"/>
        <w:rPr>
          <w:rFonts w:cstheme="minorHAnsi"/>
          <w:b/>
          <w:sz w:val="28"/>
          <w:szCs w:val="28"/>
        </w:rPr>
      </w:pPr>
    </w:p>
    <w:p w14:paraId="4659C7BC" w14:textId="77777777" w:rsidR="000E19CA" w:rsidRDefault="000E19CA" w:rsidP="000E19CA">
      <w:pPr>
        <w:jc w:val="right"/>
        <w:rPr>
          <w:rFonts w:cstheme="minorHAnsi"/>
          <w:b/>
          <w:sz w:val="28"/>
          <w:szCs w:val="28"/>
        </w:rPr>
      </w:pPr>
    </w:p>
    <w:p w14:paraId="4659C7BD" w14:textId="77777777" w:rsidR="000E19CA" w:rsidRDefault="000E19CA" w:rsidP="000E19CA">
      <w:pPr>
        <w:jc w:val="right"/>
        <w:rPr>
          <w:rFonts w:cstheme="minorHAnsi"/>
          <w:b/>
          <w:sz w:val="28"/>
          <w:szCs w:val="28"/>
        </w:rPr>
      </w:pPr>
    </w:p>
    <w:p w14:paraId="4659C7BE" w14:textId="77777777" w:rsidR="000E19CA" w:rsidRDefault="000E19CA" w:rsidP="000E19CA">
      <w:pPr>
        <w:jc w:val="right"/>
        <w:rPr>
          <w:rFonts w:cstheme="minorHAnsi"/>
          <w:b/>
          <w:sz w:val="28"/>
          <w:szCs w:val="28"/>
        </w:rPr>
      </w:pPr>
    </w:p>
    <w:p w14:paraId="4659C7BF" w14:textId="77777777" w:rsidR="000E19CA" w:rsidRDefault="000E19CA" w:rsidP="000E19CA">
      <w:pPr>
        <w:jc w:val="right"/>
        <w:rPr>
          <w:rFonts w:cstheme="minorHAnsi"/>
          <w:b/>
          <w:sz w:val="28"/>
          <w:szCs w:val="28"/>
        </w:rPr>
      </w:pPr>
    </w:p>
    <w:p w14:paraId="4659C7C0" w14:textId="77777777" w:rsidR="000E19CA" w:rsidRDefault="000E19CA" w:rsidP="000E19CA">
      <w:pPr>
        <w:jc w:val="right"/>
        <w:rPr>
          <w:rFonts w:cstheme="minorHAnsi"/>
          <w:b/>
          <w:sz w:val="28"/>
          <w:szCs w:val="28"/>
        </w:rPr>
      </w:pPr>
    </w:p>
    <w:p w14:paraId="4659C7C1" w14:textId="77777777" w:rsidR="000E19CA" w:rsidRDefault="000E19CA" w:rsidP="000E19CA">
      <w:pPr>
        <w:jc w:val="right"/>
        <w:rPr>
          <w:rFonts w:cstheme="minorHAnsi"/>
          <w:b/>
          <w:sz w:val="28"/>
          <w:szCs w:val="28"/>
        </w:rPr>
      </w:pPr>
    </w:p>
    <w:p w14:paraId="4659C7C2" w14:textId="77777777" w:rsidR="000E19CA" w:rsidRDefault="000E19CA" w:rsidP="000E19CA">
      <w:pPr>
        <w:jc w:val="right"/>
        <w:rPr>
          <w:rFonts w:cstheme="minorHAnsi"/>
          <w:b/>
          <w:sz w:val="28"/>
          <w:szCs w:val="28"/>
        </w:rPr>
      </w:pPr>
    </w:p>
    <w:p w14:paraId="4659C7C3" w14:textId="77777777" w:rsidR="000E19CA" w:rsidRDefault="000E19CA" w:rsidP="000E19CA">
      <w:pPr>
        <w:jc w:val="right"/>
        <w:rPr>
          <w:rFonts w:cstheme="minorHAnsi"/>
          <w:b/>
          <w:sz w:val="28"/>
          <w:szCs w:val="28"/>
        </w:rPr>
      </w:pPr>
    </w:p>
    <w:p w14:paraId="4659C7C4" w14:textId="77777777" w:rsidR="000E19CA" w:rsidRDefault="000E19CA" w:rsidP="000E19CA">
      <w:pPr>
        <w:jc w:val="right"/>
        <w:rPr>
          <w:rFonts w:cstheme="minorHAnsi"/>
          <w:b/>
          <w:sz w:val="28"/>
          <w:szCs w:val="28"/>
        </w:rPr>
      </w:pPr>
    </w:p>
    <w:p w14:paraId="4659C7C5" w14:textId="77777777" w:rsidR="000E19CA" w:rsidRDefault="000E19CA" w:rsidP="000E19CA">
      <w:pPr>
        <w:jc w:val="right"/>
        <w:rPr>
          <w:rFonts w:cstheme="minorHAnsi"/>
          <w:b/>
          <w:sz w:val="28"/>
          <w:szCs w:val="28"/>
        </w:rPr>
      </w:pPr>
    </w:p>
    <w:p w14:paraId="4659C7C6" w14:textId="77777777" w:rsidR="000E19CA" w:rsidRDefault="000E19CA" w:rsidP="000E19CA">
      <w:pPr>
        <w:jc w:val="right"/>
        <w:rPr>
          <w:rFonts w:cstheme="minorHAnsi"/>
          <w:b/>
          <w:sz w:val="28"/>
          <w:szCs w:val="28"/>
        </w:rPr>
      </w:pPr>
    </w:p>
    <w:p w14:paraId="4659C7C7" w14:textId="77777777" w:rsidR="000E19CA" w:rsidRDefault="000E19CA" w:rsidP="000E19CA">
      <w:pPr>
        <w:jc w:val="right"/>
        <w:rPr>
          <w:rFonts w:cstheme="minorHAnsi"/>
          <w:b/>
          <w:sz w:val="28"/>
          <w:szCs w:val="28"/>
        </w:rPr>
      </w:pPr>
    </w:p>
    <w:p w14:paraId="4659C7C8" w14:textId="77777777" w:rsidR="000E19CA" w:rsidRDefault="000E19CA" w:rsidP="000E19CA">
      <w:pPr>
        <w:jc w:val="right"/>
        <w:rPr>
          <w:rFonts w:cstheme="minorHAnsi"/>
          <w:b/>
          <w:sz w:val="28"/>
          <w:szCs w:val="28"/>
        </w:rPr>
      </w:pPr>
    </w:p>
    <w:p w14:paraId="4659C7CA" w14:textId="71623729" w:rsidR="00E372B8" w:rsidRDefault="00050F6F" w:rsidP="00241A1F">
      <w:pPr>
        <w:jc w:val="right"/>
        <w:rPr>
          <w:rFonts w:cstheme="minorHAnsi"/>
          <w:b/>
          <w:sz w:val="28"/>
          <w:szCs w:val="28"/>
        </w:rPr>
      </w:pPr>
      <w:r>
        <w:rPr>
          <w:rFonts w:cstheme="minorHAnsi"/>
          <w:b/>
          <w:sz w:val="28"/>
          <w:szCs w:val="28"/>
        </w:rPr>
        <w:t>May 14</w:t>
      </w:r>
      <w:r w:rsidR="000E19CA">
        <w:rPr>
          <w:rFonts w:cstheme="minorHAnsi"/>
          <w:b/>
          <w:sz w:val="28"/>
          <w:szCs w:val="28"/>
        </w:rPr>
        <w:t>, 201</w:t>
      </w:r>
      <w:r>
        <w:rPr>
          <w:rFonts w:cstheme="minorHAnsi"/>
          <w:b/>
          <w:sz w:val="28"/>
          <w:szCs w:val="28"/>
        </w:rPr>
        <w:t>9</w:t>
      </w:r>
    </w:p>
    <w:p w14:paraId="4659C7CB"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4659C7CC" w14:textId="0DFC0F27" w:rsidR="00FE520B" w:rsidRDefault="0059117D" w:rsidP="00FE520B">
      <w:pPr>
        <w:pStyle w:val="Heading1"/>
      </w:pPr>
      <w:r>
        <w:lastRenderedPageBreak/>
        <w:t xml:space="preserve">SDG&amp;E </w:t>
      </w:r>
      <w:r w:rsidR="00D630C5">
        <w:t>Commercial Low Flow Showerhead</w:t>
      </w:r>
      <w:r w:rsidR="0085355C">
        <w:t xml:space="preserve"> </w:t>
      </w:r>
      <w:r>
        <w:t>Short Form Workpaper</w:t>
      </w:r>
    </w:p>
    <w:p w14:paraId="4659C7CD" w14:textId="77777777" w:rsidR="00413EF4" w:rsidRDefault="00413EF4" w:rsidP="00413EF4">
      <w:pPr>
        <w:pStyle w:val="Heading2"/>
      </w:pPr>
      <w:r>
        <w:t>Introduction</w:t>
      </w:r>
    </w:p>
    <w:p w14:paraId="5DF26188" w14:textId="69B73135" w:rsidR="006121BD" w:rsidRDefault="00413EF4" w:rsidP="004930AE">
      <w:r>
        <w:t xml:space="preserve">This short form workpaper documents the </w:t>
      </w:r>
      <w:r w:rsidR="005F1AF8">
        <w:t xml:space="preserve">adoption of </w:t>
      </w:r>
      <w:r w:rsidR="003C049B">
        <w:t xml:space="preserve">SCG workpaper </w:t>
      </w:r>
      <w:r w:rsidR="00D630C5">
        <w:t xml:space="preserve">WPSCGNRMH170412A Rev1 Low Flow Showerheads for Commercial Facilities </w:t>
      </w:r>
      <w:r w:rsidR="005F1AF8">
        <w:t xml:space="preserve">for calculating </w:t>
      </w:r>
      <w:r w:rsidR="00C414A6">
        <w:t>ex-ante</w:t>
      </w:r>
      <w:r w:rsidR="00C06B9E">
        <w:t xml:space="preserve"> </w:t>
      </w:r>
      <w:r w:rsidR="005F1AF8">
        <w:t xml:space="preserve">savings </w:t>
      </w:r>
      <w:r w:rsidR="00C06B9E">
        <w:t>impact</w:t>
      </w:r>
      <w:r w:rsidR="005F1AF8">
        <w:t>s</w:t>
      </w:r>
      <w:r w:rsidR="00C06B9E">
        <w:t xml:space="preserve"> and cost-effectiveness </w:t>
      </w:r>
      <w:r>
        <w:t xml:space="preserve">values </w:t>
      </w:r>
      <w:r w:rsidR="00C06B9E">
        <w:t xml:space="preserve">used for </w:t>
      </w:r>
      <w:r w:rsidR="00D630C5">
        <w:t>commercial low flow showerheads</w:t>
      </w:r>
      <w:r w:rsidR="0085355C">
        <w:t>.</w:t>
      </w:r>
      <w:r w:rsidR="00C06B9E">
        <w:t xml:space="preserve"> </w:t>
      </w:r>
      <w:r w:rsidR="00894ED7">
        <w:t>The savings and cost</w:t>
      </w:r>
      <w:r w:rsidR="00660A9F">
        <w:t>s</w:t>
      </w:r>
      <w:r w:rsidR="00D630C5">
        <w:t xml:space="preserve"> are based on WPSCGNRMH170412A Rev1 Low Flow Showerheads for Commercial Facilities</w:t>
      </w:r>
      <w:r w:rsidR="004930AE">
        <w:t xml:space="preserve"> </w:t>
      </w:r>
    </w:p>
    <w:p w14:paraId="0C63334B" w14:textId="003672EE" w:rsidR="00C83693" w:rsidRDefault="00C83693" w:rsidP="004930AE"/>
    <w:p w14:paraId="43E3C8FC" w14:textId="376A5415" w:rsidR="00C83693" w:rsidRDefault="00D54CCE" w:rsidP="004930AE">
      <w:r>
        <w:t xml:space="preserve">Exceptions and </w:t>
      </w:r>
      <w:r w:rsidR="00C83693">
        <w:t xml:space="preserve">Clarifications </w:t>
      </w:r>
    </w:p>
    <w:p w14:paraId="418EAF98" w14:textId="2CCD8F81" w:rsidR="00C83693" w:rsidRDefault="00FF2C28" w:rsidP="00D630C5">
      <w:pPr>
        <w:pStyle w:val="ListParagraph"/>
        <w:numPr>
          <w:ilvl w:val="0"/>
          <w:numId w:val="22"/>
        </w:numPr>
        <w:rPr>
          <w:szCs w:val="22"/>
        </w:rPr>
      </w:pPr>
      <w:r w:rsidRPr="00FF2C28">
        <w:rPr>
          <w:szCs w:val="22"/>
        </w:rPr>
        <w:t xml:space="preserve">Added “Log make, model number and flow rate of existing showerhead” to the </w:t>
      </w:r>
      <w:r>
        <w:rPr>
          <w:szCs w:val="22"/>
        </w:rPr>
        <w:t>R</w:t>
      </w:r>
      <w:r w:rsidRPr="00FF2C28">
        <w:rPr>
          <w:szCs w:val="22"/>
        </w:rPr>
        <w:t xml:space="preserve">equirements </w:t>
      </w:r>
      <w:r>
        <w:rPr>
          <w:szCs w:val="22"/>
        </w:rPr>
        <w:t>section</w:t>
      </w:r>
    </w:p>
    <w:p w14:paraId="6507150A" w14:textId="3186AD46" w:rsidR="00C27B92" w:rsidRPr="00D630C5" w:rsidRDefault="00C27B92" w:rsidP="00D630C5">
      <w:pPr>
        <w:pStyle w:val="ListParagraph"/>
        <w:numPr>
          <w:ilvl w:val="0"/>
          <w:numId w:val="22"/>
        </w:numPr>
        <w:rPr>
          <w:szCs w:val="22"/>
        </w:rPr>
      </w:pPr>
      <w:r>
        <w:rPr>
          <w:szCs w:val="22"/>
        </w:rPr>
        <w:t xml:space="preserve">Update the Measure Application Type to Accelerated Replacement (AR) </w:t>
      </w:r>
      <w:r w:rsidR="00177F42">
        <w:rPr>
          <w:szCs w:val="22"/>
        </w:rPr>
        <w:t xml:space="preserve">to align with CPUC Resolution E-4952. </w:t>
      </w:r>
    </w:p>
    <w:p w14:paraId="4659C7D0" w14:textId="77777777" w:rsidR="00B57F32" w:rsidRDefault="00B57F32" w:rsidP="00B57F32">
      <w:pPr>
        <w:pStyle w:val="Heading2"/>
      </w:pPr>
      <w:r w:rsidRPr="005734A4">
        <w:t>Document Revision History</w:t>
      </w:r>
      <w:r w:rsidRPr="0025216C">
        <w:t xml:space="preserve"> </w:t>
      </w:r>
    </w:p>
    <w:tbl>
      <w:tblPr>
        <w:tblStyle w:val="TableGrid11"/>
        <w:tblW w:w="5436" w:type="pct"/>
        <w:tblLook w:val="01E0" w:firstRow="1" w:lastRow="1" w:firstColumn="1" w:lastColumn="1" w:noHBand="0" w:noVBand="0"/>
      </w:tblPr>
      <w:tblGrid>
        <w:gridCol w:w="524"/>
        <w:gridCol w:w="1275"/>
        <w:gridCol w:w="1614"/>
        <w:gridCol w:w="6752"/>
      </w:tblGrid>
      <w:tr w:rsidR="00B57F32" w:rsidRPr="00500C4E" w14:paraId="4659C7D5" w14:textId="77777777" w:rsidTr="00C83693">
        <w:trPr>
          <w:trHeight w:val="20"/>
        </w:trPr>
        <w:tc>
          <w:tcPr>
            <w:tcW w:w="258" w:type="pct"/>
            <w:shd w:val="clear" w:color="auto" w:fill="D9D9D9" w:themeFill="background1" w:themeFillShade="D9"/>
          </w:tcPr>
          <w:p w14:paraId="4659C7D1" w14:textId="77777777" w:rsidR="00B57F32" w:rsidRPr="000E2B6B" w:rsidRDefault="00B57F32" w:rsidP="00CA1893">
            <w:pPr>
              <w:rPr>
                <w:rStyle w:val="Strong"/>
                <w:bCs w:val="0"/>
              </w:rPr>
            </w:pPr>
            <w:r w:rsidRPr="000E2B6B">
              <w:rPr>
                <w:rStyle w:val="Strong"/>
              </w:rPr>
              <w:t>Rev</w:t>
            </w:r>
          </w:p>
        </w:tc>
        <w:tc>
          <w:tcPr>
            <w:tcW w:w="627" w:type="pct"/>
            <w:shd w:val="clear" w:color="auto" w:fill="D9D9D9" w:themeFill="background1" w:themeFillShade="D9"/>
          </w:tcPr>
          <w:p w14:paraId="4659C7D2" w14:textId="77777777" w:rsidR="00B57F32" w:rsidRPr="000E2B6B" w:rsidRDefault="00B57F32" w:rsidP="00CA1893">
            <w:pPr>
              <w:rPr>
                <w:rStyle w:val="Strong"/>
                <w:bCs w:val="0"/>
              </w:rPr>
            </w:pPr>
            <w:r w:rsidRPr="000E2B6B">
              <w:rPr>
                <w:rStyle w:val="Strong"/>
              </w:rPr>
              <w:t>Date</w:t>
            </w:r>
          </w:p>
        </w:tc>
        <w:tc>
          <w:tcPr>
            <w:tcW w:w="794" w:type="pct"/>
            <w:shd w:val="clear" w:color="auto" w:fill="D9D9D9" w:themeFill="background1" w:themeFillShade="D9"/>
          </w:tcPr>
          <w:p w14:paraId="4659C7D3" w14:textId="77777777" w:rsidR="00B57F32" w:rsidRPr="000E2B6B" w:rsidRDefault="00B57F32" w:rsidP="00CA1893">
            <w:pPr>
              <w:rPr>
                <w:rStyle w:val="Strong"/>
                <w:bCs w:val="0"/>
              </w:rPr>
            </w:pPr>
            <w:r w:rsidRPr="000E2B6B">
              <w:rPr>
                <w:rStyle w:val="Strong"/>
              </w:rPr>
              <w:t>Author</w:t>
            </w:r>
          </w:p>
        </w:tc>
        <w:tc>
          <w:tcPr>
            <w:tcW w:w="3321" w:type="pct"/>
            <w:shd w:val="clear" w:color="auto" w:fill="D9D9D9" w:themeFill="background1" w:themeFillShade="D9"/>
          </w:tcPr>
          <w:p w14:paraId="4659C7D4" w14:textId="77777777" w:rsidR="00B57F32" w:rsidRPr="000E2B6B" w:rsidRDefault="00B57F32" w:rsidP="00CA1893">
            <w:pPr>
              <w:rPr>
                <w:rStyle w:val="Strong"/>
                <w:bCs w:val="0"/>
              </w:rPr>
            </w:pPr>
            <w:r w:rsidRPr="000E2B6B">
              <w:rPr>
                <w:rStyle w:val="Strong"/>
              </w:rPr>
              <w:t>Summary of Changes</w:t>
            </w:r>
          </w:p>
        </w:tc>
      </w:tr>
      <w:tr w:rsidR="004930AE" w:rsidRPr="00500C4E" w14:paraId="453A66C2" w14:textId="77777777" w:rsidTr="00C83693">
        <w:trPr>
          <w:trHeight w:val="20"/>
        </w:trPr>
        <w:tc>
          <w:tcPr>
            <w:tcW w:w="258" w:type="pct"/>
          </w:tcPr>
          <w:p w14:paraId="1F4FEE91" w14:textId="436EA864" w:rsidR="004930AE" w:rsidRDefault="00904F72" w:rsidP="00CA1893">
            <w:pPr>
              <w:jc w:val="center"/>
              <w:rPr>
                <w:rFonts w:cstheme="minorHAnsi"/>
                <w:szCs w:val="20"/>
              </w:rPr>
            </w:pPr>
            <w:r>
              <w:rPr>
                <w:rFonts w:cstheme="minorHAnsi"/>
                <w:szCs w:val="20"/>
              </w:rPr>
              <w:t>0</w:t>
            </w:r>
          </w:p>
        </w:tc>
        <w:tc>
          <w:tcPr>
            <w:tcW w:w="627" w:type="pct"/>
          </w:tcPr>
          <w:p w14:paraId="587FE978" w14:textId="3A2582F6" w:rsidR="004930AE" w:rsidRDefault="00904F72" w:rsidP="00CA1893">
            <w:pPr>
              <w:jc w:val="center"/>
              <w:rPr>
                <w:rFonts w:cstheme="minorHAnsi"/>
                <w:szCs w:val="20"/>
              </w:rPr>
            </w:pPr>
            <w:r>
              <w:rPr>
                <w:rFonts w:cstheme="minorHAnsi"/>
                <w:szCs w:val="20"/>
              </w:rPr>
              <w:t>6/</w:t>
            </w:r>
            <w:r w:rsidR="00A133C7">
              <w:rPr>
                <w:rFonts w:cstheme="minorHAnsi"/>
                <w:szCs w:val="20"/>
              </w:rPr>
              <w:t>25</w:t>
            </w:r>
            <w:r w:rsidR="004930AE">
              <w:rPr>
                <w:rFonts w:cstheme="minorHAnsi"/>
                <w:szCs w:val="20"/>
              </w:rPr>
              <w:t>/2018</w:t>
            </w:r>
          </w:p>
        </w:tc>
        <w:tc>
          <w:tcPr>
            <w:tcW w:w="794" w:type="pct"/>
          </w:tcPr>
          <w:p w14:paraId="3E2C94A8" w14:textId="3985F802" w:rsidR="004930AE" w:rsidRDefault="004930AE" w:rsidP="00CA1893">
            <w:pPr>
              <w:rPr>
                <w:rFonts w:cstheme="minorHAnsi"/>
                <w:szCs w:val="20"/>
              </w:rPr>
            </w:pPr>
            <w:r>
              <w:rPr>
                <w:rFonts w:cstheme="minorHAnsi"/>
                <w:szCs w:val="20"/>
              </w:rPr>
              <w:t>Keith Valenzuela/ SDG&amp;E Contractor</w:t>
            </w:r>
          </w:p>
        </w:tc>
        <w:tc>
          <w:tcPr>
            <w:tcW w:w="3321" w:type="pct"/>
          </w:tcPr>
          <w:p w14:paraId="3E8100BC" w14:textId="223C3A73" w:rsidR="00C83693" w:rsidRDefault="00C83693" w:rsidP="004930AE">
            <w:pPr>
              <w:pStyle w:val="ListParagraph"/>
              <w:numPr>
                <w:ilvl w:val="0"/>
                <w:numId w:val="20"/>
              </w:numPr>
            </w:pPr>
            <w:r>
              <w:t>Adop</w:t>
            </w:r>
            <w:r w:rsidR="00904F72">
              <w:t>ted short form workpaper format</w:t>
            </w:r>
          </w:p>
          <w:p w14:paraId="2B9BFC05" w14:textId="16B234C4" w:rsidR="004930AE" w:rsidRDefault="00904F72" w:rsidP="004930AE">
            <w:pPr>
              <w:pStyle w:val="ListParagraph"/>
              <w:numPr>
                <w:ilvl w:val="0"/>
                <w:numId w:val="20"/>
              </w:numPr>
            </w:pPr>
            <w:r>
              <w:t xml:space="preserve">Short form is based SCG workpaper “WPSCGNRMH170412A Rev1 Low Flow Showerheads for Commercial Facilities”. </w:t>
            </w:r>
          </w:p>
          <w:p w14:paraId="4D9F10FA" w14:textId="5E90C670" w:rsidR="00177F42" w:rsidRDefault="00177F42" w:rsidP="004930AE">
            <w:pPr>
              <w:pStyle w:val="ListParagraph"/>
              <w:numPr>
                <w:ilvl w:val="0"/>
                <w:numId w:val="20"/>
              </w:numPr>
            </w:pPr>
            <w:r>
              <w:t xml:space="preserve">Updated Measure Application Type (MAT) to Accelerated Replacement (AR). </w:t>
            </w:r>
            <w:bookmarkStart w:id="1" w:name="_GoBack"/>
            <w:bookmarkEnd w:id="1"/>
          </w:p>
          <w:p w14:paraId="4F4FD8BB" w14:textId="3023EBDE" w:rsidR="00E4164B" w:rsidRDefault="00E4164B" w:rsidP="00904F72">
            <w:pPr>
              <w:pStyle w:val="ListParagraph"/>
              <w:ind w:left="360"/>
            </w:pPr>
          </w:p>
        </w:tc>
      </w:tr>
    </w:tbl>
    <w:p w14:paraId="4659C7F1" w14:textId="718D6F28" w:rsidR="00DB71F1" w:rsidRDefault="00DB71F1" w:rsidP="00DB71F1">
      <w:pPr>
        <w:pStyle w:val="Heading2"/>
      </w:pPr>
      <w:r>
        <w:t>Measure Summary</w:t>
      </w:r>
      <w:r w:rsidRPr="0025216C">
        <w:t xml:space="preserve"> </w:t>
      </w:r>
    </w:p>
    <w:p w14:paraId="4659C7F2" w14:textId="77777777" w:rsidR="00DB71F1" w:rsidRDefault="00DB71F1" w:rsidP="00DB71F1">
      <w:pPr>
        <w:pStyle w:val="Caption"/>
        <w:keepNext/>
        <w:jc w:val="center"/>
      </w:pPr>
      <w:r>
        <w:t xml:space="preserve">Table </w:t>
      </w:r>
      <w:r w:rsidR="00CB7526">
        <w:rPr>
          <w:noProof/>
        </w:rPr>
        <w:fldChar w:fldCharType="begin"/>
      </w:r>
      <w:r w:rsidR="00CB7526">
        <w:rPr>
          <w:noProof/>
        </w:rPr>
        <w:instrText xml:space="preserve"> SEQ Table \* ARABIC </w:instrText>
      </w:r>
      <w:r w:rsidR="00CB7526">
        <w:rPr>
          <w:noProof/>
        </w:rPr>
        <w:fldChar w:fldCharType="separate"/>
      </w:r>
      <w:r>
        <w:rPr>
          <w:noProof/>
        </w:rPr>
        <w:t>1</w:t>
      </w:r>
      <w:r w:rsidR="00CB7526">
        <w:rPr>
          <w:noProof/>
        </w:rPr>
        <w:fldChar w:fldCharType="end"/>
      </w:r>
      <w:r>
        <w:t>: Measure Summary Table</w:t>
      </w:r>
    </w:p>
    <w:tbl>
      <w:tblPr>
        <w:tblStyle w:val="TableGrid"/>
        <w:tblW w:w="11085" w:type="dxa"/>
        <w:tblInd w:w="-725" w:type="dxa"/>
        <w:tblLook w:val="04A0" w:firstRow="1" w:lastRow="0" w:firstColumn="1" w:lastColumn="0" w:noHBand="0" w:noVBand="1"/>
      </w:tblPr>
      <w:tblGrid>
        <w:gridCol w:w="1449"/>
        <w:gridCol w:w="9641"/>
      </w:tblGrid>
      <w:tr w:rsidR="00DB71F1" w14:paraId="4659C7F5" w14:textId="77777777" w:rsidTr="002056CD">
        <w:trPr>
          <w:cantSplit/>
          <w:tblHeader/>
        </w:trPr>
        <w:tc>
          <w:tcPr>
            <w:tcW w:w="1449" w:type="dxa"/>
          </w:tcPr>
          <w:p w14:paraId="4659C7F3" w14:textId="77777777" w:rsidR="00DB71F1" w:rsidRPr="00D86243" w:rsidRDefault="00DB71F1" w:rsidP="00CA1893">
            <w:pPr>
              <w:jc w:val="center"/>
              <w:rPr>
                <w:b/>
              </w:rPr>
            </w:pPr>
            <w:r w:rsidRPr="00D86243">
              <w:rPr>
                <w:b/>
              </w:rPr>
              <w:t>Section</w:t>
            </w:r>
          </w:p>
        </w:tc>
        <w:tc>
          <w:tcPr>
            <w:tcW w:w="9636" w:type="dxa"/>
          </w:tcPr>
          <w:p w14:paraId="4659C7F4" w14:textId="77777777" w:rsidR="00DB71F1" w:rsidRPr="00D86243" w:rsidRDefault="00DB71F1" w:rsidP="00CA1893">
            <w:pPr>
              <w:jc w:val="center"/>
              <w:rPr>
                <w:b/>
              </w:rPr>
            </w:pPr>
            <w:r w:rsidRPr="00D86243">
              <w:rPr>
                <w:b/>
              </w:rPr>
              <w:t>Value</w:t>
            </w:r>
          </w:p>
        </w:tc>
      </w:tr>
      <w:tr w:rsidR="00DB71F1" w14:paraId="4659C7F8" w14:textId="77777777" w:rsidTr="002056CD">
        <w:trPr>
          <w:cantSplit/>
        </w:trPr>
        <w:tc>
          <w:tcPr>
            <w:tcW w:w="1449" w:type="dxa"/>
            <w:vAlign w:val="center"/>
          </w:tcPr>
          <w:p w14:paraId="4659C7F6" w14:textId="77777777" w:rsidR="00DB71F1" w:rsidRPr="001D77F7" w:rsidRDefault="00DB71F1" w:rsidP="00CA1893">
            <w:pPr>
              <w:rPr>
                <w:b/>
              </w:rPr>
            </w:pPr>
            <w:r>
              <w:rPr>
                <w:b/>
              </w:rPr>
              <w:t>Summary &amp; Purpose</w:t>
            </w:r>
          </w:p>
        </w:tc>
        <w:tc>
          <w:tcPr>
            <w:tcW w:w="9636" w:type="dxa"/>
          </w:tcPr>
          <w:p w14:paraId="4659C7F7" w14:textId="3AC8AE59" w:rsidR="00DB71F1" w:rsidRPr="00D85293" w:rsidRDefault="00DB71F1">
            <w:pPr>
              <w:rPr>
                <w:rFonts w:cstheme="minorHAnsi"/>
                <w:sz w:val="20"/>
                <w:szCs w:val="20"/>
              </w:rPr>
            </w:pPr>
            <w:r w:rsidRPr="00D85293">
              <w:rPr>
                <w:rFonts w:cstheme="minorHAnsi"/>
                <w:sz w:val="20"/>
                <w:szCs w:val="20"/>
              </w:rPr>
              <w:t xml:space="preserve">This short form workpaper documents </w:t>
            </w:r>
            <w:r w:rsidR="005F1AF8" w:rsidRPr="00D85293">
              <w:rPr>
                <w:rFonts w:cstheme="minorHAnsi"/>
                <w:sz w:val="20"/>
                <w:szCs w:val="20"/>
              </w:rPr>
              <w:t xml:space="preserve">adoption of the </w:t>
            </w:r>
            <w:r w:rsidR="00D85293" w:rsidRPr="00D85293">
              <w:rPr>
                <w:rFonts w:cstheme="minorHAnsi"/>
                <w:sz w:val="20"/>
                <w:szCs w:val="20"/>
              </w:rPr>
              <w:t>SCG</w:t>
            </w:r>
            <w:r w:rsidR="002A5670">
              <w:rPr>
                <w:rFonts w:cstheme="minorHAnsi"/>
                <w:sz w:val="20"/>
                <w:szCs w:val="20"/>
              </w:rPr>
              <w:t xml:space="preserve"> workpaper </w:t>
            </w:r>
            <w:r w:rsidR="00D85293" w:rsidRPr="00D85293">
              <w:rPr>
                <w:rFonts w:cstheme="minorHAnsi"/>
                <w:sz w:val="20"/>
                <w:szCs w:val="20"/>
              </w:rPr>
              <w:t>WPSCGNRWH170412A Rev</w:t>
            </w:r>
            <w:r w:rsidR="002A5670">
              <w:rPr>
                <w:rFonts w:cstheme="minorHAnsi"/>
                <w:sz w:val="20"/>
                <w:szCs w:val="20"/>
              </w:rPr>
              <w:t>1,</w:t>
            </w:r>
            <w:r w:rsidR="00D85293">
              <w:rPr>
                <w:rFonts w:cstheme="minorHAnsi"/>
                <w:sz w:val="20"/>
                <w:szCs w:val="20"/>
              </w:rPr>
              <w:t xml:space="preserve"> </w:t>
            </w:r>
            <w:r w:rsidR="00D85293" w:rsidRPr="00D85293">
              <w:rPr>
                <w:sz w:val="20"/>
                <w:szCs w:val="20"/>
              </w:rPr>
              <w:t xml:space="preserve">which includes responses to Commission </w:t>
            </w:r>
            <w:r w:rsidR="002A5670" w:rsidRPr="00D85293">
              <w:rPr>
                <w:sz w:val="20"/>
                <w:szCs w:val="20"/>
              </w:rPr>
              <w:t>Staff comments</w:t>
            </w:r>
            <w:r w:rsidR="002A5670">
              <w:rPr>
                <w:sz w:val="20"/>
                <w:szCs w:val="20"/>
              </w:rPr>
              <w:t xml:space="preserve"> in a disposition released for </w:t>
            </w:r>
            <w:r w:rsidR="002A5670" w:rsidRPr="00D85293">
              <w:rPr>
                <w:rFonts w:cstheme="minorHAnsi"/>
                <w:sz w:val="20"/>
                <w:szCs w:val="20"/>
              </w:rPr>
              <w:t>WPSCGNRWH170412A Rev</w:t>
            </w:r>
            <w:r w:rsidR="002A5670">
              <w:rPr>
                <w:rFonts w:cstheme="minorHAnsi"/>
                <w:sz w:val="20"/>
                <w:szCs w:val="20"/>
              </w:rPr>
              <w:t>0. SDG&amp;E reviewed the comments and adopts all responses along with the savings and costs.</w:t>
            </w:r>
          </w:p>
        </w:tc>
      </w:tr>
      <w:tr w:rsidR="00DB71F1" w14:paraId="4659C7FB" w14:textId="77777777" w:rsidTr="002056CD">
        <w:trPr>
          <w:cantSplit/>
          <w:trHeight w:val="2132"/>
        </w:trPr>
        <w:tc>
          <w:tcPr>
            <w:tcW w:w="1449" w:type="dxa"/>
            <w:vAlign w:val="center"/>
          </w:tcPr>
          <w:p w14:paraId="4659C7F9" w14:textId="77777777" w:rsidR="00DB71F1" w:rsidRPr="001D77F7" w:rsidRDefault="00DB71F1" w:rsidP="00CA1893">
            <w:pPr>
              <w:rPr>
                <w:b/>
              </w:rPr>
            </w:pPr>
            <w:r w:rsidRPr="001D77F7">
              <w:rPr>
                <w:b/>
              </w:rPr>
              <w:t>1.1 Measure &amp; Baseline Data</w:t>
            </w:r>
          </w:p>
        </w:tc>
        <w:tc>
          <w:tcPr>
            <w:tcW w:w="9636" w:type="dxa"/>
          </w:tcPr>
          <w:p w14:paraId="220D9BE7" w14:textId="4531775A" w:rsidR="00BE730F" w:rsidRPr="00036409" w:rsidRDefault="00BE730F" w:rsidP="001D57D7">
            <w:pPr>
              <w:rPr>
                <w:rFonts w:cstheme="minorHAnsi"/>
                <w:sz w:val="20"/>
                <w:szCs w:val="20"/>
              </w:rPr>
            </w:pPr>
          </w:p>
          <w:tbl>
            <w:tblPr>
              <w:tblStyle w:val="TableGrid"/>
              <w:tblW w:w="0" w:type="auto"/>
              <w:tblLook w:val="04A0" w:firstRow="1" w:lastRow="0" w:firstColumn="1" w:lastColumn="0" w:noHBand="0" w:noVBand="1"/>
            </w:tblPr>
            <w:tblGrid>
              <w:gridCol w:w="1925"/>
              <w:gridCol w:w="2720"/>
              <w:gridCol w:w="4050"/>
            </w:tblGrid>
            <w:tr w:rsidR="002A5670" w:rsidRPr="00036409" w14:paraId="0F4BDA07" w14:textId="77777777" w:rsidTr="002A5670">
              <w:tc>
                <w:tcPr>
                  <w:tcW w:w="1925" w:type="dxa"/>
                </w:tcPr>
                <w:p w14:paraId="4131F535" w14:textId="266B04EB" w:rsidR="002A5670" w:rsidRDefault="002A5670" w:rsidP="001D57D7">
                  <w:pPr>
                    <w:rPr>
                      <w:rFonts w:cstheme="minorHAnsi"/>
                      <w:sz w:val="20"/>
                      <w:szCs w:val="20"/>
                    </w:rPr>
                  </w:pPr>
                  <w:bookmarkStart w:id="2" w:name="_Hlk501435286"/>
                  <w:r>
                    <w:rPr>
                      <w:rFonts w:cstheme="minorHAnsi"/>
                      <w:sz w:val="20"/>
                      <w:szCs w:val="20"/>
                    </w:rPr>
                    <w:t>SDG&amp;E Implementation ID</w:t>
                  </w:r>
                </w:p>
                <w:p w14:paraId="56B934FC" w14:textId="1BD28E6F" w:rsidR="002A5670" w:rsidRPr="00036409" w:rsidRDefault="002A5670" w:rsidP="001D57D7">
                  <w:pPr>
                    <w:rPr>
                      <w:rFonts w:cstheme="minorHAnsi"/>
                      <w:sz w:val="20"/>
                      <w:szCs w:val="20"/>
                    </w:rPr>
                  </w:pPr>
                  <w:r>
                    <w:rPr>
                      <w:rFonts w:cstheme="minorHAnsi"/>
                      <w:sz w:val="20"/>
                      <w:szCs w:val="20"/>
                    </w:rPr>
                    <w:t>(Delivery/Sector)</w:t>
                  </w:r>
                </w:p>
              </w:tc>
              <w:tc>
                <w:tcPr>
                  <w:tcW w:w="2720" w:type="dxa"/>
                  <w:tcBorders>
                    <w:bottom w:val="single" w:sz="4" w:space="0" w:color="auto"/>
                  </w:tcBorders>
                </w:tcPr>
                <w:p w14:paraId="7D2388AD" w14:textId="29BC6708" w:rsidR="002A5670" w:rsidRDefault="002A5670" w:rsidP="001D57D7">
                  <w:pPr>
                    <w:rPr>
                      <w:rFonts w:cstheme="minorHAnsi"/>
                      <w:sz w:val="20"/>
                      <w:szCs w:val="20"/>
                    </w:rPr>
                  </w:pPr>
                  <w:r>
                    <w:rPr>
                      <w:rFonts w:cstheme="minorHAnsi"/>
                      <w:sz w:val="20"/>
                      <w:szCs w:val="20"/>
                    </w:rPr>
                    <w:t>SCG Measure Code</w:t>
                  </w:r>
                </w:p>
              </w:tc>
              <w:tc>
                <w:tcPr>
                  <w:tcW w:w="4050" w:type="dxa"/>
                  <w:tcBorders>
                    <w:bottom w:val="single" w:sz="4" w:space="0" w:color="auto"/>
                  </w:tcBorders>
                </w:tcPr>
                <w:p w14:paraId="1A32806A" w14:textId="07C5F8D1" w:rsidR="002A5670" w:rsidRPr="00036409" w:rsidRDefault="002A5670" w:rsidP="001D57D7">
                  <w:pPr>
                    <w:rPr>
                      <w:rFonts w:cstheme="minorHAnsi"/>
                      <w:sz w:val="20"/>
                      <w:szCs w:val="20"/>
                    </w:rPr>
                  </w:pPr>
                  <w:r w:rsidRPr="00036409">
                    <w:rPr>
                      <w:rFonts w:cstheme="minorHAnsi"/>
                      <w:sz w:val="20"/>
                      <w:szCs w:val="20"/>
                    </w:rPr>
                    <w:t>Measure Description</w:t>
                  </w:r>
                  <w:r>
                    <w:rPr>
                      <w:rFonts w:cstheme="minorHAnsi"/>
                      <w:sz w:val="20"/>
                      <w:szCs w:val="20"/>
                    </w:rPr>
                    <w:t xml:space="preserve"> </w:t>
                  </w:r>
                </w:p>
              </w:tc>
            </w:tr>
            <w:tr w:rsidR="002A5670" w:rsidRPr="00036409" w14:paraId="74F103B3" w14:textId="77777777" w:rsidTr="00845E33">
              <w:tc>
                <w:tcPr>
                  <w:tcW w:w="1925" w:type="dxa"/>
                  <w:vAlign w:val="center"/>
                </w:tcPr>
                <w:p w14:paraId="160D391E" w14:textId="19810856" w:rsidR="002A5670" w:rsidRPr="00BA40DE" w:rsidRDefault="00BA40DE" w:rsidP="00BA40DE">
                  <w:pPr>
                    <w:jc w:val="center"/>
                    <w:rPr>
                      <w:rFonts w:cstheme="minorHAnsi"/>
                      <w:sz w:val="20"/>
                      <w:szCs w:val="20"/>
                    </w:rPr>
                  </w:pPr>
                  <w:r w:rsidRPr="00BA40DE">
                    <w:rPr>
                      <w:bCs/>
                      <w:sz w:val="20"/>
                      <w:szCs w:val="20"/>
                    </w:rPr>
                    <w:t>465279</w:t>
                  </w:r>
                </w:p>
              </w:tc>
              <w:tc>
                <w:tcPr>
                  <w:tcW w:w="2720" w:type="dxa"/>
                  <w:tcBorders>
                    <w:top w:val="single" w:sz="4" w:space="0" w:color="auto"/>
                    <w:left w:val="nil"/>
                    <w:bottom w:val="single" w:sz="4" w:space="0" w:color="auto"/>
                    <w:right w:val="single" w:sz="4" w:space="0" w:color="auto"/>
                  </w:tcBorders>
                  <w:shd w:val="clear" w:color="auto" w:fill="auto"/>
                  <w:vAlign w:val="center"/>
                </w:tcPr>
                <w:p w14:paraId="1454E2A8" w14:textId="6CD655BA" w:rsidR="002A5670" w:rsidRPr="00BA40DE" w:rsidRDefault="00BA40DE" w:rsidP="00BA40DE">
                  <w:pPr>
                    <w:jc w:val="center"/>
                    <w:rPr>
                      <w:rFonts w:cstheme="minorHAnsi"/>
                      <w:color w:val="000000"/>
                      <w:sz w:val="20"/>
                      <w:szCs w:val="20"/>
                    </w:rPr>
                  </w:pPr>
                  <w:r w:rsidRPr="00BA40DE">
                    <w:rPr>
                      <w:rFonts w:cstheme="minorHAnsi"/>
                      <w:sz w:val="20"/>
                      <w:szCs w:val="20"/>
                    </w:rPr>
                    <w:t>Commercial 1.5 GPM5 LFSH</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14:paraId="589C0823" w14:textId="13EEB808" w:rsidR="002A5670" w:rsidRPr="00BA40DE" w:rsidRDefault="00BA40DE" w:rsidP="00BA40DE">
                  <w:pPr>
                    <w:jc w:val="center"/>
                    <w:rPr>
                      <w:rFonts w:cstheme="minorHAnsi"/>
                      <w:color w:val="000000"/>
                      <w:sz w:val="20"/>
                      <w:szCs w:val="20"/>
                    </w:rPr>
                  </w:pPr>
                  <w:r w:rsidRPr="00BA40DE">
                    <w:rPr>
                      <w:sz w:val="20"/>
                      <w:szCs w:val="20"/>
                    </w:rPr>
                    <w:t>1.5</w:t>
                  </w:r>
                  <w:r w:rsidR="002A5670" w:rsidRPr="00BA40DE">
                    <w:rPr>
                      <w:sz w:val="20"/>
                      <w:szCs w:val="20"/>
                    </w:rPr>
                    <w:t xml:space="preserve"> GPM Low Flow Showerhead for Commercial Facilities</w:t>
                  </w:r>
                </w:p>
              </w:tc>
            </w:tr>
            <w:tr w:rsidR="00AB4C32" w:rsidRPr="00036409" w14:paraId="04121AC2" w14:textId="77777777" w:rsidTr="00845E33">
              <w:tc>
                <w:tcPr>
                  <w:tcW w:w="1925" w:type="dxa"/>
                  <w:vAlign w:val="center"/>
                </w:tcPr>
                <w:p w14:paraId="11DABE27" w14:textId="64B4F759" w:rsidR="00AB4C32" w:rsidRPr="00BA40DE" w:rsidRDefault="00BA40DE" w:rsidP="00BA40DE">
                  <w:pPr>
                    <w:jc w:val="center"/>
                    <w:rPr>
                      <w:rFonts w:cstheme="minorHAnsi"/>
                      <w:sz w:val="20"/>
                      <w:szCs w:val="20"/>
                    </w:rPr>
                  </w:pPr>
                  <w:r w:rsidRPr="00BA40DE">
                    <w:rPr>
                      <w:bCs/>
                      <w:sz w:val="20"/>
                      <w:szCs w:val="20"/>
                    </w:rPr>
                    <w:t>465280</w:t>
                  </w:r>
                </w:p>
              </w:tc>
              <w:tc>
                <w:tcPr>
                  <w:tcW w:w="2720" w:type="dxa"/>
                  <w:tcBorders>
                    <w:top w:val="single" w:sz="4" w:space="0" w:color="auto"/>
                    <w:left w:val="nil"/>
                    <w:bottom w:val="single" w:sz="4" w:space="0" w:color="auto"/>
                    <w:right w:val="single" w:sz="4" w:space="0" w:color="auto"/>
                  </w:tcBorders>
                  <w:shd w:val="clear" w:color="auto" w:fill="auto"/>
                  <w:vAlign w:val="center"/>
                </w:tcPr>
                <w:p w14:paraId="0FBDA8E0" w14:textId="4A187D87" w:rsidR="00AB4C32" w:rsidRPr="00BA40DE" w:rsidRDefault="00BA40DE" w:rsidP="00BA40DE">
                  <w:pPr>
                    <w:jc w:val="center"/>
                    <w:rPr>
                      <w:rFonts w:cstheme="minorHAnsi"/>
                      <w:color w:val="000000"/>
                      <w:sz w:val="20"/>
                      <w:szCs w:val="20"/>
                    </w:rPr>
                  </w:pPr>
                  <w:r w:rsidRPr="00BA40DE">
                    <w:rPr>
                      <w:rFonts w:cstheme="minorHAnsi"/>
                      <w:sz w:val="20"/>
                      <w:szCs w:val="20"/>
                    </w:rPr>
                    <w:t>Commercial 1.8</w:t>
                  </w:r>
                  <w:r w:rsidR="00EC1F80" w:rsidRPr="00BA40DE">
                    <w:rPr>
                      <w:rFonts w:cstheme="minorHAnsi"/>
                      <w:sz w:val="20"/>
                      <w:szCs w:val="20"/>
                    </w:rPr>
                    <w:t xml:space="preserve"> GPM5</w:t>
                  </w:r>
                  <w:r w:rsidRPr="00BA40DE">
                    <w:rPr>
                      <w:rFonts w:cstheme="minorHAnsi"/>
                      <w:sz w:val="20"/>
                      <w:szCs w:val="20"/>
                    </w:rPr>
                    <w:t xml:space="preserve"> </w:t>
                  </w:r>
                  <w:r w:rsidR="00AB4C32" w:rsidRPr="00BA40DE">
                    <w:rPr>
                      <w:rFonts w:cstheme="minorHAnsi"/>
                      <w:sz w:val="20"/>
                      <w:szCs w:val="20"/>
                    </w:rPr>
                    <w:t>LFSH</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14:paraId="1291F289" w14:textId="35AE6A2F" w:rsidR="00AB4C32" w:rsidRPr="00BA40DE" w:rsidRDefault="00AB4C32" w:rsidP="00BA40DE">
                  <w:pPr>
                    <w:jc w:val="center"/>
                    <w:rPr>
                      <w:rFonts w:cstheme="minorHAnsi"/>
                      <w:color w:val="000000"/>
                      <w:sz w:val="20"/>
                      <w:szCs w:val="20"/>
                    </w:rPr>
                  </w:pPr>
                  <w:r w:rsidRPr="00BA40DE">
                    <w:rPr>
                      <w:sz w:val="20"/>
                      <w:szCs w:val="20"/>
                    </w:rPr>
                    <w:t>1.8 GPM Low Flow Showerhead for Commercial Facilities</w:t>
                  </w:r>
                </w:p>
              </w:tc>
            </w:tr>
          </w:tbl>
          <w:bookmarkEnd w:id="2"/>
          <w:p w14:paraId="4B06ACA6" w14:textId="77777777" w:rsidR="002A5670" w:rsidRDefault="002A5670" w:rsidP="002A5670">
            <w:pPr>
              <w:rPr>
                <w:rFonts w:cstheme="minorHAnsi"/>
                <w:sz w:val="20"/>
                <w:szCs w:val="20"/>
              </w:rPr>
            </w:pPr>
            <w:r>
              <w:rPr>
                <w:rFonts w:cstheme="minorHAnsi"/>
                <w:sz w:val="20"/>
                <w:szCs w:val="20"/>
              </w:rPr>
              <w:t>Note: refers to the SDG&amp;E Ex-ante database submittal for additional detail.</w:t>
            </w:r>
          </w:p>
          <w:p w14:paraId="4659C7FA" w14:textId="14D2771A" w:rsidR="00DB71F1" w:rsidRPr="00036409" w:rsidRDefault="00DB71F1" w:rsidP="001D57D7">
            <w:pPr>
              <w:rPr>
                <w:rFonts w:cstheme="minorHAnsi"/>
                <w:sz w:val="20"/>
                <w:szCs w:val="20"/>
              </w:rPr>
            </w:pPr>
          </w:p>
        </w:tc>
      </w:tr>
      <w:tr w:rsidR="00DB71F1" w14:paraId="4659C7FE" w14:textId="77777777" w:rsidTr="002056CD">
        <w:trPr>
          <w:cantSplit/>
        </w:trPr>
        <w:tc>
          <w:tcPr>
            <w:tcW w:w="1449" w:type="dxa"/>
            <w:vAlign w:val="center"/>
          </w:tcPr>
          <w:p w14:paraId="4659C7FC" w14:textId="77777777" w:rsidR="00DB71F1" w:rsidRPr="001D77F7" w:rsidRDefault="00DB71F1" w:rsidP="00CA1893">
            <w:pPr>
              <w:rPr>
                <w:b/>
              </w:rPr>
            </w:pPr>
            <w:r w:rsidRPr="001D77F7">
              <w:rPr>
                <w:b/>
              </w:rPr>
              <w:lastRenderedPageBreak/>
              <w:t xml:space="preserve">1.2 Technical Description </w:t>
            </w:r>
          </w:p>
        </w:tc>
        <w:tc>
          <w:tcPr>
            <w:tcW w:w="9636" w:type="dxa"/>
          </w:tcPr>
          <w:p w14:paraId="3C95DEAE" w14:textId="77777777" w:rsidR="00B20C75" w:rsidRPr="00B20C75" w:rsidRDefault="00B20C75" w:rsidP="00B20C75">
            <w:pPr>
              <w:pStyle w:val="Reminders"/>
              <w:ind w:left="720"/>
              <w:rPr>
                <w:rFonts w:cstheme="minorHAnsi"/>
                <w:i w:val="0"/>
                <w:sz w:val="20"/>
                <w:szCs w:val="20"/>
              </w:rPr>
            </w:pPr>
            <w:r w:rsidRPr="00B20C75">
              <w:rPr>
                <w:rFonts w:asciiTheme="minorHAnsi" w:hAnsiTheme="minorHAnsi" w:cstheme="minorHAnsi"/>
                <w:i w:val="0"/>
                <w:color w:val="auto"/>
                <w:sz w:val="20"/>
                <w:szCs w:val="20"/>
              </w:rPr>
              <w:t>Installation of low-flow showerheads in commercial facilities reduces water consumption and saves energy associated with water heating. Studies have shown that there are many commercial buildings in Southern California that can benefit from replacing their existing water fixtures, and specifically, showerheads into low flow fixtures. The economics from such improvements are very cost effective.</w:t>
            </w:r>
          </w:p>
          <w:p w14:paraId="5C8C8DF4" w14:textId="77777777" w:rsidR="00B20C75" w:rsidRPr="00B20C75" w:rsidRDefault="00B20C75" w:rsidP="00B20C75">
            <w:pPr>
              <w:ind w:left="720"/>
              <w:rPr>
                <w:sz w:val="20"/>
                <w:szCs w:val="20"/>
              </w:rPr>
            </w:pPr>
          </w:p>
          <w:p w14:paraId="172EB431" w14:textId="77777777" w:rsidR="00B20C75" w:rsidRPr="00B20C75" w:rsidRDefault="00B20C75" w:rsidP="00B20C75">
            <w:pPr>
              <w:ind w:left="720"/>
              <w:rPr>
                <w:sz w:val="20"/>
                <w:szCs w:val="20"/>
              </w:rPr>
            </w:pPr>
            <w:r w:rsidRPr="00B20C75">
              <w:rPr>
                <w:sz w:val="20"/>
                <w:szCs w:val="20"/>
              </w:rPr>
              <w:t xml:space="preserve">By reducing the flow rate, this device will reduce the amount of water consumed.  As a result, the water heater energy load will decrease, thus yielding energy and water savings. An existing baseline flowrate of 2.25 GPM is used for the energy savings estimate during the first baseline period.  The code required baseline flow rate of 1.8 GPM for the second baseline is used to estimate the energy savings in the second baseline period. </w:t>
            </w:r>
          </w:p>
          <w:p w14:paraId="4659C7FD" w14:textId="430E80C4" w:rsidR="00DB71F1" w:rsidRPr="00036409" w:rsidRDefault="00DB71F1" w:rsidP="00713453">
            <w:pPr>
              <w:rPr>
                <w:rFonts w:cstheme="minorHAnsi"/>
                <w:sz w:val="20"/>
                <w:szCs w:val="20"/>
              </w:rPr>
            </w:pPr>
          </w:p>
        </w:tc>
      </w:tr>
      <w:tr w:rsidR="008775D7" w:rsidRPr="008775D7" w14:paraId="4659C801" w14:textId="77777777" w:rsidTr="002056CD">
        <w:trPr>
          <w:cantSplit/>
        </w:trPr>
        <w:tc>
          <w:tcPr>
            <w:tcW w:w="1449" w:type="dxa"/>
          </w:tcPr>
          <w:p w14:paraId="4659C7FF" w14:textId="24AC6329" w:rsidR="008775D7" w:rsidRPr="00241A1F" w:rsidRDefault="006412EA" w:rsidP="00241A1F">
            <w:pPr>
              <w:jc w:val="right"/>
              <w:rPr>
                <w:sz w:val="20"/>
                <w:szCs w:val="20"/>
              </w:rPr>
            </w:pPr>
            <w:r>
              <w:rPr>
                <w:sz w:val="20"/>
                <w:szCs w:val="20"/>
              </w:rPr>
              <w:t>Requirements</w:t>
            </w:r>
          </w:p>
        </w:tc>
        <w:tc>
          <w:tcPr>
            <w:tcW w:w="9636" w:type="dxa"/>
          </w:tcPr>
          <w:p w14:paraId="29712A00" w14:textId="77777777" w:rsidR="00DA7746" w:rsidRPr="00DA7746" w:rsidRDefault="00DA7746" w:rsidP="00DA7746">
            <w:pPr>
              <w:autoSpaceDE w:val="0"/>
              <w:autoSpaceDN w:val="0"/>
              <w:adjustRightInd w:val="0"/>
              <w:rPr>
                <w:rFonts w:eastAsiaTheme="minorHAnsi" w:cstheme="minorHAnsi"/>
                <w:color w:val="000000"/>
                <w:sz w:val="20"/>
                <w:szCs w:val="20"/>
              </w:rPr>
            </w:pPr>
            <w:r w:rsidRPr="00DA7746">
              <w:rPr>
                <w:rFonts w:eastAsiaTheme="minorHAnsi" w:cstheme="minorHAnsi"/>
                <w:b/>
                <w:bCs/>
                <w:i/>
                <w:iCs/>
                <w:color w:val="000000"/>
                <w:sz w:val="20"/>
                <w:szCs w:val="20"/>
              </w:rPr>
              <w:t xml:space="preserve">Terms and Conditions </w:t>
            </w:r>
          </w:p>
          <w:p w14:paraId="0EA8D1BD" w14:textId="4ACEFAF7" w:rsidR="00B20C75" w:rsidRDefault="00B20C75" w:rsidP="00B20C75">
            <w:pPr>
              <w:pStyle w:val="ListParagraph"/>
              <w:numPr>
                <w:ilvl w:val="0"/>
                <w:numId w:val="22"/>
              </w:numPr>
              <w:rPr>
                <w:sz w:val="20"/>
                <w:szCs w:val="20"/>
              </w:rPr>
            </w:pPr>
            <w:r w:rsidRPr="00B20C75">
              <w:rPr>
                <w:sz w:val="20"/>
                <w:szCs w:val="20"/>
              </w:rPr>
              <w:t>This workpaper includes only a Direct Install delivery method. All implementers of this measure will market and identify commercial facilities utilizing higher flow showerheads (&gt;2.</w:t>
            </w:r>
            <w:r w:rsidR="00CC5662">
              <w:rPr>
                <w:sz w:val="20"/>
                <w:szCs w:val="20"/>
              </w:rPr>
              <w:t>2</w:t>
            </w:r>
            <w:r w:rsidRPr="00B20C75">
              <w:rPr>
                <w:sz w:val="20"/>
                <w:szCs w:val="20"/>
              </w:rPr>
              <w:t xml:space="preserve">5 </w:t>
            </w:r>
            <w:proofErr w:type="spellStart"/>
            <w:r w:rsidRPr="00B20C75">
              <w:rPr>
                <w:sz w:val="20"/>
                <w:szCs w:val="20"/>
              </w:rPr>
              <w:t>gpm</w:t>
            </w:r>
            <w:proofErr w:type="spellEnd"/>
            <w:r w:rsidRPr="00B20C75">
              <w:rPr>
                <w:sz w:val="20"/>
                <w:szCs w:val="20"/>
              </w:rPr>
              <w:t xml:space="preserve">) and offer to replace with high efficiency low flow showerheads (&lt;1.8 </w:t>
            </w:r>
            <w:proofErr w:type="spellStart"/>
            <w:r w:rsidRPr="00B20C75">
              <w:rPr>
                <w:sz w:val="20"/>
                <w:szCs w:val="20"/>
              </w:rPr>
              <w:t>gpm</w:t>
            </w:r>
            <w:proofErr w:type="spellEnd"/>
            <w:r w:rsidRPr="00B20C75">
              <w:rPr>
                <w:sz w:val="20"/>
                <w:szCs w:val="20"/>
              </w:rPr>
              <w:t>).</w:t>
            </w:r>
          </w:p>
          <w:p w14:paraId="1D9A2D46" w14:textId="79C6ACAA" w:rsidR="00F00DDA" w:rsidRPr="00B20C75" w:rsidRDefault="00FF2C28" w:rsidP="00B20C75">
            <w:pPr>
              <w:pStyle w:val="ListParagraph"/>
              <w:numPr>
                <w:ilvl w:val="0"/>
                <w:numId w:val="22"/>
              </w:numPr>
              <w:rPr>
                <w:sz w:val="20"/>
                <w:szCs w:val="20"/>
              </w:rPr>
            </w:pPr>
            <w:r>
              <w:rPr>
                <w:sz w:val="20"/>
                <w:szCs w:val="20"/>
              </w:rPr>
              <w:t>Log m</w:t>
            </w:r>
            <w:r w:rsidR="00F00DDA">
              <w:rPr>
                <w:sz w:val="20"/>
                <w:szCs w:val="20"/>
              </w:rPr>
              <w:t xml:space="preserve">ake, model number and </w:t>
            </w:r>
            <w:r>
              <w:rPr>
                <w:sz w:val="20"/>
                <w:szCs w:val="20"/>
              </w:rPr>
              <w:t>flow rate of existing showerhead</w:t>
            </w:r>
          </w:p>
          <w:p w14:paraId="7D8303FE" w14:textId="77777777" w:rsidR="00B20C75" w:rsidRPr="00B20C75" w:rsidRDefault="00B20C75" w:rsidP="00B20C75">
            <w:pPr>
              <w:pStyle w:val="ListParagraph"/>
              <w:numPr>
                <w:ilvl w:val="0"/>
                <w:numId w:val="22"/>
              </w:numPr>
              <w:rPr>
                <w:sz w:val="20"/>
                <w:szCs w:val="20"/>
              </w:rPr>
            </w:pPr>
            <w:r w:rsidRPr="00B20C75">
              <w:rPr>
                <w:sz w:val="20"/>
                <w:szCs w:val="20"/>
              </w:rPr>
              <w:t>Make and model number must be included with a copy of the invoice.</w:t>
            </w:r>
          </w:p>
          <w:p w14:paraId="263D1A4A" w14:textId="258994E9" w:rsidR="00B20C75" w:rsidRPr="00B20C75" w:rsidRDefault="00B20C75" w:rsidP="00B20C75">
            <w:pPr>
              <w:pStyle w:val="ListParagraph"/>
              <w:numPr>
                <w:ilvl w:val="0"/>
                <w:numId w:val="22"/>
              </w:numPr>
              <w:rPr>
                <w:sz w:val="20"/>
                <w:szCs w:val="20"/>
              </w:rPr>
            </w:pPr>
            <w:r w:rsidRPr="00B20C75">
              <w:rPr>
                <w:sz w:val="20"/>
                <w:szCs w:val="20"/>
              </w:rPr>
              <w:t>The measure is applicable to replacement (Early Retirement) of the existing showerhead of 2.</w:t>
            </w:r>
            <w:r w:rsidR="00CC5662">
              <w:rPr>
                <w:sz w:val="20"/>
                <w:szCs w:val="20"/>
              </w:rPr>
              <w:t>2</w:t>
            </w:r>
            <w:r w:rsidRPr="00B20C75">
              <w:rPr>
                <w:sz w:val="20"/>
                <w:szCs w:val="20"/>
              </w:rPr>
              <w:t xml:space="preserve">5 </w:t>
            </w:r>
            <w:proofErr w:type="spellStart"/>
            <w:r w:rsidRPr="00B20C75">
              <w:rPr>
                <w:sz w:val="20"/>
                <w:szCs w:val="20"/>
              </w:rPr>
              <w:t>gpm</w:t>
            </w:r>
            <w:proofErr w:type="spellEnd"/>
            <w:r w:rsidRPr="00B20C75">
              <w:rPr>
                <w:sz w:val="20"/>
                <w:szCs w:val="20"/>
              </w:rPr>
              <w:t xml:space="preserve"> flow rate or greater with a low-flow showerhead of 1.8 </w:t>
            </w:r>
            <w:proofErr w:type="spellStart"/>
            <w:r w:rsidRPr="00B20C75">
              <w:rPr>
                <w:sz w:val="20"/>
                <w:szCs w:val="20"/>
              </w:rPr>
              <w:t>gpm</w:t>
            </w:r>
            <w:proofErr w:type="spellEnd"/>
            <w:r w:rsidRPr="00B20C75">
              <w:rPr>
                <w:sz w:val="20"/>
                <w:szCs w:val="20"/>
              </w:rPr>
              <w:t xml:space="preserve"> or lower flow rate. </w:t>
            </w:r>
          </w:p>
          <w:p w14:paraId="11265BD5" w14:textId="77777777" w:rsidR="00B20C75" w:rsidRPr="00B20C75" w:rsidRDefault="00B20C75" w:rsidP="00B20C75">
            <w:pPr>
              <w:pStyle w:val="ListParagraph"/>
              <w:numPr>
                <w:ilvl w:val="0"/>
                <w:numId w:val="22"/>
              </w:numPr>
              <w:rPr>
                <w:sz w:val="20"/>
                <w:szCs w:val="20"/>
              </w:rPr>
            </w:pPr>
            <w:r w:rsidRPr="00B20C75">
              <w:rPr>
                <w:sz w:val="20"/>
                <w:szCs w:val="20"/>
              </w:rPr>
              <w:t>Water heating source fuel must be natural gas.</w:t>
            </w:r>
          </w:p>
          <w:p w14:paraId="079DB0C8" w14:textId="77777777" w:rsidR="00B20C75" w:rsidRDefault="00B20C75" w:rsidP="00B20C75">
            <w:pPr>
              <w:pStyle w:val="ListParagraph"/>
              <w:numPr>
                <w:ilvl w:val="0"/>
                <w:numId w:val="22"/>
              </w:numPr>
              <w:rPr>
                <w:sz w:val="20"/>
                <w:szCs w:val="20"/>
              </w:rPr>
            </w:pPr>
            <w:r w:rsidRPr="00B20C75">
              <w:rPr>
                <w:sz w:val="20"/>
                <w:szCs w:val="20"/>
              </w:rPr>
              <w:t>Low-flow showerhead shall meet the requirements of test procedure ANSI/ASME A112.18.1-2000, Section 5.5</w:t>
            </w:r>
          </w:p>
          <w:p w14:paraId="410CAE3F" w14:textId="77777777" w:rsidR="00DA7746" w:rsidRPr="00DA7746" w:rsidRDefault="00DA7746" w:rsidP="00DA7746">
            <w:pPr>
              <w:autoSpaceDE w:val="0"/>
              <w:autoSpaceDN w:val="0"/>
              <w:adjustRightInd w:val="0"/>
              <w:rPr>
                <w:rFonts w:eastAsiaTheme="minorHAnsi" w:cstheme="minorHAnsi"/>
                <w:color w:val="000000"/>
                <w:sz w:val="20"/>
                <w:szCs w:val="20"/>
              </w:rPr>
            </w:pPr>
            <w:r w:rsidRPr="00DA7746">
              <w:rPr>
                <w:rFonts w:eastAsiaTheme="minorHAnsi" w:cstheme="minorHAnsi"/>
                <w:b/>
                <w:bCs/>
                <w:i/>
                <w:iCs/>
                <w:color w:val="000000"/>
                <w:sz w:val="20"/>
                <w:szCs w:val="20"/>
              </w:rPr>
              <w:t xml:space="preserve">Market Applicability </w:t>
            </w:r>
          </w:p>
          <w:p w14:paraId="1B14A40B" w14:textId="77777777" w:rsidR="00B20C75" w:rsidRPr="007D7350" w:rsidRDefault="00B20C75" w:rsidP="00B20C75">
            <w:pPr>
              <w:pStyle w:val="ListParagraph"/>
              <w:numPr>
                <w:ilvl w:val="0"/>
                <w:numId w:val="23"/>
              </w:numPr>
              <w:rPr>
                <w:b/>
              </w:rPr>
            </w:pPr>
            <w:r>
              <w:t>The measures defined in this workpaper are applicable to existing buildings only. Newly constructed buildings, additions to existing buildings, and alterations to existing buildings are excluded.</w:t>
            </w:r>
          </w:p>
          <w:p w14:paraId="01E5F2B9" w14:textId="77777777" w:rsidR="00B20C75" w:rsidRPr="00DF751A" w:rsidRDefault="00B20C75" w:rsidP="00B20C75">
            <w:pPr>
              <w:pStyle w:val="ListParagraph"/>
              <w:numPr>
                <w:ilvl w:val="0"/>
                <w:numId w:val="23"/>
              </w:numPr>
              <w:rPr>
                <w:b/>
              </w:rPr>
            </w:pPr>
            <w:r>
              <w:rPr>
                <w:szCs w:val="22"/>
              </w:rPr>
              <w:t>Gas savings from these m</w:t>
            </w:r>
            <w:r w:rsidRPr="00DF751A">
              <w:rPr>
                <w:szCs w:val="22"/>
              </w:rPr>
              <w:t xml:space="preserve">easures </w:t>
            </w:r>
            <w:r>
              <w:rPr>
                <w:szCs w:val="22"/>
              </w:rPr>
              <w:t>will apply to both lodging building types (Hotel/Motel), as well as all other commercial building types.</w:t>
            </w:r>
            <w:r w:rsidRPr="00DF751A">
              <w:rPr>
                <w:szCs w:val="22"/>
              </w:rPr>
              <w:t xml:space="preserve"> </w:t>
            </w:r>
            <w:r>
              <w:rPr>
                <w:szCs w:val="22"/>
              </w:rPr>
              <w:t>The COM building type designation will i</w:t>
            </w:r>
            <w:r w:rsidRPr="00DF751A">
              <w:rPr>
                <w:szCs w:val="22"/>
              </w:rPr>
              <w:t>nclud</w:t>
            </w:r>
            <w:r>
              <w:rPr>
                <w:szCs w:val="22"/>
              </w:rPr>
              <w:t>e,</w:t>
            </w:r>
            <w:r w:rsidRPr="00DF751A">
              <w:rPr>
                <w:szCs w:val="22"/>
              </w:rPr>
              <w:t xml:space="preserve"> but</w:t>
            </w:r>
            <w:r>
              <w:rPr>
                <w:szCs w:val="22"/>
              </w:rPr>
              <w:t xml:space="preserve"> is</w:t>
            </w:r>
            <w:r w:rsidRPr="00DF751A">
              <w:rPr>
                <w:szCs w:val="22"/>
              </w:rPr>
              <w:t xml:space="preserve"> not limited to</w:t>
            </w:r>
            <w:r>
              <w:rPr>
                <w:szCs w:val="22"/>
              </w:rPr>
              <w:t>,</w:t>
            </w:r>
            <w:r w:rsidRPr="00DF751A">
              <w:rPr>
                <w:szCs w:val="22"/>
              </w:rPr>
              <w:t xml:space="preserve"> </w:t>
            </w:r>
            <w:r>
              <w:rPr>
                <w:szCs w:val="22"/>
              </w:rPr>
              <w:t xml:space="preserve">educational facilities (University, Public/Private Schools), healthcare facilities, small/large office buildings, fitness centers, and municipal facilities (Recreation centers, parks). </w:t>
            </w:r>
          </w:p>
          <w:p w14:paraId="4659C800" w14:textId="172900E9" w:rsidR="00314785" w:rsidRPr="00036409" w:rsidRDefault="00314785" w:rsidP="00713453">
            <w:pPr>
              <w:rPr>
                <w:rFonts w:cstheme="minorHAnsi"/>
                <w:sz w:val="20"/>
                <w:szCs w:val="20"/>
              </w:rPr>
            </w:pPr>
          </w:p>
        </w:tc>
      </w:tr>
      <w:tr w:rsidR="006412EA" w:rsidRPr="008775D7" w14:paraId="2698008C" w14:textId="77777777" w:rsidTr="002056CD">
        <w:trPr>
          <w:cantSplit/>
        </w:trPr>
        <w:tc>
          <w:tcPr>
            <w:tcW w:w="1449" w:type="dxa"/>
          </w:tcPr>
          <w:p w14:paraId="2318F345" w14:textId="4BF40250" w:rsidR="006412EA" w:rsidRPr="00241A1F" w:rsidRDefault="006412EA" w:rsidP="006412EA">
            <w:pPr>
              <w:jc w:val="right"/>
              <w:rPr>
                <w:sz w:val="20"/>
                <w:szCs w:val="20"/>
              </w:rPr>
            </w:pPr>
            <w:r w:rsidRPr="00241A1F">
              <w:rPr>
                <w:sz w:val="20"/>
                <w:szCs w:val="20"/>
              </w:rPr>
              <w:t>Measures</w:t>
            </w:r>
          </w:p>
        </w:tc>
        <w:tc>
          <w:tcPr>
            <w:tcW w:w="9636" w:type="dxa"/>
          </w:tcPr>
          <w:p w14:paraId="0AD8C997" w14:textId="77777777" w:rsidR="003C1DFC" w:rsidRDefault="003C1DFC" w:rsidP="006412EA">
            <w:pPr>
              <w:rPr>
                <w:rFonts w:cstheme="minorHAnsi"/>
                <w:sz w:val="20"/>
                <w:szCs w:val="20"/>
              </w:rPr>
            </w:pPr>
          </w:p>
          <w:p w14:paraId="0F395C56" w14:textId="5FA6535C" w:rsidR="006412EA" w:rsidRPr="00036409" w:rsidRDefault="00DA7746" w:rsidP="006412EA">
            <w:pPr>
              <w:rPr>
                <w:rFonts w:cstheme="minorHAnsi"/>
                <w:sz w:val="20"/>
                <w:szCs w:val="20"/>
              </w:rPr>
            </w:pPr>
            <w:r>
              <w:rPr>
                <w:rFonts w:cstheme="minorHAnsi"/>
                <w:sz w:val="20"/>
                <w:szCs w:val="20"/>
              </w:rPr>
              <w:t xml:space="preserve">Refer to the SDG&amp;E Ex-ante database submittal </w:t>
            </w:r>
            <w:r w:rsidR="006412EA" w:rsidRPr="00036409">
              <w:rPr>
                <w:rFonts w:cstheme="minorHAnsi"/>
                <w:sz w:val="20"/>
                <w:szCs w:val="20"/>
              </w:rPr>
              <w:t xml:space="preserve"> </w:t>
            </w:r>
          </w:p>
        </w:tc>
      </w:tr>
      <w:tr w:rsidR="006412EA" w:rsidRPr="008775D7" w14:paraId="4659C804" w14:textId="77777777" w:rsidTr="002056CD">
        <w:trPr>
          <w:cantSplit/>
        </w:trPr>
        <w:tc>
          <w:tcPr>
            <w:tcW w:w="1449" w:type="dxa"/>
          </w:tcPr>
          <w:p w14:paraId="4659C802" w14:textId="77777777" w:rsidR="006412EA" w:rsidRPr="00241A1F" w:rsidRDefault="006412EA" w:rsidP="006412EA">
            <w:pPr>
              <w:jc w:val="right"/>
              <w:rPr>
                <w:sz w:val="20"/>
                <w:szCs w:val="20"/>
              </w:rPr>
            </w:pPr>
            <w:r w:rsidRPr="00241A1F">
              <w:rPr>
                <w:sz w:val="20"/>
                <w:szCs w:val="20"/>
              </w:rPr>
              <w:lastRenderedPageBreak/>
              <w:t>Code for All Measures</w:t>
            </w:r>
          </w:p>
        </w:tc>
        <w:tc>
          <w:tcPr>
            <w:tcW w:w="9636" w:type="dxa"/>
          </w:tcPr>
          <w:p w14:paraId="3CC09485" w14:textId="7ACBAE39" w:rsidR="006412EA" w:rsidRPr="002A43EE" w:rsidRDefault="006412EA" w:rsidP="006412EA">
            <w:pPr>
              <w:rPr>
                <w:rFonts w:cstheme="minorHAnsi"/>
                <w:sz w:val="20"/>
                <w:szCs w:val="20"/>
              </w:rPr>
            </w:pPr>
            <w:r w:rsidRPr="002A43EE">
              <w:rPr>
                <w:rFonts w:cstheme="minorHAnsi"/>
                <w:sz w:val="20"/>
                <w:szCs w:val="20"/>
              </w:rPr>
              <w:t xml:space="preserve">As stated per </w:t>
            </w:r>
            <w:r w:rsidR="00B20C75">
              <w:rPr>
                <w:rFonts w:cstheme="minorHAnsi"/>
                <w:sz w:val="20"/>
                <w:szCs w:val="20"/>
              </w:rPr>
              <w:t>WPSCGNRWH170412A Revision 1</w:t>
            </w:r>
            <w:r w:rsidR="00DA7746" w:rsidRPr="002A43EE">
              <w:rPr>
                <w:rFonts w:cstheme="minorHAnsi"/>
                <w:sz w:val="20"/>
                <w:szCs w:val="20"/>
              </w:rPr>
              <w:t xml:space="preserve"> workpaper</w:t>
            </w:r>
            <w:r w:rsidR="000B658F">
              <w:rPr>
                <w:rFonts w:cstheme="minorHAnsi"/>
                <w:sz w:val="20"/>
                <w:szCs w:val="20"/>
              </w:rPr>
              <w:t xml:space="preserve"> </w:t>
            </w:r>
            <w:r w:rsidR="002A43EE" w:rsidRPr="002A43EE">
              <w:rPr>
                <w:rFonts w:cstheme="minorHAnsi"/>
                <w:sz w:val="20"/>
                <w:szCs w:val="20"/>
              </w:rPr>
              <w:t xml:space="preserve">and provided herein below. </w:t>
            </w:r>
          </w:p>
          <w:p w14:paraId="216920E4" w14:textId="43AFA840" w:rsidR="002A43EE" w:rsidRPr="002A43EE" w:rsidRDefault="002A43EE" w:rsidP="006412EA">
            <w:pPr>
              <w:rPr>
                <w:rFonts w:cstheme="minorHAnsi"/>
                <w:sz w:val="20"/>
                <w:szCs w:val="20"/>
              </w:rPr>
            </w:pPr>
          </w:p>
          <w:p w14:paraId="55F4FD5A" w14:textId="77777777" w:rsidR="002A43EE" w:rsidRPr="002A43EE" w:rsidRDefault="002A43EE" w:rsidP="002A43EE">
            <w:pPr>
              <w:pStyle w:val="Heading3"/>
              <w:outlineLvl w:val="2"/>
              <w:rPr>
                <w:rFonts w:asciiTheme="minorHAnsi" w:hAnsiTheme="minorHAnsi" w:cstheme="minorHAnsi"/>
                <w:sz w:val="20"/>
                <w:szCs w:val="20"/>
              </w:rPr>
            </w:pPr>
            <w:r w:rsidRPr="002A43EE">
              <w:rPr>
                <w:rFonts w:asciiTheme="minorHAnsi" w:hAnsiTheme="minorHAnsi" w:cstheme="minorHAnsi"/>
                <w:sz w:val="20"/>
                <w:szCs w:val="20"/>
              </w:rPr>
              <w:t>Codes &amp; Standards Requirements</w:t>
            </w:r>
          </w:p>
          <w:p w14:paraId="004101BA" w14:textId="78440597" w:rsidR="00B20C75" w:rsidRDefault="00B20C75" w:rsidP="00B20C75">
            <w:pPr>
              <w:pStyle w:val="NoSpacing"/>
            </w:pPr>
            <w:r w:rsidRPr="00B03CF9">
              <w:rPr>
                <w:i/>
              </w:rPr>
              <w:t>Title 20:</w:t>
            </w:r>
            <w:r w:rsidRPr="00B03CF9">
              <w:t xml:space="preserve"> Title 20 of the California Energy Regulations states that the flow rate of a showerhead shall not be greater than 2.0 GPM at 80 psi if they are sold or manufactured for sale in California prior to July 1, 2018, and 1.8 GPM at 80 psi for after July 1, 2018. </w:t>
            </w:r>
          </w:p>
          <w:p w14:paraId="649760BF" w14:textId="77777777" w:rsidR="00B20C75" w:rsidRDefault="00B20C75" w:rsidP="00B20C75">
            <w:pPr>
              <w:pStyle w:val="NoSpacing"/>
            </w:pPr>
          </w:p>
          <w:p w14:paraId="6E9B6B93" w14:textId="1CEEF329" w:rsidR="00B20C75" w:rsidRPr="000552DC" w:rsidRDefault="00B20C75" w:rsidP="00B20C75">
            <w:pPr>
              <w:pStyle w:val="Caption"/>
              <w:keepNext/>
            </w:pPr>
            <w:bookmarkStart w:id="3" w:name="_Toc501451178"/>
            <w:r w:rsidRPr="000552DC">
              <w:t>Code Summary</w:t>
            </w:r>
            <w:bookmarkEnd w:id="3"/>
          </w:p>
          <w:tbl>
            <w:tblPr>
              <w:tblStyle w:val="TableGrid1"/>
              <w:tblW w:w="5000" w:type="pct"/>
              <w:tblLook w:val="04A0" w:firstRow="1" w:lastRow="0" w:firstColumn="1" w:lastColumn="0" w:noHBand="0" w:noVBand="1"/>
            </w:tblPr>
            <w:tblGrid>
              <w:gridCol w:w="2175"/>
              <w:gridCol w:w="4890"/>
              <w:gridCol w:w="2350"/>
            </w:tblGrid>
            <w:tr w:rsidR="00B20C75" w:rsidRPr="00500C4E" w14:paraId="010D1E46" w14:textId="77777777" w:rsidTr="00FF2C28">
              <w:tc>
                <w:tcPr>
                  <w:tcW w:w="1155" w:type="pct"/>
                  <w:shd w:val="clear" w:color="auto" w:fill="D9D9D9" w:themeFill="background1" w:themeFillShade="D9"/>
                </w:tcPr>
                <w:p w14:paraId="5B7ACC9A" w14:textId="77777777" w:rsidR="00B20C75" w:rsidRPr="00920905" w:rsidRDefault="00B20C75" w:rsidP="00B20C75">
                  <w:pPr>
                    <w:rPr>
                      <w:rFonts w:cstheme="minorHAnsi"/>
                      <w:b/>
                      <w:szCs w:val="20"/>
                    </w:rPr>
                  </w:pPr>
                  <w:r w:rsidRPr="00920905">
                    <w:rPr>
                      <w:rFonts w:cstheme="minorHAnsi"/>
                      <w:b/>
                      <w:szCs w:val="20"/>
                    </w:rPr>
                    <w:t>Code</w:t>
                  </w:r>
                </w:p>
              </w:tc>
              <w:tc>
                <w:tcPr>
                  <w:tcW w:w="2597" w:type="pct"/>
                  <w:shd w:val="clear" w:color="auto" w:fill="D9D9D9" w:themeFill="background1" w:themeFillShade="D9"/>
                </w:tcPr>
                <w:p w14:paraId="110826DC" w14:textId="77777777" w:rsidR="00B20C75" w:rsidRPr="00920905" w:rsidRDefault="00B20C75" w:rsidP="00B20C75">
                  <w:pPr>
                    <w:rPr>
                      <w:rFonts w:cstheme="minorHAnsi"/>
                      <w:b/>
                      <w:szCs w:val="20"/>
                    </w:rPr>
                  </w:pPr>
                  <w:r>
                    <w:rPr>
                      <w:rFonts w:cstheme="minorHAnsi"/>
                      <w:b/>
                      <w:szCs w:val="20"/>
                    </w:rPr>
                    <w:t>R</w:t>
                  </w:r>
                  <w:r w:rsidRPr="00920905">
                    <w:rPr>
                      <w:rFonts w:cstheme="minorHAnsi"/>
                      <w:b/>
                      <w:szCs w:val="20"/>
                    </w:rPr>
                    <w:t>eference</w:t>
                  </w:r>
                </w:p>
              </w:tc>
              <w:tc>
                <w:tcPr>
                  <w:tcW w:w="1249" w:type="pct"/>
                  <w:shd w:val="clear" w:color="auto" w:fill="D9D9D9" w:themeFill="background1" w:themeFillShade="D9"/>
                </w:tcPr>
                <w:p w14:paraId="00C78384" w14:textId="77777777" w:rsidR="00B20C75" w:rsidRPr="00920905" w:rsidRDefault="00B20C75" w:rsidP="00B20C75">
                  <w:pPr>
                    <w:rPr>
                      <w:rFonts w:cstheme="minorHAnsi"/>
                      <w:b/>
                      <w:szCs w:val="20"/>
                    </w:rPr>
                  </w:pPr>
                  <w:r w:rsidRPr="00920905">
                    <w:rPr>
                      <w:rFonts w:cstheme="minorHAnsi"/>
                      <w:b/>
                      <w:szCs w:val="20"/>
                    </w:rPr>
                    <w:t>Effective Date</w:t>
                  </w:r>
                  <w:r>
                    <w:rPr>
                      <w:rFonts w:cstheme="minorHAnsi"/>
                      <w:b/>
                      <w:szCs w:val="20"/>
                    </w:rPr>
                    <w:t>s</w:t>
                  </w:r>
                </w:p>
              </w:tc>
            </w:tr>
            <w:tr w:rsidR="00B20C75" w:rsidRPr="002E5766" w14:paraId="46D467D8" w14:textId="77777777" w:rsidTr="00FF2C28">
              <w:trPr>
                <w:trHeight w:val="243"/>
              </w:trPr>
              <w:tc>
                <w:tcPr>
                  <w:tcW w:w="1155" w:type="pct"/>
                </w:tcPr>
                <w:p w14:paraId="6F4F0333" w14:textId="77777777" w:rsidR="00B20C75" w:rsidRPr="002E5766" w:rsidRDefault="00B20C75" w:rsidP="00B20C75">
                  <w:pPr>
                    <w:rPr>
                      <w:rFonts w:cstheme="minorHAnsi"/>
                      <w:szCs w:val="20"/>
                    </w:rPr>
                  </w:pPr>
                  <w:r w:rsidRPr="002E5766">
                    <w:rPr>
                      <w:rFonts w:cstheme="minorHAnsi"/>
                      <w:szCs w:val="20"/>
                    </w:rPr>
                    <w:t>Title 20 (2016)</w:t>
                  </w:r>
                </w:p>
              </w:tc>
              <w:tc>
                <w:tcPr>
                  <w:tcW w:w="2597" w:type="pct"/>
                </w:tcPr>
                <w:p w14:paraId="453AA177" w14:textId="77777777" w:rsidR="00B20C75" w:rsidRPr="002E5766" w:rsidRDefault="00B20C75" w:rsidP="00B20C75">
                  <w:pPr>
                    <w:rPr>
                      <w:rFonts w:cstheme="minorHAnsi"/>
                      <w:szCs w:val="20"/>
                    </w:rPr>
                  </w:pPr>
                  <w:r w:rsidRPr="002E5766">
                    <w:rPr>
                      <w:rFonts w:cstheme="minorHAnsi"/>
                      <w:szCs w:val="20"/>
                    </w:rPr>
                    <w:t>Section 1605.3 (Table H-5). Plumbing Fittings</w:t>
                  </w:r>
                </w:p>
              </w:tc>
              <w:tc>
                <w:tcPr>
                  <w:tcW w:w="1249" w:type="pct"/>
                </w:tcPr>
                <w:p w14:paraId="75512CF7" w14:textId="77777777" w:rsidR="00B20C75" w:rsidRPr="002E5766" w:rsidRDefault="00B20C75" w:rsidP="00B20C75">
                  <w:pPr>
                    <w:rPr>
                      <w:rFonts w:cstheme="minorHAnsi"/>
                      <w:szCs w:val="20"/>
                    </w:rPr>
                  </w:pPr>
                  <w:r w:rsidRPr="002E5766">
                    <w:rPr>
                      <w:rFonts w:cstheme="minorHAnsi"/>
                      <w:szCs w:val="20"/>
                    </w:rPr>
                    <w:t>July 1, 2016 (current)</w:t>
                  </w:r>
                </w:p>
                <w:p w14:paraId="4636FEA9" w14:textId="77777777" w:rsidR="00B20C75" w:rsidRPr="002E5766" w:rsidRDefault="00B20C75" w:rsidP="00B20C75">
                  <w:pPr>
                    <w:rPr>
                      <w:rFonts w:cstheme="minorHAnsi"/>
                      <w:szCs w:val="20"/>
                    </w:rPr>
                  </w:pPr>
                  <w:r w:rsidRPr="002E5766">
                    <w:rPr>
                      <w:rFonts w:cstheme="minorHAnsi"/>
                      <w:szCs w:val="20"/>
                    </w:rPr>
                    <w:t>July 1, 2018 (upcoming)</w:t>
                  </w:r>
                </w:p>
              </w:tc>
            </w:tr>
          </w:tbl>
          <w:p w14:paraId="5DA0AA20" w14:textId="77777777" w:rsidR="00B20C75" w:rsidRDefault="00B20C75" w:rsidP="00B20C75">
            <w:pPr>
              <w:pStyle w:val="NoSpacing"/>
            </w:pPr>
          </w:p>
          <w:p w14:paraId="77AB7399" w14:textId="77777777" w:rsidR="00B20C75" w:rsidRDefault="00B20C75" w:rsidP="00B20C75">
            <w:pPr>
              <w:pStyle w:val="NoSpacing"/>
            </w:pPr>
            <w:r>
              <w:t xml:space="preserve">This workpaper only includes the </w:t>
            </w:r>
            <w:r w:rsidRPr="00B03CF9">
              <w:t>Early Retirement (ER)</w:t>
            </w:r>
            <w:r>
              <w:t xml:space="preserve"> installation type which </w:t>
            </w:r>
            <w:r w:rsidRPr="00B03CF9">
              <w:t xml:space="preserve">have dual baselines.  </w:t>
            </w:r>
            <w:r>
              <w:t>The two baselines are defined below:</w:t>
            </w:r>
          </w:p>
          <w:p w14:paraId="077EBCF5" w14:textId="77777777" w:rsidR="00B20C75" w:rsidRDefault="00B20C75" w:rsidP="00B20C75">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B20C75" w14:paraId="4E0CF1A0" w14:textId="77777777" w:rsidTr="00FF2C28">
              <w:tc>
                <w:tcPr>
                  <w:tcW w:w="1345" w:type="dxa"/>
                </w:tcPr>
                <w:p w14:paraId="2423A699" w14:textId="77777777" w:rsidR="00B20C75" w:rsidRDefault="00B20C75" w:rsidP="00B20C75">
                  <w:pPr>
                    <w:pStyle w:val="NoSpacing"/>
                    <w:jc w:val="right"/>
                  </w:pPr>
                  <w:r>
                    <w:t>1</w:t>
                  </w:r>
                  <w:r w:rsidRPr="004E5A74">
                    <w:rPr>
                      <w:vertAlign w:val="superscript"/>
                    </w:rPr>
                    <w:t>st</w:t>
                  </w:r>
                  <w:r>
                    <w:t xml:space="preserve"> Baseline:</w:t>
                  </w:r>
                </w:p>
              </w:tc>
              <w:tc>
                <w:tcPr>
                  <w:tcW w:w="8005" w:type="dxa"/>
                </w:tcPr>
                <w:p w14:paraId="06BAF9C7" w14:textId="77777777" w:rsidR="00B20C75" w:rsidRDefault="00B20C75" w:rsidP="00B20C75">
                  <w:pPr>
                    <w:pStyle w:val="NoSpacing"/>
                  </w:pPr>
                  <w:r>
                    <w:t>The first baseline is evaluated using existing conditions, which was found to be 2.25 GPM through the SCG’s field survey (Section 1.5.2). This baseline is evaluated over RUL period.</w:t>
                  </w:r>
                </w:p>
              </w:tc>
            </w:tr>
            <w:tr w:rsidR="00B20C75" w14:paraId="1C4BA984" w14:textId="77777777" w:rsidTr="00FF2C28">
              <w:tc>
                <w:tcPr>
                  <w:tcW w:w="1345" w:type="dxa"/>
                </w:tcPr>
                <w:p w14:paraId="619E7904" w14:textId="77777777" w:rsidR="00B20C75" w:rsidRDefault="00B20C75" w:rsidP="00B20C75">
                  <w:pPr>
                    <w:pStyle w:val="NoSpacing"/>
                    <w:jc w:val="right"/>
                  </w:pPr>
                  <w:r>
                    <w:t>2</w:t>
                  </w:r>
                  <w:r w:rsidRPr="004E5A74">
                    <w:rPr>
                      <w:vertAlign w:val="superscript"/>
                    </w:rPr>
                    <w:t>nd</w:t>
                  </w:r>
                  <w:r>
                    <w:t xml:space="preserve"> Baseline:</w:t>
                  </w:r>
                </w:p>
              </w:tc>
              <w:tc>
                <w:tcPr>
                  <w:tcW w:w="8005" w:type="dxa"/>
                </w:tcPr>
                <w:p w14:paraId="17956BE4" w14:textId="77777777" w:rsidR="00B20C75" w:rsidRDefault="00B20C75" w:rsidP="00B20C75">
                  <w:pPr>
                    <w:pStyle w:val="NoSpacing"/>
                  </w:pPr>
                  <w:r>
                    <w:t>The second baseline is evaluated using the 2018 code baseline. The current code requirement is 2.0 GPM, which will last until June 30</w:t>
                  </w:r>
                  <w:r w:rsidRPr="00E64AD2">
                    <w:rPr>
                      <w:vertAlign w:val="superscript"/>
                    </w:rPr>
                    <w:t>th</w:t>
                  </w:r>
                  <w:r>
                    <w:t xml:space="preserve">, 2018. A code update will reduce the </w:t>
                  </w:r>
                  <w:r w:rsidRPr="00B03CF9">
                    <w:t xml:space="preserve">flow rate </w:t>
                  </w:r>
                  <w:r>
                    <w:t>to</w:t>
                  </w:r>
                  <w:r w:rsidRPr="00B03CF9">
                    <w:t xml:space="preserve"> 1.8 GPM at </w:t>
                  </w:r>
                  <w:r>
                    <w:t>80 PSI for all showerheads manufactured on or after July 1</w:t>
                  </w:r>
                  <w:r w:rsidRPr="00E64AD2">
                    <w:rPr>
                      <w:vertAlign w:val="superscript"/>
                    </w:rPr>
                    <w:t>st</w:t>
                  </w:r>
                  <w:r>
                    <w:t>, 2018. The 2</w:t>
                  </w:r>
                  <w:r w:rsidRPr="008F7F24">
                    <w:rPr>
                      <w:vertAlign w:val="superscript"/>
                    </w:rPr>
                    <w:t>nd</w:t>
                  </w:r>
                  <w:r>
                    <w:t xml:space="preserve"> baseline savings will be calculated using the reduced flow rate of 1.8 </w:t>
                  </w:r>
                  <w:proofErr w:type="spellStart"/>
                  <w:r>
                    <w:t>gpm</w:t>
                  </w:r>
                  <w:proofErr w:type="spellEnd"/>
                  <w:r>
                    <w:t xml:space="preserve"> for the EUL-RUL period.</w:t>
                  </w:r>
                </w:p>
                <w:p w14:paraId="5A58D0B6" w14:textId="77777777" w:rsidR="00B20C75" w:rsidRDefault="00B20C75" w:rsidP="00B20C75">
                  <w:pPr>
                    <w:pStyle w:val="NoSpacing"/>
                  </w:pPr>
                </w:p>
              </w:tc>
            </w:tr>
          </w:tbl>
          <w:p w14:paraId="1DB2E6CD" w14:textId="77777777" w:rsidR="00B20C75" w:rsidRDefault="00B20C75" w:rsidP="00B20C75">
            <w:r>
              <w:rPr>
                <w:noProof/>
              </w:rPr>
              <w:drawing>
                <wp:inline distT="0" distB="0" distL="0" distR="0" wp14:anchorId="6C6B21F2" wp14:editId="65022F22">
                  <wp:extent cx="5941247" cy="3582365"/>
                  <wp:effectExtent l="19050" t="19050" r="21590" b="18415"/>
                  <wp:docPr id="2" name="Picture 2" descr="cid:image002.png@01D235CA.4D94F7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235CA.4D94F7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943600" cy="3583784"/>
                          </a:xfrm>
                          <a:prstGeom prst="rect">
                            <a:avLst/>
                          </a:prstGeom>
                          <a:noFill/>
                          <a:ln>
                            <a:solidFill>
                              <a:schemeClr val="tx1"/>
                            </a:solidFill>
                          </a:ln>
                        </pic:spPr>
                      </pic:pic>
                    </a:graphicData>
                  </a:graphic>
                </wp:inline>
              </w:drawing>
            </w:r>
          </w:p>
          <w:p w14:paraId="734D02A3" w14:textId="77777777" w:rsidR="00B20C75" w:rsidRPr="00200F21" w:rsidRDefault="00B20C75" w:rsidP="00B20C75">
            <w:pPr>
              <w:pStyle w:val="Caption"/>
              <w:jc w:val="center"/>
              <w:rPr>
                <w:rFonts w:cstheme="minorHAnsi"/>
              </w:rPr>
            </w:pPr>
            <w:bookmarkStart w:id="4" w:name="_Toc501451161"/>
            <w:r>
              <w:t>Figure 1: Title 20 Standards for Showerheads</w:t>
            </w:r>
            <w:bookmarkEnd w:id="4"/>
          </w:p>
          <w:p w14:paraId="4659C803" w14:textId="60FEB411" w:rsidR="00B452E6" w:rsidRPr="002A43EE" w:rsidRDefault="00B452E6" w:rsidP="006412EA">
            <w:pPr>
              <w:rPr>
                <w:rFonts w:cstheme="minorHAnsi"/>
                <w:sz w:val="20"/>
                <w:szCs w:val="20"/>
              </w:rPr>
            </w:pPr>
          </w:p>
        </w:tc>
      </w:tr>
      <w:tr w:rsidR="006412EA" w14:paraId="4659C807" w14:textId="77777777" w:rsidTr="002056CD">
        <w:trPr>
          <w:cantSplit/>
        </w:trPr>
        <w:tc>
          <w:tcPr>
            <w:tcW w:w="1449" w:type="dxa"/>
          </w:tcPr>
          <w:p w14:paraId="4659C805" w14:textId="77777777" w:rsidR="006412EA" w:rsidRPr="001D77F7" w:rsidRDefault="006412EA" w:rsidP="006412EA">
            <w:pPr>
              <w:rPr>
                <w:b/>
              </w:rPr>
            </w:pPr>
            <w:r w:rsidRPr="001D77F7">
              <w:rPr>
                <w:b/>
              </w:rPr>
              <w:lastRenderedPageBreak/>
              <w:t>1.3 Installation Type and Delivery Mechanisms</w:t>
            </w:r>
          </w:p>
        </w:tc>
        <w:tc>
          <w:tcPr>
            <w:tcW w:w="9636" w:type="dxa"/>
          </w:tcPr>
          <w:p w14:paraId="4659C806" w14:textId="77777777" w:rsidR="006412EA" w:rsidRPr="00036409" w:rsidRDefault="006412EA" w:rsidP="006412EA">
            <w:pPr>
              <w:rPr>
                <w:rFonts w:cstheme="minorHAnsi"/>
                <w:sz w:val="20"/>
                <w:szCs w:val="20"/>
              </w:rPr>
            </w:pPr>
          </w:p>
        </w:tc>
      </w:tr>
      <w:tr w:rsidR="006412EA" w14:paraId="4659C80A" w14:textId="77777777" w:rsidTr="002056CD">
        <w:trPr>
          <w:cantSplit/>
        </w:trPr>
        <w:tc>
          <w:tcPr>
            <w:tcW w:w="1449" w:type="dxa"/>
            <w:vAlign w:val="center"/>
          </w:tcPr>
          <w:p w14:paraId="4659C808" w14:textId="77777777" w:rsidR="006412EA" w:rsidRPr="00822B6F" w:rsidRDefault="006412EA" w:rsidP="006412EA">
            <w:pPr>
              <w:jc w:val="right"/>
              <w:rPr>
                <w:sz w:val="20"/>
                <w:szCs w:val="20"/>
              </w:rPr>
            </w:pPr>
            <w:r w:rsidRPr="00822B6F">
              <w:rPr>
                <w:sz w:val="20"/>
                <w:szCs w:val="20"/>
              </w:rPr>
              <w:t>Installation Type</w:t>
            </w:r>
          </w:p>
        </w:tc>
        <w:tc>
          <w:tcPr>
            <w:tcW w:w="9636" w:type="dxa"/>
          </w:tcPr>
          <w:p w14:paraId="4659C809" w14:textId="06D268E9" w:rsidR="006412EA" w:rsidRPr="00036409" w:rsidRDefault="00050F6F" w:rsidP="006412EA">
            <w:pPr>
              <w:pStyle w:val="ListParagraph"/>
              <w:numPr>
                <w:ilvl w:val="0"/>
                <w:numId w:val="6"/>
              </w:numPr>
              <w:rPr>
                <w:rFonts w:cstheme="minorHAnsi"/>
                <w:sz w:val="20"/>
                <w:szCs w:val="20"/>
              </w:rPr>
            </w:pPr>
            <w:r>
              <w:rPr>
                <w:rFonts w:cstheme="minorHAnsi"/>
                <w:sz w:val="20"/>
                <w:szCs w:val="20"/>
              </w:rPr>
              <w:t>Accelerated Replacement (AR)</w:t>
            </w:r>
          </w:p>
        </w:tc>
      </w:tr>
      <w:tr w:rsidR="006412EA" w14:paraId="4659C80D" w14:textId="77777777" w:rsidTr="002056CD">
        <w:trPr>
          <w:cantSplit/>
        </w:trPr>
        <w:tc>
          <w:tcPr>
            <w:tcW w:w="1449" w:type="dxa"/>
            <w:vAlign w:val="center"/>
          </w:tcPr>
          <w:p w14:paraId="4659C80B" w14:textId="77777777" w:rsidR="006412EA" w:rsidRPr="00822B6F" w:rsidRDefault="006412EA" w:rsidP="006412EA">
            <w:pPr>
              <w:jc w:val="right"/>
              <w:rPr>
                <w:sz w:val="20"/>
                <w:szCs w:val="20"/>
              </w:rPr>
            </w:pPr>
            <w:r w:rsidRPr="00822B6F">
              <w:rPr>
                <w:sz w:val="20"/>
                <w:szCs w:val="20"/>
              </w:rPr>
              <w:t>Delivery Mechanisms</w:t>
            </w:r>
          </w:p>
        </w:tc>
        <w:tc>
          <w:tcPr>
            <w:tcW w:w="9636" w:type="dxa"/>
          </w:tcPr>
          <w:p w14:paraId="6F374DF4" w14:textId="3D602C05" w:rsidR="006412EA" w:rsidRPr="00036409" w:rsidRDefault="00B20C75" w:rsidP="006412EA">
            <w:pPr>
              <w:pStyle w:val="ListParagraph"/>
              <w:numPr>
                <w:ilvl w:val="0"/>
                <w:numId w:val="7"/>
              </w:numPr>
              <w:rPr>
                <w:rFonts w:cstheme="minorHAnsi"/>
                <w:sz w:val="20"/>
                <w:szCs w:val="20"/>
              </w:rPr>
            </w:pPr>
            <w:r>
              <w:rPr>
                <w:rFonts w:cstheme="minorHAnsi"/>
                <w:sz w:val="20"/>
                <w:szCs w:val="20"/>
              </w:rPr>
              <w:t>Direct install</w:t>
            </w:r>
            <w:r w:rsidR="006412EA" w:rsidRPr="00036409">
              <w:rPr>
                <w:rFonts w:cstheme="minorHAnsi"/>
                <w:sz w:val="20"/>
                <w:szCs w:val="20"/>
              </w:rPr>
              <w:t xml:space="preserve"> – Deemed</w:t>
            </w:r>
            <w:r w:rsidR="00050F6F">
              <w:rPr>
                <w:rFonts w:cstheme="minorHAnsi"/>
                <w:sz w:val="20"/>
                <w:szCs w:val="20"/>
              </w:rPr>
              <w:t xml:space="preserve"> (</w:t>
            </w:r>
            <w:proofErr w:type="spellStart"/>
            <w:r w:rsidR="00050F6F">
              <w:rPr>
                <w:rFonts w:cstheme="minorHAnsi"/>
                <w:sz w:val="20"/>
                <w:szCs w:val="20"/>
              </w:rPr>
              <w:t>DnDeemDI</w:t>
            </w:r>
            <w:proofErr w:type="spellEnd"/>
            <w:r w:rsidR="00050F6F">
              <w:rPr>
                <w:rFonts w:cstheme="minorHAnsi"/>
                <w:sz w:val="20"/>
                <w:szCs w:val="20"/>
              </w:rPr>
              <w:t>)</w:t>
            </w:r>
          </w:p>
          <w:p w14:paraId="4659C80C" w14:textId="759AD572" w:rsidR="00A65F39" w:rsidRPr="00B20C75" w:rsidRDefault="00A65F39" w:rsidP="00B20C75">
            <w:pPr>
              <w:rPr>
                <w:rFonts w:cstheme="minorHAnsi"/>
                <w:sz w:val="20"/>
                <w:szCs w:val="20"/>
              </w:rPr>
            </w:pPr>
            <w:r w:rsidRPr="00B20C75">
              <w:rPr>
                <w:rFonts w:cstheme="minorHAnsi"/>
                <w:sz w:val="20"/>
                <w:szCs w:val="20"/>
              </w:rPr>
              <w:t xml:space="preserve"> </w:t>
            </w:r>
          </w:p>
        </w:tc>
      </w:tr>
      <w:tr w:rsidR="006412EA" w14:paraId="4659C810" w14:textId="77777777" w:rsidTr="002056CD">
        <w:trPr>
          <w:cantSplit/>
        </w:trPr>
        <w:tc>
          <w:tcPr>
            <w:tcW w:w="1449" w:type="dxa"/>
          </w:tcPr>
          <w:p w14:paraId="4659C80E" w14:textId="77777777" w:rsidR="006412EA" w:rsidRPr="001D77F7" w:rsidRDefault="006412EA" w:rsidP="006412EA">
            <w:pPr>
              <w:rPr>
                <w:b/>
              </w:rPr>
            </w:pPr>
            <w:r w:rsidRPr="001D77F7">
              <w:rPr>
                <w:b/>
              </w:rPr>
              <w:t>1.4.1 DEER Data</w:t>
            </w:r>
          </w:p>
        </w:tc>
        <w:tc>
          <w:tcPr>
            <w:tcW w:w="9636" w:type="dxa"/>
          </w:tcPr>
          <w:p w14:paraId="4659C80F" w14:textId="77777777" w:rsidR="006412EA" w:rsidRPr="00036409" w:rsidRDefault="006412EA" w:rsidP="006412EA">
            <w:pPr>
              <w:rPr>
                <w:rFonts w:cstheme="minorHAnsi"/>
                <w:sz w:val="20"/>
                <w:szCs w:val="20"/>
              </w:rPr>
            </w:pPr>
          </w:p>
        </w:tc>
      </w:tr>
      <w:tr w:rsidR="006412EA" w14:paraId="4659C813" w14:textId="77777777" w:rsidTr="002056CD">
        <w:trPr>
          <w:cantSplit/>
        </w:trPr>
        <w:tc>
          <w:tcPr>
            <w:tcW w:w="1449" w:type="dxa"/>
          </w:tcPr>
          <w:p w14:paraId="4659C811" w14:textId="3BBC34AF" w:rsidR="006412EA" w:rsidRPr="00822B6F" w:rsidRDefault="00B52931" w:rsidP="006412EA">
            <w:pPr>
              <w:jc w:val="right"/>
              <w:rPr>
                <w:sz w:val="20"/>
                <w:szCs w:val="20"/>
              </w:rPr>
            </w:pPr>
            <w:r>
              <w:rPr>
                <w:sz w:val="20"/>
                <w:szCs w:val="20"/>
              </w:rPr>
              <w:t xml:space="preserve">GSIA </w:t>
            </w:r>
          </w:p>
        </w:tc>
        <w:tc>
          <w:tcPr>
            <w:tcW w:w="9636" w:type="dxa"/>
          </w:tcPr>
          <w:p w14:paraId="624222B1" w14:textId="181DCA26" w:rsidR="00874425" w:rsidRDefault="00874425" w:rsidP="006412EA">
            <w:pPr>
              <w:rPr>
                <w:rFonts w:cstheme="minorHAnsi"/>
                <w:sz w:val="20"/>
                <w:szCs w:val="20"/>
              </w:rPr>
            </w:pPr>
          </w:p>
          <w:tbl>
            <w:tblPr>
              <w:tblStyle w:val="TableGrid1"/>
              <w:tblW w:w="5000" w:type="pct"/>
              <w:tblLook w:val="04A0" w:firstRow="1" w:lastRow="0" w:firstColumn="1" w:lastColumn="0" w:noHBand="0" w:noVBand="1"/>
            </w:tblPr>
            <w:tblGrid>
              <w:gridCol w:w="1553"/>
              <w:gridCol w:w="2250"/>
              <w:gridCol w:w="1343"/>
              <w:gridCol w:w="1279"/>
              <w:gridCol w:w="1529"/>
              <w:gridCol w:w="1461"/>
            </w:tblGrid>
            <w:tr w:rsidR="00874425" w:rsidRPr="00920905" w14:paraId="7229DA61" w14:textId="77777777" w:rsidTr="00FF2C28">
              <w:tc>
                <w:tcPr>
                  <w:tcW w:w="824" w:type="pct"/>
                  <w:shd w:val="clear" w:color="auto" w:fill="D9D9D9" w:themeFill="background1" w:themeFillShade="D9"/>
                </w:tcPr>
                <w:p w14:paraId="7FA89CC8" w14:textId="2054F5D0" w:rsidR="00874425" w:rsidRPr="00920905" w:rsidRDefault="00874425" w:rsidP="00874425">
                  <w:pPr>
                    <w:rPr>
                      <w:rFonts w:cstheme="minorHAnsi"/>
                      <w:b/>
                      <w:szCs w:val="20"/>
                    </w:rPr>
                  </w:pPr>
                  <w:r>
                    <w:rPr>
                      <w:rFonts w:cstheme="minorHAnsi"/>
                      <w:b/>
                      <w:szCs w:val="20"/>
                    </w:rPr>
                    <w:t>GSIA</w:t>
                  </w:r>
                  <w:r w:rsidRPr="00920905">
                    <w:rPr>
                      <w:rFonts w:cstheme="minorHAnsi"/>
                      <w:b/>
                      <w:szCs w:val="20"/>
                    </w:rPr>
                    <w:t xml:space="preserve"> ID</w:t>
                  </w:r>
                </w:p>
              </w:tc>
              <w:tc>
                <w:tcPr>
                  <w:tcW w:w="1195" w:type="pct"/>
                  <w:shd w:val="clear" w:color="auto" w:fill="D9D9D9" w:themeFill="background1" w:themeFillShade="D9"/>
                </w:tcPr>
                <w:p w14:paraId="02938E62" w14:textId="77777777" w:rsidR="00874425" w:rsidRPr="00920905" w:rsidRDefault="00874425" w:rsidP="00874425">
                  <w:pPr>
                    <w:rPr>
                      <w:rFonts w:cstheme="minorHAnsi"/>
                      <w:b/>
                      <w:szCs w:val="20"/>
                    </w:rPr>
                  </w:pPr>
                  <w:r w:rsidRPr="00920905">
                    <w:rPr>
                      <w:rFonts w:cstheme="minorHAnsi"/>
                      <w:b/>
                      <w:szCs w:val="20"/>
                    </w:rPr>
                    <w:t>Description</w:t>
                  </w:r>
                </w:p>
              </w:tc>
              <w:tc>
                <w:tcPr>
                  <w:tcW w:w="713" w:type="pct"/>
                  <w:shd w:val="clear" w:color="auto" w:fill="D9D9D9" w:themeFill="background1" w:themeFillShade="D9"/>
                </w:tcPr>
                <w:p w14:paraId="71CA0477" w14:textId="77777777" w:rsidR="00874425" w:rsidRPr="00920905" w:rsidRDefault="00874425" w:rsidP="00874425">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6E1A3248" w14:textId="2E2B98F7" w:rsidR="00874425" w:rsidRPr="00920905" w:rsidRDefault="00874425" w:rsidP="00874425">
                  <w:pPr>
                    <w:rPr>
                      <w:rFonts w:cstheme="minorHAnsi"/>
                      <w:b/>
                      <w:szCs w:val="20"/>
                    </w:rPr>
                  </w:pPr>
                  <w:proofErr w:type="spellStart"/>
                  <w:r>
                    <w:rPr>
                      <w:rFonts w:cstheme="minorHAnsi"/>
                      <w:b/>
                      <w:szCs w:val="20"/>
                    </w:rPr>
                    <w:t>Bldg</w:t>
                  </w:r>
                  <w:proofErr w:type="spellEnd"/>
                  <w:r>
                    <w:rPr>
                      <w:rFonts w:cstheme="minorHAnsi"/>
                      <w:b/>
                      <w:szCs w:val="20"/>
                    </w:rPr>
                    <w:t xml:space="preserve"> Type</w:t>
                  </w:r>
                </w:p>
              </w:tc>
              <w:tc>
                <w:tcPr>
                  <w:tcW w:w="812" w:type="pct"/>
                  <w:shd w:val="clear" w:color="auto" w:fill="D9D9D9" w:themeFill="background1" w:themeFillShade="D9"/>
                </w:tcPr>
                <w:p w14:paraId="7E07D808" w14:textId="19B449B7" w:rsidR="00874425" w:rsidRPr="00920905" w:rsidRDefault="00874425" w:rsidP="00874425">
                  <w:pPr>
                    <w:rPr>
                      <w:rFonts w:cstheme="minorHAnsi"/>
                      <w:b/>
                      <w:szCs w:val="20"/>
                    </w:rPr>
                  </w:pPr>
                  <w:proofErr w:type="spellStart"/>
                  <w:r>
                    <w:rPr>
                      <w:rFonts w:cstheme="minorHAnsi"/>
                      <w:b/>
                      <w:szCs w:val="20"/>
                    </w:rPr>
                    <w:t>ProgDelivID</w:t>
                  </w:r>
                  <w:proofErr w:type="spellEnd"/>
                </w:p>
              </w:tc>
              <w:tc>
                <w:tcPr>
                  <w:tcW w:w="776" w:type="pct"/>
                  <w:shd w:val="clear" w:color="auto" w:fill="D9D9D9" w:themeFill="background1" w:themeFillShade="D9"/>
                </w:tcPr>
                <w:p w14:paraId="0DF7B00F" w14:textId="0F5452BA" w:rsidR="00874425" w:rsidRPr="00920905" w:rsidRDefault="007E590B" w:rsidP="00874425">
                  <w:pPr>
                    <w:rPr>
                      <w:rFonts w:cstheme="minorHAnsi"/>
                      <w:b/>
                      <w:szCs w:val="20"/>
                    </w:rPr>
                  </w:pPr>
                  <w:proofErr w:type="spellStart"/>
                  <w:r>
                    <w:rPr>
                      <w:rFonts w:cstheme="minorHAnsi"/>
                      <w:b/>
                      <w:szCs w:val="20"/>
                    </w:rPr>
                    <w:t>GSIAValue</w:t>
                  </w:r>
                  <w:proofErr w:type="spellEnd"/>
                </w:p>
              </w:tc>
            </w:tr>
            <w:tr w:rsidR="00874425" w:rsidRPr="002E5766" w14:paraId="11325682" w14:textId="77777777" w:rsidTr="00FF2C28">
              <w:trPr>
                <w:trHeight w:val="243"/>
              </w:trPr>
              <w:tc>
                <w:tcPr>
                  <w:tcW w:w="824" w:type="pct"/>
                </w:tcPr>
                <w:p w14:paraId="4AABBE83" w14:textId="682540E8" w:rsidR="00874425" w:rsidRPr="002E5766" w:rsidRDefault="00874425" w:rsidP="00874425">
                  <w:pPr>
                    <w:rPr>
                      <w:szCs w:val="20"/>
                    </w:rPr>
                  </w:pPr>
                  <w:r>
                    <w:rPr>
                      <w:szCs w:val="20"/>
                    </w:rPr>
                    <w:t>Def-GSIA</w:t>
                  </w:r>
                </w:p>
              </w:tc>
              <w:tc>
                <w:tcPr>
                  <w:tcW w:w="1195" w:type="pct"/>
                </w:tcPr>
                <w:p w14:paraId="39B88A6C" w14:textId="1DFC4DC8" w:rsidR="00874425" w:rsidRPr="002E5766" w:rsidRDefault="00874425" w:rsidP="00874425">
                  <w:pPr>
                    <w:rPr>
                      <w:szCs w:val="20"/>
                    </w:rPr>
                  </w:pPr>
                  <w:r>
                    <w:rPr>
                      <w:szCs w:val="20"/>
                    </w:rPr>
                    <w:t>Default GSIA values</w:t>
                  </w:r>
                </w:p>
              </w:tc>
              <w:tc>
                <w:tcPr>
                  <w:tcW w:w="713" w:type="pct"/>
                </w:tcPr>
                <w:p w14:paraId="77A31B1C" w14:textId="36A5080C" w:rsidR="00874425" w:rsidRPr="002E5766" w:rsidRDefault="00874425" w:rsidP="00874425">
                  <w:pPr>
                    <w:rPr>
                      <w:szCs w:val="20"/>
                    </w:rPr>
                  </w:pPr>
                  <w:r>
                    <w:rPr>
                      <w:szCs w:val="20"/>
                    </w:rPr>
                    <w:t>Any</w:t>
                  </w:r>
                </w:p>
              </w:tc>
              <w:tc>
                <w:tcPr>
                  <w:tcW w:w="679" w:type="pct"/>
                </w:tcPr>
                <w:p w14:paraId="4754051F" w14:textId="43CF151F" w:rsidR="00874425" w:rsidRPr="002E5766" w:rsidRDefault="00874425" w:rsidP="00874425">
                  <w:pPr>
                    <w:rPr>
                      <w:szCs w:val="20"/>
                    </w:rPr>
                  </w:pPr>
                  <w:r>
                    <w:rPr>
                      <w:szCs w:val="20"/>
                    </w:rPr>
                    <w:t>Any</w:t>
                  </w:r>
                </w:p>
              </w:tc>
              <w:tc>
                <w:tcPr>
                  <w:tcW w:w="812" w:type="pct"/>
                </w:tcPr>
                <w:p w14:paraId="7D554B27" w14:textId="464CCB51" w:rsidR="00874425" w:rsidRPr="002E5766" w:rsidRDefault="00874425" w:rsidP="00874425">
                  <w:pPr>
                    <w:rPr>
                      <w:szCs w:val="20"/>
                    </w:rPr>
                  </w:pPr>
                  <w:r>
                    <w:rPr>
                      <w:szCs w:val="20"/>
                    </w:rPr>
                    <w:t>Any</w:t>
                  </w:r>
                </w:p>
              </w:tc>
              <w:tc>
                <w:tcPr>
                  <w:tcW w:w="776" w:type="pct"/>
                </w:tcPr>
                <w:p w14:paraId="4C310FA7" w14:textId="3FC9704B" w:rsidR="00874425" w:rsidRPr="002E5766" w:rsidRDefault="007E590B" w:rsidP="00874425">
                  <w:pPr>
                    <w:rPr>
                      <w:szCs w:val="20"/>
                    </w:rPr>
                  </w:pPr>
                  <w:r>
                    <w:rPr>
                      <w:szCs w:val="20"/>
                    </w:rPr>
                    <w:t>1</w:t>
                  </w:r>
                </w:p>
              </w:tc>
            </w:tr>
          </w:tbl>
          <w:p w14:paraId="4659C812" w14:textId="50017068" w:rsidR="00874425" w:rsidRPr="00036409" w:rsidRDefault="00874425" w:rsidP="006412EA">
            <w:pPr>
              <w:rPr>
                <w:rFonts w:cstheme="minorHAnsi"/>
                <w:sz w:val="20"/>
                <w:szCs w:val="20"/>
              </w:rPr>
            </w:pPr>
          </w:p>
        </w:tc>
      </w:tr>
      <w:tr w:rsidR="006412EA" w14:paraId="4659C819" w14:textId="77777777" w:rsidTr="002056CD">
        <w:trPr>
          <w:cantSplit/>
        </w:trPr>
        <w:tc>
          <w:tcPr>
            <w:tcW w:w="1449" w:type="dxa"/>
            <w:vAlign w:val="center"/>
          </w:tcPr>
          <w:p w14:paraId="4659C817" w14:textId="2B523B8F" w:rsidR="006412EA" w:rsidRPr="00822B6F" w:rsidRDefault="006412EA" w:rsidP="00B52931">
            <w:pPr>
              <w:jc w:val="right"/>
              <w:rPr>
                <w:sz w:val="20"/>
                <w:szCs w:val="20"/>
              </w:rPr>
            </w:pPr>
            <w:r w:rsidRPr="00822B6F">
              <w:rPr>
                <w:sz w:val="20"/>
                <w:szCs w:val="20"/>
              </w:rPr>
              <w:t>Net-to-Gross Ratio</w:t>
            </w:r>
          </w:p>
        </w:tc>
        <w:tc>
          <w:tcPr>
            <w:tcW w:w="9636" w:type="dxa"/>
          </w:tcPr>
          <w:p w14:paraId="431B6E22" w14:textId="77777777" w:rsidR="007E590B" w:rsidRDefault="007E590B" w:rsidP="006412EA">
            <w:pPr>
              <w:tabs>
                <w:tab w:val="right" w:pos="6732"/>
              </w:tabs>
              <w:rPr>
                <w:rFonts w:cstheme="minorHAnsi"/>
                <w:noProof/>
                <w:sz w:val="20"/>
                <w:szCs w:val="20"/>
              </w:rPr>
            </w:pPr>
          </w:p>
          <w:tbl>
            <w:tblPr>
              <w:tblStyle w:val="TableGrid1"/>
              <w:tblW w:w="5000" w:type="pct"/>
              <w:tblLook w:val="04A0" w:firstRow="1" w:lastRow="0" w:firstColumn="1" w:lastColumn="0" w:noHBand="0" w:noVBand="1"/>
            </w:tblPr>
            <w:tblGrid>
              <w:gridCol w:w="1553"/>
              <w:gridCol w:w="2250"/>
              <w:gridCol w:w="1343"/>
              <w:gridCol w:w="1279"/>
              <w:gridCol w:w="1529"/>
              <w:gridCol w:w="1461"/>
            </w:tblGrid>
            <w:tr w:rsidR="007E590B" w:rsidRPr="00920905" w14:paraId="4BC75940" w14:textId="77777777" w:rsidTr="00FF2C28">
              <w:tc>
                <w:tcPr>
                  <w:tcW w:w="824" w:type="pct"/>
                  <w:shd w:val="clear" w:color="auto" w:fill="D9D9D9" w:themeFill="background1" w:themeFillShade="D9"/>
                </w:tcPr>
                <w:p w14:paraId="71C93B64" w14:textId="03DEC70D" w:rsidR="007E590B" w:rsidRPr="00920905" w:rsidRDefault="007E590B" w:rsidP="007E590B">
                  <w:pPr>
                    <w:rPr>
                      <w:rFonts w:cstheme="minorHAnsi"/>
                      <w:b/>
                      <w:szCs w:val="20"/>
                    </w:rPr>
                  </w:pPr>
                  <w:r>
                    <w:rPr>
                      <w:rFonts w:cstheme="minorHAnsi"/>
                      <w:b/>
                      <w:szCs w:val="20"/>
                    </w:rPr>
                    <w:t>NTGR</w:t>
                  </w:r>
                  <w:r w:rsidRPr="00920905">
                    <w:rPr>
                      <w:rFonts w:cstheme="minorHAnsi"/>
                      <w:b/>
                      <w:szCs w:val="20"/>
                    </w:rPr>
                    <w:t xml:space="preserve"> ID</w:t>
                  </w:r>
                </w:p>
              </w:tc>
              <w:tc>
                <w:tcPr>
                  <w:tcW w:w="1195" w:type="pct"/>
                  <w:shd w:val="clear" w:color="auto" w:fill="D9D9D9" w:themeFill="background1" w:themeFillShade="D9"/>
                </w:tcPr>
                <w:p w14:paraId="4FF86F0D" w14:textId="77777777" w:rsidR="007E590B" w:rsidRPr="00920905" w:rsidRDefault="007E590B" w:rsidP="007E590B">
                  <w:pPr>
                    <w:rPr>
                      <w:rFonts w:cstheme="minorHAnsi"/>
                      <w:b/>
                      <w:szCs w:val="20"/>
                    </w:rPr>
                  </w:pPr>
                  <w:r w:rsidRPr="00920905">
                    <w:rPr>
                      <w:rFonts w:cstheme="minorHAnsi"/>
                      <w:b/>
                      <w:szCs w:val="20"/>
                    </w:rPr>
                    <w:t>Description</w:t>
                  </w:r>
                </w:p>
              </w:tc>
              <w:tc>
                <w:tcPr>
                  <w:tcW w:w="713" w:type="pct"/>
                  <w:shd w:val="clear" w:color="auto" w:fill="D9D9D9" w:themeFill="background1" w:themeFillShade="D9"/>
                </w:tcPr>
                <w:p w14:paraId="08C92C27" w14:textId="77777777" w:rsidR="007E590B" w:rsidRPr="00920905" w:rsidRDefault="007E590B" w:rsidP="007E590B">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28AF9342" w14:textId="5F71CAFB" w:rsidR="007E590B" w:rsidRPr="00920905" w:rsidRDefault="007E590B" w:rsidP="007E590B">
                  <w:pPr>
                    <w:rPr>
                      <w:rFonts w:cstheme="minorHAnsi"/>
                      <w:b/>
                      <w:szCs w:val="20"/>
                    </w:rPr>
                  </w:pPr>
                  <w:proofErr w:type="spellStart"/>
                  <w:r>
                    <w:rPr>
                      <w:rFonts w:cstheme="minorHAnsi"/>
                      <w:b/>
                      <w:szCs w:val="20"/>
                    </w:rPr>
                    <w:t>BldgType</w:t>
                  </w:r>
                  <w:proofErr w:type="spellEnd"/>
                </w:p>
              </w:tc>
              <w:tc>
                <w:tcPr>
                  <w:tcW w:w="812" w:type="pct"/>
                  <w:shd w:val="clear" w:color="auto" w:fill="D9D9D9" w:themeFill="background1" w:themeFillShade="D9"/>
                </w:tcPr>
                <w:p w14:paraId="72B12291" w14:textId="26368754" w:rsidR="007E590B" w:rsidRPr="00920905" w:rsidRDefault="007E590B" w:rsidP="007E590B">
                  <w:pPr>
                    <w:rPr>
                      <w:rFonts w:cstheme="minorHAnsi"/>
                      <w:b/>
                      <w:szCs w:val="20"/>
                    </w:rPr>
                  </w:pPr>
                  <w:r>
                    <w:rPr>
                      <w:rFonts w:cstheme="minorHAnsi"/>
                      <w:b/>
                      <w:szCs w:val="20"/>
                    </w:rPr>
                    <w:t>Measure Delivery</w:t>
                  </w:r>
                </w:p>
              </w:tc>
              <w:tc>
                <w:tcPr>
                  <w:tcW w:w="776" w:type="pct"/>
                  <w:shd w:val="clear" w:color="auto" w:fill="D9D9D9" w:themeFill="background1" w:themeFillShade="D9"/>
                </w:tcPr>
                <w:p w14:paraId="1087FB7B" w14:textId="34D3E57A" w:rsidR="007E590B" w:rsidRPr="00920905" w:rsidRDefault="007E590B" w:rsidP="007E590B">
                  <w:pPr>
                    <w:rPr>
                      <w:rFonts w:cstheme="minorHAnsi"/>
                      <w:b/>
                      <w:szCs w:val="20"/>
                    </w:rPr>
                  </w:pPr>
                  <w:r>
                    <w:rPr>
                      <w:rFonts w:cstheme="minorHAnsi"/>
                      <w:b/>
                      <w:szCs w:val="20"/>
                    </w:rPr>
                    <w:t>NTGR</w:t>
                  </w:r>
                </w:p>
              </w:tc>
            </w:tr>
            <w:tr w:rsidR="007E590B" w:rsidRPr="002E5766" w14:paraId="63727077" w14:textId="77777777" w:rsidTr="007E590B">
              <w:trPr>
                <w:trHeight w:val="575"/>
              </w:trPr>
              <w:tc>
                <w:tcPr>
                  <w:tcW w:w="824" w:type="pct"/>
                </w:tcPr>
                <w:p w14:paraId="39B7D59A" w14:textId="184EF74D" w:rsidR="007E590B" w:rsidRPr="002E5766" w:rsidRDefault="007E590B" w:rsidP="007E590B">
                  <w:pPr>
                    <w:rPr>
                      <w:szCs w:val="20"/>
                    </w:rPr>
                  </w:pPr>
                  <w:r>
                    <w:rPr>
                      <w:szCs w:val="20"/>
                    </w:rPr>
                    <w:t>All-Default&lt;=2yrs</w:t>
                  </w:r>
                </w:p>
              </w:tc>
              <w:tc>
                <w:tcPr>
                  <w:tcW w:w="1195" w:type="pct"/>
                </w:tcPr>
                <w:p w14:paraId="5C8A3741" w14:textId="0F96E11D" w:rsidR="007E590B" w:rsidRPr="002E5766" w:rsidRDefault="007E590B" w:rsidP="007E590B">
                  <w:pPr>
                    <w:rPr>
                      <w:szCs w:val="20"/>
                    </w:rPr>
                  </w:pPr>
                  <w:r>
                    <w:rPr>
                      <w:szCs w:val="20"/>
                    </w:rPr>
                    <w:t>All other EEM with no evaluated NTGR</w:t>
                  </w:r>
                  <w:r w:rsidR="00D50844">
                    <w:rPr>
                      <w:szCs w:val="20"/>
                    </w:rPr>
                    <w:t>;</w:t>
                  </w:r>
                  <w:r>
                    <w:rPr>
                      <w:szCs w:val="20"/>
                    </w:rPr>
                    <w:t xml:space="preserve"> new technology in program or fewer years</w:t>
                  </w:r>
                </w:p>
              </w:tc>
              <w:tc>
                <w:tcPr>
                  <w:tcW w:w="713" w:type="pct"/>
                </w:tcPr>
                <w:p w14:paraId="3D76AF4D" w14:textId="6458E0F1" w:rsidR="007E590B" w:rsidRPr="002E5766" w:rsidRDefault="007E590B" w:rsidP="007E590B">
                  <w:pPr>
                    <w:rPr>
                      <w:szCs w:val="20"/>
                    </w:rPr>
                  </w:pPr>
                  <w:r>
                    <w:rPr>
                      <w:szCs w:val="20"/>
                    </w:rPr>
                    <w:t>Any</w:t>
                  </w:r>
                </w:p>
              </w:tc>
              <w:tc>
                <w:tcPr>
                  <w:tcW w:w="679" w:type="pct"/>
                </w:tcPr>
                <w:p w14:paraId="0D2FEC07" w14:textId="3B055B23" w:rsidR="007E590B" w:rsidRPr="002E5766" w:rsidRDefault="007E590B" w:rsidP="007E590B">
                  <w:pPr>
                    <w:rPr>
                      <w:szCs w:val="20"/>
                    </w:rPr>
                  </w:pPr>
                  <w:r>
                    <w:rPr>
                      <w:szCs w:val="20"/>
                    </w:rPr>
                    <w:t>Any</w:t>
                  </w:r>
                </w:p>
              </w:tc>
              <w:tc>
                <w:tcPr>
                  <w:tcW w:w="812" w:type="pct"/>
                </w:tcPr>
                <w:p w14:paraId="027E6DDD" w14:textId="4F510E34" w:rsidR="007E590B" w:rsidRPr="002E5766" w:rsidRDefault="007E590B" w:rsidP="007E590B">
                  <w:pPr>
                    <w:rPr>
                      <w:szCs w:val="20"/>
                    </w:rPr>
                  </w:pPr>
                  <w:r>
                    <w:rPr>
                      <w:szCs w:val="20"/>
                    </w:rPr>
                    <w:t>Any</w:t>
                  </w:r>
                </w:p>
              </w:tc>
              <w:tc>
                <w:tcPr>
                  <w:tcW w:w="776" w:type="pct"/>
                </w:tcPr>
                <w:p w14:paraId="474955EE" w14:textId="7F52C3E7" w:rsidR="007E590B" w:rsidRPr="002E5766" w:rsidRDefault="007E590B" w:rsidP="007E590B">
                  <w:pPr>
                    <w:rPr>
                      <w:szCs w:val="20"/>
                    </w:rPr>
                  </w:pPr>
                  <w:r>
                    <w:rPr>
                      <w:szCs w:val="20"/>
                    </w:rPr>
                    <w:t>0.7</w:t>
                  </w:r>
                </w:p>
              </w:tc>
            </w:tr>
          </w:tbl>
          <w:p w14:paraId="4659C818" w14:textId="4571D840" w:rsidR="006412EA" w:rsidRPr="00036409" w:rsidRDefault="006412EA" w:rsidP="006412EA">
            <w:pPr>
              <w:tabs>
                <w:tab w:val="right" w:pos="6732"/>
              </w:tabs>
              <w:rPr>
                <w:rFonts w:cstheme="minorHAnsi"/>
                <w:sz w:val="20"/>
                <w:szCs w:val="20"/>
              </w:rPr>
            </w:pPr>
          </w:p>
        </w:tc>
      </w:tr>
      <w:tr w:rsidR="006412EA" w14:paraId="4659C81C" w14:textId="77777777" w:rsidTr="002056CD">
        <w:trPr>
          <w:cantSplit/>
        </w:trPr>
        <w:tc>
          <w:tcPr>
            <w:tcW w:w="1449" w:type="dxa"/>
            <w:vAlign w:val="center"/>
          </w:tcPr>
          <w:p w14:paraId="4659C81A" w14:textId="77777777" w:rsidR="006412EA" w:rsidRPr="00822B6F" w:rsidRDefault="006412EA" w:rsidP="006412EA">
            <w:pPr>
              <w:jc w:val="right"/>
              <w:rPr>
                <w:sz w:val="20"/>
                <w:szCs w:val="20"/>
              </w:rPr>
            </w:pPr>
            <w:r w:rsidRPr="00822B6F">
              <w:rPr>
                <w:sz w:val="20"/>
                <w:szCs w:val="20"/>
              </w:rPr>
              <w:t>Effective and Remaining Useful Life</w:t>
            </w:r>
          </w:p>
        </w:tc>
        <w:tc>
          <w:tcPr>
            <w:tcW w:w="9636" w:type="dxa"/>
          </w:tcPr>
          <w:p w14:paraId="5000C770" w14:textId="77777777" w:rsidR="00874425" w:rsidRPr="00874425" w:rsidRDefault="00874425" w:rsidP="00874425">
            <w:pPr>
              <w:pStyle w:val="Reminder"/>
              <w:rPr>
                <w:rFonts w:asciiTheme="minorHAnsi" w:hAnsiTheme="minorHAnsi"/>
                <w:i w:val="0"/>
                <w:color w:val="auto"/>
                <w:sz w:val="20"/>
                <w:szCs w:val="20"/>
              </w:rPr>
            </w:pPr>
            <w:r w:rsidRPr="00874425">
              <w:rPr>
                <w:rFonts w:asciiTheme="minorHAnsi" w:hAnsiTheme="minorHAnsi" w:cstheme="minorHAnsi"/>
                <w:i w:val="0"/>
                <w:color w:val="auto"/>
                <w:sz w:val="20"/>
                <w:szCs w:val="20"/>
              </w:rPr>
              <w:t xml:space="preserve">The low-flow showerhead has an existing useful life of 10 years and a remaining useful life of 3.3 years. </w:t>
            </w:r>
            <w:r w:rsidRPr="00874425">
              <w:rPr>
                <w:rFonts w:asciiTheme="minorHAnsi" w:hAnsiTheme="minorHAnsi"/>
                <w:i w:val="0"/>
                <w:color w:val="auto"/>
                <w:sz w:val="20"/>
                <w:szCs w:val="20"/>
              </w:rPr>
              <w:t>The EUL and RUL values were obtained using the DEER READI tool (</w:t>
            </w:r>
            <w:proofErr w:type="spellStart"/>
            <w:r w:rsidRPr="00874425">
              <w:rPr>
                <w:rFonts w:asciiTheme="minorHAnsi" w:hAnsiTheme="minorHAnsi"/>
                <w:i w:val="0"/>
                <w:color w:val="auto"/>
                <w:sz w:val="20"/>
                <w:szCs w:val="20"/>
              </w:rPr>
              <w:t>WtrHt</w:t>
            </w:r>
            <w:proofErr w:type="spellEnd"/>
            <w:r w:rsidRPr="00874425">
              <w:rPr>
                <w:rFonts w:asciiTheme="minorHAnsi" w:hAnsiTheme="minorHAnsi"/>
                <w:i w:val="0"/>
                <w:color w:val="auto"/>
                <w:sz w:val="20"/>
                <w:szCs w:val="20"/>
              </w:rPr>
              <w:t>-WH-</w:t>
            </w:r>
            <w:proofErr w:type="spellStart"/>
            <w:r w:rsidRPr="00874425">
              <w:rPr>
                <w:rFonts w:asciiTheme="minorHAnsi" w:hAnsiTheme="minorHAnsi"/>
                <w:i w:val="0"/>
                <w:color w:val="auto"/>
                <w:sz w:val="20"/>
                <w:szCs w:val="20"/>
              </w:rPr>
              <w:t>Shrhd</w:t>
            </w:r>
            <w:proofErr w:type="spellEnd"/>
            <w:r w:rsidRPr="00874425">
              <w:rPr>
                <w:rFonts w:asciiTheme="minorHAnsi" w:hAnsiTheme="minorHAnsi"/>
                <w:i w:val="0"/>
                <w:color w:val="auto"/>
                <w:sz w:val="20"/>
                <w:szCs w:val="20"/>
              </w:rPr>
              <w:t>), with the RUL equaling 1/3 of the EUL.</w:t>
            </w:r>
          </w:p>
          <w:p w14:paraId="48F00128" w14:textId="77777777" w:rsidR="00874425" w:rsidRPr="00874425" w:rsidRDefault="00874425" w:rsidP="00874425">
            <w:pPr>
              <w:pStyle w:val="Reminder"/>
              <w:rPr>
                <w:i w:val="0"/>
                <w:color w:val="auto"/>
                <w:sz w:val="20"/>
                <w:szCs w:val="20"/>
              </w:rPr>
            </w:pPr>
          </w:p>
          <w:p w14:paraId="3A6943D5" w14:textId="77777777" w:rsidR="00874425" w:rsidRPr="00874425" w:rsidRDefault="00874425" w:rsidP="00874425">
            <w:pPr>
              <w:pStyle w:val="Reminder"/>
              <w:rPr>
                <w:rFonts w:asciiTheme="minorHAnsi" w:hAnsiTheme="minorHAnsi" w:cstheme="minorHAnsi"/>
                <w:i w:val="0"/>
                <w:color w:val="auto"/>
                <w:sz w:val="20"/>
                <w:szCs w:val="20"/>
              </w:rPr>
            </w:pPr>
            <w:r w:rsidRPr="00874425">
              <w:rPr>
                <w:rFonts w:asciiTheme="minorHAnsi" w:hAnsiTheme="minorHAnsi"/>
                <w:i w:val="0"/>
                <w:color w:val="auto"/>
                <w:sz w:val="20"/>
                <w:szCs w:val="20"/>
              </w:rPr>
              <w:t xml:space="preserve">Though the EUL/RUL is listed in DEER for the residential sector, showerheads are subject to very similar conditions in the commercial sector, regardless of flow rate. Thus, it is expected that all low flow showerheads will have approximately the same EUL. </w:t>
            </w:r>
            <w:r w:rsidRPr="00874425">
              <w:rPr>
                <w:rFonts w:asciiTheme="minorHAnsi" w:hAnsiTheme="minorHAnsi" w:cstheme="minorHAnsi"/>
                <w:i w:val="0"/>
                <w:color w:val="auto"/>
                <w:sz w:val="20"/>
                <w:szCs w:val="20"/>
              </w:rPr>
              <w:t>The relevant EUL and RUL values for the measures in this work paper are below.</w:t>
            </w:r>
          </w:p>
          <w:p w14:paraId="735C1639" w14:textId="77777777" w:rsidR="00874425" w:rsidRPr="00874425" w:rsidRDefault="00874425" w:rsidP="00874425">
            <w:pPr>
              <w:pStyle w:val="NoSpacing"/>
              <w:rPr>
                <w:sz w:val="20"/>
                <w:szCs w:val="20"/>
              </w:rPr>
            </w:pPr>
          </w:p>
          <w:p w14:paraId="2ECD6C5D" w14:textId="54D4641A" w:rsidR="00874425" w:rsidRPr="00874425" w:rsidRDefault="00874425" w:rsidP="00874425">
            <w:pPr>
              <w:pStyle w:val="Caption"/>
              <w:keepNext/>
              <w:rPr>
                <w:sz w:val="20"/>
                <w:szCs w:val="20"/>
              </w:rPr>
            </w:pPr>
            <w:bookmarkStart w:id="5" w:name="_Toc501451177"/>
            <w:r w:rsidRPr="00874425">
              <w:rPr>
                <w:sz w:val="20"/>
                <w:szCs w:val="20"/>
              </w:rPr>
              <w:t>EUL</w:t>
            </w:r>
            <w:bookmarkEnd w:id="5"/>
            <w:r w:rsidRPr="00874425">
              <w:rPr>
                <w:sz w:val="20"/>
                <w:szCs w:val="20"/>
              </w:rPr>
              <w:t xml:space="preserve"> Table</w:t>
            </w:r>
          </w:p>
          <w:tbl>
            <w:tblPr>
              <w:tblStyle w:val="TableGrid1"/>
              <w:tblW w:w="5000" w:type="pct"/>
              <w:tblLook w:val="04A0" w:firstRow="1" w:lastRow="0" w:firstColumn="1" w:lastColumn="0" w:noHBand="0" w:noVBand="1"/>
            </w:tblPr>
            <w:tblGrid>
              <w:gridCol w:w="1553"/>
              <w:gridCol w:w="2250"/>
              <w:gridCol w:w="1343"/>
              <w:gridCol w:w="1279"/>
              <w:gridCol w:w="1529"/>
              <w:gridCol w:w="1461"/>
            </w:tblGrid>
            <w:tr w:rsidR="00874425" w:rsidRPr="00500C4E" w14:paraId="23617421" w14:textId="77777777" w:rsidTr="00FF2C28">
              <w:tc>
                <w:tcPr>
                  <w:tcW w:w="824" w:type="pct"/>
                  <w:shd w:val="clear" w:color="auto" w:fill="D9D9D9" w:themeFill="background1" w:themeFillShade="D9"/>
                </w:tcPr>
                <w:p w14:paraId="19C2F5BE" w14:textId="77777777" w:rsidR="00874425" w:rsidRPr="00920905" w:rsidRDefault="00874425" w:rsidP="00874425">
                  <w:pPr>
                    <w:rPr>
                      <w:rFonts w:cstheme="minorHAnsi"/>
                      <w:b/>
                      <w:szCs w:val="20"/>
                    </w:rPr>
                  </w:pPr>
                  <w:r w:rsidRPr="00920905">
                    <w:rPr>
                      <w:rFonts w:cstheme="minorHAnsi"/>
                      <w:b/>
                      <w:szCs w:val="20"/>
                    </w:rPr>
                    <w:t>EUL ID</w:t>
                  </w:r>
                </w:p>
              </w:tc>
              <w:tc>
                <w:tcPr>
                  <w:tcW w:w="1195" w:type="pct"/>
                  <w:shd w:val="clear" w:color="auto" w:fill="D9D9D9" w:themeFill="background1" w:themeFillShade="D9"/>
                </w:tcPr>
                <w:p w14:paraId="675A3836" w14:textId="77777777" w:rsidR="00874425" w:rsidRPr="00920905" w:rsidRDefault="00874425" w:rsidP="00874425">
                  <w:pPr>
                    <w:rPr>
                      <w:rFonts w:cstheme="minorHAnsi"/>
                      <w:b/>
                      <w:szCs w:val="20"/>
                    </w:rPr>
                  </w:pPr>
                  <w:r w:rsidRPr="00920905">
                    <w:rPr>
                      <w:rFonts w:cstheme="minorHAnsi"/>
                      <w:b/>
                      <w:szCs w:val="20"/>
                    </w:rPr>
                    <w:t>Description</w:t>
                  </w:r>
                </w:p>
              </w:tc>
              <w:tc>
                <w:tcPr>
                  <w:tcW w:w="713" w:type="pct"/>
                  <w:shd w:val="clear" w:color="auto" w:fill="D9D9D9" w:themeFill="background1" w:themeFillShade="D9"/>
                </w:tcPr>
                <w:p w14:paraId="0B2B66AF" w14:textId="77777777" w:rsidR="00874425" w:rsidRPr="00920905" w:rsidRDefault="00874425" w:rsidP="00874425">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1B0EECBE" w14:textId="77777777" w:rsidR="00874425" w:rsidRPr="00920905" w:rsidRDefault="00874425" w:rsidP="00874425">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269CEC19" w14:textId="77777777" w:rsidR="00874425" w:rsidRPr="00920905" w:rsidRDefault="00874425" w:rsidP="00874425">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D1A41F6" w14:textId="77777777" w:rsidR="00874425" w:rsidRPr="00920905" w:rsidRDefault="00874425" w:rsidP="00874425">
                  <w:pPr>
                    <w:rPr>
                      <w:rFonts w:cstheme="minorHAnsi"/>
                      <w:b/>
                      <w:szCs w:val="20"/>
                    </w:rPr>
                  </w:pPr>
                  <w:r w:rsidRPr="00920905">
                    <w:rPr>
                      <w:rFonts w:cstheme="minorHAnsi"/>
                      <w:b/>
                      <w:szCs w:val="20"/>
                    </w:rPr>
                    <w:t>RUL (Years)</w:t>
                  </w:r>
                </w:p>
              </w:tc>
            </w:tr>
            <w:tr w:rsidR="00874425" w:rsidRPr="002E5766" w14:paraId="4492F226" w14:textId="77777777" w:rsidTr="00FF2C28">
              <w:trPr>
                <w:trHeight w:val="243"/>
              </w:trPr>
              <w:tc>
                <w:tcPr>
                  <w:tcW w:w="824" w:type="pct"/>
                </w:tcPr>
                <w:p w14:paraId="6CB0CFE8" w14:textId="77777777" w:rsidR="00874425" w:rsidRPr="002E5766" w:rsidRDefault="00874425" w:rsidP="00874425">
                  <w:pPr>
                    <w:rPr>
                      <w:szCs w:val="20"/>
                    </w:rPr>
                  </w:pPr>
                  <w:proofErr w:type="spellStart"/>
                  <w:r w:rsidRPr="002E5766">
                    <w:rPr>
                      <w:szCs w:val="20"/>
                    </w:rPr>
                    <w:t>WtrHt</w:t>
                  </w:r>
                  <w:proofErr w:type="spellEnd"/>
                  <w:r w:rsidRPr="002E5766">
                    <w:rPr>
                      <w:szCs w:val="20"/>
                    </w:rPr>
                    <w:t>-WH-</w:t>
                  </w:r>
                  <w:proofErr w:type="spellStart"/>
                  <w:r w:rsidRPr="002E5766">
                    <w:rPr>
                      <w:szCs w:val="20"/>
                    </w:rPr>
                    <w:t>Shrhd</w:t>
                  </w:r>
                  <w:proofErr w:type="spellEnd"/>
                </w:p>
              </w:tc>
              <w:tc>
                <w:tcPr>
                  <w:tcW w:w="1195" w:type="pct"/>
                </w:tcPr>
                <w:p w14:paraId="5624E0C7" w14:textId="77777777" w:rsidR="00874425" w:rsidRPr="002E5766" w:rsidRDefault="00874425" w:rsidP="00874425">
                  <w:pPr>
                    <w:rPr>
                      <w:szCs w:val="20"/>
                    </w:rPr>
                  </w:pPr>
                  <w:r w:rsidRPr="002E5766">
                    <w:rPr>
                      <w:szCs w:val="20"/>
                    </w:rPr>
                    <w:t>Low-Flow Showerhead</w:t>
                  </w:r>
                </w:p>
              </w:tc>
              <w:tc>
                <w:tcPr>
                  <w:tcW w:w="713" w:type="pct"/>
                </w:tcPr>
                <w:p w14:paraId="5FD028E7" w14:textId="5AA3B729" w:rsidR="00874425" w:rsidRPr="002E5766" w:rsidRDefault="00874425" w:rsidP="00874425">
                  <w:pPr>
                    <w:rPr>
                      <w:szCs w:val="20"/>
                    </w:rPr>
                  </w:pPr>
                  <w:proofErr w:type="gramStart"/>
                  <w:r w:rsidRPr="002E5766">
                    <w:rPr>
                      <w:szCs w:val="20"/>
                    </w:rPr>
                    <w:t>Com ”Res</w:t>
                  </w:r>
                  <w:proofErr w:type="gramEnd"/>
                  <w:r w:rsidRPr="002E5766">
                    <w:rPr>
                      <w:szCs w:val="20"/>
                    </w:rPr>
                    <w:t>”</w:t>
                  </w:r>
                </w:p>
              </w:tc>
              <w:tc>
                <w:tcPr>
                  <w:tcW w:w="679" w:type="pct"/>
                </w:tcPr>
                <w:p w14:paraId="4FBE145D" w14:textId="77777777" w:rsidR="00874425" w:rsidRPr="002E5766" w:rsidRDefault="00874425" w:rsidP="00874425">
                  <w:pPr>
                    <w:rPr>
                      <w:szCs w:val="20"/>
                    </w:rPr>
                  </w:pPr>
                  <w:r w:rsidRPr="002E5766">
                    <w:rPr>
                      <w:szCs w:val="20"/>
                    </w:rPr>
                    <w:t>SHW</w:t>
                  </w:r>
                </w:p>
              </w:tc>
              <w:tc>
                <w:tcPr>
                  <w:tcW w:w="812" w:type="pct"/>
                </w:tcPr>
                <w:p w14:paraId="4A200395" w14:textId="77777777" w:rsidR="00874425" w:rsidRPr="002E5766" w:rsidRDefault="00874425" w:rsidP="00874425">
                  <w:pPr>
                    <w:rPr>
                      <w:szCs w:val="20"/>
                    </w:rPr>
                  </w:pPr>
                  <w:r w:rsidRPr="002E5766">
                    <w:rPr>
                      <w:szCs w:val="20"/>
                    </w:rPr>
                    <w:t>10</w:t>
                  </w:r>
                </w:p>
              </w:tc>
              <w:tc>
                <w:tcPr>
                  <w:tcW w:w="776" w:type="pct"/>
                </w:tcPr>
                <w:p w14:paraId="49365620" w14:textId="77777777" w:rsidR="00874425" w:rsidRPr="002E5766" w:rsidRDefault="00874425" w:rsidP="00874425">
                  <w:pPr>
                    <w:rPr>
                      <w:szCs w:val="20"/>
                    </w:rPr>
                  </w:pPr>
                  <w:r w:rsidRPr="002E5766">
                    <w:rPr>
                      <w:szCs w:val="20"/>
                    </w:rPr>
                    <w:t>3.3</w:t>
                  </w:r>
                </w:p>
              </w:tc>
            </w:tr>
          </w:tbl>
          <w:p w14:paraId="4659C81B" w14:textId="7E1E402A" w:rsidR="006412EA" w:rsidRPr="00036409" w:rsidRDefault="006412EA" w:rsidP="006412EA">
            <w:pPr>
              <w:tabs>
                <w:tab w:val="right" w:pos="6732"/>
              </w:tabs>
              <w:rPr>
                <w:rFonts w:cstheme="minorHAnsi"/>
                <w:sz w:val="20"/>
                <w:szCs w:val="20"/>
              </w:rPr>
            </w:pPr>
          </w:p>
        </w:tc>
      </w:tr>
      <w:tr w:rsidR="006412EA" w14:paraId="4659C81F" w14:textId="77777777" w:rsidTr="002056CD">
        <w:trPr>
          <w:cantSplit/>
        </w:trPr>
        <w:tc>
          <w:tcPr>
            <w:tcW w:w="1449" w:type="dxa"/>
            <w:vAlign w:val="center"/>
          </w:tcPr>
          <w:p w14:paraId="4659C81D" w14:textId="77777777" w:rsidR="006412EA" w:rsidRPr="001D77F7" w:rsidRDefault="006412EA" w:rsidP="006412EA">
            <w:pPr>
              <w:rPr>
                <w:b/>
              </w:rPr>
            </w:pPr>
            <w:r w:rsidRPr="001D77F7">
              <w:rPr>
                <w:b/>
              </w:rPr>
              <w:t>Section 2. Calculation Methodology</w:t>
            </w:r>
          </w:p>
        </w:tc>
        <w:tc>
          <w:tcPr>
            <w:tcW w:w="9636" w:type="dxa"/>
            <w:vAlign w:val="center"/>
          </w:tcPr>
          <w:p w14:paraId="4659C81E" w14:textId="6EB33DFC" w:rsidR="006412EA" w:rsidRPr="00036409" w:rsidRDefault="006412EA" w:rsidP="006412EA">
            <w:pPr>
              <w:rPr>
                <w:rFonts w:cstheme="minorHAnsi"/>
                <w:sz w:val="20"/>
                <w:szCs w:val="20"/>
              </w:rPr>
            </w:pPr>
          </w:p>
        </w:tc>
      </w:tr>
      <w:tr w:rsidR="006412EA" w14:paraId="4659C822" w14:textId="77777777" w:rsidTr="002056CD">
        <w:trPr>
          <w:cantSplit/>
        </w:trPr>
        <w:tc>
          <w:tcPr>
            <w:tcW w:w="1449" w:type="dxa"/>
            <w:vAlign w:val="center"/>
          </w:tcPr>
          <w:p w14:paraId="4659C820" w14:textId="3A01A8CD" w:rsidR="006412EA" w:rsidRDefault="006412EA" w:rsidP="006412EA">
            <w:pPr>
              <w:jc w:val="right"/>
            </w:pPr>
            <w:r>
              <w:rPr>
                <w:rFonts w:cs="Arial"/>
                <w:sz w:val="20"/>
                <w:szCs w:val="20"/>
              </w:rPr>
              <w:t xml:space="preserve">Energy Savings/Peak Demand Reduction </w:t>
            </w:r>
          </w:p>
        </w:tc>
        <w:tc>
          <w:tcPr>
            <w:tcW w:w="9636" w:type="dxa"/>
          </w:tcPr>
          <w:p w14:paraId="4659C821" w14:textId="11D8C0BC" w:rsidR="006412EA" w:rsidRPr="008E3BF9" w:rsidRDefault="008E3BF9" w:rsidP="008E3BF9">
            <w:pPr>
              <w:tabs>
                <w:tab w:val="right" w:pos="6732"/>
              </w:tabs>
              <w:rPr>
                <w:rFonts w:cstheme="minorHAnsi"/>
                <w:sz w:val="20"/>
                <w:szCs w:val="20"/>
              </w:rPr>
            </w:pPr>
            <w:r w:rsidRPr="008E3BF9">
              <w:rPr>
                <w:rFonts w:cstheme="minorHAnsi"/>
                <w:sz w:val="20"/>
                <w:szCs w:val="20"/>
              </w:rPr>
              <w:t xml:space="preserve">Energy savings calculations </w:t>
            </w:r>
            <w:r w:rsidR="00344ABC">
              <w:rPr>
                <w:rFonts w:cstheme="minorHAnsi"/>
                <w:sz w:val="20"/>
                <w:szCs w:val="20"/>
              </w:rPr>
              <w:t xml:space="preserve">and assumptions </w:t>
            </w:r>
            <w:r w:rsidRPr="008E3BF9">
              <w:rPr>
                <w:rFonts w:cstheme="minorHAnsi"/>
                <w:sz w:val="20"/>
                <w:szCs w:val="20"/>
              </w:rPr>
              <w:t xml:space="preserve">are </w:t>
            </w:r>
            <w:r>
              <w:rPr>
                <w:rFonts w:cstheme="minorHAnsi"/>
                <w:sz w:val="20"/>
                <w:szCs w:val="20"/>
              </w:rPr>
              <w:t xml:space="preserve">detailed in </w:t>
            </w:r>
            <w:r w:rsidR="00CD1653" w:rsidRPr="00D85293">
              <w:rPr>
                <w:rFonts w:cstheme="minorHAnsi"/>
                <w:sz w:val="20"/>
                <w:szCs w:val="20"/>
              </w:rPr>
              <w:t>SCG</w:t>
            </w:r>
            <w:r w:rsidR="00CD1653">
              <w:rPr>
                <w:rFonts w:cstheme="minorHAnsi"/>
                <w:sz w:val="20"/>
                <w:szCs w:val="20"/>
              </w:rPr>
              <w:t xml:space="preserve"> workpaper </w:t>
            </w:r>
            <w:r w:rsidR="00CD1653" w:rsidRPr="00D85293">
              <w:rPr>
                <w:rFonts w:cstheme="minorHAnsi"/>
                <w:sz w:val="20"/>
                <w:szCs w:val="20"/>
              </w:rPr>
              <w:t>WPSCGNRWH170412A Rev</w:t>
            </w:r>
            <w:r w:rsidR="00CD1653">
              <w:rPr>
                <w:rFonts w:cstheme="minorHAnsi"/>
                <w:sz w:val="20"/>
                <w:szCs w:val="20"/>
              </w:rPr>
              <w:t>1. SDG&amp;E has reviewed and adopted all assumptions and savings.</w:t>
            </w:r>
          </w:p>
        </w:tc>
      </w:tr>
      <w:tr w:rsidR="006412EA" w14:paraId="4659C825" w14:textId="77777777" w:rsidTr="002056CD">
        <w:trPr>
          <w:cantSplit/>
        </w:trPr>
        <w:tc>
          <w:tcPr>
            <w:tcW w:w="1449" w:type="dxa"/>
            <w:vAlign w:val="center"/>
          </w:tcPr>
          <w:p w14:paraId="4659C823" w14:textId="77777777" w:rsidR="006412EA" w:rsidRPr="001D77F7" w:rsidRDefault="006412EA" w:rsidP="006412EA">
            <w:pPr>
              <w:rPr>
                <w:b/>
              </w:rPr>
            </w:pPr>
            <w:r w:rsidRPr="001D77F7">
              <w:rPr>
                <w:b/>
              </w:rPr>
              <w:t>Section 3. Load Shapes</w:t>
            </w:r>
          </w:p>
        </w:tc>
        <w:tc>
          <w:tcPr>
            <w:tcW w:w="9636" w:type="dxa"/>
          </w:tcPr>
          <w:p w14:paraId="3273551C" w14:textId="52D5F20C" w:rsidR="00BA40DE" w:rsidRDefault="00BA40DE" w:rsidP="006412EA">
            <w:pPr>
              <w:tabs>
                <w:tab w:val="right" w:pos="6732"/>
              </w:tabs>
              <w:rPr>
                <w:rFonts w:cstheme="minorHAnsi"/>
                <w:sz w:val="20"/>
                <w:szCs w:val="20"/>
              </w:rPr>
            </w:pPr>
            <w:r>
              <w:rPr>
                <w:rFonts w:cstheme="minorHAnsi"/>
                <w:sz w:val="20"/>
                <w:szCs w:val="20"/>
              </w:rPr>
              <w:t xml:space="preserve">There are no existing commercial water heater or showerhead electric load shapes. The energy savings for this workpaper are gas only therefore the closest electric load profile was chosen. </w:t>
            </w:r>
          </w:p>
          <w:p w14:paraId="7B355AD7" w14:textId="487B04C8" w:rsidR="00CD1653" w:rsidRDefault="00BA40DE" w:rsidP="006412EA">
            <w:pPr>
              <w:tabs>
                <w:tab w:val="right" w:pos="6732"/>
              </w:tabs>
              <w:rPr>
                <w:rFonts w:cstheme="minorHAnsi"/>
                <w:sz w:val="20"/>
                <w:szCs w:val="20"/>
              </w:rPr>
            </w:pPr>
            <w:r>
              <w:rPr>
                <w:rFonts w:cstheme="minorHAnsi"/>
                <w:sz w:val="20"/>
                <w:szCs w:val="20"/>
              </w:rPr>
              <w:t xml:space="preserve">Electric Impact Profile - </w:t>
            </w:r>
            <w:proofErr w:type="spellStart"/>
            <w:proofErr w:type="gramStart"/>
            <w:r>
              <w:rPr>
                <w:rFonts w:cstheme="minorHAnsi"/>
                <w:sz w:val="20"/>
                <w:szCs w:val="20"/>
              </w:rPr>
              <w:t>SDGE:DEER</w:t>
            </w:r>
            <w:proofErr w:type="gramEnd"/>
            <w:r>
              <w:rPr>
                <w:rFonts w:cstheme="minorHAnsi"/>
                <w:sz w:val="20"/>
                <w:szCs w:val="20"/>
              </w:rPr>
              <w:t>:ClothesDishWasher</w:t>
            </w:r>
            <w:proofErr w:type="spellEnd"/>
          </w:p>
          <w:p w14:paraId="2C6145A9" w14:textId="02087DBB" w:rsidR="00BA40DE" w:rsidRDefault="00BA40DE" w:rsidP="00BA40DE">
            <w:pPr>
              <w:tabs>
                <w:tab w:val="right" w:pos="6732"/>
              </w:tabs>
              <w:rPr>
                <w:rFonts w:cstheme="minorHAnsi"/>
                <w:sz w:val="20"/>
                <w:szCs w:val="20"/>
              </w:rPr>
            </w:pPr>
            <w:r>
              <w:rPr>
                <w:rFonts w:cstheme="minorHAnsi"/>
                <w:sz w:val="20"/>
                <w:szCs w:val="20"/>
              </w:rPr>
              <w:t>Gas Impact Profile - Annual</w:t>
            </w:r>
          </w:p>
          <w:p w14:paraId="2858768E" w14:textId="77777777" w:rsidR="00BA40DE" w:rsidRDefault="00BA40DE" w:rsidP="006412EA">
            <w:pPr>
              <w:tabs>
                <w:tab w:val="right" w:pos="6732"/>
              </w:tabs>
              <w:rPr>
                <w:rFonts w:cstheme="minorHAnsi"/>
                <w:sz w:val="20"/>
                <w:szCs w:val="20"/>
              </w:rPr>
            </w:pPr>
          </w:p>
          <w:p w14:paraId="4659C824" w14:textId="307F8D32" w:rsidR="005D5E49" w:rsidRPr="00036409" w:rsidRDefault="005D5E49" w:rsidP="006412EA">
            <w:pPr>
              <w:tabs>
                <w:tab w:val="right" w:pos="6732"/>
              </w:tabs>
              <w:rPr>
                <w:rFonts w:cstheme="minorHAnsi"/>
                <w:sz w:val="20"/>
                <w:szCs w:val="20"/>
              </w:rPr>
            </w:pPr>
          </w:p>
        </w:tc>
      </w:tr>
      <w:tr w:rsidR="006412EA" w14:paraId="4659C828" w14:textId="77777777" w:rsidTr="002056CD">
        <w:trPr>
          <w:cantSplit/>
        </w:trPr>
        <w:tc>
          <w:tcPr>
            <w:tcW w:w="1449" w:type="dxa"/>
            <w:vAlign w:val="center"/>
          </w:tcPr>
          <w:p w14:paraId="4659C826" w14:textId="77777777" w:rsidR="006412EA" w:rsidRPr="001D77F7" w:rsidRDefault="006412EA" w:rsidP="006412EA">
            <w:pPr>
              <w:rPr>
                <w:b/>
              </w:rPr>
            </w:pPr>
            <w:r w:rsidRPr="001D77F7">
              <w:rPr>
                <w:b/>
              </w:rPr>
              <w:lastRenderedPageBreak/>
              <w:t>Section 4. Costs</w:t>
            </w:r>
          </w:p>
        </w:tc>
        <w:tc>
          <w:tcPr>
            <w:tcW w:w="9636" w:type="dxa"/>
          </w:tcPr>
          <w:p w14:paraId="5DF08040" w14:textId="77777777" w:rsidR="006412EA" w:rsidRDefault="006412EA" w:rsidP="006412EA">
            <w:pPr>
              <w:rPr>
                <w:rFonts w:cstheme="minorHAnsi"/>
                <w:sz w:val="20"/>
                <w:szCs w:val="20"/>
              </w:rPr>
            </w:pPr>
          </w:p>
          <w:p w14:paraId="4659C827" w14:textId="35E99B1D" w:rsidR="00DC4A2F" w:rsidRPr="00036409" w:rsidRDefault="00DC4A2F" w:rsidP="006412EA">
            <w:pPr>
              <w:rPr>
                <w:rFonts w:cstheme="minorHAnsi"/>
                <w:sz w:val="20"/>
                <w:szCs w:val="20"/>
              </w:rPr>
            </w:pPr>
          </w:p>
        </w:tc>
      </w:tr>
      <w:tr w:rsidR="006412EA" w14:paraId="4659C831" w14:textId="77777777" w:rsidTr="002056CD">
        <w:trPr>
          <w:cantSplit/>
        </w:trPr>
        <w:tc>
          <w:tcPr>
            <w:tcW w:w="1449" w:type="dxa"/>
          </w:tcPr>
          <w:p w14:paraId="0C952A46" w14:textId="77777777" w:rsidR="000E63F9" w:rsidRDefault="000E63F9" w:rsidP="006412EA">
            <w:pPr>
              <w:jc w:val="right"/>
              <w:rPr>
                <w:sz w:val="20"/>
                <w:szCs w:val="20"/>
              </w:rPr>
            </w:pPr>
          </w:p>
          <w:p w14:paraId="308BE385" w14:textId="77777777" w:rsidR="000E63F9" w:rsidRDefault="000E63F9" w:rsidP="006412EA">
            <w:pPr>
              <w:jc w:val="right"/>
              <w:rPr>
                <w:sz w:val="20"/>
                <w:szCs w:val="20"/>
              </w:rPr>
            </w:pPr>
          </w:p>
          <w:p w14:paraId="75F2B6A1" w14:textId="77777777" w:rsidR="000E63F9" w:rsidRDefault="000E63F9" w:rsidP="006412EA">
            <w:pPr>
              <w:jc w:val="right"/>
              <w:rPr>
                <w:sz w:val="20"/>
                <w:szCs w:val="20"/>
              </w:rPr>
            </w:pPr>
          </w:p>
          <w:p w14:paraId="1B90366A" w14:textId="77777777" w:rsidR="000E63F9" w:rsidRDefault="000E63F9" w:rsidP="006412EA">
            <w:pPr>
              <w:jc w:val="right"/>
              <w:rPr>
                <w:sz w:val="20"/>
                <w:szCs w:val="20"/>
              </w:rPr>
            </w:pPr>
          </w:p>
          <w:p w14:paraId="7A65D8FA" w14:textId="77777777" w:rsidR="000E63F9" w:rsidRDefault="000E63F9" w:rsidP="006412EA">
            <w:pPr>
              <w:jc w:val="right"/>
              <w:rPr>
                <w:sz w:val="20"/>
                <w:szCs w:val="20"/>
              </w:rPr>
            </w:pPr>
          </w:p>
          <w:p w14:paraId="6C4D8CFE" w14:textId="77777777" w:rsidR="000E63F9" w:rsidRDefault="000E63F9" w:rsidP="006412EA">
            <w:pPr>
              <w:jc w:val="right"/>
              <w:rPr>
                <w:sz w:val="20"/>
                <w:szCs w:val="20"/>
              </w:rPr>
            </w:pPr>
          </w:p>
          <w:p w14:paraId="168222B2" w14:textId="77777777" w:rsidR="000E63F9" w:rsidRDefault="000E63F9" w:rsidP="006412EA">
            <w:pPr>
              <w:jc w:val="right"/>
              <w:rPr>
                <w:sz w:val="20"/>
                <w:szCs w:val="20"/>
              </w:rPr>
            </w:pPr>
          </w:p>
          <w:p w14:paraId="67AF5CF3" w14:textId="77777777" w:rsidR="000E63F9" w:rsidRDefault="000E63F9" w:rsidP="006412EA">
            <w:pPr>
              <w:jc w:val="right"/>
              <w:rPr>
                <w:sz w:val="20"/>
                <w:szCs w:val="20"/>
              </w:rPr>
            </w:pPr>
          </w:p>
          <w:p w14:paraId="226083AB" w14:textId="77777777" w:rsidR="000E63F9" w:rsidRDefault="000E63F9" w:rsidP="006412EA">
            <w:pPr>
              <w:jc w:val="right"/>
              <w:rPr>
                <w:sz w:val="20"/>
                <w:szCs w:val="20"/>
              </w:rPr>
            </w:pPr>
          </w:p>
          <w:p w14:paraId="4AC2D33F" w14:textId="77777777" w:rsidR="000E63F9" w:rsidRDefault="000E63F9" w:rsidP="006412EA">
            <w:pPr>
              <w:jc w:val="right"/>
              <w:rPr>
                <w:sz w:val="20"/>
                <w:szCs w:val="20"/>
              </w:rPr>
            </w:pPr>
          </w:p>
          <w:p w14:paraId="363E86C7" w14:textId="77777777" w:rsidR="000E63F9" w:rsidRDefault="000E63F9" w:rsidP="006412EA">
            <w:pPr>
              <w:jc w:val="right"/>
              <w:rPr>
                <w:sz w:val="20"/>
                <w:szCs w:val="20"/>
              </w:rPr>
            </w:pPr>
          </w:p>
          <w:p w14:paraId="4DE70B3D" w14:textId="77777777" w:rsidR="000E63F9" w:rsidRDefault="000E63F9" w:rsidP="006412EA">
            <w:pPr>
              <w:jc w:val="right"/>
              <w:rPr>
                <w:sz w:val="20"/>
                <w:szCs w:val="20"/>
              </w:rPr>
            </w:pPr>
          </w:p>
          <w:p w14:paraId="05CFD7EE" w14:textId="77777777" w:rsidR="000E63F9" w:rsidRDefault="000E63F9" w:rsidP="006412EA">
            <w:pPr>
              <w:jc w:val="right"/>
              <w:rPr>
                <w:sz w:val="20"/>
                <w:szCs w:val="20"/>
              </w:rPr>
            </w:pPr>
          </w:p>
          <w:p w14:paraId="5C137D44" w14:textId="77777777" w:rsidR="000E63F9" w:rsidRDefault="000E63F9" w:rsidP="006412EA">
            <w:pPr>
              <w:jc w:val="right"/>
              <w:rPr>
                <w:sz w:val="20"/>
                <w:szCs w:val="20"/>
              </w:rPr>
            </w:pPr>
          </w:p>
          <w:p w14:paraId="78897572" w14:textId="77777777" w:rsidR="000E63F9" w:rsidRDefault="000E63F9" w:rsidP="006412EA">
            <w:pPr>
              <w:jc w:val="right"/>
              <w:rPr>
                <w:sz w:val="20"/>
                <w:szCs w:val="20"/>
              </w:rPr>
            </w:pPr>
          </w:p>
          <w:p w14:paraId="4659C82F" w14:textId="65AEA8AA" w:rsidR="006412EA" w:rsidRPr="00822B6F" w:rsidRDefault="006412EA" w:rsidP="006412EA">
            <w:pPr>
              <w:jc w:val="right"/>
              <w:rPr>
                <w:sz w:val="20"/>
                <w:szCs w:val="20"/>
              </w:rPr>
            </w:pPr>
            <w:r>
              <w:rPr>
                <w:sz w:val="20"/>
                <w:szCs w:val="20"/>
              </w:rPr>
              <w:t xml:space="preserve">Measure Cost </w:t>
            </w:r>
          </w:p>
        </w:tc>
        <w:tc>
          <w:tcPr>
            <w:tcW w:w="9636" w:type="dxa"/>
          </w:tcPr>
          <w:p w14:paraId="79D917D0" w14:textId="4B764D44" w:rsidR="00AC6D88" w:rsidRPr="008F18F8" w:rsidRDefault="00AC6D88" w:rsidP="00AC6D88">
            <w:pPr>
              <w:pStyle w:val="SubsectionStyle"/>
              <w:numPr>
                <w:ilvl w:val="0"/>
                <w:numId w:val="0"/>
              </w:numPr>
              <w:rPr>
                <w:rFonts w:asciiTheme="minorHAnsi" w:hAnsiTheme="minorHAnsi" w:cstheme="minorHAnsi"/>
                <w:sz w:val="20"/>
              </w:rPr>
            </w:pPr>
            <w:bookmarkStart w:id="6" w:name="_Toc442427778"/>
            <w:bookmarkStart w:id="7" w:name="_Toc502148154"/>
            <w:r w:rsidRPr="008F18F8">
              <w:rPr>
                <w:rFonts w:asciiTheme="minorHAnsi" w:hAnsiTheme="minorHAnsi" w:cstheme="minorHAnsi"/>
                <w:sz w:val="20"/>
              </w:rPr>
              <w:t>Base Case Cost</w:t>
            </w:r>
            <w:bookmarkEnd w:id="6"/>
            <w:bookmarkEnd w:id="7"/>
          </w:p>
          <w:p w14:paraId="477C7AF6" w14:textId="4278BD0D" w:rsidR="00E02BEF" w:rsidRPr="008F18F8" w:rsidRDefault="00AC6D88" w:rsidP="00AC6D88">
            <w:pPr>
              <w:ind w:left="270"/>
              <w:rPr>
                <w:rFonts w:cstheme="minorHAnsi"/>
                <w:sz w:val="20"/>
                <w:szCs w:val="20"/>
              </w:rPr>
            </w:pPr>
            <w:r w:rsidRPr="008F18F8">
              <w:rPr>
                <w:rFonts w:cstheme="minorHAnsi"/>
                <w:sz w:val="20"/>
                <w:szCs w:val="20"/>
              </w:rPr>
              <w:t>Revised DEER cost data for 2.</w:t>
            </w:r>
            <w:r w:rsidR="00CC5662">
              <w:rPr>
                <w:rFonts w:cstheme="minorHAnsi"/>
                <w:sz w:val="20"/>
                <w:szCs w:val="20"/>
              </w:rPr>
              <w:t>2</w:t>
            </w:r>
            <w:r w:rsidRPr="008F18F8">
              <w:rPr>
                <w:rFonts w:cstheme="minorHAnsi"/>
                <w:sz w:val="20"/>
                <w:szCs w:val="20"/>
              </w:rPr>
              <w:t>5 GPM showerhead measure</w:t>
            </w:r>
            <w:r w:rsidRPr="008F18F8">
              <w:rPr>
                <w:rFonts w:cstheme="minorHAnsi"/>
                <w:sz w:val="20"/>
                <w:szCs w:val="20"/>
              </w:rPr>
              <w:fldChar w:fldCharType="begin"/>
            </w:r>
            <w:r w:rsidRPr="008F18F8">
              <w:rPr>
                <w:rFonts w:cstheme="minorHAnsi"/>
                <w:sz w:val="20"/>
                <w:szCs w:val="20"/>
              </w:rPr>
              <w:instrText xml:space="preserve"> XE "showerheads" </w:instrText>
            </w:r>
            <w:r w:rsidRPr="008F18F8">
              <w:rPr>
                <w:rFonts w:cstheme="minorHAnsi"/>
                <w:sz w:val="20"/>
                <w:szCs w:val="20"/>
              </w:rPr>
              <w:fldChar w:fldCharType="end"/>
            </w:r>
            <w:r w:rsidRPr="008F18F8">
              <w:rPr>
                <w:rFonts w:cstheme="minorHAnsi"/>
                <w:sz w:val="20"/>
                <w:szCs w:val="20"/>
              </w:rPr>
              <w:t xml:space="preserve"> was used for installed base cost.  The equipment/material cost per unit ($/unit) is $14.32, while the installation cost is $16.74 per unit.  The total installed base cost per unit is $31.06.  The base material cost and base labor cost for Early Retirement is $0.00.</w:t>
            </w:r>
          </w:p>
          <w:p w14:paraId="5D1ABFDB" w14:textId="50FBAC24" w:rsidR="00E02BEF" w:rsidRPr="008F18F8" w:rsidRDefault="00AC6D88" w:rsidP="00E02BEF">
            <w:pPr>
              <w:rPr>
                <w:rFonts w:cstheme="minorHAnsi"/>
                <w:sz w:val="20"/>
                <w:szCs w:val="20"/>
              </w:rPr>
            </w:pPr>
            <w:r w:rsidRPr="008F18F8">
              <w:rPr>
                <w:rFonts w:cstheme="minorHAnsi"/>
                <w:sz w:val="20"/>
                <w:szCs w:val="20"/>
              </w:rPr>
              <w:t xml:space="preserve"> </w:t>
            </w:r>
            <w:r w:rsidR="00E02BEF" w:rsidRPr="008F18F8">
              <w:rPr>
                <w:rFonts w:cstheme="minorHAnsi"/>
                <w:sz w:val="20"/>
                <w:szCs w:val="20"/>
              </w:rPr>
              <w:t xml:space="preserve">    </w:t>
            </w:r>
            <w:r w:rsidR="00CA5962">
              <w:rPr>
                <w:rFonts w:cstheme="minorHAnsi"/>
                <w:sz w:val="20"/>
                <w:szCs w:val="20"/>
              </w:rPr>
              <w:t xml:space="preserve"> </w:t>
            </w:r>
            <w:r w:rsidR="00E02BEF" w:rsidRPr="008F18F8">
              <w:rPr>
                <w:rFonts w:cstheme="minorHAnsi"/>
                <w:sz w:val="20"/>
                <w:szCs w:val="20"/>
              </w:rPr>
              <w:t xml:space="preserve">Base Cost = $ 0.00 </w:t>
            </w:r>
          </w:p>
          <w:p w14:paraId="663F2147" w14:textId="14666684" w:rsidR="00E02BEF" w:rsidRPr="008F18F8" w:rsidRDefault="00E02BEF" w:rsidP="00E02BEF">
            <w:pPr>
              <w:rPr>
                <w:rFonts w:cstheme="minorHAnsi"/>
                <w:sz w:val="20"/>
                <w:szCs w:val="20"/>
              </w:rPr>
            </w:pPr>
            <w:r w:rsidRPr="008F18F8">
              <w:rPr>
                <w:rFonts w:cstheme="minorHAnsi"/>
                <w:sz w:val="20"/>
                <w:szCs w:val="20"/>
              </w:rPr>
              <w:t xml:space="preserve">      Stand</w:t>
            </w:r>
            <w:r w:rsidR="003C026C">
              <w:rPr>
                <w:rFonts w:cstheme="minorHAnsi"/>
                <w:sz w:val="20"/>
                <w:szCs w:val="20"/>
              </w:rPr>
              <w:t>ard Cost ID = “</w:t>
            </w:r>
            <w:proofErr w:type="spellStart"/>
            <w:r w:rsidR="003C026C">
              <w:rPr>
                <w:rFonts w:cstheme="minorHAnsi"/>
                <w:sz w:val="20"/>
                <w:szCs w:val="20"/>
              </w:rPr>
              <w:t>BaseCostZero</w:t>
            </w:r>
            <w:proofErr w:type="spellEnd"/>
            <w:r w:rsidR="003C026C">
              <w:rPr>
                <w:rFonts w:cstheme="minorHAnsi"/>
                <w:sz w:val="20"/>
                <w:szCs w:val="20"/>
              </w:rPr>
              <w:t>” = 0</w:t>
            </w:r>
          </w:p>
          <w:p w14:paraId="2053FDFE" w14:textId="41AA661C" w:rsidR="00AC6D88" w:rsidRPr="008F18F8" w:rsidRDefault="00AC6D88" w:rsidP="00AC6D88">
            <w:pPr>
              <w:pStyle w:val="SubsectionStyle"/>
              <w:numPr>
                <w:ilvl w:val="0"/>
                <w:numId w:val="0"/>
              </w:numPr>
              <w:rPr>
                <w:rFonts w:asciiTheme="minorHAnsi" w:hAnsiTheme="minorHAnsi" w:cstheme="minorHAnsi"/>
                <w:sz w:val="20"/>
              </w:rPr>
            </w:pPr>
            <w:bookmarkStart w:id="8" w:name="_Toc442427779"/>
            <w:bookmarkStart w:id="9" w:name="_Toc502148155"/>
            <w:r w:rsidRPr="008F18F8">
              <w:rPr>
                <w:rFonts w:asciiTheme="minorHAnsi" w:hAnsiTheme="minorHAnsi" w:cstheme="minorHAnsi"/>
                <w:sz w:val="20"/>
              </w:rPr>
              <w:t>Gross Measure Cost</w:t>
            </w:r>
            <w:bookmarkEnd w:id="8"/>
            <w:bookmarkEnd w:id="9"/>
          </w:p>
          <w:p w14:paraId="5143AAE0" w14:textId="6EBF574C" w:rsidR="00AC6D88" w:rsidRPr="008F18F8" w:rsidRDefault="00AC6D88" w:rsidP="00AC6D88">
            <w:pPr>
              <w:ind w:left="270"/>
              <w:rPr>
                <w:rFonts w:cstheme="minorHAnsi"/>
                <w:sz w:val="20"/>
                <w:szCs w:val="20"/>
              </w:rPr>
            </w:pPr>
            <w:r w:rsidRPr="008F18F8">
              <w:rPr>
                <w:rFonts w:cstheme="minorHAnsi"/>
                <w:sz w:val="20"/>
                <w:szCs w:val="20"/>
              </w:rPr>
              <w:t>Low flow showerheads will have the same cost as a 2.0 GPM showerhead cost in DEER2008. The DEER 2008 measure cost is $45.96, to replace greater than 2.</w:t>
            </w:r>
            <w:r w:rsidR="00CC5662">
              <w:rPr>
                <w:rFonts w:cstheme="minorHAnsi"/>
                <w:sz w:val="20"/>
                <w:szCs w:val="20"/>
              </w:rPr>
              <w:t>2</w:t>
            </w:r>
            <w:r w:rsidRPr="008F18F8">
              <w:rPr>
                <w:rFonts w:cstheme="minorHAnsi"/>
                <w:sz w:val="20"/>
                <w:szCs w:val="20"/>
              </w:rPr>
              <w:t>5 GPM (~4-6 GPM) shower-heads with 2.0 GPM showerheads.  The components of low flow showerhead fixtures are fundamentally the same, thus low flow showerheads will not incur any additional cost.  In addition, installation costs will be the same for low flow showerheads</w:t>
            </w:r>
            <w:r w:rsidR="00D01067" w:rsidRPr="008F18F8">
              <w:rPr>
                <w:rFonts w:cstheme="minorHAnsi"/>
                <w:sz w:val="20"/>
                <w:szCs w:val="20"/>
              </w:rPr>
              <w:t>.</w:t>
            </w:r>
          </w:p>
          <w:p w14:paraId="2BFF36A8" w14:textId="77777777" w:rsidR="00AC6D88" w:rsidRPr="008F18F8" w:rsidRDefault="00AC6D88" w:rsidP="00AC6D88">
            <w:pPr>
              <w:rPr>
                <w:rFonts w:cstheme="minorHAnsi"/>
                <w:sz w:val="20"/>
                <w:szCs w:val="20"/>
              </w:rPr>
            </w:pPr>
          </w:p>
          <w:p w14:paraId="78E0985B" w14:textId="77777777" w:rsidR="00AC6D88" w:rsidRPr="008F18F8" w:rsidRDefault="00AC6D88" w:rsidP="00AC6D88">
            <w:pPr>
              <w:ind w:left="270"/>
              <w:rPr>
                <w:rFonts w:cstheme="minorHAnsi"/>
                <w:sz w:val="20"/>
                <w:szCs w:val="20"/>
              </w:rPr>
            </w:pPr>
            <w:r w:rsidRPr="008F18F8">
              <w:rPr>
                <w:rFonts w:cstheme="minorHAnsi"/>
                <w:sz w:val="20"/>
                <w:szCs w:val="20"/>
              </w:rPr>
              <w:t>The DEER equipment cost per unit ($/unit) is $29.22 for low flow showerheads, and the installation labor cost is $16.74.  The total installed measure cost per unit is $45.96, same as the base cost.</w:t>
            </w:r>
          </w:p>
          <w:p w14:paraId="5B41C648" w14:textId="77777777" w:rsidR="00AC6D88" w:rsidRPr="008F18F8" w:rsidRDefault="00AC6D88" w:rsidP="00AC6D88">
            <w:pPr>
              <w:rPr>
                <w:rFonts w:cstheme="minorHAnsi"/>
                <w:sz w:val="20"/>
                <w:szCs w:val="20"/>
              </w:rPr>
            </w:pPr>
          </w:p>
          <w:p w14:paraId="05608F4D" w14:textId="77777777" w:rsidR="00AC6D88" w:rsidRPr="008F18F8" w:rsidRDefault="00AC6D88" w:rsidP="00AC6D88">
            <w:pPr>
              <w:pStyle w:val="Reminders"/>
              <w:ind w:left="270"/>
              <w:rPr>
                <w:rFonts w:asciiTheme="minorHAnsi" w:hAnsiTheme="minorHAnsi" w:cstheme="minorHAnsi"/>
                <w:i w:val="0"/>
                <w:color w:val="auto"/>
                <w:sz w:val="20"/>
                <w:szCs w:val="20"/>
              </w:rPr>
            </w:pPr>
            <w:r w:rsidRPr="008F18F8">
              <w:rPr>
                <w:rFonts w:asciiTheme="minorHAnsi" w:hAnsiTheme="minorHAnsi" w:cstheme="minorHAnsi"/>
                <w:i w:val="0"/>
                <w:color w:val="auto"/>
                <w:sz w:val="20"/>
                <w:szCs w:val="20"/>
              </w:rPr>
              <w:t xml:space="preserve">For ER measures, a dual baseline is adopted. RUL will equal to  </w:t>
            </w:r>
            <m:oMath>
              <m:d>
                <m:dPr>
                  <m:ctrlPr>
                    <w:rPr>
                      <w:rFonts w:ascii="Cambria Math" w:hAnsi="Cambria Math" w:cstheme="minorHAnsi"/>
                      <w:color w:val="auto"/>
                      <w:sz w:val="20"/>
                      <w:szCs w:val="20"/>
                    </w:rPr>
                  </m:ctrlPr>
                </m:dPr>
                <m:e>
                  <m:r>
                    <w:rPr>
                      <w:rFonts w:ascii="Cambria Math" w:hAnsi="Cambria Math" w:cstheme="minorHAnsi"/>
                      <w:color w:val="auto"/>
                      <w:sz w:val="20"/>
                      <w:szCs w:val="20"/>
                    </w:rPr>
                    <m:t xml:space="preserve">RUL= </m:t>
                  </m:r>
                  <m:f>
                    <m:fPr>
                      <m:ctrlPr>
                        <w:rPr>
                          <w:rFonts w:ascii="Cambria Math" w:hAnsi="Cambria Math" w:cstheme="minorHAnsi"/>
                          <w:color w:val="auto"/>
                          <w:sz w:val="20"/>
                          <w:szCs w:val="20"/>
                        </w:rPr>
                      </m:ctrlPr>
                    </m:fPr>
                    <m:num>
                      <m:r>
                        <w:rPr>
                          <w:rFonts w:ascii="Cambria Math" w:hAnsi="Cambria Math" w:cstheme="minorHAnsi"/>
                          <w:color w:val="auto"/>
                          <w:sz w:val="20"/>
                          <w:szCs w:val="20"/>
                        </w:rPr>
                        <m:t>1</m:t>
                      </m:r>
                    </m:num>
                    <m:den>
                      <m:r>
                        <w:rPr>
                          <w:rFonts w:ascii="Cambria Math" w:hAnsi="Cambria Math" w:cstheme="minorHAnsi"/>
                          <w:color w:val="auto"/>
                          <w:sz w:val="20"/>
                          <w:szCs w:val="20"/>
                        </w:rPr>
                        <m:t>3</m:t>
                      </m:r>
                    </m:den>
                  </m:f>
                  <m:r>
                    <w:rPr>
                      <w:rFonts w:ascii="Cambria Math" w:hAnsi="Cambria Math" w:cstheme="minorHAnsi"/>
                      <w:color w:val="auto"/>
                      <w:sz w:val="20"/>
                      <w:szCs w:val="20"/>
                    </w:rPr>
                    <m:t>*EUL</m:t>
                  </m:r>
                </m:e>
              </m:d>
              <m:r>
                <w:rPr>
                  <w:rFonts w:ascii="Cambria Math" w:hAnsi="Cambria Math" w:cstheme="minorHAnsi"/>
                  <w:color w:val="auto"/>
                  <w:sz w:val="20"/>
                  <w:szCs w:val="20"/>
                </w:rPr>
                <m:t xml:space="preserve"> </m:t>
              </m:r>
            </m:oMath>
            <w:r w:rsidRPr="008F18F8">
              <w:rPr>
                <w:rFonts w:asciiTheme="minorHAnsi" w:hAnsiTheme="minorHAnsi" w:cstheme="minorHAnsi"/>
                <w:i w:val="0"/>
                <w:color w:val="auto"/>
                <w:sz w:val="20"/>
                <w:szCs w:val="20"/>
              </w:rPr>
              <w:t xml:space="preserve"> . In the remaining useful life (RUL) of the measure, there will be no base total cost in upgrading from 2.25 GPM showerheads to less than 2.0 GPM showerheads. However, the base total cost will be $31.06 after the remaining useful life.</w:t>
            </w:r>
          </w:p>
          <w:p w14:paraId="646639F6" w14:textId="78AEB7BD" w:rsidR="00AC6D88" w:rsidRPr="008F18F8" w:rsidRDefault="00AC6D88" w:rsidP="00D01067">
            <w:pPr>
              <w:pStyle w:val="SubsectionStyle"/>
              <w:numPr>
                <w:ilvl w:val="0"/>
                <w:numId w:val="0"/>
              </w:numPr>
              <w:rPr>
                <w:rFonts w:asciiTheme="minorHAnsi" w:hAnsiTheme="minorHAnsi" w:cstheme="minorHAnsi"/>
                <w:sz w:val="20"/>
              </w:rPr>
            </w:pPr>
            <w:bookmarkStart w:id="10" w:name="_Toc442427780"/>
            <w:bookmarkStart w:id="11" w:name="_Toc502148156"/>
            <w:r w:rsidRPr="008F18F8">
              <w:rPr>
                <w:rFonts w:asciiTheme="minorHAnsi" w:hAnsiTheme="minorHAnsi" w:cstheme="minorHAnsi"/>
                <w:sz w:val="20"/>
              </w:rPr>
              <w:t>Full and Incremental Measure Cost</w:t>
            </w:r>
            <w:bookmarkEnd w:id="10"/>
            <w:bookmarkEnd w:id="11"/>
            <w:r w:rsidRPr="008F18F8">
              <w:rPr>
                <w:rFonts w:asciiTheme="minorHAnsi" w:hAnsiTheme="minorHAnsi" w:cstheme="minorHAnsi"/>
                <w:sz w:val="20"/>
              </w:rPr>
              <w:t xml:space="preserve"> </w:t>
            </w:r>
          </w:p>
          <w:p w14:paraId="40CA8D06" w14:textId="0B464FF7" w:rsidR="00AC6D88" w:rsidRDefault="00AC6D88" w:rsidP="00AC6D88">
            <w:pPr>
              <w:pStyle w:val="Reminders"/>
              <w:spacing w:before="0"/>
              <w:ind w:left="360"/>
              <w:rPr>
                <w:rFonts w:asciiTheme="minorHAnsi" w:hAnsiTheme="minorHAnsi" w:cstheme="minorHAnsi"/>
                <w:i w:val="0"/>
                <w:color w:val="auto"/>
                <w:sz w:val="20"/>
                <w:szCs w:val="20"/>
              </w:rPr>
            </w:pPr>
            <w:r w:rsidRPr="008F18F8">
              <w:rPr>
                <w:rFonts w:asciiTheme="minorHAnsi" w:hAnsiTheme="minorHAnsi" w:cstheme="minorHAnsi"/>
                <w:i w:val="0"/>
                <w:color w:val="auto"/>
                <w:sz w:val="20"/>
                <w:szCs w:val="20"/>
              </w:rPr>
              <w:t>The incremental measure cost is the difference between the measure total cost and the base total cost. In ER programs, the base total cost is $0 in the first baseline (existing) and $31.06 in the second baseline (code); however, the measure total cost is $45.96 in the first baseline and $14.90 in the second baseline.</w:t>
            </w:r>
          </w:p>
          <w:p w14:paraId="23766381" w14:textId="77777777" w:rsidR="00AC1E88" w:rsidRPr="008F18F8" w:rsidRDefault="00AC1E88" w:rsidP="00AC6D88">
            <w:pPr>
              <w:pStyle w:val="Reminders"/>
              <w:spacing w:before="0"/>
              <w:ind w:left="360"/>
              <w:rPr>
                <w:rFonts w:asciiTheme="minorHAnsi" w:hAnsiTheme="minorHAnsi" w:cstheme="minorHAnsi"/>
                <w:i w:val="0"/>
                <w:color w:val="auto"/>
                <w:sz w:val="20"/>
                <w:szCs w:val="20"/>
              </w:rPr>
            </w:pPr>
          </w:p>
          <w:p w14:paraId="17AACF9A" w14:textId="77777777" w:rsidR="00AC6D88" w:rsidRPr="008F18F8" w:rsidRDefault="00AC6D88" w:rsidP="00AC6D88">
            <w:pPr>
              <w:pStyle w:val="Caption"/>
              <w:rPr>
                <w:rFonts w:cstheme="minorHAnsi"/>
                <w:sz w:val="20"/>
                <w:szCs w:val="20"/>
              </w:rPr>
            </w:pPr>
            <w:bookmarkStart w:id="12" w:name="_MON_1399297811"/>
            <w:bookmarkStart w:id="13" w:name="_Toc501451185"/>
            <w:bookmarkEnd w:id="12"/>
            <w:r w:rsidRPr="008F18F8">
              <w:rPr>
                <w:rFonts w:cstheme="minorHAnsi"/>
                <w:sz w:val="20"/>
                <w:szCs w:val="20"/>
              </w:rPr>
              <w:t xml:space="preserve">Table </w:t>
            </w:r>
            <w:r w:rsidRPr="008F18F8">
              <w:rPr>
                <w:rFonts w:cstheme="minorHAnsi"/>
                <w:sz w:val="20"/>
                <w:szCs w:val="20"/>
              </w:rPr>
              <w:fldChar w:fldCharType="begin"/>
            </w:r>
            <w:r w:rsidRPr="008F18F8">
              <w:rPr>
                <w:rFonts w:cstheme="minorHAnsi"/>
                <w:sz w:val="20"/>
                <w:szCs w:val="20"/>
              </w:rPr>
              <w:instrText xml:space="preserve"> SEQ Table \* ARABIC </w:instrText>
            </w:r>
            <w:r w:rsidRPr="008F18F8">
              <w:rPr>
                <w:rFonts w:cstheme="minorHAnsi"/>
                <w:sz w:val="20"/>
                <w:szCs w:val="20"/>
              </w:rPr>
              <w:fldChar w:fldCharType="separate"/>
            </w:r>
            <w:r w:rsidRPr="008F18F8">
              <w:rPr>
                <w:rFonts w:cstheme="minorHAnsi"/>
                <w:noProof/>
                <w:sz w:val="20"/>
                <w:szCs w:val="20"/>
              </w:rPr>
              <w:t>1</w:t>
            </w:r>
            <w:r w:rsidRPr="008F18F8">
              <w:rPr>
                <w:rFonts w:cstheme="minorHAnsi"/>
                <w:noProof/>
                <w:sz w:val="20"/>
                <w:szCs w:val="20"/>
              </w:rPr>
              <w:fldChar w:fldCharType="end"/>
            </w:r>
            <w:r w:rsidRPr="008F18F8">
              <w:rPr>
                <w:rFonts w:cstheme="minorHAnsi"/>
                <w:noProof/>
                <w:sz w:val="20"/>
                <w:szCs w:val="20"/>
              </w:rPr>
              <w:t>6</w:t>
            </w:r>
            <w:r w:rsidRPr="008F18F8">
              <w:rPr>
                <w:rFonts w:cstheme="minorHAnsi"/>
                <w:sz w:val="20"/>
                <w:szCs w:val="20"/>
              </w:rPr>
              <w:t xml:space="preserve">: </w:t>
            </w:r>
            <w:r w:rsidRPr="008F18F8">
              <w:rPr>
                <w:rFonts w:cstheme="minorHAnsi"/>
                <w:b w:val="0"/>
                <w:sz w:val="20"/>
                <w:szCs w:val="20"/>
              </w:rPr>
              <w:t>Full and Incremental Measure Cost Equations</w:t>
            </w:r>
            <w:bookmarkEnd w:id="13"/>
          </w:p>
          <w:tbl>
            <w:tblPr>
              <w:tblStyle w:val="TableGrid1"/>
              <w:tblW w:w="5000" w:type="pct"/>
              <w:tblLook w:val="01E0" w:firstRow="1" w:lastRow="1" w:firstColumn="1" w:lastColumn="1" w:noHBand="0" w:noVBand="0"/>
            </w:tblPr>
            <w:tblGrid>
              <w:gridCol w:w="1265"/>
              <w:gridCol w:w="2717"/>
              <w:gridCol w:w="2629"/>
              <w:gridCol w:w="2804"/>
            </w:tblGrid>
            <w:tr w:rsidR="00AC6D88" w:rsidRPr="008F18F8" w14:paraId="008C6D14" w14:textId="77777777" w:rsidTr="005E1419">
              <w:tc>
                <w:tcPr>
                  <w:tcW w:w="672" w:type="pct"/>
                  <w:vMerge w:val="restart"/>
                  <w:shd w:val="clear" w:color="auto" w:fill="D9D9D9" w:themeFill="background1" w:themeFillShade="D9"/>
                </w:tcPr>
                <w:p w14:paraId="0EEAF973" w14:textId="77777777" w:rsidR="00AC6D88" w:rsidRPr="008F18F8" w:rsidRDefault="00AC6D88" w:rsidP="00AC6D88">
                  <w:pPr>
                    <w:rPr>
                      <w:rFonts w:cstheme="minorHAnsi"/>
                      <w:b/>
                      <w:szCs w:val="20"/>
                      <w:highlight w:val="yellow"/>
                    </w:rPr>
                  </w:pPr>
                  <w:r w:rsidRPr="008F18F8">
                    <w:rPr>
                      <w:rFonts w:cstheme="minorHAnsi"/>
                      <w:b/>
                      <w:szCs w:val="20"/>
                    </w:rPr>
                    <w:t>Installation Type</w:t>
                  </w:r>
                </w:p>
              </w:tc>
              <w:tc>
                <w:tcPr>
                  <w:tcW w:w="1443" w:type="pct"/>
                  <w:vMerge w:val="restart"/>
                  <w:shd w:val="clear" w:color="auto" w:fill="D9D9D9" w:themeFill="background1" w:themeFillShade="D9"/>
                </w:tcPr>
                <w:p w14:paraId="67707496" w14:textId="77777777" w:rsidR="00AC6D88" w:rsidRPr="008F18F8" w:rsidRDefault="00AC6D88" w:rsidP="00AC6D88">
                  <w:pPr>
                    <w:rPr>
                      <w:rFonts w:cstheme="minorHAnsi"/>
                      <w:b/>
                      <w:szCs w:val="20"/>
                    </w:rPr>
                  </w:pPr>
                  <w:r w:rsidRPr="008F18F8">
                    <w:rPr>
                      <w:rFonts w:cstheme="minorHAnsi"/>
                      <w:b/>
                      <w:szCs w:val="20"/>
                    </w:rPr>
                    <w:t>Incremental Measure Cost</w:t>
                  </w:r>
                </w:p>
              </w:tc>
              <w:tc>
                <w:tcPr>
                  <w:tcW w:w="2885" w:type="pct"/>
                  <w:gridSpan w:val="2"/>
                  <w:shd w:val="clear" w:color="auto" w:fill="D9D9D9" w:themeFill="background1" w:themeFillShade="D9"/>
                </w:tcPr>
                <w:p w14:paraId="60358717" w14:textId="77777777" w:rsidR="00AC6D88" w:rsidRPr="008F18F8" w:rsidRDefault="00AC6D88" w:rsidP="00AC6D88">
                  <w:pPr>
                    <w:rPr>
                      <w:rFonts w:cstheme="minorHAnsi"/>
                      <w:b/>
                      <w:szCs w:val="20"/>
                      <w:highlight w:val="yellow"/>
                    </w:rPr>
                  </w:pPr>
                  <w:r w:rsidRPr="008F18F8">
                    <w:rPr>
                      <w:rFonts w:cstheme="minorHAnsi"/>
                      <w:b/>
                      <w:szCs w:val="20"/>
                    </w:rPr>
                    <w:t>Full Measure Cost</w:t>
                  </w:r>
                </w:p>
              </w:tc>
            </w:tr>
            <w:tr w:rsidR="00AC6D88" w:rsidRPr="008F18F8" w14:paraId="192A354E" w14:textId="77777777" w:rsidTr="005E1419">
              <w:tc>
                <w:tcPr>
                  <w:tcW w:w="672" w:type="pct"/>
                  <w:vMerge/>
                  <w:shd w:val="clear" w:color="auto" w:fill="D9D9D9" w:themeFill="background1" w:themeFillShade="D9"/>
                </w:tcPr>
                <w:p w14:paraId="26414513" w14:textId="77777777" w:rsidR="00AC6D88" w:rsidRPr="008F18F8" w:rsidRDefault="00AC6D88" w:rsidP="00AC6D88">
                  <w:pPr>
                    <w:rPr>
                      <w:rFonts w:cstheme="minorHAnsi"/>
                      <w:b/>
                      <w:szCs w:val="20"/>
                    </w:rPr>
                  </w:pPr>
                </w:p>
              </w:tc>
              <w:tc>
                <w:tcPr>
                  <w:tcW w:w="1443" w:type="pct"/>
                  <w:vMerge/>
                  <w:shd w:val="clear" w:color="auto" w:fill="D9D9D9" w:themeFill="background1" w:themeFillShade="D9"/>
                </w:tcPr>
                <w:p w14:paraId="3103B535" w14:textId="77777777" w:rsidR="00AC6D88" w:rsidRPr="008F18F8" w:rsidRDefault="00AC6D88" w:rsidP="00AC6D88">
                  <w:pPr>
                    <w:rPr>
                      <w:rFonts w:cstheme="minorHAnsi"/>
                      <w:b/>
                      <w:szCs w:val="20"/>
                    </w:rPr>
                  </w:pPr>
                </w:p>
              </w:tc>
              <w:tc>
                <w:tcPr>
                  <w:tcW w:w="1396" w:type="pct"/>
                  <w:shd w:val="clear" w:color="auto" w:fill="F2F2F2" w:themeFill="background1" w:themeFillShade="F2"/>
                </w:tcPr>
                <w:p w14:paraId="764B8648" w14:textId="77777777" w:rsidR="00AC6D88" w:rsidRPr="008F18F8" w:rsidRDefault="00AC6D88" w:rsidP="00AC6D88">
                  <w:pPr>
                    <w:rPr>
                      <w:rFonts w:cstheme="minorHAnsi"/>
                      <w:b/>
                      <w:szCs w:val="20"/>
                    </w:rPr>
                  </w:pPr>
                  <w:r w:rsidRPr="008F18F8">
                    <w:rPr>
                      <w:rFonts w:cstheme="minorHAnsi"/>
                      <w:b/>
                      <w:szCs w:val="20"/>
                    </w:rPr>
                    <w:t>1</w:t>
                  </w:r>
                  <w:r w:rsidRPr="008F18F8">
                    <w:rPr>
                      <w:rFonts w:cstheme="minorHAnsi"/>
                      <w:b/>
                      <w:szCs w:val="20"/>
                      <w:vertAlign w:val="superscript"/>
                    </w:rPr>
                    <w:t>st</w:t>
                  </w:r>
                  <w:r w:rsidRPr="008F18F8">
                    <w:rPr>
                      <w:rFonts w:cstheme="minorHAnsi"/>
                      <w:b/>
                      <w:szCs w:val="20"/>
                    </w:rPr>
                    <w:t xml:space="preserve"> Baseline</w:t>
                  </w:r>
                </w:p>
              </w:tc>
              <w:tc>
                <w:tcPr>
                  <w:tcW w:w="1489" w:type="pct"/>
                  <w:shd w:val="clear" w:color="auto" w:fill="F2F2F2" w:themeFill="background1" w:themeFillShade="F2"/>
                </w:tcPr>
                <w:p w14:paraId="4A6B806A" w14:textId="77777777" w:rsidR="00AC6D88" w:rsidRPr="008F18F8" w:rsidRDefault="00AC6D88" w:rsidP="00AC6D88">
                  <w:pPr>
                    <w:rPr>
                      <w:rFonts w:cstheme="minorHAnsi"/>
                      <w:b/>
                      <w:szCs w:val="20"/>
                    </w:rPr>
                  </w:pPr>
                  <w:r w:rsidRPr="008F18F8">
                    <w:rPr>
                      <w:rFonts w:cstheme="minorHAnsi"/>
                      <w:b/>
                      <w:szCs w:val="20"/>
                    </w:rPr>
                    <w:t>2</w:t>
                  </w:r>
                  <w:r w:rsidRPr="008F18F8">
                    <w:rPr>
                      <w:rFonts w:cstheme="minorHAnsi"/>
                      <w:b/>
                      <w:szCs w:val="20"/>
                      <w:vertAlign w:val="superscript"/>
                    </w:rPr>
                    <w:t>nd</w:t>
                  </w:r>
                  <w:r w:rsidRPr="008F18F8">
                    <w:rPr>
                      <w:rFonts w:cstheme="minorHAnsi"/>
                      <w:b/>
                      <w:szCs w:val="20"/>
                    </w:rPr>
                    <w:t xml:space="preserve"> Baseline</w:t>
                  </w:r>
                </w:p>
              </w:tc>
            </w:tr>
            <w:tr w:rsidR="00AC6D88" w:rsidRPr="008F18F8" w14:paraId="392ABA82" w14:textId="77777777" w:rsidTr="005E1419">
              <w:tc>
                <w:tcPr>
                  <w:tcW w:w="672" w:type="pct"/>
                </w:tcPr>
                <w:p w14:paraId="034BC02A" w14:textId="77777777" w:rsidR="00AC6D88" w:rsidRPr="008F18F8" w:rsidRDefault="00AC6D88" w:rsidP="00AC6D88">
                  <w:pPr>
                    <w:rPr>
                      <w:rFonts w:cstheme="minorHAnsi"/>
                      <w:szCs w:val="20"/>
                    </w:rPr>
                  </w:pPr>
                  <w:r w:rsidRPr="008F18F8">
                    <w:rPr>
                      <w:rFonts w:cstheme="minorHAnsi"/>
                      <w:szCs w:val="20"/>
                    </w:rPr>
                    <w:t>ER</w:t>
                  </w:r>
                </w:p>
              </w:tc>
              <w:tc>
                <w:tcPr>
                  <w:tcW w:w="1443" w:type="pct"/>
                </w:tcPr>
                <w:p w14:paraId="0C17C209" w14:textId="77777777" w:rsidR="00AC6D88" w:rsidRPr="008F18F8" w:rsidRDefault="00AC6D88" w:rsidP="00AC6D88">
                  <w:pPr>
                    <w:rPr>
                      <w:rFonts w:cstheme="minorHAnsi"/>
                      <w:szCs w:val="20"/>
                    </w:rPr>
                  </w:pPr>
                  <w:r w:rsidRPr="008F18F8">
                    <w:rPr>
                      <w:rFonts w:cstheme="minorHAnsi"/>
                      <w:szCs w:val="20"/>
                    </w:rPr>
                    <w:t>(MEC + MLC) – (BEC + BLC)</w:t>
                  </w:r>
                </w:p>
              </w:tc>
              <w:tc>
                <w:tcPr>
                  <w:tcW w:w="1396" w:type="pct"/>
                </w:tcPr>
                <w:p w14:paraId="067B7E49" w14:textId="77777777" w:rsidR="00AC6D88" w:rsidRPr="008F18F8" w:rsidRDefault="00AC6D88" w:rsidP="00AC6D88">
                  <w:pPr>
                    <w:rPr>
                      <w:rFonts w:cstheme="minorHAnsi"/>
                      <w:szCs w:val="20"/>
                    </w:rPr>
                  </w:pPr>
                  <w:r w:rsidRPr="008F18F8">
                    <w:rPr>
                      <w:rFonts w:cstheme="minorHAnsi"/>
                      <w:szCs w:val="20"/>
                    </w:rPr>
                    <w:t>MEC + MLC</w:t>
                  </w:r>
                </w:p>
              </w:tc>
              <w:tc>
                <w:tcPr>
                  <w:tcW w:w="1489" w:type="pct"/>
                </w:tcPr>
                <w:p w14:paraId="4AA864AA" w14:textId="77777777" w:rsidR="00AC6D88" w:rsidRPr="008F18F8" w:rsidRDefault="00AC6D88" w:rsidP="00AC6D88">
                  <w:pPr>
                    <w:rPr>
                      <w:rFonts w:cstheme="minorHAnsi"/>
                      <w:szCs w:val="20"/>
                    </w:rPr>
                  </w:pPr>
                  <w:r w:rsidRPr="008F18F8">
                    <w:rPr>
                      <w:rFonts w:cstheme="minorHAnsi"/>
                      <w:szCs w:val="20"/>
                    </w:rPr>
                    <w:t>(MEC + MLC) – (BEC + BLC)</w:t>
                  </w:r>
                </w:p>
              </w:tc>
            </w:tr>
          </w:tbl>
          <w:p w14:paraId="3741DDA0" w14:textId="77777777" w:rsidR="00AC6D88" w:rsidRPr="008F18F8" w:rsidRDefault="00AC6D88" w:rsidP="00AC6D88">
            <w:pPr>
              <w:rPr>
                <w:rFonts w:cstheme="minorHAnsi"/>
                <w:sz w:val="20"/>
                <w:szCs w:val="20"/>
              </w:rPr>
            </w:pPr>
            <w:r w:rsidRPr="008F18F8">
              <w:rPr>
                <w:rFonts w:cstheme="minorHAnsi"/>
                <w:sz w:val="20"/>
                <w:szCs w:val="20"/>
              </w:rPr>
              <w:t>MEC = Measure Equipment Cost; MLC = Measure Labor Cost</w:t>
            </w:r>
          </w:p>
          <w:p w14:paraId="74E01924" w14:textId="77777777" w:rsidR="00AC6D88" w:rsidRPr="008F18F8" w:rsidRDefault="00AC6D88" w:rsidP="00AC6D88">
            <w:pPr>
              <w:rPr>
                <w:rFonts w:cstheme="minorHAnsi"/>
                <w:sz w:val="20"/>
                <w:szCs w:val="20"/>
              </w:rPr>
            </w:pPr>
            <w:r w:rsidRPr="008F18F8">
              <w:rPr>
                <w:rFonts w:cstheme="minorHAnsi"/>
                <w:sz w:val="20"/>
                <w:szCs w:val="20"/>
              </w:rPr>
              <w:t>BEC = Base Case Equipment Cost; BLC = Base Case Labor Cost</w:t>
            </w:r>
          </w:p>
          <w:p w14:paraId="543167FF" w14:textId="77777777" w:rsidR="00AC6D88" w:rsidRPr="008F18F8" w:rsidRDefault="00AC6D88" w:rsidP="00AC6D88">
            <w:pPr>
              <w:rPr>
                <w:rFonts w:cstheme="minorHAnsi"/>
                <w:sz w:val="20"/>
                <w:szCs w:val="20"/>
              </w:rPr>
            </w:pPr>
          </w:p>
          <w:p w14:paraId="066F8D76" w14:textId="77777777" w:rsidR="00AC6D88" w:rsidRPr="008F18F8" w:rsidRDefault="00AC6D88" w:rsidP="00AC6D88">
            <w:pPr>
              <w:pStyle w:val="Caption"/>
              <w:rPr>
                <w:rFonts w:cstheme="minorHAnsi"/>
                <w:b w:val="0"/>
                <w:sz w:val="20"/>
                <w:szCs w:val="20"/>
              </w:rPr>
            </w:pPr>
            <w:bookmarkStart w:id="14" w:name="_Toc501451186"/>
            <w:r w:rsidRPr="008F18F8">
              <w:rPr>
                <w:rFonts w:cstheme="minorHAnsi"/>
                <w:sz w:val="20"/>
                <w:szCs w:val="20"/>
              </w:rPr>
              <w:t xml:space="preserve">Table 17: </w:t>
            </w:r>
            <w:r w:rsidRPr="008F18F8">
              <w:rPr>
                <w:rFonts w:cstheme="minorHAnsi"/>
                <w:b w:val="0"/>
                <w:sz w:val="20"/>
                <w:szCs w:val="20"/>
              </w:rPr>
              <w:t>Full and Incremental Costs</w:t>
            </w:r>
            <w:bookmarkEnd w:id="14"/>
          </w:p>
          <w:tbl>
            <w:tblPr>
              <w:tblStyle w:val="TableGrid1"/>
              <w:tblW w:w="5000" w:type="pct"/>
              <w:tblLook w:val="01E0" w:firstRow="1" w:lastRow="1" w:firstColumn="1" w:lastColumn="1" w:noHBand="0" w:noVBand="0"/>
            </w:tblPr>
            <w:tblGrid>
              <w:gridCol w:w="1265"/>
              <w:gridCol w:w="2717"/>
              <w:gridCol w:w="2629"/>
              <w:gridCol w:w="2804"/>
            </w:tblGrid>
            <w:tr w:rsidR="00AC6D88" w:rsidRPr="008F18F8" w14:paraId="0F10275D" w14:textId="77777777" w:rsidTr="005E1419">
              <w:tc>
                <w:tcPr>
                  <w:tcW w:w="672" w:type="pct"/>
                  <w:vMerge w:val="restart"/>
                  <w:shd w:val="clear" w:color="auto" w:fill="D9D9D9" w:themeFill="background1" w:themeFillShade="D9"/>
                </w:tcPr>
                <w:p w14:paraId="0092A9F5" w14:textId="77777777" w:rsidR="00AC6D88" w:rsidRPr="008F18F8" w:rsidRDefault="00AC6D88" w:rsidP="00AC6D88">
                  <w:pPr>
                    <w:rPr>
                      <w:rFonts w:cstheme="minorHAnsi"/>
                      <w:b/>
                      <w:szCs w:val="20"/>
                      <w:highlight w:val="yellow"/>
                    </w:rPr>
                  </w:pPr>
                  <w:r w:rsidRPr="008F18F8">
                    <w:rPr>
                      <w:rFonts w:cstheme="minorHAnsi"/>
                      <w:b/>
                      <w:szCs w:val="20"/>
                    </w:rPr>
                    <w:t>Installation Type</w:t>
                  </w:r>
                </w:p>
              </w:tc>
              <w:tc>
                <w:tcPr>
                  <w:tcW w:w="1443" w:type="pct"/>
                  <w:vMerge w:val="restart"/>
                  <w:shd w:val="clear" w:color="auto" w:fill="D9D9D9" w:themeFill="background1" w:themeFillShade="D9"/>
                </w:tcPr>
                <w:p w14:paraId="158ED76D" w14:textId="77777777" w:rsidR="00AC6D88" w:rsidRPr="008F18F8" w:rsidRDefault="00AC6D88" w:rsidP="00AC6D88">
                  <w:pPr>
                    <w:rPr>
                      <w:rFonts w:cstheme="minorHAnsi"/>
                      <w:b/>
                      <w:szCs w:val="20"/>
                    </w:rPr>
                  </w:pPr>
                  <w:r w:rsidRPr="008F18F8">
                    <w:rPr>
                      <w:rFonts w:cstheme="minorHAnsi"/>
                      <w:b/>
                      <w:szCs w:val="20"/>
                    </w:rPr>
                    <w:t>Incremental Measure Cost</w:t>
                  </w:r>
                </w:p>
              </w:tc>
              <w:tc>
                <w:tcPr>
                  <w:tcW w:w="2885" w:type="pct"/>
                  <w:gridSpan w:val="2"/>
                  <w:shd w:val="clear" w:color="auto" w:fill="D9D9D9" w:themeFill="background1" w:themeFillShade="D9"/>
                </w:tcPr>
                <w:p w14:paraId="23EB25A6" w14:textId="77777777" w:rsidR="00AC6D88" w:rsidRPr="008F18F8" w:rsidRDefault="00AC6D88" w:rsidP="00AC6D88">
                  <w:pPr>
                    <w:rPr>
                      <w:rFonts w:cstheme="minorHAnsi"/>
                      <w:b/>
                      <w:szCs w:val="20"/>
                      <w:highlight w:val="yellow"/>
                    </w:rPr>
                  </w:pPr>
                  <w:r w:rsidRPr="008F18F8">
                    <w:rPr>
                      <w:rFonts w:cstheme="minorHAnsi"/>
                      <w:b/>
                      <w:szCs w:val="20"/>
                    </w:rPr>
                    <w:t>Full Measure Cost</w:t>
                  </w:r>
                </w:p>
              </w:tc>
            </w:tr>
            <w:tr w:rsidR="00AC6D88" w:rsidRPr="008F18F8" w14:paraId="44667E52" w14:textId="77777777" w:rsidTr="005E1419">
              <w:tc>
                <w:tcPr>
                  <w:tcW w:w="672" w:type="pct"/>
                  <w:vMerge/>
                  <w:shd w:val="clear" w:color="auto" w:fill="D9D9D9" w:themeFill="background1" w:themeFillShade="D9"/>
                </w:tcPr>
                <w:p w14:paraId="79C2D2A4" w14:textId="77777777" w:rsidR="00AC6D88" w:rsidRPr="008F18F8" w:rsidRDefault="00AC6D88" w:rsidP="00AC6D88">
                  <w:pPr>
                    <w:rPr>
                      <w:rFonts w:cstheme="minorHAnsi"/>
                      <w:b/>
                      <w:szCs w:val="20"/>
                    </w:rPr>
                  </w:pPr>
                </w:p>
              </w:tc>
              <w:tc>
                <w:tcPr>
                  <w:tcW w:w="1443" w:type="pct"/>
                  <w:vMerge/>
                  <w:shd w:val="clear" w:color="auto" w:fill="D9D9D9" w:themeFill="background1" w:themeFillShade="D9"/>
                </w:tcPr>
                <w:p w14:paraId="4217DA72" w14:textId="77777777" w:rsidR="00AC6D88" w:rsidRPr="008F18F8" w:rsidRDefault="00AC6D88" w:rsidP="00AC6D88">
                  <w:pPr>
                    <w:rPr>
                      <w:rFonts w:cstheme="minorHAnsi"/>
                      <w:b/>
                      <w:szCs w:val="20"/>
                    </w:rPr>
                  </w:pPr>
                </w:p>
              </w:tc>
              <w:tc>
                <w:tcPr>
                  <w:tcW w:w="1396" w:type="pct"/>
                  <w:shd w:val="clear" w:color="auto" w:fill="F2F2F2" w:themeFill="background1" w:themeFillShade="F2"/>
                </w:tcPr>
                <w:p w14:paraId="28242932" w14:textId="77777777" w:rsidR="00AC6D88" w:rsidRPr="008F18F8" w:rsidRDefault="00AC6D88" w:rsidP="00AC6D88">
                  <w:pPr>
                    <w:rPr>
                      <w:rFonts w:cstheme="minorHAnsi"/>
                      <w:b/>
                      <w:szCs w:val="20"/>
                    </w:rPr>
                  </w:pPr>
                  <w:r w:rsidRPr="008F18F8">
                    <w:rPr>
                      <w:rFonts w:cstheme="minorHAnsi"/>
                      <w:b/>
                      <w:szCs w:val="20"/>
                    </w:rPr>
                    <w:t>1</w:t>
                  </w:r>
                  <w:r w:rsidRPr="008F18F8">
                    <w:rPr>
                      <w:rFonts w:cstheme="minorHAnsi"/>
                      <w:b/>
                      <w:szCs w:val="20"/>
                      <w:vertAlign w:val="superscript"/>
                    </w:rPr>
                    <w:t>st</w:t>
                  </w:r>
                  <w:r w:rsidRPr="008F18F8">
                    <w:rPr>
                      <w:rFonts w:cstheme="minorHAnsi"/>
                      <w:b/>
                      <w:szCs w:val="20"/>
                    </w:rPr>
                    <w:t xml:space="preserve"> Baseline</w:t>
                  </w:r>
                </w:p>
              </w:tc>
              <w:tc>
                <w:tcPr>
                  <w:tcW w:w="1489" w:type="pct"/>
                  <w:shd w:val="clear" w:color="auto" w:fill="F2F2F2" w:themeFill="background1" w:themeFillShade="F2"/>
                </w:tcPr>
                <w:p w14:paraId="0E4D3E94" w14:textId="77777777" w:rsidR="00AC6D88" w:rsidRPr="008F18F8" w:rsidRDefault="00AC6D88" w:rsidP="00AC6D88">
                  <w:pPr>
                    <w:rPr>
                      <w:rFonts w:cstheme="minorHAnsi"/>
                      <w:b/>
                      <w:szCs w:val="20"/>
                    </w:rPr>
                  </w:pPr>
                  <w:r w:rsidRPr="008F18F8">
                    <w:rPr>
                      <w:rFonts w:cstheme="minorHAnsi"/>
                      <w:b/>
                      <w:szCs w:val="20"/>
                    </w:rPr>
                    <w:t>2</w:t>
                  </w:r>
                  <w:r w:rsidRPr="008F18F8">
                    <w:rPr>
                      <w:rFonts w:cstheme="minorHAnsi"/>
                      <w:b/>
                      <w:szCs w:val="20"/>
                      <w:vertAlign w:val="superscript"/>
                    </w:rPr>
                    <w:t>nd</w:t>
                  </w:r>
                  <w:r w:rsidRPr="008F18F8">
                    <w:rPr>
                      <w:rFonts w:cstheme="minorHAnsi"/>
                      <w:b/>
                      <w:szCs w:val="20"/>
                    </w:rPr>
                    <w:t xml:space="preserve"> Baseline</w:t>
                  </w:r>
                </w:p>
              </w:tc>
            </w:tr>
            <w:tr w:rsidR="00AC6D88" w:rsidRPr="008F18F8" w14:paraId="69279096" w14:textId="77777777" w:rsidTr="005E1419">
              <w:tc>
                <w:tcPr>
                  <w:tcW w:w="672" w:type="pct"/>
                </w:tcPr>
                <w:p w14:paraId="2B08DF5D" w14:textId="77777777" w:rsidR="00AC6D88" w:rsidRPr="008F18F8" w:rsidRDefault="00AC6D88" w:rsidP="00AC6D88">
                  <w:pPr>
                    <w:rPr>
                      <w:rFonts w:cstheme="minorHAnsi"/>
                      <w:szCs w:val="20"/>
                    </w:rPr>
                  </w:pPr>
                  <w:r w:rsidRPr="008F18F8">
                    <w:rPr>
                      <w:rFonts w:cstheme="minorHAnsi"/>
                      <w:szCs w:val="20"/>
                    </w:rPr>
                    <w:t>ER</w:t>
                  </w:r>
                </w:p>
              </w:tc>
              <w:tc>
                <w:tcPr>
                  <w:tcW w:w="1443" w:type="pct"/>
                </w:tcPr>
                <w:p w14:paraId="0E6DC8E2" w14:textId="77777777" w:rsidR="00AC6D88" w:rsidRPr="008F18F8" w:rsidRDefault="00AC6D88" w:rsidP="00AC6D88">
                  <w:pPr>
                    <w:rPr>
                      <w:rFonts w:cstheme="minorHAnsi"/>
                      <w:szCs w:val="20"/>
                    </w:rPr>
                  </w:pPr>
                  <w:r w:rsidRPr="008F18F8">
                    <w:rPr>
                      <w:rFonts w:cstheme="minorHAnsi"/>
                      <w:szCs w:val="20"/>
                    </w:rPr>
                    <w:t>$45.96- $31.06 = $14.90</w:t>
                  </w:r>
                </w:p>
              </w:tc>
              <w:tc>
                <w:tcPr>
                  <w:tcW w:w="1396" w:type="pct"/>
                </w:tcPr>
                <w:p w14:paraId="24C02E44" w14:textId="77777777" w:rsidR="00AC6D88" w:rsidRPr="008F18F8" w:rsidRDefault="00AC6D88" w:rsidP="00AC6D88">
                  <w:pPr>
                    <w:rPr>
                      <w:rFonts w:cstheme="minorHAnsi"/>
                      <w:szCs w:val="20"/>
                    </w:rPr>
                  </w:pPr>
                  <w:r w:rsidRPr="008F18F8">
                    <w:rPr>
                      <w:rFonts w:cstheme="minorHAnsi"/>
                      <w:szCs w:val="20"/>
                    </w:rPr>
                    <w:t>$31.06 + $14.90 = $45.96</w:t>
                  </w:r>
                </w:p>
              </w:tc>
              <w:tc>
                <w:tcPr>
                  <w:tcW w:w="1489" w:type="pct"/>
                </w:tcPr>
                <w:p w14:paraId="7BBBA7F6" w14:textId="77777777" w:rsidR="00AC6D88" w:rsidRPr="008F18F8" w:rsidRDefault="00AC6D88" w:rsidP="00AC6D88">
                  <w:pPr>
                    <w:rPr>
                      <w:rFonts w:cstheme="minorHAnsi"/>
                      <w:szCs w:val="20"/>
                    </w:rPr>
                  </w:pPr>
                  <w:r w:rsidRPr="008F18F8">
                    <w:rPr>
                      <w:rFonts w:cstheme="minorHAnsi"/>
                      <w:szCs w:val="20"/>
                    </w:rPr>
                    <w:t>$45.96- $31.06 = $14.90</w:t>
                  </w:r>
                </w:p>
              </w:tc>
            </w:tr>
          </w:tbl>
          <w:p w14:paraId="17B39583" w14:textId="77777777" w:rsidR="00BB668C" w:rsidRPr="008F18F8" w:rsidRDefault="00BB668C" w:rsidP="006412EA">
            <w:pPr>
              <w:tabs>
                <w:tab w:val="right" w:pos="6732"/>
              </w:tabs>
              <w:rPr>
                <w:rFonts w:cstheme="minorHAnsi"/>
                <w:sz w:val="20"/>
                <w:szCs w:val="20"/>
              </w:rPr>
            </w:pPr>
          </w:p>
          <w:tbl>
            <w:tblPr>
              <w:tblStyle w:val="TableGrid"/>
              <w:tblW w:w="9415" w:type="dxa"/>
              <w:tblLook w:val="04A0" w:firstRow="1" w:lastRow="0" w:firstColumn="1" w:lastColumn="0" w:noHBand="0" w:noVBand="1"/>
            </w:tblPr>
            <w:tblGrid>
              <w:gridCol w:w="2735"/>
              <w:gridCol w:w="1350"/>
              <w:gridCol w:w="5330"/>
            </w:tblGrid>
            <w:tr w:rsidR="008F18F8" w:rsidRPr="008F18F8" w14:paraId="1CCC720A" w14:textId="77777777" w:rsidTr="00C87834">
              <w:tc>
                <w:tcPr>
                  <w:tcW w:w="2735" w:type="dxa"/>
                </w:tcPr>
                <w:p w14:paraId="1EC60F66" w14:textId="60A0D5CB" w:rsidR="008F18F8" w:rsidRPr="008F18F8" w:rsidRDefault="008F18F8" w:rsidP="00162BAE">
                  <w:pPr>
                    <w:rPr>
                      <w:rFonts w:cstheme="minorHAnsi"/>
                      <w:sz w:val="20"/>
                      <w:szCs w:val="20"/>
                    </w:rPr>
                  </w:pPr>
                  <w:bookmarkStart w:id="15" w:name="_Hlk501436060"/>
                  <w:r w:rsidRPr="008F18F8">
                    <w:rPr>
                      <w:rFonts w:cstheme="minorHAnsi"/>
                      <w:sz w:val="20"/>
                      <w:szCs w:val="20"/>
                    </w:rPr>
                    <w:t xml:space="preserve">Measure </w:t>
                  </w:r>
                </w:p>
                <w:p w14:paraId="69DDA797" w14:textId="7852E271" w:rsidR="008F18F8" w:rsidRPr="008F18F8" w:rsidRDefault="008F18F8" w:rsidP="00162BAE">
                  <w:pPr>
                    <w:rPr>
                      <w:rFonts w:cstheme="minorHAnsi"/>
                      <w:sz w:val="20"/>
                      <w:szCs w:val="20"/>
                    </w:rPr>
                  </w:pPr>
                  <w:r w:rsidRPr="008F18F8">
                    <w:rPr>
                      <w:rFonts w:cstheme="minorHAnsi"/>
                      <w:sz w:val="20"/>
                      <w:szCs w:val="20"/>
                    </w:rPr>
                    <w:t>Cost ID</w:t>
                  </w:r>
                </w:p>
              </w:tc>
              <w:tc>
                <w:tcPr>
                  <w:tcW w:w="1350" w:type="dxa"/>
                </w:tcPr>
                <w:p w14:paraId="1E5D5117" w14:textId="77777777" w:rsidR="008F18F8" w:rsidRPr="008F18F8" w:rsidRDefault="008F18F8" w:rsidP="00162BAE">
                  <w:pPr>
                    <w:rPr>
                      <w:rFonts w:cstheme="minorHAnsi"/>
                      <w:sz w:val="20"/>
                      <w:szCs w:val="20"/>
                    </w:rPr>
                  </w:pPr>
                  <w:r w:rsidRPr="008F18F8">
                    <w:rPr>
                      <w:rFonts w:cstheme="minorHAnsi"/>
                      <w:sz w:val="20"/>
                      <w:szCs w:val="20"/>
                    </w:rPr>
                    <w:t>Cost Value $</w:t>
                  </w:r>
                </w:p>
                <w:p w14:paraId="706CE5DD" w14:textId="56A93949" w:rsidR="008F18F8" w:rsidRPr="008F18F8" w:rsidRDefault="008F18F8" w:rsidP="00162BAE">
                  <w:pPr>
                    <w:rPr>
                      <w:rFonts w:cstheme="minorHAnsi"/>
                      <w:sz w:val="20"/>
                      <w:szCs w:val="20"/>
                    </w:rPr>
                  </w:pPr>
                  <w:r w:rsidRPr="008F18F8">
                    <w:rPr>
                      <w:rFonts w:cstheme="minorHAnsi"/>
                      <w:sz w:val="20"/>
                      <w:szCs w:val="20"/>
                    </w:rPr>
                    <w:t xml:space="preserve"> </w:t>
                  </w:r>
                </w:p>
              </w:tc>
              <w:tc>
                <w:tcPr>
                  <w:tcW w:w="5330" w:type="dxa"/>
                </w:tcPr>
                <w:p w14:paraId="77734935" w14:textId="568472C5" w:rsidR="008F18F8" w:rsidRPr="008F18F8" w:rsidRDefault="008F18F8" w:rsidP="00162BAE">
                  <w:pPr>
                    <w:rPr>
                      <w:rFonts w:cstheme="minorHAnsi"/>
                      <w:sz w:val="20"/>
                      <w:szCs w:val="20"/>
                    </w:rPr>
                  </w:pPr>
                  <w:r w:rsidRPr="008F18F8">
                    <w:rPr>
                      <w:rFonts w:cstheme="minorHAnsi"/>
                      <w:sz w:val="20"/>
                      <w:szCs w:val="20"/>
                    </w:rPr>
                    <w:t xml:space="preserve">Measure Description </w:t>
                  </w:r>
                </w:p>
              </w:tc>
            </w:tr>
            <w:tr w:rsidR="008F18F8" w:rsidRPr="008F18F8" w14:paraId="5CF07E2D" w14:textId="77777777" w:rsidTr="00C87834">
              <w:tc>
                <w:tcPr>
                  <w:tcW w:w="2735" w:type="dxa"/>
                </w:tcPr>
                <w:p w14:paraId="5EF5378B" w14:textId="0FBC7774" w:rsidR="008F18F8" w:rsidRPr="008F18F8" w:rsidRDefault="00BA40DE" w:rsidP="00162BAE">
                  <w:pPr>
                    <w:rPr>
                      <w:rFonts w:cstheme="minorHAnsi"/>
                      <w:sz w:val="20"/>
                      <w:szCs w:val="20"/>
                    </w:rPr>
                  </w:pPr>
                  <w:r w:rsidRPr="00BA40DE">
                    <w:rPr>
                      <w:rFonts w:cstheme="minorHAnsi"/>
                      <w:sz w:val="20"/>
                      <w:szCs w:val="20"/>
                    </w:rPr>
                    <w:t>Com-SHW-LowFlowShrhd-2.25</w:t>
                  </w:r>
                </w:p>
              </w:tc>
              <w:tc>
                <w:tcPr>
                  <w:tcW w:w="1350" w:type="dxa"/>
                </w:tcPr>
                <w:p w14:paraId="0060BD1F" w14:textId="58DA1A64" w:rsidR="008F18F8" w:rsidRPr="008F18F8" w:rsidRDefault="00BA40DE" w:rsidP="00162BAE">
                  <w:pPr>
                    <w:rPr>
                      <w:rFonts w:cstheme="minorHAnsi"/>
                      <w:sz w:val="20"/>
                      <w:szCs w:val="20"/>
                    </w:rPr>
                  </w:pPr>
                  <w:r w:rsidRPr="00BA40DE">
                    <w:rPr>
                      <w:rFonts w:cstheme="minorHAnsi"/>
                      <w:sz w:val="20"/>
                      <w:szCs w:val="20"/>
                    </w:rPr>
                    <w:t>45.96</w:t>
                  </w:r>
                </w:p>
              </w:tc>
              <w:tc>
                <w:tcPr>
                  <w:tcW w:w="5330" w:type="dxa"/>
                </w:tcPr>
                <w:p w14:paraId="3C853289" w14:textId="75844C7A" w:rsidR="008F18F8" w:rsidRPr="008F18F8" w:rsidRDefault="00C87834" w:rsidP="00162BAE">
                  <w:pPr>
                    <w:rPr>
                      <w:rFonts w:cstheme="minorHAnsi"/>
                      <w:sz w:val="20"/>
                      <w:szCs w:val="20"/>
                    </w:rPr>
                  </w:pPr>
                  <w:r w:rsidRPr="008F18F8">
                    <w:rPr>
                      <w:rFonts w:cstheme="minorHAnsi"/>
                      <w:sz w:val="20"/>
                      <w:szCs w:val="20"/>
                    </w:rPr>
                    <w:t>DE</w:t>
                  </w:r>
                  <w:r>
                    <w:rPr>
                      <w:rFonts w:cstheme="minorHAnsi"/>
                      <w:sz w:val="20"/>
                      <w:szCs w:val="20"/>
                    </w:rPr>
                    <w:t xml:space="preserve">ER 2008 measure cost </w:t>
                  </w:r>
                  <w:r w:rsidRPr="008F18F8">
                    <w:rPr>
                      <w:rFonts w:cstheme="minorHAnsi"/>
                      <w:sz w:val="20"/>
                      <w:szCs w:val="20"/>
                    </w:rPr>
                    <w:t>to replace greater than 2.</w:t>
                  </w:r>
                  <w:r w:rsidR="00CC5662">
                    <w:rPr>
                      <w:rFonts w:cstheme="minorHAnsi"/>
                      <w:sz w:val="20"/>
                      <w:szCs w:val="20"/>
                    </w:rPr>
                    <w:t>2</w:t>
                  </w:r>
                  <w:r w:rsidRPr="008F18F8">
                    <w:rPr>
                      <w:rFonts w:cstheme="minorHAnsi"/>
                      <w:sz w:val="20"/>
                      <w:szCs w:val="20"/>
                    </w:rPr>
                    <w:t>5 GPM (~4-6 GPM) shower-heads with 2.0 GPM</w:t>
                  </w:r>
                </w:p>
              </w:tc>
            </w:tr>
            <w:tr w:rsidR="00BA40DE" w:rsidRPr="008F18F8" w14:paraId="00D4AA14" w14:textId="77777777" w:rsidTr="00C87834">
              <w:tc>
                <w:tcPr>
                  <w:tcW w:w="2735" w:type="dxa"/>
                </w:tcPr>
                <w:p w14:paraId="3EF3045F" w14:textId="339CD10B" w:rsidR="00BA40DE" w:rsidRPr="008F18F8" w:rsidRDefault="00BA40DE" w:rsidP="00162BAE">
                  <w:pPr>
                    <w:rPr>
                      <w:rFonts w:cstheme="minorHAnsi"/>
                      <w:sz w:val="20"/>
                      <w:szCs w:val="20"/>
                    </w:rPr>
                  </w:pPr>
                  <w:proofErr w:type="spellStart"/>
                  <w:r w:rsidRPr="008F18F8">
                    <w:rPr>
                      <w:rFonts w:cstheme="minorHAnsi"/>
                      <w:sz w:val="20"/>
                      <w:szCs w:val="20"/>
                    </w:rPr>
                    <w:t>BaseCostZero</w:t>
                  </w:r>
                  <w:proofErr w:type="spellEnd"/>
                </w:p>
              </w:tc>
              <w:tc>
                <w:tcPr>
                  <w:tcW w:w="1350" w:type="dxa"/>
                </w:tcPr>
                <w:p w14:paraId="0BFB76CC" w14:textId="3B18DF0A" w:rsidR="00BA40DE" w:rsidRPr="008F18F8" w:rsidRDefault="00BA40DE" w:rsidP="00162BAE">
                  <w:pPr>
                    <w:rPr>
                      <w:rFonts w:cstheme="minorHAnsi"/>
                      <w:sz w:val="20"/>
                      <w:szCs w:val="20"/>
                    </w:rPr>
                  </w:pPr>
                  <w:r>
                    <w:rPr>
                      <w:rFonts w:cstheme="minorHAnsi"/>
                      <w:sz w:val="20"/>
                      <w:szCs w:val="20"/>
                    </w:rPr>
                    <w:t>0.00</w:t>
                  </w:r>
                </w:p>
              </w:tc>
              <w:tc>
                <w:tcPr>
                  <w:tcW w:w="5330" w:type="dxa"/>
                </w:tcPr>
                <w:p w14:paraId="4909321F" w14:textId="1A3CAB2B" w:rsidR="00BA40DE" w:rsidRPr="008F18F8" w:rsidRDefault="00C87834" w:rsidP="00162BAE">
                  <w:pPr>
                    <w:rPr>
                      <w:rFonts w:cstheme="minorHAnsi"/>
                      <w:sz w:val="20"/>
                      <w:szCs w:val="20"/>
                    </w:rPr>
                  </w:pPr>
                  <w:r>
                    <w:rPr>
                      <w:rFonts w:cstheme="minorHAnsi"/>
                      <w:sz w:val="20"/>
                      <w:szCs w:val="20"/>
                    </w:rPr>
                    <w:t>Existing conditions</w:t>
                  </w:r>
                </w:p>
              </w:tc>
            </w:tr>
            <w:bookmarkEnd w:id="15"/>
          </w:tbl>
          <w:p w14:paraId="4659C830" w14:textId="1B534E43" w:rsidR="00D01067" w:rsidRPr="00476F40" w:rsidRDefault="00D01067" w:rsidP="006412EA">
            <w:pPr>
              <w:tabs>
                <w:tab w:val="right" w:pos="6732"/>
              </w:tabs>
              <w:rPr>
                <w:rFonts w:cs="Arial"/>
                <w:sz w:val="20"/>
                <w:szCs w:val="20"/>
              </w:rPr>
            </w:pPr>
          </w:p>
        </w:tc>
      </w:tr>
    </w:tbl>
    <w:p w14:paraId="611163FB" w14:textId="2D858566" w:rsidR="00734106" w:rsidRPr="0059117D" w:rsidRDefault="00050F6F" w:rsidP="00050F6F">
      <w:pPr>
        <w:tabs>
          <w:tab w:val="left" w:pos="8550"/>
        </w:tabs>
        <w:spacing w:after="200" w:line="276" w:lineRule="auto"/>
      </w:pPr>
      <w:r>
        <w:tab/>
      </w:r>
    </w:p>
    <w:sectPr w:rsidR="00734106" w:rsidRP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3EFC3" w14:textId="77777777" w:rsidR="00DF4073" w:rsidRDefault="00DF4073" w:rsidP="00FE520B">
      <w:r>
        <w:separator/>
      </w:r>
    </w:p>
  </w:endnote>
  <w:endnote w:type="continuationSeparator" w:id="0">
    <w:p w14:paraId="63702363" w14:textId="77777777" w:rsidR="00DF4073" w:rsidRDefault="00DF4073"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6578E" w14:textId="3776C6E2" w:rsidR="00FF2C28" w:rsidRPr="00241A1F" w:rsidRDefault="00FF2C28" w:rsidP="00DA6772">
    <w:pPr>
      <w:pStyle w:val="Footer"/>
      <w:rPr>
        <w:rFonts w:cstheme="minorHAnsi"/>
        <w:b/>
        <w:szCs w:val="22"/>
      </w:rPr>
    </w:pPr>
    <w:r>
      <w:rPr>
        <w:b/>
      </w:rPr>
      <w:t xml:space="preserve">Workpaper </w:t>
    </w:r>
    <w:r w:rsidRPr="00DE1C5D">
      <w:rPr>
        <w:b/>
      </w:rPr>
      <w:t>WPSDGE</w:t>
    </w:r>
    <w:r>
      <w:rPr>
        <w:b/>
      </w:rPr>
      <w:t>NRWH1208, Revision 0</w:t>
    </w:r>
    <w:r>
      <w:rPr>
        <w:b/>
      </w:rPr>
      <w:tab/>
    </w:r>
    <w:r>
      <w:rPr>
        <w:b/>
      </w:rPr>
      <w:tab/>
    </w:r>
    <w:r w:rsidR="00050F6F">
      <w:rPr>
        <w:b/>
      </w:rPr>
      <w:t>May 14</w:t>
    </w:r>
    <w:r w:rsidRPr="00241A1F">
      <w:rPr>
        <w:rFonts w:cstheme="minorHAnsi"/>
        <w:b/>
        <w:szCs w:val="22"/>
      </w:rPr>
      <w:t>, 201</w:t>
    </w:r>
    <w:r w:rsidR="00050F6F">
      <w:rPr>
        <w:rFonts w:cstheme="minorHAnsi"/>
        <w:b/>
        <w:szCs w:val="22"/>
      </w:rPr>
      <w:t>9</w:t>
    </w:r>
  </w:p>
  <w:p w14:paraId="5B6A7E22" w14:textId="2E999B28" w:rsidR="00FF2C28" w:rsidRDefault="00FF2C28" w:rsidP="00DA6772">
    <w:pPr>
      <w:pStyle w:val="Footer"/>
    </w:pPr>
    <w:r>
      <w:rPr>
        <w:b/>
      </w:rPr>
      <w:t>San Diego Gas &amp; Electric</w:t>
    </w:r>
  </w:p>
  <w:p w14:paraId="5ABD553B" w14:textId="120222ED" w:rsidR="00FF2C28" w:rsidRDefault="00FF2C28">
    <w:pPr>
      <w:pStyle w:val="Footer"/>
      <w:jc w:val="center"/>
    </w:pPr>
    <w:r>
      <w:t xml:space="preserve"> Page </w:t>
    </w:r>
    <w:sdt>
      <w:sdtPr>
        <w:id w:val="121554344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B2DFE">
          <w:rPr>
            <w:noProof/>
          </w:rPr>
          <w:t>3</w:t>
        </w:r>
        <w:r>
          <w:fldChar w:fldCharType="end"/>
        </w:r>
      </w:sdtContent>
    </w:sdt>
  </w:p>
  <w:p w14:paraId="4659C869" w14:textId="02BAFE60" w:rsidR="00FF2C28" w:rsidRPr="009500DC" w:rsidRDefault="00FF2C28" w:rsidP="00241A1F">
    <w:pPr>
      <w:pStyle w:val="Footer"/>
      <w:tabs>
        <w:tab w:val="clear" w:pos="4680"/>
        <w:tab w:val="clear" w:pos="9360"/>
        <w:tab w:val="left" w:pos="5274"/>
      </w:tabs>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89492" w14:textId="77777777" w:rsidR="00DF4073" w:rsidRDefault="00DF4073" w:rsidP="00FE520B">
      <w:r>
        <w:separator/>
      </w:r>
    </w:p>
  </w:footnote>
  <w:footnote w:type="continuationSeparator" w:id="0">
    <w:p w14:paraId="1F63BE57" w14:textId="77777777" w:rsidR="00DF4073" w:rsidRDefault="00DF4073"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0368A"/>
    <w:multiLevelType w:val="hybridMultilevel"/>
    <w:tmpl w:val="F3AEE754"/>
    <w:lvl w:ilvl="0" w:tplc="04090001">
      <w:start w:val="1"/>
      <w:numFmt w:val="bullet"/>
      <w:lvlText w:val=""/>
      <w:lvlJc w:val="left"/>
      <w:pPr>
        <w:tabs>
          <w:tab w:val="num" w:pos="9180"/>
        </w:tabs>
        <w:ind w:left="9180" w:hanging="360"/>
      </w:pPr>
      <w:rPr>
        <w:rFonts w:ascii="Symbol" w:hAnsi="Symbol" w:hint="default"/>
      </w:rPr>
    </w:lvl>
    <w:lvl w:ilvl="1" w:tplc="04090003">
      <w:start w:val="1"/>
      <w:numFmt w:val="bullet"/>
      <w:lvlText w:val="o"/>
      <w:lvlJc w:val="left"/>
      <w:pPr>
        <w:tabs>
          <w:tab w:val="num" w:pos="9900"/>
        </w:tabs>
        <w:ind w:left="9900" w:hanging="360"/>
      </w:pPr>
      <w:rPr>
        <w:rFonts w:ascii="Courier New" w:hAnsi="Courier New" w:cs="Wingdings" w:hint="default"/>
      </w:rPr>
    </w:lvl>
    <w:lvl w:ilvl="2" w:tplc="04090005">
      <w:start w:val="1"/>
      <w:numFmt w:val="bullet"/>
      <w:lvlText w:val=""/>
      <w:lvlJc w:val="left"/>
      <w:pPr>
        <w:tabs>
          <w:tab w:val="num" w:pos="10620"/>
        </w:tabs>
        <w:ind w:left="10620" w:hanging="360"/>
      </w:pPr>
      <w:rPr>
        <w:rFonts w:ascii="Wingdings" w:hAnsi="Wingdings" w:hint="default"/>
      </w:rPr>
    </w:lvl>
    <w:lvl w:ilvl="3" w:tplc="04090001" w:tentative="1">
      <w:start w:val="1"/>
      <w:numFmt w:val="bullet"/>
      <w:lvlText w:val=""/>
      <w:lvlJc w:val="left"/>
      <w:pPr>
        <w:tabs>
          <w:tab w:val="num" w:pos="11340"/>
        </w:tabs>
        <w:ind w:left="11340" w:hanging="360"/>
      </w:pPr>
      <w:rPr>
        <w:rFonts w:ascii="Symbol" w:hAnsi="Symbol" w:hint="default"/>
      </w:rPr>
    </w:lvl>
    <w:lvl w:ilvl="4" w:tplc="04090003" w:tentative="1">
      <w:start w:val="1"/>
      <w:numFmt w:val="bullet"/>
      <w:lvlText w:val="o"/>
      <w:lvlJc w:val="left"/>
      <w:pPr>
        <w:tabs>
          <w:tab w:val="num" w:pos="12060"/>
        </w:tabs>
        <w:ind w:left="12060" w:hanging="360"/>
      </w:pPr>
      <w:rPr>
        <w:rFonts w:ascii="Courier New" w:hAnsi="Courier New" w:cs="Wingdings" w:hint="default"/>
      </w:rPr>
    </w:lvl>
    <w:lvl w:ilvl="5" w:tplc="04090005" w:tentative="1">
      <w:start w:val="1"/>
      <w:numFmt w:val="bullet"/>
      <w:lvlText w:val=""/>
      <w:lvlJc w:val="left"/>
      <w:pPr>
        <w:tabs>
          <w:tab w:val="num" w:pos="12780"/>
        </w:tabs>
        <w:ind w:left="12780" w:hanging="360"/>
      </w:pPr>
      <w:rPr>
        <w:rFonts w:ascii="Wingdings" w:hAnsi="Wingdings" w:hint="default"/>
      </w:rPr>
    </w:lvl>
    <w:lvl w:ilvl="6" w:tplc="04090001" w:tentative="1">
      <w:start w:val="1"/>
      <w:numFmt w:val="bullet"/>
      <w:lvlText w:val=""/>
      <w:lvlJc w:val="left"/>
      <w:pPr>
        <w:tabs>
          <w:tab w:val="num" w:pos="13500"/>
        </w:tabs>
        <w:ind w:left="13500" w:hanging="360"/>
      </w:pPr>
      <w:rPr>
        <w:rFonts w:ascii="Symbol" w:hAnsi="Symbol" w:hint="default"/>
      </w:rPr>
    </w:lvl>
    <w:lvl w:ilvl="7" w:tplc="04090003" w:tentative="1">
      <w:start w:val="1"/>
      <w:numFmt w:val="bullet"/>
      <w:lvlText w:val="o"/>
      <w:lvlJc w:val="left"/>
      <w:pPr>
        <w:tabs>
          <w:tab w:val="num" w:pos="14220"/>
        </w:tabs>
        <w:ind w:left="14220" w:hanging="360"/>
      </w:pPr>
      <w:rPr>
        <w:rFonts w:ascii="Courier New" w:hAnsi="Courier New" w:cs="Wingdings" w:hint="default"/>
      </w:rPr>
    </w:lvl>
    <w:lvl w:ilvl="8" w:tplc="04090005" w:tentative="1">
      <w:start w:val="1"/>
      <w:numFmt w:val="bullet"/>
      <w:lvlText w:val=""/>
      <w:lvlJc w:val="left"/>
      <w:pPr>
        <w:tabs>
          <w:tab w:val="num" w:pos="14940"/>
        </w:tabs>
        <w:ind w:left="14940" w:hanging="360"/>
      </w:pPr>
      <w:rPr>
        <w:rFonts w:ascii="Wingdings" w:hAnsi="Wingdings" w:hint="default"/>
      </w:rPr>
    </w:lvl>
  </w:abstractNum>
  <w:abstractNum w:abstractNumId="1" w15:restartNumberingAfterBreak="0">
    <w:nsid w:val="0A093B25"/>
    <w:multiLevelType w:val="hybridMultilevel"/>
    <w:tmpl w:val="6A1E9A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C43736"/>
    <w:multiLevelType w:val="hybridMultilevel"/>
    <w:tmpl w:val="C41295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CE289E"/>
    <w:multiLevelType w:val="hybridMultilevel"/>
    <w:tmpl w:val="87A40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A04D0A"/>
    <w:multiLevelType w:val="hybridMultilevel"/>
    <w:tmpl w:val="61767F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112F68"/>
    <w:multiLevelType w:val="hybridMultilevel"/>
    <w:tmpl w:val="BC6CFBD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4C1E6A"/>
    <w:multiLevelType w:val="hybridMultilevel"/>
    <w:tmpl w:val="B4FCC406"/>
    <w:lvl w:ilvl="0" w:tplc="4AA039BE">
      <w:start w:val="2613"/>
      <w:numFmt w:val="bullet"/>
      <w:lvlText w:val=""/>
      <w:lvlJc w:val="left"/>
      <w:pPr>
        <w:ind w:left="720" w:hanging="36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pStyle w:val="SubsectionStyle"/>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EE5F79"/>
    <w:multiLevelType w:val="hybridMultilevel"/>
    <w:tmpl w:val="F38A7A7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B07C3B"/>
    <w:multiLevelType w:val="hybridMultilevel"/>
    <w:tmpl w:val="720464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0936018"/>
    <w:multiLevelType w:val="hybridMultilevel"/>
    <w:tmpl w:val="6A1E9A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820C6E"/>
    <w:multiLevelType w:val="hybridMultilevel"/>
    <w:tmpl w:val="23444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DC0932"/>
    <w:multiLevelType w:val="hybridMultilevel"/>
    <w:tmpl w:val="259630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F13955"/>
    <w:multiLevelType w:val="hybridMultilevel"/>
    <w:tmpl w:val="907AF9D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993862"/>
    <w:multiLevelType w:val="multilevel"/>
    <w:tmpl w:val="81A65BF4"/>
    <w:lvl w:ilvl="0">
      <w:start w:val="4"/>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2" w15:restartNumberingAfterBreak="0">
    <w:nsid w:val="71A23537"/>
    <w:multiLevelType w:val="hybridMultilevel"/>
    <w:tmpl w:val="FF38A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B14786"/>
    <w:multiLevelType w:val="hybridMultilevel"/>
    <w:tmpl w:val="E74C0E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0"/>
  </w:num>
  <w:num w:numId="3">
    <w:abstractNumId w:val="4"/>
  </w:num>
  <w:num w:numId="4">
    <w:abstractNumId w:val="14"/>
  </w:num>
  <w:num w:numId="5">
    <w:abstractNumId w:val="15"/>
  </w:num>
  <w:num w:numId="6">
    <w:abstractNumId w:val="11"/>
  </w:num>
  <w:num w:numId="7">
    <w:abstractNumId w:val="24"/>
  </w:num>
  <w:num w:numId="8">
    <w:abstractNumId w:val="22"/>
  </w:num>
  <w:num w:numId="9">
    <w:abstractNumId w:val="7"/>
  </w:num>
  <w:num w:numId="10">
    <w:abstractNumId w:val="0"/>
  </w:num>
  <w:num w:numId="11">
    <w:abstractNumId w:val="2"/>
  </w:num>
  <w:num w:numId="12">
    <w:abstractNumId w:val="1"/>
  </w:num>
  <w:num w:numId="13">
    <w:abstractNumId w:val="19"/>
  </w:num>
  <w:num w:numId="14">
    <w:abstractNumId w:val="5"/>
  </w:num>
  <w:num w:numId="15">
    <w:abstractNumId w:val="13"/>
  </w:num>
  <w:num w:numId="16">
    <w:abstractNumId w:val="20"/>
  </w:num>
  <w:num w:numId="17">
    <w:abstractNumId w:val="18"/>
  </w:num>
  <w:num w:numId="18">
    <w:abstractNumId w:val="3"/>
  </w:num>
  <w:num w:numId="19">
    <w:abstractNumId w:val="6"/>
  </w:num>
  <w:num w:numId="20">
    <w:abstractNumId w:val="17"/>
  </w:num>
  <w:num w:numId="21">
    <w:abstractNumId w:val="9"/>
  </w:num>
  <w:num w:numId="22">
    <w:abstractNumId w:val="23"/>
  </w:num>
  <w:num w:numId="23">
    <w:abstractNumId w:val="16"/>
  </w:num>
  <w:num w:numId="24">
    <w:abstractNumId w:val="1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116F0"/>
    <w:rsid w:val="0001442B"/>
    <w:rsid w:val="00023C32"/>
    <w:rsid w:val="00034022"/>
    <w:rsid w:val="00036409"/>
    <w:rsid w:val="00050F6F"/>
    <w:rsid w:val="00052743"/>
    <w:rsid w:val="00052CE4"/>
    <w:rsid w:val="00064596"/>
    <w:rsid w:val="000822BC"/>
    <w:rsid w:val="00087294"/>
    <w:rsid w:val="000A1CD2"/>
    <w:rsid w:val="000B45FE"/>
    <w:rsid w:val="000B5FB7"/>
    <w:rsid w:val="000B658F"/>
    <w:rsid w:val="000E19CA"/>
    <w:rsid w:val="000E63F9"/>
    <w:rsid w:val="000F72EF"/>
    <w:rsid w:val="00101467"/>
    <w:rsid w:val="001125A6"/>
    <w:rsid w:val="00162BAE"/>
    <w:rsid w:val="00166317"/>
    <w:rsid w:val="00177F42"/>
    <w:rsid w:val="0018085F"/>
    <w:rsid w:val="00182B17"/>
    <w:rsid w:val="00184386"/>
    <w:rsid w:val="00194466"/>
    <w:rsid w:val="001A01F7"/>
    <w:rsid w:val="001A1CCF"/>
    <w:rsid w:val="001B0418"/>
    <w:rsid w:val="001B0DCA"/>
    <w:rsid w:val="001B1C8A"/>
    <w:rsid w:val="001D57D7"/>
    <w:rsid w:val="001E0EEE"/>
    <w:rsid w:val="001E2B93"/>
    <w:rsid w:val="001E36FF"/>
    <w:rsid w:val="002056CD"/>
    <w:rsid w:val="00211608"/>
    <w:rsid w:val="00215828"/>
    <w:rsid w:val="002218E2"/>
    <w:rsid w:val="002275C9"/>
    <w:rsid w:val="00241A1F"/>
    <w:rsid w:val="002442FD"/>
    <w:rsid w:val="00247E8F"/>
    <w:rsid w:val="00256253"/>
    <w:rsid w:val="00291B2B"/>
    <w:rsid w:val="002A43EE"/>
    <w:rsid w:val="002A504D"/>
    <w:rsid w:val="002A5213"/>
    <w:rsid w:val="002A5670"/>
    <w:rsid w:val="002E0948"/>
    <w:rsid w:val="00314079"/>
    <w:rsid w:val="00314785"/>
    <w:rsid w:val="00335F75"/>
    <w:rsid w:val="00344ABC"/>
    <w:rsid w:val="00360CFA"/>
    <w:rsid w:val="00365F53"/>
    <w:rsid w:val="00372DC7"/>
    <w:rsid w:val="003924AD"/>
    <w:rsid w:val="003A7B4E"/>
    <w:rsid w:val="003A7C27"/>
    <w:rsid w:val="003B5E7D"/>
    <w:rsid w:val="003C026C"/>
    <w:rsid w:val="003C049B"/>
    <w:rsid w:val="003C1DFC"/>
    <w:rsid w:val="003C2EE4"/>
    <w:rsid w:val="003C3DEF"/>
    <w:rsid w:val="003D1C21"/>
    <w:rsid w:val="003D3E74"/>
    <w:rsid w:val="003D74B8"/>
    <w:rsid w:val="003E0DC8"/>
    <w:rsid w:val="003E0EFC"/>
    <w:rsid w:val="003E122A"/>
    <w:rsid w:val="003E1A2C"/>
    <w:rsid w:val="003E3FB1"/>
    <w:rsid w:val="003E6FA5"/>
    <w:rsid w:val="003E7641"/>
    <w:rsid w:val="003F0A69"/>
    <w:rsid w:val="003F23C2"/>
    <w:rsid w:val="003F669D"/>
    <w:rsid w:val="00410D79"/>
    <w:rsid w:val="00413EF4"/>
    <w:rsid w:val="0043088E"/>
    <w:rsid w:val="0044655B"/>
    <w:rsid w:val="00463313"/>
    <w:rsid w:val="00467DB3"/>
    <w:rsid w:val="00482B4D"/>
    <w:rsid w:val="00482C48"/>
    <w:rsid w:val="00492310"/>
    <w:rsid w:val="004930AE"/>
    <w:rsid w:val="004935F8"/>
    <w:rsid w:val="004A18C2"/>
    <w:rsid w:val="004A6215"/>
    <w:rsid w:val="004C50C4"/>
    <w:rsid w:val="004C6FB2"/>
    <w:rsid w:val="004D00B1"/>
    <w:rsid w:val="004D0326"/>
    <w:rsid w:val="004D5D19"/>
    <w:rsid w:val="004E397D"/>
    <w:rsid w:val="00502738"/>
    <w:rsid w:val="00517FB2"/>
    <w:rsid w:val="00562DBF"/>
    <w:rsid w:val="00566C4B"/>
    <w:rsid w:val="0059117D"/>
    <w:rsid w:val="005A0CBD"/>
    <w:rsid w:val="005A5231"/>
    <w:rsid w:val="005A5CDE"/>
    <w:rsid w:val="005A62DE"/>
    <w:rsid w:val="005A7ADD"/>
    <w:rsid w:val="005B5614"/>
    <w:rsid w:val="005C1184"/>
    <w:rsid w:val="005C25C1"/>
    <w:rsid w:val="005D5E49"/>
    <w:rsid w:val="005F029D"/>
    <w:rsid w:val="005F1AF8"/>
    <w:rsid w:val="00610970"/>
    <w:rsid w:val="006121BD"/>
    <w:rsid w:val="00620DA5"/>
    <w:rsid w:val="00625684"/>
    <w:rsid w:val="00636490"/>
    <w:rsid w:val="006412EA"/>
    <w:rsid w:val="00641F86"/>
    <w:rsid w:val="00660A9F"/>
    <w:rsid w:val="00674048"/>
    <w:rsid w:val="00684ABA"/>
    <w:rsid w:val="006A5F44"/>
    <w:rsid w:val="006B0718"/>
    <w:rsid w:val="006B0D5C"/>
    <w:rsid w:val="006C5D5B"/>
    <w:rsid w:val="006C7A00"/>
    <w:rsid w:val="006D5054"/>
    <w:rsid w:val="00713453"/>
    <w:rsid w:val="00722380"/>
    <w:rsid w:val="00727839"/>
    <w:rsid w:val="00733C6C"/>
    <w:rsid w:val="00734106"/>
    <w:rsid w:val="00735F9F"/>
    <w:rsid w:val="007653A5"/>
    <w:rsid w:val="00766DF6"/>
    <w:rsid w:val="0077577C"/>
    <w:rsid w:val="00787D7C"/>
    <w:rsid w:val="00790A32"/>
    <w:rsid w:val="00797B54"/>
    <w:rsid w:val="007A13D4"/>
    <w:rsid w:val="007B4BCE"/>
    <w:rsid w:val="007D1F1E"/>
    <w:rsid w:val="007D3A21"/>
    <w:rsid w:val="007D46D4"/>
    <w:rsid w:val="007E590B"/>
    <w:rsid w:val="007F4C27"/>
    <w:rsid w:val="00803D2A"/>
    <w:rsid w:val="00804D7E"/>
    <w:rsid w:val="00813FDB"/>
    <w:rsid w:val="008358DA"/>
    <w:rsid w:val="00845E33"/>
    <w:rsid w:val="0085355C"/>
    <w:rsid w:val="00856FA4"/>
    <w:rsid w:val="00874425"/>
    <w:rsid w:val="008775D7"/>
    <w:rsid w:val="00893E98"/>
    <w:rsid w:val="00894ED7"/>
    <w:rsid w:val="008A2300"/>
    <w:rsid w:val="008A4224"/>
    <w:rsid w:val="008D2949"/>
    <w:rsid w:val="008E3BF9"/>
    <w:rsid w:val="008F18F8"/>
    <w:rsid w:val="008F7CEE"/>
    <w:rsid w:val="00904F72"/>
    <w:rsid w:val="00910D54"/>
    <w:rsid w:val="00911637"/>
    <w:rsid w:val="00920D93"/>
    <w:rsid w:val="00933644"/>
    <w:rsid w:val="00957C01"/>
    <w:rsid w:val="0097570B"/>
    <w:rsid w:val="009A1976"/>
    <w:rsid w:val="009B0D73"/>
    <w:rsid w:val="009C3F2D"/>
    <w:rsid w:val="009C4397"/>
    <w:rsid w:val="009D7C17"/>
    <w:rsid w:val="009E6986"/>
    <w:rsid w:val="00A051D9"/>
    <w:rsid w:val="00A0717D"/>
    <w:rsid w:val="00A12989"/>
    <w:rsid w:val="00A133C7"/>
    <w:rsid w:val="00A20DA1"/>
    <w:rsid w:val="00A27756"/>
    <w:rsid w:val="00A3711F"/>
    <w:rsid w:val="00A65F39"/>
    <w:rsid w:val="00A7379F"/>
    <w:rsid w:val="00A75B06"/>
    <w:rsid w:val="00A75EDC"/>
    <w:rsid w:val="00A80E66"/>
    <w:rsid w:val="00A9417C"/>
    <w:rsid w:val="00A97107"/>
    <w:rsid w:val="00AA0A6D"/>
    <w:rsid w:val="00AB4C32"/>
    <w:rsid w:val="00AC1E88"/>
    <w:rsid w:val="00AC3EA0"/>
    <w:rsid w:val="00AC6D88"/>
    <w:rsid w:val="00AD7B69"/>
    <w:rsid w:val="00AE7ACF"/>
    <w:rsid w:val="00B20C75"/>
    <w:rsid w:val="00B452E6"/>
    <w:rsid w:val="00B47B58"/>
    <w:rsid w:val="00B52931"/>
    <w:rsid w:val="00B551E7"/>
    <w:rsid w:val="00B57F32"/>
    <w:rsid w:val="00B61FCD"/>
    <w:rsid w:val="00B84B23"/>
    <w:rsid w:val="00B96154"/>
    <w:rsid w:val="00BA40DE"/>
    <w:rsid w:val="00BB668C"/>
    <w:rsid w:val="00BC23D8"/>
    <w:rsid w:val="00BE730F"/>
    <w:rsid w:val="00C03908"/>
    <w:rsid w:val="00C06B9E"/>
    <w:rsid w:val="00C14EFA"/>
    <w:rsid w:val="00C27B92"/>
    <w:rsid w:val="00C3018E"/>
    <w:rsid w:val="00C414A6"/>
    <w:rsid w:val="00C60150"/>
    <w:rsid w:val="00C65AC8"/>
    <w:rsid w:val="00C8227B"/>
    <w:rsid w:val="00C83693"/>
    <w:rsid w:val="00C87834"/>
    <w:rsid w:val="00CA1893"/>
    <w:rsid w:val="00CA5962"/>
    <w:rsid w:val="00CA7B63"/>
    <w:rsid w:val="00CB7526"/>
    <w:rsid w:val="00CC5662"/>
    <w:rsid w:val="00CD1653"/>
    <w:rsid w:val="00CE509B"/>
    <w:rsid w:val="00CF0695"/>
    <w:rsid w:val="00D01067"/>
    <w:rsid w:val="00D0756E"/>
    <w:rsid w:val="00D158ED"/>
    <w:rsid w:val="00D50844"/>
    <w:rsid w:val="00D54CCE"/>
    <w:rsid w:val="00D55204"/>
    <w:rsid w:val="00D57F03"/>
    <w:rsid w:val="00D60240"/>
    <w:rsid w:val="00D630C5"/>
    <w:rsid w:val="00D64CB4"/>
    <w:rsid w:val="00D73723"/>
    <w:rsid w:val="00D85293"/>
    <w:rsid w:val="00D94D70"/>
    <w:rsid w:val="00DA6772"/>
    <w:rsid w:val="00DA7746"/>
    <w:rsid w:val="00DB71F1"/>
    <w:rsid w:val="00DC4A2F"/>
    <w:rsid w:val="00DC7243"/>
    <w:rsid w:val="00DD6A98"/>
    <w:rsid w:val="00DE1C5D"/>
    <w:rsid w:val="00DF4073"/>
    <w:rsid w:val="00E02BEF"/>
    <w:rsid w:val="00E165FC"/>
    <w:rsid w:val="00E25FE3"/>
    <w:rsid w:val="00E372B8"/>
    <w:rsid w:val="00E4164B"/>
    <w:rsid w:val="00E51BA5"/>
    <w:rsid w:val="00E56CE7"/>
    <w:rsid w:val="00E631BB"/>
    <w:rsid w:val="00E6385A"/>
    <w:rsid w:val="00E72463"/>
    <w:rsid w:val="00E733C7"/>
    <w:rsid w:val="00E927DF"/>
    <w:rsid w:val="00EC1F80"/>
    <w:rsid w:val="00ED3B34"/>
    <w:rsid w:val="00EE2A8D"/>
    <w:rsid w:val="00EE38DA"/>
    <w:rsid w:val="00EF6F78"/>
    <w:rsid w:val="00F00DDA"/>
    <w:rsid w:val="00F02198"/>
    <w:rsid w:val="00F117C6"/>
    <w:rsid w:val="00F22B12"/>
    <w:rsid w:val="00F76C2E"/>
    <w:rsid w:val="00F77C08"/>
    <w:rsid w:val="00F850A1"/>
    <w:rsid w:val="00F855DD"/>
    <w:rsid w:val="00FB2AF9"/>
    <w:rsid w:val="00FB2DFE"/>
    <w:rsid w:val="00FC65DA"/>
    <w:rsid w:val="00FD0DA1"/>
    <w:rsid w:val="00FE520B"/>
    <w:rsid w:val="00FF2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59C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2FD"/>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aliases w:val="C. Caption"/>
    <w:basedOn w:val="Normal"/>
    <w:next w:val="Normal"/>
    <w:link w:val="CaptionChar"/>
    <w:qFormat/>
    <w:rsid w:val="00F117C6"/>
    <w:rPr>
      <w:b/>
      <w:bCs/>
      <w:szCs w:val="3276"/>
    </w:rPr>
  </w:style>
  <w:style w:type="character" w:customStyle="1" w:styleId="CaptionChar">
    <w:name w:val="Caption Char"/>
    <w:aliases w:val="C. 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6412EA"/>
    <w:rPr>
      <w:rFonts w:ascii="Times New Roman" w:hAnsi="Times New Roman"/>
      <w:sz w:val="20"/>
      <w:szCs w:val="20"/>
    </w:rPr>
  </w:style>
  <w:style w:type="character" w:customStyle="1" w:styleId="EndnoteTextChar">
    <w:name w:val="Endnote Text Char"/>
    <w:basedOn w:val="DefaultParagraphFont"/>
    <w:link w:val="EndnoteText"/>
    <w:rsid w:val="006412EA"/>
    <w:rPr>
      <w:rFonts w:ascii="Times New Roman" w:eastAsia="Times New Roman" w:hAnsi="Times New Roman" w:cs="Times New Roman"/>
      <w:sz w:val="20"/>
      <w:szCs w:val="20"/>
    </w:rPr>
  </w:style>
  <w:style w:type="character" w:styleId="EndnoteReference">
    <w:name w:val="endnote reference"/>
    <w:semiHidden/>
    <w:rsid w:val="006412EA"/>
    <w:rPr>
      <w:vertAlign w:val="superscript"/>
    </w:rPr>
  </w:style>
  <w:style w:type="paragraph" w:customStyle="1" w:styleId="Default">
    <w:name w:val="Default"/>
    <w:rsid w:val="00911637"/>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660A9F"/>
    <w:rPr>
      <w:sz w:val="16"/>
      <w:szCs w:val="16"/>
    </w:rPr>
  </w:style>
  <w:style w:type="paragraph" w:styleId="CommentText">
    <w:name w:val="annotation text"/>
    <w:basedOn w:val="Normal"/>
    <w:link w:val="CommentTextChar"/>
    <w:uiPriority w:val="99"/>
    <w:unhideWhenUsed/>
    <w:rsid w:val="00660A9F"/>
    <w:rPr>
      <w:sz w:val="20"/>
      <w:szCs w:val="20"/>
    </w:rPr>
  </w:style>
  <w:style w:type="character" w:customStyle="1" w:styleId="CommentTextChar">
    <w:name w:val="Comment Text Char"/>
    <w:basedOn w:val="DefaultParagraphFont"/>
    <w:link w:val="CommentText"/>
    <w:uiPriority w:val="99"/>
    <w:rsid w:val="00660A9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60A9F"/>
    <w:rPr>
      <w:b/>
      <w:bCs/>
    </w:rPr>
  </w:style>
  <w:style w:type="character" w:customStyle="1" w:styleId="CommentSubjectChar">
    <w:name w:val="Comment Subject Char"/>
    <w:basedOn w:val="CommentTextChar"/>
    <w:link w:val="CommentSubject"/>
    <w:uiPriority w:val="99"/>
    <w:semiHidden/>
    <w:rsid w:val="00660A9F"/>
    <w:rPr>
      <w:rFonts w:eastAsia="Times New Roman" w:cs="Times New Roman"/>
      <w:b/>
      <w:bCs/>
      <w:sz w:val="20"/>
      <w:szCs w:val="20"/>
    </w:rPr>
  </w:style>
  <w:style w:type="character" w:styleId="Hyperlink">
    <w:name w:val="Hyperlink"/>
    <w:uiPriority w:val="99"/>
    <w:rsid w:val="002A43EE"/>
    <w:rPr>
      <w:color w:val="0000FF"/>
      <w:u w:val="single"/>
    </w:rPr>
  </w:style>
  <w:style w:type="paragraph" w:styleId="NoSpacing">
    <w:name w:val="No Spacing"/>
    <w:uiPriority w:val="1"/>
    <w:qFormat/>
    <w:rsid w:val="00B20C75"/>
    <w:pPr>
      <w:spacing w:after="0" w:line="240" w:lineRule="auto"/>
    </w:pPr>
  </w:style>
  <w:style w:type="paragraph" w:customStyle="1" w:styleId="Reminder">
    <w:name w:val="Reminder"/>
    <w:basedOn w:val="Reminders"/>
    <w:link w:val="ReminderChar"/>
    <w:rsid w:val="00874425"/>
  </w:style>
  <w:style w:type="character" w:customStyle="1" w:styleId="ReminderChar">
    <w:name w:val="Reminder Char"/>
    <w:basedOn w:val="RemindersChar"/>
    <w:link w:val="Reminder"/>
    <w:rsid w:val="00874425"/>
    <w:rPr>
      <w:rFonts w:ascii="Trebuchet MS" w:eastAsia="Times New Roman" w:hAnsi="Trebuchet MS" w:cs="Times New Roman"/>
      <w:i/>
      <w:color w:val="FF0000"/>
      <w:szCs w:val="24"/>
    </w:rPr>
  </w:style>
  <w:style w:type="paragraph" w:customStyle="1" w:styleId="SubsectionStyle">
    <w:name w:val="Subsection Style"/>
    <w:basedOn w:val="Normal"/>
    <w:link w:val="SubsectionStyleChar"/>
    <w:qFormat/>
    <w:rsid w:val="00AC6D88"/>
    <w:pPr>
      <w:numPr>
        <w:ilvl w:val="1"/>
        <w:numId w:val="24"/>
      </w:numPr>
      <w:suppressAutoHyphens/>
      <w:spacing w:before="240" w:line="360" w:lineRule="auto"/>
      <w:outlineLvl w:val="1"/>
    </w:pPr>
    <w:rPr>
      <w:rFonts w:ascii="Times New Roman" w:eastAsia="Batang" w:hAnsi="Times New Roman"/>
      <w:b/>
      <w:caps/>
      <w:sz w:val="24"/>
      <w:szCs w:val="20"/>
    </w:rPr>
  </w:style>
  <w:style w:type="character" w:customStyle="1" w:styleId="SubsectionStyleChar">
    <w:name w:val="Subsection Style Char"/>
    <w:basedOn w:val="DefaultParagraphFont"/>
    <w:link w:val="SubsectionStyle"/>
    <w:rsid w:val="00AC6D88"/>
    <w:rPr>
      <w:rFonts w:ascii="Times New Roman" w:eastAsia="Batang" w:hAnsi="Times New Roman" w:cs="Times New Roman"/>
      <w:b/>
      <w:cap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374366">
      <w:bodyDiv w:val="1"/>
      <w:marLeft w:val="0"/>
      <w:marRight w:val="0"/>
      <w:marTop w:val="0"/>
      <w:marBottom w:val="0"/>
      <w:divBdr>
        <w:top w:val="none" w:sz="0" w:space="0" w:color="auto"/>
        <w:left w:val="none" w:sz="0" w:space="0" w:color="auto"/>
        <w:bottom w:val="none" w:sz="0" w:space="0" w:color="auto"/>
        <w:right w:val="none" w:sz="0" w:space="0" w:color="auto"/>
      </w:divBdr>
    </w:div>
    <w:div w:id="1670792837">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2.png@01D235CA.4D94F7C0" TargetMode="Externa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50FD74-F4AA-4FFB-B37A-130DFD2ED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1496</Words>
  <Characters>8529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2019-05-14T17:17:00Z</dcterms:created>
  <dcterms:modified xsi:type="dcterms:W3CDTF">2019-05-14T17:39:00Z</dcterms:modified>
</cp:coreProperties>
</file>