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B668A" w14:textId="5C9D161E" w:rsidR="00F117C6" w:rsidRPr="005C0C56" w:rsidRDefault="009A0721" w:rsidP="005C0C56">
      <w:pPr>
        <w:jc w:val="right"/>
        <w:rPr>
          <w:b/>
          <w:sz w:val="48"/>
          <w:szCs w:val="48"/>
        </w:rPr>
      </w:pPr>
      <w:bookmarkStart w:id="0" w:name="_Toc153189647"/>
      <w:r w:rsidRPr="005C0C56">
        <w:rPr>
          <w:b/>
          <w:sz w:val="48"/>
          <w:szCs w:val="48"/>
        </w:rPr>
        <w:t xml:space="preserve">Short Form </w:t>
      </w:r>
      <w:r w:rsidR="00F117C6" w:rsidRPr="005C0C56">
        <w:rPr>
          <w:b/>
          <w:sz w:val="48"/>
          <w:szCs w:val="48"/>
        </w:rPr>
        <w:t xml:space="preserve">Work Paper </w:t>
      </w:r>
      <w:r w:rsidR="00A40890" w:rsidRPr="005C0C56">
        <w:rPr>
          <w:b/>
          <w:sz w:val="48"/>
          <w:szCs w:val="48"/>
        </w:rPr>
        <w:t>WPSDGENR</w:t>
      </w:r>
      <w:r w:rsidR="000374DA" w:rsidRPr="005C0C56">
        <w:rPr>
          <w:b/>
          <w:sz w:val="48"/>
          <w:szCs w:val="48"/>
        </w:rPr>
        <w:t>W</w:t>
      </w:r>
      <w:r w:rsidR="00A40890" w:rsidRPr="005C0C56">
        <w:rPr>
          <w:b/>
          <w:sz w:val="48"/>
          <w:szCs w:val="48"/>
        </w:rPr>
        <w:t>H1</w:t>
      </w:r>
      <w:r w:rsidR="000374DA" w:rsidRPr="005C0C56">
        <w:rPr>
          <w:b/>
          <w:sz w:val="48"/>
          <w:szCs w:val="48"/>
        </w:rPr>
        <w:t>20</w:t>
      </w:r>
      <w:r w:rsidR="006F0D4B" w:rsidRPr="005C0C56">
        <w:rPr>
          <w:b/>
          <w:sz w:val="48"/>
          <w:szCs w:val="48"/>
        </w:rPr>
        <w:t>5</w:t>
      </w:r>
      <w:r w:rsidR="00C2655F">
        <w:rPr>
          <w:b/>
          <w:sz w:val="48"/>
          <w:szCs w:val="48"/>
        </w:rPr>
        <w:t>B</w:t>
      </w:r>
    </w:p>
    <w:bookmarkEnd w:id="0"/>
    <w:p w14:paraId="269B668B" w14:textId="0E585EE6" w:rsidR="00F117C6" w:rsidRPr="00500C4E" w:rsidRDefault="0095221A" w:rsidP="00F117C6">
      <w:pPr>
        <w:pStyle w:val="Revnumber"/>
        <w:rPr>
          <w:rStyle w:val="CaptionChar"/>
          <w:b/>
          <w:bCs w:val="0"/>
        </w:rPr>
      </w:pPr>
      <w:r>
        <w:rPr>
          <w:rStyle w:val="CaptionChar"/>
          <w:b/>
          <w:bCs w:val="0"/>
        </w:rPr>
        <w:t xml:space="preserve">Revision </w:t>
      </w:r>
      <w:r w:rsidR="00C13907">
        <w:rPr>
          <w:rStyle w:val="CaptionChar"/>
          <w:b/>
          <w:bCs w:val="0"/>
        </w:rPr>
        <w:t>0</w:t>
      </w:r>
    </w:p>
    <w:p w14:paraId="269B668C" w14:textId="77777777" w:rsidR="00F117C6" w:rsidRPr="00500C4E" w:rsidRDefault="00F117C6" w:rsidP="00F117C6">
      <w:pPr>
        <w:jc w:val="right"/>
        <w:rPr>
          <w:rFonts w:cstheme="minorHAnsi"/>
          <w:b/>
          <w:sz w:val="48"/>
          <w:szCs w:val="48"/>
        </w:rPr>
      </w:pPr>
    </w:p>
    <w:p w14:paraId="269B668D" w14:textId="77777777" w:rsidR="00F117C6" w:rsidRPr="00500C4E" w:rsidRDefault="00861B74" w:rsidP="00F117C6">
      <w:pPr>
        <w:pBdr>
          <w:bottom w:val="single" w:sz="4" w:space="1" w:color="auto"/>
        </w:pBdr>
        <w:rPr>
          <w:rFonts w:cstheme="minorHAnsi"/>
          <w:b/>
          <w:sz w:val="36"/>
          <w:szCs w:val="36"/>
        </w:rPr>
      </w:pPr>
      <w:bookmarkStart w:id="1" w:name="SCE"/>
      <w:r>
        <w:rPr>
          <w:rFonts w:cstheme="minorHAnsi"/>
          <w:b/>
          <w:sz w:val="36"/>
          <w:szCs w:val="36"/>
        </w:rPr>
        <w:t>S</w:t>
      </w:r>
      <w:r w:rsidR="006049AE">
        <w:rPr>
          <w:rFonts w:cstheme="minorHAnsi"/>
          <w:b/>
          <w:sz w:val="36"/>
          <w:szCs w:val="36"/>
        </w:rPr>
        <w:t>an Diego Gas &amp; Electric</w:t>
      </w:r>
      <w:bookmarkEnd w:id="1"/>
    </w:p>
    <w:p w14:paraId="269B668E" w14:textId="77777777" w:rsidR="00F117C6" w:rsidRPr="006049AE" w:rsidRDefault="006049AE" w:rsidP="00F117C6">
      <w:pPr>
        <w:rPr>
          <w:rFonts w:cstheme="minorHAnsi"/>
          <w:b/>
        </w:rPr>
      </w:pPr>
      <w:r w:rsidRPr="006049AE">
        <w:rPr>
          <w:rFonts w:cstheme="minorHAnsi"/>
          <w:b/>
        </w:rPr>
        <w:t>Energy Efficiency Engineering</w:t>
      </w:r>
    </w:p>
    <w:p w14:paraId="269B668F" w14:textId="77777777" w:rsidR="00F117C6" w:rsidRPr="00500C4E" w:rsidRDefault="00F117C6" w:rsidP="00F117C6">
      <w:pPr>
        <w:rPr>
          <w:rFonts w:cstheme="minorHAnsi"/>
        </w:rPr>
      </w:pPr>
    </w:p>
    <w:p w14:paraId="269B6690" w14:textId="77777777" w:rsidR="00F117C6" w:rsidRPr="00500C4E" w:rsidRDefault="00F117C6" w:rsidP="00F117C6">
      <w:pPr>
        <w:tabs>
          <w:tab w:val="left" w:pos="8190"/>
        </w:tabs>
        <w:rPr>
          <w:rFonts w:cstheme="minorHAnsi"/>
        </w:rPr>
      </w:pPr>
      <w:r w:rsidRPr="00500C4E">
        <w:rPr>
          <w:rFonts w:cstheme="minorHAnsi"/>
        </w:rPr>
        <w:tab/>
      </w:r>
    </w:p>
    <w:p w14:paraId="269B6691" w14:textId="77777777" w:rsidR="00F117C6" w:rsidRPr="00500C4E" w:rsidRDefault="00F117C6" w:rsidP="00F117C6">
      <w:pPr>
        <w:rPr>
          <w:rFonts w:cstheme="minorHAnsi"/>
        </w:rPr>
      </w:pPr>
    </w:p>
    <w:p w14:paraId="269B6692" w14:textId="77777777" w:rsidR="00F117C6" w:rsidRPr="00500C4E" w:rsidRDefault="00F117C6" w:rsidP="00F117C6">
      <w:pPr>
        <w:rPr>
          <w:rFonts w:cstheme="minorHAnsi"/>
        </w:rPr>
      </w:pPr>
    </w:p>
    <w:p w14:paraId="269B6693" w14:textId="77777777" w:rsidR="00F117C6" w:rsidRPr="00500C4E" w:rsidRDefault="00F117C6" w:rsidP="00F117C6">
      <w:pPr>
        <w:rPr>
          <w:rFonts w:cstheme="minorHAnsi"/>
        </w:rPr>
      </w:pPr>
    </w:p>
    <w:p w14:paraId="269B6696" w14:textId="1B654ED8" w:rsidR="00FE520B" w:rsidRPr="00761CDC" w:rsidRDefault="00035509" w:rsidP="000F72EF">
      <w:pPr>
        <w:rPr>
          <w:rFonts w:cstheme="minorHAnsi"/>
          <w:b/>
          <w:sz w:val="52"/>
          <w:szCs w:val="52"/>
        </w:rPr>
      </w:pPr>
      <w:r>
        <w:rPr>
          <w:rFonts w:cstheme="minorHAnsi"/>
          <w:b/>
          <w:sz w:val="48"/>
          <w:szCs w:val="48"/>
        </w:rPr>
        <w:t xml:space="preserve">Large </w:t>
      </w:r>
      <w:r w:rsidR="006F0D4B" w:rsidRPr="00761CDC">
        <w:rPr>
          <w:rFonts w:cstheme="minorHAnsi"/>
          <w:b/>
          <w:sz w:val="48"/>
          <w:szCs w:val="48"/>
        </w:rPr>
        <w:t xml:space="preserve">Storage Water Heaters </w:t>
      </w:r>
      <w:r w:rsidR="003063CD">
        <w:rPr>
          <w:rFonts w:cstheme="minorHAnsi"/>
          <w:b/>
          <w:sz w:val="48"/>
          <w:szCs w:val="48"/>
        </w:rPr>
        <w:t xml:space="preserve">with </w:t>
      </w:r>
      <w:r w:rsidR="00D93F77">
        <w:rPr>
          <w:rFonts w:cstheme="minorHAnsi"/>
          <w:b/>
          <w:sz w:val="48"/>
          <w:szCs w:val="48"/>
        </w:rPr>
        <w:t xml:space="preserve">input </w:t>
      </w:r>
      <w:r w:rsidR="00F6302D">
        <w:rPr>
          <w:rFonts w:cstheme="minorHAnsi"/>
          <w:b/>
          <w:sz w:val="48"/>
          <w:szCs w:val="48"/>
        </w:rPr>
        <w:t xml:space="preserve">rating over </w:t>
      </w:r>
      <w:r w:rsidR="007264C7" w:rsidRPr="00761CDC">
        <w:rPr>
          <w:rFonts w:cstheme="minorHAnsi"/>
          <w:b/>
          <w:sz w:val="48"/>
          <w:szCs w:val="48"/>
        </w:rPr>
        <w:t>75kBtu</w:t>
      </w:r>
      <w:r w:rsidR="00C13907" w:rsidRPr="00761CDC">
        <w:rPr>
          <w:rFonts w:cstheme="minorHAnsi"/>
          <w:b/>
          <w:sz w:val="48"/>
          <w:szCs w:val="48"/>
        </w:rPr>
        <w:t>/</w:t>
      </w:r>
      <w:r w:rsidR="007264C7" w:rsidRPr="00761CDC">
        <w:rPr>
          <w:rFonts w:cstheme="minorHAnsi"/>
          <w:b/>
          <w:sz w:val="48"/>
          <w:szCs w:val="48"/>
        </w:rPr>
        <w:t>h</w:t>
      </w:r>
    </w:p>
    <w:p w14:paraId="269B6697" w14:textId="77777777" w:rsidR="00861B74" w:rsidRPr="00C1087D" w:rsidRDefault="00861B74" w:rsidP="000F72EF">
      <w:pPr>
        <w:rPr>
          <w:rFonts w:cstheme="minorHAnsi"/>
          <w:b/>
          <w:sz w:val="28"/>
          <w:szCs w:val="28"/>
        </w:rPr>
      </w:pPr>
    </w:p>
    <w:p w14:paraId="269B669C" w14:textId="77777777" w:rsidR="009258E5" w:rsidRDefault="009258E5" w:rsidP="000F72EF">
      <w:pPr>
        <w:rPr>
          <w:rFonts w:cstheme="minorHAnsi"/>
          <w:b/>
          <w:sz w:val="28"/>
          <w:szCs w:val="28"/>
        </w:rPr>
      </w:pPr>
    </w:p>
    <w:p w14:paraId="269B669D" w14:textId="77777777" w:rsidR="009258E5" w:rsidRDefault="009258E5" w:rsidP="000F72EF">
      <w:pPr>
        <w:rPr>
          <w:rFonts w:cstheme="minorHAnsi"/>
          <w:b/>
          <w:sz w:val="28"/>
          <w:szCs w:val="28"/>
        </w:rPr>
      </w:pPr>
    </w:p>
    <w:p w14:paraId="269B669E" w14:textId="77777777" w:rsidR="009258E5" w:rsidRDefault="009258E5" w:rsidP="000F72EF">
      <w:pPr>
        <w:rPr>
          <w:rFonts w:cstheme="minorHAnsi"/>
          <w:b/>
          <w:sz w:val="28"/>
          <w:szCs w:val="28"/>
        </w:rPr>
      </w:pPr>
    </w:p>
    <w:p w14:paraId="269B669F" w14:textId="77777777" w:rsidR="009258E5" w:rsidRDefault="009258E5" w:rsidP="000F72EF">
      <w:pPr>
        <w:rPr>
          <w:rFonts w:cstheme="minorHAnsi"/>
          <w:b/>
          <w:sz w:val="28"/>
          <w:szCs w:val="28"/>
        </w:rPr>
      </w:pPr>
    </w:p>
    <w:p w14:paraId="269B66A0" w14:textId="77777777" w:rsidR="009258E5" w:rsidRDefault="009258E5" w:rsidP="000F72EF">
      <w:pPr>
        <w:rPr>
          <w:rFonts w:cstheme="minorHAnsi"/>
          <w:b/>
          <w:sz w:val="28"/>
          <w:szCs w:val="28"/>
        </w:rPr>
      </w:pPr>
    </w:p>
    <w:p w14:paraId="269B66A1" w14:textId="77777777" w:rsidR="009258E5" w:rsidRDefault="009258E5" w:rsidP="000F72EF">
      <w:pPr>
        <w:rPr>
          <w:rFonts w:cstheme="minorHAnsi"/>
          <w:b/>
          <w:sz w:val="28"/>
          <w:szCs w:val="28"/>
        </w:rPr>
      </w:pPr>
    </w:p>
    <w:p w14:paraId="269B66A2" w14:textId="77777777" w:rsidR="009258E5" w:rsidRDefault="009258E5" w:rsidP="000F72EF">
      <w:pPr>
        <w:rPr>
          <w:rFonts w:cstheme="minorHAnsi"/>
          <w:b/>
          <w:sz w:val="28"/>
          <w:szCs w:val="28"/>
        </w:rPr>
      </w:pPr>
    </w:p>
    <w:p w14:paraId="269B66A3" w14:textId="77777777" w:rsidR="009258E5" w:rsidRDefault="009258E5" w:rsidP="000F72EF">
      <w:pPr>
        <w:rPr>
          <w:rFonts w:cstheme="minorHAnsi"/>
          <w:b/>
          <w:sz w:val="28"/>
          <w:szCs w:val="28"/>
        </w:rPr>
      </w:pPr>
    </w:p>
    <w:p w14:paraId="269B66A4" w14:textId="77777777" w:rsidR="009258E5" w:rsidRDefault="009258E5" w:rsidP="000F72EF">
      <w:pPr>
        <w:rPr>
          <w:rFonts w:cstheme="minorHAnsi"/>
          <w:b/>
          <w:sz w:val="28"/>
          <w:szCs w:val="28"/>
        </w:rPr>
      </w:pPr>
    </w:p>
    <w:p w14:paraId="269B66A5" w14:textId="77777777" w:rsidR="009258E5" w:rsidRDefault="009258E5" w:rsidP="000F72EF">
      <w:pPr>
        <w:rPr>
          <w:rFonts w:cstheme="minorHAnsi"/>
          <w:b/>
          <w:sz w:val="28"/>
          <w:szCs w:val="28"/>
        </w:rPr>
      </w:pPr>
    </w:p>
    <w:p w14:paraId="269B66A6" w14:textId="77777777" w:rsidR="009258E5" w:rsidRDefault="009258E5" w:rsidP="000F72EF">
      <w:pPr>
        <w:rPr>
          <w:rFonts w:cstheme="minorHAnsi"/>
          <w:b/>
          <w:sz w:val="28"/>
          <w:szCs w:val="28"/>
        </w:rPr>
      </w:pPr>
    </w:p>
    <w:p w14:paraId="269B66A9" w14:textId="77777777" w:rsidR="00861B74" w:rsidRPr="00C1087D" w:rsidRDefault="00861B74" w:rsidP="000F72EF">
      <w:pPr>
        <w:rPr>
          <w:rFonts w:cstheme="minorHAnsi"/>
          <w:b/>
          <w:sz w:val="28"/>
          <w:szCs w:val="28"/>
        </w:rPr>
      </w:pPr>
    </w:p>
    <w:p w14:paraId="269B66AA" w14:textId="77777777" w:rsidR="00861B74" w:rsidRPr="00C1087D" w:rsidRDefault="00861B74" w:rsidP="000F72EF">
      <w:pPr>
        <w:rPr>
          <w:rFonts w:cstheme="minorHAnsi"/>
          <w:b/>
          <w:sz w:val="28"/>
          <w:szCs w:val="28"/>
        </w:rPr>
      </w:pPr>
    </w:p>
    <w:p w14:paraId="269B66AB" w14:textId="77777777" w:rsidR="00861B74" w:rsidRPr="00C1087D" w:rsidRDefault="00861B74" w:rsidP="000F72EF">
      <w:pPr>
        <w:rPr>
          <w:rFonts w:cstheme="minorHAnsi"/>
          <w:b/>
          <w:sz w:val="28"/>
          <w:szCs w:val="28"/>
        </w:rPr>
      </w:pPr>
    </w:p>
    <w:p w14:paraId="6F29D337" w14:textId="77777777" w:rsidR="00D01D08" w:rsidRDefault="00D01D08" w:rsidP="00861B74">
      <w:pPr>
        <w:jc w:val="right"/>
        <w:rPr>
          <w:rFonts w:cstheme="minorHAnsi"/>
          <w:b/>
          <w:sz w:val="28"/>
          <w:szCs w:val="28"/>
        </w:rPr>
      </w:pPr>
    </w:p>
    <w:p w14:paraId="2CEDF826" w14:textId="77777777" w:rsidR="00D01D08" w:rsidRDefault="00D01D08" w:rsidP="00861B74">
      <w:pPr>
        <w:jc w:val="right"/>
        <w:rPr>
          <w:rFonts w:cstheme="minorHAnsi"/>
          <w:b/>
          <w:sz w:val="28"/>
          <w:szCs w:val="28"/>
        </w:rPr>
      </w:pPr>
    </w:p>
    <w:p w14:paraId="2FAD6B8A" w14:textId="77777777" w:rsidR="00D01D08" w:rsidRDefault="00D01D08" w:rsidP="00861B74">
      <w:pPr>
        <w:jc w:val="right"/>
        <w:rPr>
          <w:rFonts w:cstheme="minorHAnsi"/>
          <w:b/>
          <w:sz w:val="28"/>
          <w:szCs w:val="28"/>
        </w:rPr>
      </w:pPr>
    </w:p>
    <w:p w14:paraId="269B66AC" w14:textId="40559E79" w:rsidR="00861B74" w:rsidRPr="00861B74" w:rsidRDefault="000E22EA" w:rsidP="00861B74">
      <w:pPr>
        <w:jc w:val="right"/>
        <w:rPr>
          <w:rFonts w:cstheme="minorHAnsi"/>
          <w:b/>
          <w:sz w:val="28"/>
          <w:szCs w:val="28"/>
        </w:rPr>
        <w:sectPr w:rsidR="00861B74" w:rsidRPr="00861B74" w:rsidSect="000D1CE9">
          <w:footerReference w:type="default" r:id="rId8"/>
          <w:pgSz w:w="12240" w:h="15840"/>
          <w:pgMar w:top="1440" w:right="1440" w:bottom="1440" w:left="1440" w:header="720" w:footer="720" w:gutter="0"/>
          <w:pgNumType w:start="0"/>
          <w:cols w:space="720"/>
          <w:docGrid w:linePitch="360"/>
        </w:sectPr>
      </w:pPr>
      <w:r>
        <w:rPr>
          <w:rFonts w:cstheme="minorHAnsi"/>
          <w:b/>
          <w:sz w:val="28"/>
          <w:szCs w:val="28"/>
        </w:rPr>
        <w:t xml:space="preserve">January </w:t>
      </w:r>
      <w:r w:rsidR="00943B18">
        <w:rPr>
          <w:rFonts w:cstheme="minorHAnsi"/>
          <w:b/>
          <w:sz w:val="28"/>
          <w:szCs w:val="28"/>
        </w:rPr>
        <w:t>1</w:t>
      </w:r>
      <w:r w:rsidR="001D44E6">
        <w:rPr>
          <w:rFonts w:cstheme="minorHAnsi"/>
          <w:b/>
          <w:sz w:val="28"/>
          <w:szCs w:val="28"/>
        </w:rPr>
        <w:t>,</w:t>
      </w:r>
      <w:r w:rsidR="00500D21">
        <w:rPr>
          <w:rFonts w:cstheme="minorHAnsi"/>
          <w:b/>
          <w:sz w:val="28"/>
          <w:szCs w:val="28"/>
        </w:rPr>
        <w:t xml:space="preserve"> </w:t>
      </w:r>
      <w:r w:rsidR="009A0721">
        <w:rPr>
          <w:rFonts w:cstheme="minorHAnsi"/>
          <w:b/>
          <w:sz w:val="28"/>
          <w:szCs w:val="28"/>
        </w:rPr>
        <w:t>201</w:t>
      </w:r>
      <w:r>
        <w:rPr>
          <w:rFonts w:cstheme="minorHAnsi"/>
          <w:b/>
          <w:sz w:val="28"/>
          <w:szCs w:val="28"/>
        </w:rPr>
        <w:t>9</w:t>
      </w:r>
    </w:p>
    <w:p w14:paraId="269B66AD" w14:textId="783BB3F0" w:rsidR="009258E5" w:rsidRPr="008828CF" w:rsidRDefault="005C599D" w:rsidP="009258E5">
      <w:pPr>
        <w:pStyle w:val="Heading1"/>
      </w:pPr>
      <w:r>
        <w:lastRenderedPageBreak/>
        <w:t xml:space="preserve">Large Storage Water Heaters </w:t>
      </w:r>
      <w:r w:rsidR="009258E5" w:rsidRPr="008828CF">
        <w:t>Short Form WP</w:t>
      </w:r>
    </w:p>
    <w:p w14:paraId="269B66AE" w14:textId="77777777" w:rsidR="0095221A" w:rsidRDefault="0095221A" w:rsidP="0095221A">
      <w:pPr>
        <w:pStyle w:val="Heading2"/>
      </w:pPr>
      <w:r>
        <w:t>Introduction</w:t>
      </w:r>
    </w:p>
    <w:p w14:paraId="761E7FA4" w14:textId="64E8BF46" w:rsidR="004E74AB" w:rsidRDefault="0095221A" w:rsidP="0095221A">
      <w:r>
        <w:t>This short form workp</w:t>
      </w:r>
      <w:r w:rsidR="0022781C">
        <w:t>aper documents the Ex-ante data</w:t>
      </w:r>
      <w:r>
        <w:t xml:space="preserve"> </w:t>
      </w:r>
      <w:r w:rsidR="00882BAE">
        <w:t xml:space="preserve">adoptions </w:t>
      </w:r>
      <w:r w:rsidR="003804E4">
        <w:t xml:space="preserve">of both DEER </w:t>
      </w:r>
      <w:r w:rsidR="001B148A">
        <w:t xml:space="preserve">measures definitions </w:t>
      </w:r>
      <w:r w:rsidR="00E11E75">
        <w:t xml:space="preserve">and deemed </w:t>
      </w:r>
      <w:r w:rsidR="005E2B83">
        <w:t xml:space="preserve">SCG </w:t>
      </w:r>
      <w:r w:rsidR="00E11E75">
        <w:t xml:space="preserve">workpaper </w:t>
      </w:r>
      <w:r w:rsidR="00111B31">
        <w:t>(WPSCG</w:t>
      </w:r>
      <w:r w:rsidR="00EF1DD6">
        <w:t>NRWH</w:t>
      </w:r>
      <w:r w:rsidR="006B6771">
        <w:t>120206A-Rev10)</w:t>
      </w:r>
      <w:r w:rsidR="00111B31">
        <w:t xml:space="preserve"> </w:t>
      </w:r>
      <w:r w:rsidR="001B148A">
        <w:t xml:space="preserve">cost </w:t>
      </w:r>
      <w:r w:rsidR="006B6771">
        <w:t>for Non</w:t>
      </w:r>
      <w:r w:rsidR="00E83C23">
        <w:t xml:space="preserve">-Residential </w:t>
      </w:r>
      <w:r w:rsidR="001B148A">
        <w:t xml:space="preserve">Large </w:t>
      </w:r>
      <w:r w:rsidR="00E83C23">
        <w:t>Storage Water Heaters</w:t>
      </w:r>
      <w:r w:rsidR="004A001C">
        <w:t xml:space="preserve"> with rating over 75 </w:t>
      </w:r>
      <w:proofErr w:type="spellStart"/>
      <w:r w:rsidR="004A001C">
        <w:t>kBTU</w:t>
      </w:r>
      <w:proofErr w:type="spellEnd"/>
      <w:r w:rsidR="004A001C">
        <w:t>/h</w:t>
      </w:r>
      <w:r w:rsidR="00E83C23">
        <w:t xml:space="preserve">. </w:t>
      </w:r>
      <w:r w:rsidR="000E1229">
        <w:t xml:space="preserve"> </w:t>
      </w:r>
      <w:r w:rsidR="004C05AE">
        <w:t xml:space="preserve">SDG&amp;E created new </w:t>
      </w:r>
      <w:r w:rsidR="000E1229">
        <w:t xml:space="preserve">Technology Cost </w:t>
      </w:r>
      <w:r w:rsidR="001803C3">
        <w:t xml:space="preserve">IDs </w:t>
      </w:r>
      <w:r w:rsidR="00761CDC">
        <w:t xml:space="preserve">which </w:t>
      </w:r>
      <w:r w:rsidR="004C05AE">
        <w:t xml:space="preserve">are documented in </w:t>
      </w:r>
      <w:r w:rsidR="000E1229">
        <w:t>Table</w:t>
      </w:r>
      <w:r w:rsidR="004C05AE">
        <w:t xml:space="preserve"> 1 below</w:t>
      </w:r>
      <w:r>
        <w:t xml:space="preserve">. The cost values </w:t>
      </w:r>
      <w:r w:rsidR="004E74AB">
        <w:t xml:space="preserve">for </w:t>
      </w:r>
      <w:r w:rsidR="00706120">
        <w:t xml:space="preserve">large </w:t>
      </w:r>
      <w:r w:rsidR="002F225D">
        <w:t xml:space="preserve">storage </w:t>
      </w:r>
      <w:r w:rsidR="004E74AB">
        <w:t xml:space="preserve">water heaters rated </w:t>
      </w:r>
      <w:r w:rsidR="00706120">
        <w:t xml:space="preserve">over </w:t>
      </w:r>
      <w:r w:rsidR="002F225D">
        <w:t>75</w:t>
      </w:r>
      <w:r w:rsidR="004E74AB">
        <w:t>kB</w:t>
      </w:r>
      <w:r w:rsidR="00706120">
        <w:t>TU/</w:t>
      </w:r>
      <w:r w:rsidR="004E74AB">
        <w:t xml:space="preserve">h </w:t>
      </w:r>
      <w:r w:rsidR="009F3F4D">
        <w:t xml:space="preserve">have been adopted </w:t>
      </w:r>
      <w:r>
        <w:t xml:space="preserve">from </w:t>
      </w:r>
      <w:r w:rsidR="001803C3">
        <w:t>SC</w:t>
      </w:r>
      <w:r w:rsidR="00761CDC">
        <w:t>G</w:t>
      </w:r>
      <w:r w:rsidR="001803C3">
        <w:t xml:space="preserve"> workpaper</w:t>
      </w:r>
      <w:r w:rsidR="009F3F4D">
        <w:t xml:space="preserve"> (WPSCGNRWH120</w:t>
      </w:r>
      <w:r w:rsidR="002F2790">
        <w:t>206A-Rev10)</w:t>
      </w:r>
      <w:r w:rsidR="002F225D">
        <w:t xml:space="preserve">. </w:t>
      </w:r>
    </w:p>
    <w:p w14:paraId="3B024C37" w14:textId="15D555FB" w:rsidR="00311729" w:rsidRDefault="00311729" w:rsidP="0095221A"/>
    <w:p w14:paraId="28F777DA" w14:textId="77777777" w:rsidR="00D85D0A" w:rsidRDefault="00D85D0A" w:rsidP="0095221A"/>
    <w:p w14:paraId="2668610B" w14:textId="6904AA1B" w:rsidR="004E74AB" w:rsidRDefault="00311729" w:rsidP="0095221A">
      <w:r>
        <w:t xml:space="preserve">Table 1: </w:t>
      </w:r>
      <w:r w:rsidR="001B7603">
        <w:t xml:space="preserve">Measure IDs </w:t>
      </w:r>
      <w:r w:rsidR="00BB0BB2">
        <w:t>with a</w:t>
      </w:r>
      <w:r w:rsidR="001B7603">
        <w:t xml:space="preserve">dopted </w:t>
      </w:r>
      <w:r w:rsidR="007F56D5">
        <w:t xml:space="preserve">SCG </w:t>
      </w:r>
      <w:r w:rsidR="002C3178">
        <w:t xml:space="preserve">Cost </w:t>
      </w:r>
      <w:r w:rsidR="00BB0BB2">
        <w:t xml:space="preserve">and </w:t>
      </w:r>
      <w:r w:rsidR="002C3178">
        <w:t xml:space="preserve">SDG&amp;E new UEF </w:t>
      </w:r>
      <w:r>
        <w:t>Technology Cost</w:t>
      </w:r>
      <w:r w:rsidR="006F0D4B">
        <w:t xml:space="preserve"> IDs</w:t>
      </w:r>
      <w:r>
        <w:t xml:space="preserve"> </w:t>
      </w:r>
    </w:p>
    <w:tbl>
      <w:tblPr>
        <w:tblStyle w:val="TableGrid"/>
        <w:tblW w:w="10885" w:type="dxa"/>
        <w:tblLook w:val="04A0" w:firstRow="1" w:lastRow="0" w:firstColumn="1" w:lastColumn="0" w:noHBand="0" w:noVBand="1"/>
      </w:tblPr>
      <w:tblGrid>
        <w:gridCol w:w="1435"/>
        <w:gridCol w:w="2610"/>
        <w:gridCol w:w="2520"/>
        <w:gridCol w:w="2610"/>
        <w:gridCol w:w="1710"/>
      </w:tblGrid>
      <w:tr w:rsidR="00E14719" w14:paraId="466BD195" w14:textId="77777777" w:rsidTr="002D2829">
        <w:tc>
          <w:tcPr>
            <w:tcW w:w="1435" w:type="dxa"/>
            <w:shd w:val="clear" w:color="auto" w:fill="D9D9D9" w:themeFill="background1" w:themeFillShade="D9"/>
          </w:tcPr>
          <w:p w14:paraId="0F3734BC" w14:textId="42292DD4" w:rsidR="00E14719" w:rsidRPr="001B7603" w:rsidRDefault="00E14719" w:rsidP="0095221A">
            <w:pPr>
              <w:rPr>
                <w:szCs w:val="22"/>
              </w:rPr>
            </w:pPr>
            <w:r>
              <w:rPr>
                <w:szCs w:val="22"/>
              </w:rPr>
              <w:t>Deliver Type:</w:t>
            </w:r>
          </w:p>
        </w:tc>
        <w:tc>
          <w:tcPr>
            <w:tcW w:w="9450" w:type="dxa"/>
            <w:gridSpan w:val="4"/>
            <w:shd w:val="clear" w:color="auto" w:fill="D9D9D9" w:themeFill="background1" w:themeFillShade="D9"/>
          </w:tcPr>
          <w:p w14:paraId="38198764" w14:textId="007C97A3" w:rsidR="00E14719" w:rsidRPr="001B7603" w:rsidRDefault="00E14719" w:rsidP="001B7603">
            <w:pPr>
              <w:jc w:val="center"/>
              <w:rPr>
                <w:szCs w:val="22"/>
              </w:rPr>
            </w:pPr>
            <w:r>
              <w:rPr>
                <w:szCs w:val="22"/>
              </w:rPr>
              <w:t>Down Stream (</w:t>
            </w:r>
            <w:proofErr w:type="spellStart"/>
            <w:r>
              <w:rPr>
                <w:szCs w:val="22"/>
              </w:rPr>
              <w:t>PreRebDown</w:t>
            </w:r>
            <w:proofErr w:type="spellEnd"/>
            <w:r>
              <w:rPr>
                <w:szCs w:val="22"/>
              </w:rPr>
              <w:t>)</w:t>
            </w:r>
          </w:p>
        </w:tc>
      </w:tr>
      <w:tr w:rsidR="006F0D4B" w14:paraId="22197CCD" w14:textId="7A1DC4B2" w:rsidTr="002D2829">
        <w:trPr>
          <w:trHeight w:val="845"/>
        </w:trPr>
        <w:tc>
          <w:tcPr>
            <w:tcW w:w="1435" w:type="dxa"/>
          </w:tcPr>
          <w:p w14:paraId="388BC400" w14:textId="319BF7C5" w:rsidR="006F0D4B" w:rsidRPr="001B7603" w:rsidRDefault="006F0D4B" w:rsidP="0095221A">
            <w:pPr>
              <w:rPr>
                <w:szCs w:val="22"/>
              </w:rPr>
            </w:pPr>
            <w:r w:rsidRPr="001B7603">
              <w:rPr>
                <w:szCs w:val="22"/>
              </w:rPr>
              <w:t>SDGE Imp. ID</w:t>
            </w:r>
          </w:p>
        </w:tc>
        <w:tc>
          <w:tcPr>
            <w:tcW w:w="2610" w:type="dxa"/>
          </w:tcPr>
          <w:p w14:paraId="64EAFD94" w14:textId="1FE08BD5" w:rsidR="006F0D4B" w:rsidRPr="001B7603" w:rsidRDefault="00035524" w:rsidP="0095221A">
            <w:pPr>
              <w:rPr>
                <w:szCs w:val="22"/>
              </w:rPr>
            </w:pPr>
            <w:r>
              <w:rPr>
                <w:szCs w:val="22"/>
              </w:rPr>
              <w:t xml:space="preserve">DEER </w:t>
            </w:r>
            <w:proofErr w:type="spellStart"/>
            <w:r w:rsidR="006F0D4B" w:rsidRPr="001B7603">
              <w:rPr>
                <w:szCs w:val="22"/>
              </w:rPr>
              <w:t>Msr</w:t>
            </w:r>
            <w:proofErr w:type="spellEnd"/>
            <w:r w:rsidR="006F0D4B" w:rsidRPr="001B7603">
              <w:rPr>
                <w:szCs w:val="22"/>
              </w:rPr>
              <w:t xml:space="preserve"> ID </w:t>
            </w:r>
          </w:p>
        </w:tc>
        <w:tc>
          <w:tcPr>
            <w:tcW w:w="2520" w:type="dxa"/>
          </w:tcPr>
          <w:p w14:paraId="260EFED8" w14:textId="50A4B1BB" w:rsidR="006F0D4B" w:rsidRPr="001B7603" w:rsidRDefault="006F0D4B" w:rsidP="0095221A">
            <w:pPr>
              <w:rPr>
                <w:szCs w:val="22"/>
              </w:rPr>
            </w:pPr>
            <w:proofErr w:type="spellStart"/>
            <w:r w:rsidRPr="001B7603">
              <w:rPr>
                <w:szCs w:val="22"/>
              </w:rPr>
              <w:t>Msr</w:t>
            </w:r>
            <w:proofErr w:type="spellEnd"/>
            <w:r w:rsidRPr="001B7603">
              <w:rPr>
                <w:szCs w:val="22"/>
              </w:rPr>
              <w:t xml:space="preserve"> Cost ID / Value</w:t>
            </w:r>
          </w:p>
        </w:tc>
        <w:tc>
          <w:tcPr>
            <w:tcW w:w="2610" w:type="dxa"/>
          </w:tcPr>
          <w:p w14:paraId="28536369" w14:textId="57C11B20" w:rsidR="006F0D4B" w:rsidRPr="001B7603" w:rsidRDefault="006F0D4B" w:rsidP="0095221A">
            <w:pPr>
              <w:rPr>
                <w:szCs w:val="22"/>
              </w:rPr>
            </w:pPr>
            <w:r w:rsidRPr="001B7603">
              <w:rPr>
                <w:szCs w:val="22"/>
              </w:rPr>
              <w:t>Std Cost ID / Value</w:t>
            </w:r>
          </w:p>
        </w:tc>
        <w:tc>
          <w:tcPr>
            <w:tcW w:w="1710" w:type="dxa"/>
          </w:tcPr>
          <w:p w14:paraId="58FDEC66" w14:textId="77777777" w:rsidR="00E60755" w:rsidRDefault="006F0D4B" w:rsidP="001B7603">
            <w:pPr>
              <w:jc w:val="center"/>
              <w:rPr>
                <w:szCs w:val="22"/>
              </w:rPr>
            </w:pPr>
            <w:r w:rsidRPr="001B7603">
              <w:rPr>
                <w:szCs w:val="22"/>
              </w:rPr>
              <w:t>IMC</w:t>
            </w:r>
            <w:r w:rsidR="00E60755">
              <w:rPr>
                <w:szCs w:val="22"/>
              </w:rPr>
              <w:t xml:space="preserve"> </w:t>
            </w:r>
          </w:p>
          <w:p w14:paraId="630FD853" w14:textId="39F4CADF" w:rsidR="006F0D4B" w:rsidRPr="001B7603" w:rsidRDefault="00E60755" w:rsidP="001B7603">
            <w:pPr>
              <w:jc w:val="center"/>
              <w:rPr>
                <w:szCs w:val="22"/>
              </w:rPr>
            </w:pPr>
            <w:r>
              <w:rPr>
                <w:szCs w:val="22"/>
              </w:rPr>
              <w:t xml:space="preserve">(Units = </w:t>
            </w:r>
            <w:r w:rsidR="00C64135">
              <w:rPr>
                <w:szCs w:val="22"/>
              </w:rPr>
              <w:t>Cap-</w:t>
            </w:r>
            <w:proofErr w:type="spellStart"/>
            <w:r w:rsidR="00C64135">
              <w:rPr>
                <w:szCs w:val="22"/>
              </w:rPr>
              <w:t>kBTUh</w:t>
            </w:r>
            <w:proofErr w:type="spellEnd"/>
            <w:r>
              <w:rPr>
                <w:szCs w:val="22"/>
              </w:rPr>
              <w:t>)</w:t>
            </w:r>
          </w:p>
        </w:tc>
      </w:tr>
      <w:tr w:rsidR="0063351B" w14:paraId="78486B7D" w14:textId="626EC2B6" w:rsidTr="002D2829">
        <w:tc>
          <w:tcPr>
            <w:tcW w:w="1435" w:type="dxa"/>
          </w:tcPr>
          <w:p w14:paraId="44136AC1" w14:textId="77777777" w:rsidR="00DC1C40" w:rsidRDefault="00DC1C40" w:rsidP="0063351B">
            <w:pPr>
              <w:rPr>
                <w:szCs w:val="22"/>
              </w:rPr>
            </w:pPr>
            <w:r w:rsidRPr="00DC1C40">
              <w:rPr>
                <w:szCs w:val="22"/>
              </w:rPr>
              <w:t>465474</w:t>
            </w:r>
          </w:p>
          <w:p w14:paraId="0994F25B" w14:textId="08DA6750" w:rsidR="003C1E38" w:rsidRPr="001B7603" w:rsidRDefault="003C1E38" w:rsidP="0063351B">
            <w:pPr>
              <w:rPr>
                <w:szCs w:val="22"/>
              </w:rPr>
            </w:pPr>
            <w:r w:rsidRPr="003C1E38">
              <w:rPr>
                <w:szCs w:val="22"/>
              </w:rPr>
              <w:t>465475</w:t>
            </w:r>
          </w:p>
        </w:tc>
        <w:tc>
          <w:tcPr>
            <w:tcW w:w="2610" w:type="dxa"/>
          </w:tcPr>
          <w:p w14:paraId="322230BA" w14:textId="61D665D5" w:rsidR="0063351B" w:rsidRPr="001B7603" w:rsidRDefault="00EC574D" w:rsidP="0063351B">
            <w:pPr>
              <w:rPr>
                <w:szCs w:val="22"/>
              </w:rPr>
            </w:pPr>
            <w:r w:rsidRPr="00EC574D">
              <w:rPr>
                <w:szCs w:val="22"/>
              </w:rPr>
              <w:t>NG-WtrHt-LrgStrg-Gas-gte75kBtuh-0p83Et</w:t>
            </w:r>
          </w:p>
        </w:tc>
        <w:tc>
          <w:tcPr>
            <w:tcW w:w="2520" w:type="dxa"/>
          </w:tcPr>
          <w:p w14:paraId="64B414BA" w14:textId="16EBD3FA" w:rsidR="0063351B" w:rsidRPr="001B7603" w:rsidRDefault="0063351B" w:rsidP="0063351B">
            <w:pPr>
              <w:rPr>
                <w:szCs w:val="22"/>
              </w:rPr>
            </w:pPr>
            <w:r w:rsidRPr="00BE5761">
              <w:rPr>
                <w:szCs w:val="22"/>
              </w:rPr>
              <w:t>SDG-Stor_TE-Gas-gte75kBtuh-0p83TE</w:t>
            </w:r>
          </w:p>
        </w:tc>
        <w:tc>
          <w:tcPr>
            <w:tcW w:w="2610" w:type="dxa"/>
          </w:tcPr>
          <w:p w14:paraId="6B8C1682" w14:textId="5985BD10" w:rsidR="0063351B" w:rsidRPr="001B7603" w:rsidRDefault="007B3E34" w:rsidP="0063351B">
            <w:pPr>
              <w:rPr>
                <w:szCs w:val="22"/>
              </w:rPr>
            </w:pPr>
            <w:r w:rsidRPr="007B3E34">
              <w:rPr>
                <w:szCs w:val="22"/>
              </w:rPr>
              <w:t>SDG-Stor_TE-Gas-gte75kBtuh-0.80TE_BASE</w:t>
            </w:r>
          </w:p>
        </w:tc>
        <w:tc>
          <w:tcPr>
            <w:tcW w:w="1710" w:type="dxa"/>
          </w:tcPr>
          <w:p w14:paraId="4E309E14" w14:textId="460E000F" w:rsidR="0063351B" w:rsidRPr="001B7603" w:rsidRDefault="0063351B" w:rsidP="0063351B">
            <w:pPr>
              <w:jc w:val="center"/>
              <w:rPr>
                <w:szCs w:val="22"/>
              </w:rPr>
            </w:pPr>
            <w:r>
              <w:rPr>
                <w:szCs w:val="22"/>
              </w:rPr>
              <w:t>$</w:t>
            </w:r>
            <w:r w:rsidR="00035995">
              <w:rPr>
                <w:szCs w:val="22"/>
              </w:rPr>
              <w:t>3.14</w:t>
            </w:r>
            <w:r>
              <w:rPr>
                <w:szCs w:val="22"/>
              </w:rPr>
              <w:t>/unit</w:t>
            </w:r>
          </w:p>
        </w:tc>
      </w:tr>
      <w:tr w:rsidR="0063351B" w14:paraId="6DA9C188" w14:textId="6BBBE089" w:rsidTr="002D2829">
        <w:tc>
          <w:tcPr>
            <w:tcW w:w="1435" w:type="dxa"/>
            <w:tcBorders>
              <w:bottom w:val="single" w:sz="4" w:space="0" w:color="auto"/>
            </w:tcBorders>
          </w:tcPr>
          <w:p w14:paraId="38FBDE31" w14:textId="77777777" w:rsidR="00DC1C40" w:rsidRDefault="00DC1C40" w:rsidP="00DC1C40">
            <w:pPr>
              <w:rPr>
                <w:szCs w:val="22"/>
              </w:rPr>
            </w:pPr>
            <w:r w:rsidRPr="00DC1C40">
              <w:rPr>
                <w:szCs w:val="22"/>
              </w:rPr>
              <w:t>463333</w:t>
            </w:r>
          </w:p>
          <w:p w14:paraId="684E0A85" w14:textId="787BD3D3" w:rsidR="0063351B" w:rsidRPr="001B7603" w:rsidRDefault="00873EE1" w:rsidP="0063351B">
            <w:pPr>
              <w:rPr>
                <w:szCs w:val="22"/>
              </w:rPr>
            </w:pPr>
            <w:r w:rsidRPr="00873EE1">
              <w:rPr>
                <w:szCs w:val="22"/>
              </w:rPr>
              <w:t>465476</w:t>
            </w:r>
          </w:p>
        </w:tc>
        <w:tc>
          <w:tcPr>
            <w:tcW w:w="2610" w:type="dxa"/>
            <w:tcBorders>
              <w:bottom w:val="single" w:sz="4" w:space="0" w:color="auto"/>
            </w:tcBorders>
          </w:tcPr>
          <w:p w14:paraId="14F68ECC" w14:textId="421518A2" w:rsidR="0063351B" w:rsidRPr="001B7603" w:rsidRDefault="00EC574D" w:rsidP="0063351B">
            <w:pPr>
              <w:rPr>
                <w:szCs w:val="22"/>
              </w:rPr>
            </w:pPr>
            <w:r w:rsidRPr="00EC574D">
              <w:rPr>
                <w:szCs w:val="22"/>
              </w:rPr>
              <w:t>NG-WtrHt-LrgStrg-Gas-gte75kBtuh-0p90Et</w:t>
            </w:r>
          </w:p>
        </w:tc>
        <w:tc>
          <w:tcPr>
            <w:tcW w:w="2520" w:type="dxa"/>
            <w:tcBorders>
              <w:bottom w:val="single" w:sz="4" w:space="0" w:color="auto"/>
            </w:tcBorders>
          </w:tcPr>
          <w:p w14:paraId="51D0F2F6" w14:textId="702FCB39" w:rsidR="0063351B" w:rsidRPr="001B7603" w:rsidRDefault="0063351B" w:rsidP="0063351B">
            <w:pPr>
              <w:rPr>
                <w:szCs w:val="22"/>
              </w:rPr>
            </w:pPr>
            <w:r w:rsidRPr="00BE5761">
              <w:rPr>
                <w:szCs w:val="22"/>
              </w:rPr>
              <w:t>SDG-Stor_TE-Gas-gte75kBtuh-0p90TE</w:t>
            </w:r>
          </w:p>
        </w:tc>
        <w:tc>
          <w:tcPr>
            <w:tcW w:w="2610" w:type="dxa"/>
            <w:tcBorders>
              <w:bottom w:val="single" w:sz="4" w:space="0" w:color="auto"/>
            </w:tcBorders>
          </w:tcPr>
          <w:p w14:paraId="5805B2D0" w14:textId="7D55729A" w:rsidR="0063351B" w:rsidRPr="001B7603" w:rsidRDefault="007B3E34" w:rsidP="0063351B">
            <w:pPr>
              <w:rPr>
                <w:szCs w:val="22"/>
              </w:rPr>
            </w:pPr>
            <w:r w:rsidRPr="007B3E34">
              <w:rPr>
                <w:szCs w:val="22"/>
              </w:rPr>
              <w:t>SDG-Stor_TE-Gas-gte75kBtuh-0.80TE_BASE</w:t>
            </w:r>
          </w:p>
        </w:tc>
        <w:tc>
          <w:tcPr>
            <w:tcW w:w="1710" w:type="dxa"/>
            <w:tcBorders>
              <w:bottom w:val="single" w:sz="4" w:space="0" w:color="auto"/>
            </w:tcBorders>
          </w:tcPr>
          <w:p w14:paraId="21A1D817" w14:textId="0390654F" w:rsidR="0063351B" w:rsidRPr="001B7603" w:rsidRDefault="0063351B" w:rsidP="0063351B">
            <w:pPr>
              <w:jc w:val="center"/>
              <w:rPr>
                <w:szCs w:val="22"/>
              </w:rPr>
            </w:pPr>
            <w:r>
              <w:rPr>
                <w:szCs w:val="22"/>
              </w:rPr>
              <w:t>$</w:t>
            </w:r>
            <w:r w:rsidR="001326FD">
              <w:rPr>
                <w:szCs w:val="22"/>
              </w:rPr>
              <w:t>10.46</w:t>
            </w:r>
            <w:r>
              <w:rPr>
                <w:szCs w:val="22"/>
              </w:rPr>
              <w:t>/unit</w:t>
            </w:r>
          </w:p>
        </w:tc>
      </w:tr>
      <w:tr w:rsidR="00873EE1" w14:paraId="3E426DE9" w14:textId="77777777" w:rsidTr="002D2829">
        <w:tc>
          <w:tcPr>
            <w:tcW w:w="1435" w:type="dxa"/>
            <w:shd w:val="clear" w:color="auto" w:fill="D9D9D9" w:themeFill="background1" w:themeFillShade="D9"/>
          </w:tcPr>
          <w:p w14:paraId="05AB3A56" w14:textId="6ABC4A21" w:rsidR="00873EE1" w:rsidRPr="001B7603" w:rsidRDefault="00873EE1" w:rsidP="0063351B">
            <w:pPr>
              <w:rPr>
                <w:szCs w:val="22"/>
              </w:rPr>
            </w:pPr>
            <w:r>
              <w:rPr>
                <w:szCs w:val="22"/>
              </w:rPr>
              <w:t>De</w:t>
            </w:r>
            <w:r w:rsidR="00FF557D">
              <w:rPr>
                <w:szCs w:val="22"/>
              </w:rPr>
              <w:t>liver Type</w:t>
            </w:r>
            <w:r w:rsidR="00341DA5">
              <w:rPr>
                <w:szCs w:val="22"/>
              </w:rPr>
              <w:t>:</w:t>
            </w:r>
          </w:p>
        </w:tc>
        <w:tc>
          <w:tcPr>
            <w:tcW w:w="9450" w:type="dxa"/>
            <w:gridSpan w:val="4"/>
            <w:shd w:val="clear" w:color="auto" w:fill="D9D9D9" w:themeFill="background1" w:themeFillShade="D9"/>
          </w:tcPr>
          <w:p w14:paraId="26810250" w14:textId="6ED9915C" w:rsidR="00873EE1" w:rsidRDefault="00FF557D" w:rsidP="0063351B">
            <w:pPr>
              <w:jc w:val="center"/>
              <w:rPr>
                <w:szCs w:val="22"/>
              </w:rPr>
            </w:pPr>
            <w:r>
              <w:rPr>
                <w:szCs w:val="22"/>
              </w:rPr>
              <w:t>Upstream (</w:t>
            </w:r>
            <w:proofErr w:type="spellStart"/>
            <w:r>
              <w:rPr>
                <w:szCs w:val="22"/>
              </w:rPr>
              <w:t>PreRebUp</w:t>
            </w:r>
            <w:proofErr w:type="spellEnd"/>
            <w:r>
              <w:rPr>
                <w:szCs w:val="22"/>
              </w:rPr>
              <w:t>)</w:t>
            </w:r>
          </w:p>
        </w:tc>
      </w:tr>
      <w:tr w:rsidR="001326FD" w14:paraId="4E097EAF" w14:textId="0CE04A5F" w:rsidTr="002D2829">
        <w:tc>
          <w:tcPr>
            <w:tcW w:w="1435" w:type="dxa"/>
          </w:tcPr>
          <w:p w14:paraId="2E12DBAB" w14:textId="77777777" w:rsidR="001326FD" w:rsidRDefault="001326FD" w:rsidP="001326FD">
            <w:pPr>
              <w:rPr>
                <w:szCs w:val="22"/>
              </w:rPr>
            </w:pPr>
            <w:r w:rsidRPr="008F5293">
              <w:rPr>
                <w:szCs w:val="22"/>
              </w:rPr>
              <w:t>465477</w:t>
            </w:r>
          </w:p>
          <w:p w14:paraId="55F76949" w14:textId="611162A3" w:rsidR="001326FD" w:rsidRPr="001B7603" w:rsidRDefault="001326FD" w:rsidP="001326FD">
            <w:pPr>
              <w:rPr>
                <w:szCs w:val="22"/>
              </w:rPr>
            </w:pPr>
            <w:r w:rsidRPr="00563833">
              <w:rPr>
                <w:szCs w:val="22"/>
              </w:rPr>
              <w:t>465479</w:t>
            </w:r>
          </w:p>
        </w:tc>
        <w:tc>
          <w:tcPr>
            <w:tcW w:w="2610" w:type="dxa"/>
          </w:tcPr>
          <w:p w14:paraId="0F8EF1AF" w14:textId="284C9A77" w:rsidR="001326FD" w:rsidRPr="001B7603" w:rsidRDefault="001326FD" w:rsidP="001326FD">
            <w:pPr>
              <w:rPr>
                <w:szCs w:val="22"/>
              </w:rPr>
            </w:pPr>
            <w:r w:rsidRPr="00EC574D">
              <w:rPr>
                <w:szCs w:val="22"/>
              </w:rPr>
              <w:t>NG-WtrHt-LrgStrg-Gas-gte75kBtuh-0p83Et</w:t>
            </w:r>
          </w:p>
        </w:tc>
        <w:tc>
          <w:tcPr>
            <w:tcW w:w="2520" w:type="dxa"/>
          </w:tcPr>
          <w:p w14:paraId="79DA8A15" w14:textId="1DCE9169" w:rsidR="001326FD" w:rsidRPr="001B7603" w:rsidRDefault="001326FD" w:rsidP="001326FD">
            <w:pPr>
              <w:rPr>
                <w:szCs w:val="22"/>
              </w:rPr>
            </w:pPr>
            <w:r w:rsidRPr="00BE5761">
              <w:rPr>
                <w:szCs w:val="22"/>
              </w:rPr>
              <w:t>SDG-Stor_TE-Gas-gte75kBtuh-0p83TE</w:t>
            </w:r>
          </w:p>
        </w:tc>
        <w:tc>
          <w:tcPr>
            <w:tcW w:w="2610" w:type="dxa"/>
          </w:tcPr>
          <w:p w14:paraId="4FF03AB8" w14:textId="18AD3C3E" w:rsidR="001326FD" w:rsidRPr="001B7603" w:rsidRDefault="001326FD" w:rsidP="001326FD">
            <w:pPr>
              <w:rPr>
                <w:szCs w:val="22"/>
              </w:rPr>
            </w:pPr>
            <w:r w:rsidRPr="007B3E34">
              <w:rPr>
                <w:szCs w:val="22"/>
              </w:rPr>
              <w:t>SDG-Stor_TE-Gas-gte75kBtuh-0.80TE_BASE</w:t>
            </w:r>
          </w:p>
        </w:tc>
        <w:tc>
          <w:tcPr>
            <w:tcW w:w="1710" w:type="dxa"/>
          </w:tcPr>
          <w:p w14:paraId="1391D5F6" w14:textId="4FEA3481" w:rsidR="001326FD" w:rsidRPr="001B7603" w:rsidRDefault="001326FD" w:rsidP="001326FD">
            <w:pPr>
              <w:jc w:val="center"/>
              <w:rPr>
                <w:szCs w:val="22"/>
              </w:rPr>
            </w:pPr>
            <w:r>
              <w:rPr>
                <w:szCs w:val="22"/>
              </w:rPr>
              <w:t>$3.14/unit</w:t>
            </w:r>
          </w:p>
        </w:tc>
      </w:tr>
      <w:tr w:rsidR="001326FD" w14:paraId="46999756" w14:textId="4267984A" w:rsidTr="002D2829">
        <w:tc>
          <w:tcPr>
            <w:tcW w:w="1435" w:type="dxa"/>
            <w:tcBorders>
              <w:bottom w:val="single" w:sz="4" w:space="0" w:color="auto"/>
            </w:tcBorders>
          </w:tcPr>
          <w:p w14:paraId="29ED0A37" w14:textId="77777777" w:rsidR="001326FD" w:rsidRDefault="001326FD" w:rsidP="001326FD">
            <w:pPr>
              <w:rPr>
                <w:szCs w:val="22"/>
              </w:rPr>
            </w:pPr>
            <w:r w:rsidRPr="00563833">
              <w:rPr>
                <w:szCs w:val="22"/>
              </w:rPr>
              <w:t>465478</w:t>
            </w:r>
          </w:p>
          <w:p w14:paraId="0D613748" w14:textId="2F801B02" w:rsidR="001326FD" w:rsidRPr="001B7603" w:rsidRDefault="001326FD" w:rsidP="001326FD">
            <w:pPr>
              <w:rPr>
                <w:szCs w:val="22"/>
              </w:rPr>
            </w:pPr>
            <w:r w:rsidRPr="00563833">
              <w:rPr>
                <w:szCs w:val="22"/>
              </w:rPr>
              <w:t>465480</w:t>
            </w:r>
          </w:p>
        </w:tc>
        <w:tc>
          <w:tcPr>
            <w:tcW w:w="2610" w:type="dxa"/>
            <w:tcBorders>
              <w:bottom w:val="single" w:sz="4" w:space="0" w:color="auto"/>
            </w:tcBorders>
          </w:tcPr>
          <w:p w14:paraId="65926D04" w14:textId="0AC43847" w:rsidR="001326FD" w:rsidRPr="001B7603" w:rsidRDefault="001326FD" w:rsidP="001326FD">
            <w:r w:rsidRPr="00EC574D">
              <w:rPr>
                <w:szCs w:val="22"/>
              </w:rPr>
              <w:t>NG-WtrHt-LrgStrg-Gas-gte75kBtuh-0p90Et</w:t>
            </w:r>
          </w:p>
        </w:tc>
        <w:tc>
          <w:tcPr>
            <w:tcW w:w="2520" w:type="dxa"/>
            <w:tcBorders>
              <w:bottom w:val="single" w:sz="4" w:space="0" w:color="auto"/>
            </w:tcBorders>
          </w:tcPr>
          <w:p w14:paraId="3D6D2492" w14:textId="24AFAB39" w:rsidR="001326FD" w:rsidRPr="001B7603" w:rsidRDefault="001326FD" w:rsidP="001326FD">
            <w:pPr>
              <w:rPr>
                <w:szCs w:val="22"/>
              </w:rPr>
            </w:pPr>
            <w:r w:rsidRPr="00BE5761">
              <w:rPr>
                <w:szCs w:val="22"/>
              </w:rPr>
              <w:t>SDG-Stor_TE-Gas-gte75kBtuh-0p90TE</w:t>
            </w:r>
          </w:p>
        </w:tc>
        <w:tc>
          <w:tcPr>
            <w:tcW w:w="2610" w:type="dxa"/>
            <w:tcBorders>
              <w:bottom w:val="single" w:sz="4" w:space="0" w:color="auto"/>
            </w:tcBorders>
          </w:tcPr>
          <w:p w14:paraId="1F20C105" w14:textId="024882BA" w:rsidR="001326FD" w:rsidRPr="001B7603" w:rsidRDefault="001326FD" w:rsidP="001326FD">
            <w:pPr>
              <w:rPr>
                <w:szCs w:val="22"/>
              </w:rPr>
            </w:pPr>
            <w:r w:rsidRPr="007B3E34">
              <w:rPr>
                <w:szCs w:val="22"/>
              </w:rPr>
              <w:t>SDG-Stor_TE-Gas-gte75kBtuh-0.80TE_BASE</w:t>
            </w:r>
          </w:p>
        </w:tc>
        <w:tc>
          <w:tcPr>
            <w:tcW w:w="1710" w:type="dxa"/>
            <w:tcBorders>
              <w:bottom w:val="single" w:sz="4" w:space="0" w:color="auto"/>
            </w:tcBorders>
          </w:tcPr>
          <w:p w14:paraId="1B4A1FCF" w14:textId="2FD9763A" w:rsidR="001326FD" w:rsidRPr="001B7603" w:rsidRDefault="001326FD" w:rsidP="001326FD">
            <w:pPr>
              <w:jc w:val="center"/>
              <w:rPr>
                <w:szCs w:val="22"/>
              </w:rPr>
            </w:pPr>
            <w:r>
              <w:rPr>
                <w:szCs w:val="22"/>
              </w:rPr>
              <w:t>$10.46/unit</w:t>
            </w:r>
          </w:p>
        </w:tc>
      </w:tr>
      <w:tr w:rsidR="00BA07E1" w14:paraId="029FE6C2" w14:textId="77777777" w:rsidTr="002D2829">
        <w:tc>
          <w:tcPr>
            <w:tcW w:w="1435" w:type="dxa"/>
            <w:shd w:val="clear" w:color="auto" w:fill="D9D9D9" w:themeFill="background1" w:themeFillShade="D9"/>
          </w:tcPr>
          <w:p w14:paraId="1CEEC63E" w14:textId="7B5F4072" w:rsidR="00BA07E1" w:rsidRPr="001B7603" w:rsidRDefault="00BA07E1" w:rsidP="00BA07E1">
            <w:pPr>
              <w:rPr>
                <w:szCs w:val="22"/>
              </w:rPr>
            </w:pPr>
            <w:r>
              <w:rPr>
                <w:szCs w:val="22"/>
              </w:rPr>
              <w:t>Deliver Type:</w:t>
            </w:r>
          </w:p>
        </w:tc>
        <w:tc>
          <w:tcPr>
            <w:tcW w:w="9450" w:type="dxa"/>
            <w:gridSpan w:val="4"/>
            <w:shd w:val="clear" w:color="auto" w:fill="D9D9D9" w:themeFill="background1" w:themeFillShade="D9"/>
          </w:tcPr>
          <w:p w14:paraId="0FF69ADE" w14:textId="3048AF96" w:rsidR="00BA07E1" w:rsidRDefault="00B135C3" w:rsidP="00B508F1">
            <w:pPr>
              <w:jc w:val="center"/>
              <w:rPr>
                <w:szCs w:val="22"/>
              </w:rPr>
            </w:pPr>
            <w:r>
              <w:rPr>
                <w:szCs w:val="22"/>
              </w:rPr>
              <w:t>Direct Install (</w:t>
            </w:r>
            <w:proofErr w:type="spellStart"/>
            <w:r>
              <w:rPr>
                <w:szCs w:val="22"/>
              </w:rPr>
              <w:t>DirInstall</w:t>
            </w:r>
            <w:proofErr w:type="spellEnd"/>
            <w:r w:rsidR="00BA07E1">
              <w:rPr>
                <w:szCs w:val="22"/>
              </w:rPr>
              <w:t>)</w:t>
            </w:r>
          </w:p>
        </w:tc>
      </w:tr>
      <w:tr w:rsidR="001326FD" w14:paraId="27A701A8" w14:textId="77777777" w:rsidTr="002D2829">
        <w:tc>
          <w:tcPr>
            <w:tcW w:w="1435" w:type="dxa"/>
          </w:tcPr>
          <w:p w14:paraId="7BA2A6F5" w14:textId="77777777" w:rsidR="001326FD" w:rsidRDefault="001326FD" w:rsidP="001326FD">
            <w:pPr>
              <w:rPr>
                <w:szCs w:val="22"/>
              </w:rPr>
            </w:pPr>
            <w:r w:rsidRPr="00F5771C">
              <w:rPr>
                <w:szCs w:val="22"/>
              </w:rPr>
              <w:t>465481</w:t>
            </w:r>
          </w:p>
          <w:p w14:paraId="50294CAB" w14:textId="262AF8D8" w:rsidR="001326FD" w:rsidRPr="001B7603" w:rsidRDefault="001326FD" w:rsidP="001326FD">
            <w:pPr>
              <w:rPr>
                <w:szCs w:val="22"/>
              </w:rPr>
            </w:pPr>
            <w:r w:rsidRPr="00F5771C">
              <w:rPr>
                <w:szCs w:val="22"/>
              </w:rPr>
              <w:t>465483</w:t>
            </w:r>
          </w:p>
        </w:tc>
        <w:tc>
          <w:tcPr>
            <w:tcW w:w="2610" w:type="dxa"/>
          </w:tcPr>
          <w:p w14:paraId="5B6F22C6" w14:textId="2553C941" w:rsidR="001326FD" w:rsidRPr="001B7603" w:rsidRDefault="001326FD" w:rsidP="001326FD">
            <w:pPr>
              <w:rPr>
                <w:szCs w:val="22"/>
              </w:rPr>
            </w:pPr>
            <w:r w:rsidRPr="00EC574D">
              <w:rPr>
                <w:szCs w:val="22"/>
              </w:rPr>
              <w:t>NG-WtrHt-LrgStrg-Gas-gte75kBtuh-0p83Et</w:t>
            </w:r>
          </w:p>
        </w:tc>
        <w:tc>
          <w:tcPr>
            <w:tcW w:w="2520" w:type="dxa"/>
          </w:tcPr>
          <w:p w14:paraId="5195E563" w14:textId="1A5C9A6F" w:rsidR="001326FD" w:rsidRPr="001B7603" w:rsidRDefault="001326FD" w:rsidP="001326FD">
            <w:pPr>
              <w:rPr>
                <w:szCs w:val="22"/>
              </w:rPr>
            </w:pPr>
            <w:r w:rsidRPr="00BE5761">
              <w:rPr>
                <w:szCs w:val="22"/>
              </w:rPr>
              <w:t>SDG-Stor_TE-Gas-gte75kBtuh-0p83TE</w:t>
            </w:r>
          </w:p>
        </w:tc>
        <w:tc>
          <w:tcPr>
            <w:tcW w:w="2610" w:type="dxa"/>
          </w:tcPr>
          <w:p w14:paraId="7E8DF089" w14:textId="6D9D434D" w:rsidR="001326FD" w:rsidRPr="001B7603" w:rsidRDefault="001326FD" w:rsidP="001326FD">
            <w:pPr>
              <w:rPr>
                <w:szCs w:val="22"/>
              </w:rPr>
            </w:pPr>
            <w:r w:rsidRPr="007B3E34">
              <w:rPr>
                <w:szCs w:val="22"/>
              </w:rPr>
              <w:t>SDG-Stor_TE-Gas-gte75kBtuh-0.80TE_BASE</w:t>
            </w:r>
          </w:p>
        </w:tc>
        <w:tc>
          <w:tcPr>
            <w:tcW w:w="1710" w:type="dxa"/>
          </w:tcPr>
          <w:p w14:paraId="2651B55A" w14:textId="08B17760" w:rsidR="001326FD" w:rsidRDefault="001326FD" w:rsidP="001326FD">
            <w:pPr>
              <w:jc w:val="center"/>
              <w:rPr>
                <w:szCs w:val="22"/>
              </w:rPr>
            </w:pPr>
            <w:r>
              <w:rPr>
                <w:szCs w:val="22"/>
              </w:rPr>
              <w:t>$3.14/unit</w:t>
            </w:r>
          </w:p>
        </w:tc>
      </w:tr>
      <w:tr w:rsidR="001326FD" w14:paraId="42A49E17" w14:textId="02724717" w:rsidTr="002D2829">
        <w:tc>
          <w:tcPr>
            <w:tcW w:w="1435" w:type="dxa"/>
            <w:tcBorders>
              <w:bottom w:val="single" w:sz="4" w:space="0" w:color="auto"/>
            </w:tcBorders>
          </w:tcPr>
          <w:p w14:paraId="1FAEC81C" w14:textId="77777777" w:rsidR="001326FD" w:rsidRDefault="001326FD" w:rsidP="001326FD">
            <w:pPr>
              <w:rPr>
                <w:szCs w:val="22"/>
              </w:rPr>
            </w:pPr>
            <w:r w:rsidRPr="00F5771C">
              <w:rPr>
                <w:szCs w:val="22"/>
              </w:rPr>
              <w:t>465482</w:t>
            </w:r>
          </w:p>
          <w:p w14:paraId="40BE187C" w14:textId="25D13B2B" w:rsidR="001326FD" w:rsidRPr="001B7603" w:rsidRDefault="001326FD" w:rsidP="001326FD">
            <w:pPr>
              <w:rPr>
                <w:szCs w:val="22"/>
              </w:rPr>
            </w:pPr>
            <w:r w:rsidRPr="008F5293">
              <w:rPr>
                <w:szCs w:val="22"/>
              </w:rPr>
              <w:t>465484</w:t>
            </w:r>
          </w:p>
        </w:tc>
        <w:tc>
          <w:tcPr>
            <w:tcW w:w="2610" w:type="dxa"/>
            <w:tcBorders>
              <w:bottom w:val="single" w:sz="4" w:space="0" w:color="auto"/>
            </w:tcBorders>
          </w:tcPr>
          <w:p w14:paraId="57BE1820" w14:textId="452BDCE7" w:rsidR="001326FD" w:rsidRPr="001B7603" w:rsidRDefault="001326FD" w:rsidP="001326FD">
            <w:pPr>
              <w:rPr>
                <w:szCs w:val="22"/>
              </w:rPr>
            </w:pPr>
            <w:r w:rsidRPr="00EC574D">
              <w:rPr>
                <w:szCs w:val="22"/>
              </w:rPr>
              <w:t>NG-WtrHt-LrgStrg-Gas-gte75kBtuh-0p90Et</w:t>
            </w:r>
          </w:p>
        </w:tc>
        <w:tc>
          <w:tcPr>
            <w:tcW w:w="2520" w:type="dxa"/>
            <w:tcBorders>
              <w:bottom w:val="single" w:sz="4" w:space="0" w:color="auto"/>
            </w:tcBorders>
          </w:tcPr>
          <w:p w14:paraId="32B05D9D" w14:textId="3EC6748B" w:rsidR="001326FD" w:rsidRPr="001B7603" w:rsidRDefault="001326FD" w:rsidP="001326FD">
            <w:pPr>
              <w:rPr>
                <w:szCs w:val="22"/>
              </w:rPr>
            </w:pPr>
            <w:r w:rsidRPr="00BE5761">
              <w:rPr>
                <w:szCs w:val="22"/>
              </w:rPr>
              <w:t>SDG-Stor_TE-Gas-gte75kBtuh-0p90TE</w:t>
            </w:r>
          </w:p>
        </w:tc>
        <w:tc>
          <w:tcPr>
            <w:tcW w:w="2610" w:type="dxa"/>
            <w:tcBorders>
              <w:bottom w:val="single" w:sz="4" w:space="0" w:color="auto"/>
            </w:tcBorders>
          </w:tcPr>
          <w:p w14:paraId="33042FA5" w14:textId="5E71BE2E" w:rsidR="001326FD" w:rsidRPr="001B7603" w:rsidRDefault="001326FD" w:rsidP="001326FD">
            <w:pPr>
              <w:rPr>
                <w:szCs w:val="22"/>
              </w:rPr>
            </w:pPr>
            <w:r w:rsidRPr="007B3E34">
              <w:rPr>
                <w:szCs w:val="22"/>
              </w:rPr>
              <w:t>SDG-Stor_TE-Gas-gte75kBtuh-0.80TE_BASE</w:t>
            </w:r>
          </w:p>
        </w:tc>
        <w:tc>
          <w:tcPr>
            <w:tcW w:w="1710" w:type="dxa"/>
            <w:tcBorders>
              <w:bottom w:val="single" w:sz="4" w:space="0" w:color="auto"/>
            </w:tcBorders>
          </w:tcPr>
          <w:p w14:paraId="751DDFD2" w14:textId="198F2512" w:rsidR="001326FD" w:rsidRPr="001B7603" w:rsidRDefault="001326FD" w:rsidP="001326FD">
            <w:pPr>
              <w:jc w:val="center"/>
              <w:rPr>
                <w:szCs w:val="22"/>
              </w:rPr>
            </w:pPr>
            <w:r>
              <w:rPr>
                <w:szCs w:val="22"/>
              </w:rPr>
              <w:t>$10.46/unit</w:t>
            </w:r>
          </w:p>
        </w:tc>
      </w:tr>
      <w:tr w:rsidR="00794B37" w14:paraId="442AB4BE" w14:textId="77777777" w:rsidTr="002D2829">
        <w:tc>
          <w:tcPr>
            <w:tcW w:w="1435" w:type="dxa"/>
            <w:shd w:val="clear" w:color="auto" w:fill="D9D9D9" w:themeFill="background1" w:themeFillShade="D9"/>
          </w:tcPr>
          <w:p w14:paraId="4C983019" w14:textId="018713EB" w:rsidR="00794B37" w:rsidRPr="001B7603" w:rsidRDefault="00794B37" w:rsidP="00794B37">
            <w:pPr>
              <w:rPr>
                <w:szCs w:val="22"/>
              </w:rPr>
            </w:pPr>
            <w:r>
              <w:rPr>
                <w:szCs w:val="22"/>
              </w:rPr>
              <w:t>Deliver Type:</w:t>
            </w:r>
          </w:p>
        </w:tc>
        <w:tc>
          <w:tcPr>
            <w:tcW w:w="9450" w:type="dxa"/>
            <w:gridSpan w:val="4"/>
            <w:shd w:val="clear" w:color="auto" w:fill="D9D9D9" w:themeFill="background1" w:themeFillShade="D9"/>
          </w:tcPr>
          <w:p w14:paraId="1F16AE55" w14:textId="510AF8F7" w:rsidR="00794B37" w:rsidRPr="001B7603" w:rsidRDefault="00794B37" w:rsidP="00794B37">
            <w:pPr>
              <w:jc w:val="center"/>
              <w:rPr>
                <w:szCs w:val="22"/>
              </w:rPr>
            </w:pPr>
            <w:r>
              <w:rPr>
                <w:szCs w:val="22"/>
              </w:rPr>
              <w:t>Mid-Stream (</w:t>
            </w:r>
            <w:proofErr w:type="spellStart"/>
            <w:r>
              <w:rPr>
                <w:szCs w:val="22"/>
              </w:rPr>
              <w:t>NonUpstrm</w:t>
            </w:r>
            <w:proofErr w:type="spellEnd"/>
            <w:r>
              <w:rPr>
                <w:szCs w:val="22"/>
              </w:rPr>
              <w:t>)</w:t>
            </w:r>
          </w:p>
        </w:tc>
      </w:tr>
      <w:tr w:rsidR="001326FD" w14:paraId="0A64BC4E" w14:textId="77777777" w:rsidTr="002D2829">
        <w:tc>
          <w:tcPr>
            <w:tcW w:w="1435" w:type="dxa"/>
          </w:tcPr>
          <w:p w14:paraId="082EF305" w14:textId="77777777" w:rsidR="001326FD" w:rsidRDefault="001326FD" w:rsidP="001326FD">
            <w:pPr>
              <w:rPr>
                <w:szCs w:val="22"/>
              </w:rPr>
            </w:pPr>
            <w:r w:rsidRPr="002A716D">
              <w:rPr>
                <w:szCs w:val="22"/>
              </w:rPr>
              <w:t>465485</w:t>
            </w:r>
          </w:p>
          <w:p w14:paraId="6B21EF3C" w14:textId="40EB9731" w:rsidR="001326FD" w:rsidRPr="00DC20C2" w:rsidRDefault="001326FD" w:rsidP="001326FD">
            <w:pPr>
              <w:rPr>
                <w:szCs w:val="22"/>
              </w:rPr>
            </w:pPr>
            <w:r w:rsidRPr="002A716D">
              <w:rPr>
                <w:szCs w:val="22"/>
              </w:rPr>
              <w:t>465487</w:t>
            </w:r>
          </w:p>
        </w:tc>
        <w:tc>
          <w:tcPr>
            <w:tcW w:w="2610" w:type="dxa"/>
          </w:tcPr>
          <w:p w14:paraId="0FE3B308" w14:textId="20308FA4" w:rsidR="001326FD" w:rsidRPr="00EC2602" w:rsidRDefault="001326FD" w:rsidP="001326FD">
            <w:pPr>
              <w:rPr>
                <w:szCs w:val="22"/>
              </w:rPr>
            </w:pPr>
            <w:r w:rsidRPr="00EC574D">
              <w:rPr>
                <w:szCs w:val="22"/>
              </w:rPr>
              <w:t>NG-WtrHt-LrgStrg-Gas-gte75kBtuh-0p83Et</w:t>
            </w:r>
          </w:p>
        </w:tc>
        <w:tc>
          <w:tcPr>
            <w:tcW w:w="2520" w:type="dxa"/>
          </w:tcPr>
          <w:p w14:paraId="2D57F27B" w14:textId="020347FF" w:rsidR="001326FD" w:rsidRPr="001014C5" w:rsidRDefault="001326FD" w:rsidP="001326FD">
            <w:pPr>
              <w:rPr>
                <w:szCs w:val="22"/>
              </w:rPr>
            </w:pPr>
            <w:r w:rsidRPr="00BE5761">
              <w:rPr>
                <w:szCs w:val="22"/>
              </w:rPr>
              <w:t>SDG-Stor_TE-Gas-gte75kBtuh-0p83TE</w:t>
            </w:r>
          </w:p>
        </w:tc>
        <w:tc>
          <w:tcPr>
            <w:tcW w:w="2610" w:type="dxa"/>
          </w:tcPr>
          <w:p w14:paraId="21FE117B" w14:textId="52EDA4B4" w:rsidR="001326FD" w:rsidRPr="005D2A2D" w:rsidRDefault="001326FD" w:rsidP="001326FD">
            <w:pPr>
              <w:rPr>
                <w:szCs w:val="22"/>
              </w:rPr>
            </w:pPr>
            <w:r w:rsidRPr="007B3E34">
              <w:rPr>
                <w:szCs w:val="22"/>
              </w:rPr>
              <w:t>SDG-Stor_TE-Gas-gte75kBtuh-0.80TE_BASE</w:t>
            </w:r>
          </w:p>
        </w:tc>
        <w:tc>
          <w:tcPr>
            <w:tcW w:w="1710" w:type="dxa"/>
          </w:tcPr>
          <w:p w14:paraId="2AF16963" w14:textId="688B986B" w:rsidR="001326FD" w:rsidRDefault="001326FD" w:rsidP="001326FD">
            <w:pPr>
              <w:jc w:val="center"/>
              <w:rPr>
                <w:szCs w:val="22"/>
              </w:rPr>
            </w:pPr>
            <w:r>
              <w:rPr>
                <w:szCs w:val="22"/>
              </w:rPr>
              <w:t>$3.14/unit</w:t>
            </w:r>
          </w:p>
        </w:tc>
      </w:tr>
      <w:tr w:rsidR="001326FD" w14:paraId="62617B40" w14:textId="77777777" w:rsidTr="002D2829">
        <w:tc>
          <w:tcPr>
            <w:tcW w:w="1435" w:type="dxa"/>
          </w:tcPr>
          <w:p w14:paraId="53734188" w14:textId="77777777" w:rsidR="001326FD" w:rsidRDefault="001326FD" w:rsidP="001326FD">
            <w:pPr>
              <w:rPr>
                <w:szCs w:val="22"/>
              </w:rPr>
            </w:pPr>
            <w:r w:rsidRPr="002D2829">
              <w:rPr>
                <w:szCs w:val="22"/>
              </w:rPr>
              <w:t>465486</w:t>
            </w:r>
          </w:p>
          <w:p w14:paraId="46BD1531" w14:textId="4189E866" w:rsidR="001326FD" w:rsidRPr="001B7603" w:rsidRDefault="001326FD" w:rsidP="001326FD">
            <w:pPr>
              <w:rPr>
                <w:szCs w:val="22"/>
              </w:rPr>
            </w:pPr>
            <w:r w:rsidRPr="002D2829">
              <w:rPr>
                <w:szCs w:val="22"/>
              </w:rPr>
              <w:t>465488</w:t>
            </w:r>
          </w:p>
        </w:tc>
        <w:tc>
          <w:tcPr>
            <w:tcW w:w="2610" w:type="dxa"/>
          </w:tcPr>
          <w:p w14:paraId="5EE2CCDE" w14:textId="01D46789" w:rsidR="001326FD" w:rsidRPr="001B7603" w:rsidRDefault="001326FD" w:rsidP="001326FD">
            <w:pPr>
              <w:rPr>
                <w:szCs w:val="22"/>
              </w:rPr>
            </w:pPr>
            <w:r w:rsidRPr="00EC574D">
              <w:rPr>
                <w:szCs w:val="22"/>
              </w:rPr>
              <w:t>NG-WtrHt-LrgStrg-Gas-gte75kBtuh-0p90Et</w:t>
            </w:r>
          </w:p>
        </w:tc>
        <w:tc>
          <w:tcPr>
            <w:tcW w:w="2520" w:type="dxa"/>
          </w:tcPr>
          <w:p w14:paraId="3DDA5935" w14:textId="4C94AA97" w:rsidR="001326FD" w:rsidRPr="001B7603" w:rsidRDefault="001326FD" w:rsidP="001326FD">
            <w:pPr>
              <w:rPr>
                <w:szCs w:val="22"/>
              </w:rPr>
            </w:pPr>
            <w:r w:rsidRPr="00BE5761">
              <w:rPr>
                <w:szCs w:val="22"/>
              </w:rPr>
              <w:t>SDG-Stor_TE-Gas-gte75kBtuh-0p90TE</w:t>
            </w:r>
          </w:p>
        </w:tc>
        <w:tc>
          <w:tcPr>
            <w:tcW w:w="2610" w:type="dxa"/>
          </w:tcPr>
          <w:p w14:paraId="7C9D2A0E" w14:textId="7E61490E" w:rsidR="001326FD" w:rsidRPr="001B7603" w:rsidRDefault="001326FD" w:rsidP="001326FD">
            <w:pPr>
              <w:rPr>
                <w:szCs w:val="22"/>
              </w:rPr>
            </w:pPr>
            <w:r w:rsidRPr="007B3E34">
              <w:rPr>
                <w:szCs w:val="22"/>
              </w:rPr>
              <w:t>SDG-Stor_TE-Gas-gte75kBtuh-0.80TE_BASE</w:t>
            </w:r>
          </w:p>
        </w:tc>
        <w:tc>
          <w:tcPr>
            <w:tcW w:w="1710" w:type="dxa"/>
          </w:tcPr>
          <w:p w14:paraId="34635931" w14:textId="4E5483A3" w:rsidR="001326FD" w:rsidRPr="001B7603" w:rsidRDefault="001326FD" w:rsidP="001326FD">
            <w:pPr>
              <w:jc w:val="center"/>
              <w:rPr>
                <w:szCs w:val="22"/>
              </w:rPr>
            </w:pPr>
            <w:r>
              <w:rPr>
                <w:szCs w:val="22"/>
              </w:rPr>
              <w:t>$10.46/unit</w:t>
            </w:r>
          </w:p>
        </w:tc>
      </w:tr>
    </w:tbl>
    <w:p w14:paraId="12667149" w14:textId="15D8ECB0" w:rsidR="008B1591" w:rsidRDefault="008B1591" w:rsidP="008B1591">
      <w:pPr>
        <w:pStyle w:val="ListParagraph"/>
      </w:pPr>
    </w:p>
    <w:p w14:paraId="53245D43" w14:textId="3454A96F" w:rsidR="00F27A87" w:rsidRDefault="00F27A87" w:rsidP="00F27A87">
      <w:pPr>
        <w:ind w:left="360"/>
      </w:pPr>
    </w:p>
    <w:p w14:paraId="269B66AF" w14:textId="46CF6FAF" w:rsidR="0095221A" w:rsidRDefault="00311729" w:rsidP="00F27A87">
      <w:pPr>
        <w:ind w:left="360"/>
      </w:pPr>
      <w:r>
        <w:t xml:space="preserve"> </w:t>
      </w:r>
    </w:p>
    <w:p w14:paraId="4B314857" w14:textId="77777777" w:rsidR="00311729" w:rsidRDefault="00311729" w:rsidP="0095221A"/>
    <w:p w14:paraId="269B66B0" w14:textId="77777777" w:rsidR="0095221A" w:rsidRDefault="0095221A" w:rsidP="0095221A"/>
    <w:p w14:paraId="6EA2DE01" w14:textId="77777777" w:rsidR="00311729" w:rsidRDefault="00311729">
      <w:pPr>
        <w:spacing w:after="200" w:line="276" w:lineRule="auto"/>
        <w:rPr>
          <w:rFonts w:ascii="Arial Narrow" w:hAnsi="Arial Narrow" w:cs="Arial"/>
          <w:b/>
          <w:bCs/>
          <w:iCs/>
          <w:smallCaps/>
          <w:sz w:val="28"/>
          <w:szCs w:val="28"/>
        </w:rPr>
      </w:pPr>
      <w:r>
        <w:rPr>
          <w:rFonts w:ascii="Arial Narrow" w:hAnsi="Arial Narrow" w:cs="Arial"/>
          <w:b/>
          <w:bCs/>
          <w:iCs/>
          <w:smallCaps/>
          <w:sz w:val="28"/>
          <w:szCs w:val="28"/>
        </w:rPr>
        <w:br w:type="page"/>
      </w:r>
    </w:p>
    <w:p w14:paraId="269B66B1" w14:textId="50913B75" w:rsidR="0095221A" w:rsidRPr="009B0E7F" w:rsidRDefault="009B0E7F" w:rsidP="009B0E7F">
      <w:pPr>
        <w:keepNext/>
        <w:spacing w:before="240" w:after="60"/>
        <w:outlineLvl w:val="1"/>
        <w:rPr>
          <w:rFonts w:ascii="Arial Narrow" w:hAnsi="Arial Narrow" w:cs="Arial"/>
          <w:b/>
          <w:bCs/>
          <w:iCs/>
          <w:smallCaps/>
          <w:sz w:val="28"/>
          <w:szCs w:val="28"/>
        </w:rPr>
      </w:pPr>
      <w:r w:rsidRPr="009B0E7F">
        <w:rPr>
          <w:rFonts w:ascii="Arial Narrow" w:hAnsi="Arial Narrow" w:cs="Arial"/>
          <w:b/>
          <w:bCs/>
          <w:iCs/>
          <w:smallCaps/>
          <w:sz w:val="28"/>
          <w:szCs w:val="28"/>
        </w:rPr>
        <w:lastRenderedPageBreak/>
        <w:t xml:space="preserve">Document Revision History </w:t>
      </w:r>
    </w:p>
    <w:tbl>
      <w:tblPr>
        <w:tblStyle w:val="TableGrid11"/>
        <w:tblW w:w="5000" w:type="pct"/>
        <w:tblLook w:val="01E0" w:firstRow="1" w:lastRow="1" w:firstColumn="1" w:lastColumn="1" w:noHBand="0" w:noVBand="0"/>
      </w:tblPr>
      <w:tblGrid>
        <w:gridCol w:w="591"/>
        <w:gridCol w:w="1476"/>
        <w:gridCol w:w="1908"/>
        <w:gridCol w:w="6815"/>
      </w:tblGrid>
      <w:tr w:rsidR="0095221A" w:rsidRPr="00DC3FD7" w14:paraId="269B66B6" w14:textId="77777777" w:rsidTr="004E74AB">
        <w:trPr>
          <w:trHeight w:val="20"/>
        </w:trPr>
        <w:tc>
          <w:tcPr>
            <w:tcW w:w="274" w:type="pct"/>
            <w:shd w:val="clear" w:color="auto" w:fill="D9D9D9" w:themeFill="background1" w:themeFillShade="D9"/>
          </w:tcPr>
          <w:p w14:paraId="269B66B2" w14:textId="77777777" w:rsidR="0095221A" w:rsidRPr="00DC3FD7" w:rsidRDefault="0095221A" w:rsidP="0095221A">
            <w:pPr>
              <w:rPr>
                <w:rFonts w:cstheme="minorHAnsi"/>
                <w:b/>
                <w:sz w:val="22"/>
                <w:szCs w:val="22"/>
              </w:rPr>
            </w:pPr>
            <w:r w:rsidRPr="00DC3FD7">
              <w:rPr>
                <w:rFonts w:cstheme="minorHAnsi"/>
                <w:b/>
                <w:bCs/>
                <w:sz w:val="22"/>
                <w:szCs w:val="22"/>
              </w:rPr>
              <w:t>Rev</w:t>
            </w:r>
          </w:p>
        </w:tc>
        <w:tc>
          <w:tcPr>
            <w:tcW w:w="684" w:type="pct"/>
            <w:shd w:val="clear" w:color="auto" w:fill="D9D9D9" w:themeFill="background1" w:themeFillShade="D9"/>
          </w:tcPr>
          <w:p w14:paraId="269B66B3" w14:textId="77777777" w:rsidR="0095221A" w:rsidRPr="00DC3FD7" w:rsidRDefault="0095221A" w:rsidP="0095221A">
            <w:pPr>
              <w:rPr>
                <w:rFonts w:cstheme="minorHAnsi"/>
                <w:b/>
                <w:sz w:val="22"/>
                <w:szCs w:val="22"/>
              </w:rPr>
            </w:pPr>
            <w:r w:rsidRPr="00DC3FD7">
              <w:rPr>
                <w:rFonts w:cstheme="minorHAnsi"/>
                <w:b/>
                <w:bCs/>
                <w:sz w:val="22"/>
                <w:szCs w:val="22"/>
              </w:rPr>
              <w:t>Date</w:t>
            </w:r>
          </w:p>
        </w:tc>
        <w:tc>
          <w:tcPr>
            <w:tcW w:w="884" w:type="pct"/>
            <w:shd w:val="clear" w:color="auto" w:fill="D9D9D9" w:themeFill="background1" w:themeFillShade="D9"/>
          </w:tcPr>
          <w:p w14:paraId="269B66B4" w14:textId="77777777" w:rsidR="0095221A" w:rsidRPr="00DC3FD7" w:rsidRDefault="0095221A" w:rsidP="0095221A">
            <w:pPr>
              <w:rPr>
                <w:rFonts w:cstheme="minorHAnsi"/>
                <w:b/>
                <w:sz w:val="22"/>
                <w:szCs w:val="22"/>
              </w:rPr>
            </w:pPr>
            <w:r w:rsidRPr="00DC3FD7">
              <w:rPr>
                <w:rFonts w:cstheme="minorHAnsi"/>
                <w:b/>
                <w:bCs/>
                <w:sz w:val="22"/>
                <w:szCs w:val="22"/>
              </w:rPr>
              <w:t>Author</w:t>
            </w:r>
          </w:p>
        </w:tc>
        <w:tc>
          <w:tcPr>
            <w:tcW w:w="3158" w:type="pct"/>
            <w:shd w:val="clear" w:color="auto" w:fill="D9D9D9" w:themeFill="background1" w:themeFillShade="D9"/>
          </w:tcPr>
          <w:p w14:paraId="269B66B5" w14:textId="77777777" w:rsidR="0095221A" w:rsidRPr="00DC3FD7" w:rsidRDefault="0095221A" w:rsidP="0095221A">
            <w:pPr>
              <w:rPr>
                <w:rFonts w:cstheme="minorHAnsi"/>
                <w:b/>
                <w:sz w:val="22"/>
                <w:szCs w:val="22"/>
              </w:rPr>
            </w:pPr>
            <w:r w:rsidRPr="00DC3FD7">
              <w:rPr>
                <w:rFonts w:cstheme="minorHAnsi"/>
                <w:b/>
                <w:bCs/>
                <w:sz w:val="22"/>
                <w:szCs w:val="22"/>
              </w:rPr>
              <w:t>Summary of Changes</w:t>
            </w:r>
          </w:p>
        </w:tc>
      </w:tr>
      <w:tr w:rsidR="0095221A" w:rsidRPr="00DC3FD7" w14:paraId="269B66BB" w14:textId="77777777" w:rsidTr="004E74AB">
        <w:trPr>
          <w:trHeight w:val="20"/>
        </w:trPr>
        <w:tc>
          <w:tcPr>
            <w:tcW w:w="274" w:type="pct"/>
            <w:vAlign w:val="center"/>
          </w:tcPr>
          <w:p w14:paraId="269B66B7" w14:textId="77777777" w:rsidR="0095221A" w:rsidRPr="00DC3FD7" w:rsidRDefault="0095221A" w:rsidP="0095221A">
            <w:pPr>
              <w:jc w:val="center"/>
              <w:rPr>
                <w:rFonts w:cstheme="minorHAnsi"/>
                <w:sz w:val="22"/>
                <w:szCs w:val="22"/>
              </w:rPr>
            </w:pPr>
            <w:r w:rsidRPr="00DC3FD7">
              <w:rPr>
                <w:rFonts w:cstheme="minorHAnsi"/>
                <w:bCs/>
                <w:sz w:val="22"/>
                <w:szCs w:val="22"/>
              </w:rPr>
              <w:t>0</w:t>
            </w:r>
          </w:p>
        </w:tc>
        <w:tc>
          <w:tcPr>
            <w:tcW w:w="684" w:type="pct"/>
            <w:vAlign w:val="center"/>
          </w:tcPr>
          <w:p w14:paraId="269B66B8" w14:textId="77777777" w:rsidR="0095221A" w:rsidRPr="00DC3FD7" w:rsidRDefault="0095221A" w:rsidP="0095221A">
            <w:pPr>
              <w:jc w:val="center"/>
              <w:rPr>
                <w:rFonts w:cstheme="minorHAnsi"/>
                <w:sz w:val="22"/>
                <w:szCs w:val="22"/>
              </w:rPr>
            </w:pPr>
            <w:r w:rsidRPr="00DC3FD7">
              <w:rPr>
                <w:rFonts w:cstheme="minorHAnsi"/>
                <w:bCs/>
                <w:sz w:val="22"/>
                <w:szCs w:val="22"/>
              </w:rPr>
              <w:t>06/15/2012</w:t>
            </w:r>
          </w:p>
        </w:tc>
        <w:tc>
          <w:tcPr>
            <w:tcW w:w="884" w:type="pct"/>
            <w:vAlign w:val="center"/>
          </w:tcPr>
          <w:p w14:paraId="269B66B9" w14:textId="77777777" w:rsidR="0095221A" w:rsidRPr="00DC3FD7" w:rsidRDefault="0095221A" w:rsidP="0095221A">
            <w:pPr>
              <w:rPr>
                <w:rFonts w:cstheme="minorHAnsi"/>
                <w:sz w:val="22"/>
                <w:szCs w:val="22"/>
              </w:rPr>
            </w:pPr>
            <w:r w:rsidRPr="00DC3FD7">
              <w:rPr>
                <w:rFonts w:cstheme="minorHAnsi"/>
                <w:bCs/>
                <w:sz w:val="22"/>
                <w:szCs w:val="22"/>
              </w:rPr>
              <w:t>Kelvin Valenzuela / SDG&amp;E</w:t>
            </w:r>
          </w:p>
        </w:tc>
        <w:tc>
          <w:tcPr>
            <w:tcW w:w="3158" w:type="pct"/>
          </w:tcPr>
          <w:p w14:paraId="269B66BA" w14:textId="682437D6" w:rsidR="0095221A" w:rsidRPr="00DC3FD7" w:rsidRDefault="006F0D4B" w:rsidP="0095221A">
            <w:pPr>
              <w:rPr>
                <w:rFonts w:cstheme="minorHAnsi"/>
                <w:sz w:val="22"/>
                <w:szCs w:val="22"/>
              </w:rPr>
            </w:pPr>
            <w:r w:rsidRPr="00DC3FD7">
              <w:rPr>
                <w:rFonts w:cstheme="minorHAnsi"/>
                <w:bCs/>
                <w:sz w:val="22"/>
                <w:szCs w:val="22"/>
              </w:rPr>
              <w:t>Adopted WPSCGNRW120026A_Rev5_StorageWH_NonResr-May22.docx, updated May 18, 2012.</w:t>
            </w:r>
          </w:p>
        </w:tc>
      </w:tr>
      <w:tr w:rsidR="0095221A" w:rsidRPr="00DC3FD7" w14:paraId="269B66C1" w14:textId="77777777" w:rsidTr="004E74AB">
        <w:trPr>
          <w:trHeight w:val="20"/>
        </w:trPr>
        <w:tc>
          <w:tcPr>
            <w:tcW w:w="274" w:type="pct"/>
            <w:vAlign w:val="center"/>
          </w:tcPr>
          <w:p w14:paraId="269B66BC" w14:textId="77777777" w:rsidR="0095221A" w:rsidRPr="00DC3FD7" w:rsidRDefault="0095221A" w:rsidP="0095221A">
            <w:pPr>
              <w:jc w:val="center"/>
              <w:rPr>
                <w:rFonts w:cstheme="minorHAnsi"/>
                <w:bCs/>
                <w:sz w:val="22"/>
                <w:szCs w:val="22"/>
              </w:rPr>
            </w:pPr>
            <w:r w:rsidRPr="00DC3FD7">
              <w:rPr>
                <w:rFonts w:cstheme="minorHAnsi"/>
                <w:sz w:val="22"/>
                <w:szCs w:val="22"/>
              </w:rPr>
              <w:t>1</w:t>
            </w:r>
          </w:p>
        </w:tc>
        <w:tc>
          <w:tcPr>
            <w:tcW w:w="684" w:type="pct"/>
            <w:vAlign w:val="center"/>
          </w:tcPr>
          <w:p w14:paraId="269B66BD" w14:textId="424E2DE6" w:rsidR="0095221A" w:rsidRPr="00DC3FD7" w:rsidRDefault="00867B4E" w:rsidP="0095221A">
            <w:pPr>
              <w:jc w:val="center"/>
              <w:rPr>
                <w:rFonts w:cstheme="minorHAnsi"/>
                <w:bCs/>
                <w:sz w:val="22"/>
                <w:szCs w:val="22"/>
              </w:rPr>
            </w:pPr>
            <w:r w:rsidRPr="00DC3FD7">
              <w:rPr>
                <w:rFonts w:cstheme="minorHAnsi"/>
                <w:sz w:val="22"/>
                <w:szCs w:val="22"/>
              </w:rPr>
              <w:t>1</w:t>
            </w:r>
            <w:r w:rsidR="0095221A" w:rsidRPr="00DC3FD7">
              <w:rPr>
                <w:rFonts w:cstheme="minorHAnsi"/>
                <w:sz w:val="22"/>
                <w:szCs w:val="22"/>
              </w:rPr>
              <w:t>/</w:t>
            </w:r>
            <w:r w:rsidR="00BE7943">
              <w:rPr>
                <w:rFonts w:cstheme="minorHAnsi"/>
                <w:sz w:val="22"/>
                <w:szCs w:val="22"/>
              </w:rPr>
              <w:t>1</w:t>
            </w:r>
            <w:r w:rsidR="0095221A" w:rsidRPr="00DC3FD7">
              <w:rPr>
                <w:rFonts w:cstheme="minorHAnsi"/>
                <w:sz w:val="22"/>
                <w:szCs w:val="22"/>
              </w:rPr>
              <w:t>/201</w:t>
            </w:r>
            <w:r w:rsidR="000E22EA">
              <w:rPr>
                <w:rFonts w:cstheme="minorHAnsi"/>
                <w:sz w:val="22"/>
                <w:szCs w:val="22"/>
              </w:rPr>
              <w:t>9</w:t>
            </w:r>
          </w:p>
        </w:tc>
        <w:tc>
          <w:tcPr>
            <w:tcW w:w="884" w:type="pct"/>
            <w:vAlign w:val="center"/>
          </w:tcPr>
          <w:p w14:paraId="269B66BE" w14:textId="77777777" w:rsidR="0095221A" w:rsidRPr="00DC3FD7" w:rsidRDefault="0095221A" w:rsidP="0095221A">
            <w:pPr>
              <w:rPr>
                <w:rFonts w:cstheme="minorHAnsi"/>
                <w:bCs/>
                <w:sz w:val="22"/>
                <w:szCs w:val="22"/>
              </w:rPr>
            </w:pPr>
            <w:r w:rsidRPr="00DC3FD7">
              <w:rPr>
                <w:rFonts w:cstheme="minorHAnsi"/>
                <w:sz w:val="22"/>
                <w:szCs w:val="22"/>
              </w:rPr>
              <w:t>Eduardo Reynoso / SDG&amp;E</w:t>
            </w:r>
          </w:p>
        </w:tc>
        <w:tc>
          <w:tcPr>
            <w:tcW w:w="3158" w:type="pct"/>
          </w:tcPr>
          <w:p w14:paraId="269B66BF" w14:textId="77777777" w:rsidR="0095221A" w:rsidRPr="00DC3FD7" w:rsidRDefault="0095221A" w:rsidP="0095221A">
            <w:pPr>
              <w:rPr>
                <w:rFonts w:cstheme="minorHAnsi"/>
                <w:bCs/>
                <w:sz w:val="22"/>
                <w:szCs w:val="22"/>
              </w:rPr>
            </w:pPr>
            <w:r w:rsidRPr="00DC3FD7">
              <w:rPr>
                <w:rFonts w:cstheme="minorHAnsi"/>
                <w:bCs/>
                <w:sz w:val="22"/>
                <w:szCs w:val="22"/>
              </w:rPr>
              <w:t xml:space="preserve">1. Proposed abridge short form workpaper for EAR team review. </w:t>
            </w:r>
          </w:p>
          <w:p w14:paraId="61F18E5E" w14:textId="38304DD0" w:rsidR="00E41CCE" w:rsidRDefault="0095221A" w:rsidP="0095221A">
            <w:pPr>
              <w:rPr>
                <w:rFonts w:cstheme="minorHAnsi"/>
                <w:bCs/>
                <w:sz w:val="22"/>
                <w:szCs w:val="22"/>
              </w:rPr>
            </w:pPr>
            <w:r w:rsidRPr="00DC3FD7">
              <w:rPr>
                <w:rFonts w:cstheme="minorHAnsi"/>
                <w:bCs/>
                <w:sz w:val="22"/>
                <w:szCs w:val="22"/>
              </w:rPr>
              <w:t xml:space="preserve">2. Adopted </w:t>
            </w:r>
            <w:r w:rsidR="00BE7943">
              <w:rPr>
                <w:rFonts w:cstheme="minorHAnsi"/>
                <w:bCs/>
                <w:sz w:val="22"/>
                <w:szCs w:val="22"/>
              </w:rPr>
              <w:t xml:space="preserve">SCG workpaper </w:t>
            </w:r>
            <w:r w:rsidR="00350035">
              <w:rPr>
                <w:rFonts w:cstheme="minorHAnsi"/>
                <w:bCs/>
                <w:sz w:val="22"/>
                <w:szCs w:val="22"/>
              </w:rPr>
              <w:t xml:space="preserve">(WPSCGNRWH120206A-Rev10) </w:t>
            </w:r>
            <w:r w:rsidR="00BE7943">
              <w:rPr>
                <w:rFonts w:cstheme="minorHAnsi"/>
                <w:bCs/>
                <w:sz w:val="22"/>
                <w:szCs w:val="22"/>
              </w:rPr>
              <w:t xml:space="preserve">measure </w:t>
            </w:r>
            <w:r w:rsidR="00C114F2">
              <w:rPr>
                <w:rFonts w:cstheme="minorHAnsi"/>
                <w:bCs/>
                <w:sz w:val="22"/>
                <w:szCs w:val="22"/>
              </w:rPr>
              <w:t xml:space="preserve">technology </w:t>
            </w:r>
            <w:r w:rsidR="007B7FA6">
              <w:rPr>
                <w:rFonts w:cstheme="minorHAnsi"/>
                <w:bCs/>
                <w:sz w:val="22"/>
                <w:szCs w:val="22"/>
              </w:rPr>
              <w:t>cost and base cost</w:t>
            </w:r>
            <w:r w:rsidR="00C114F2">
              <w:rPr>
                <w:rFonts w:cstheme="minorHAnsi"/>
                <w:bCs/>
                <w:sz w:val="22"/>
                <w:szCs w:val="22"/>
              </w:rPr>
              <w:t xml:space="preserve">, </w:t>
            </w:r>
            <w:r w:rsidR="00867B4E" w:rsidRPr="00DC3FD7">
              <w:rPr>
                <w:rFonts w:cstheme="minorHAnsi"/>
                <w:bCs/>
                <w:sz w:val="22"/>
                <w:szCs w:val="22"/>
              </w:rPr>
              <w:t xml:space="preserve">in support of the </w:t>
            </w:r>
            <w:r w:rsidR="006F0D4B" w:rsidRPr="00DC3FD7">
              <w:rPr>
                <w:rFonts w:cstheme="minorHAnsi"/>
                <w:bCs/>
                <w:sz w:val="22"/>
                <w:szCs w:val="22"/>
              </w:rPr>
              <w:t xml:space="preserve">storage </w:t>
            </w:r>
            <w:r w:rsidR="00867B4E" w:rsidRPr="00DC3FD7">
              <w:rPr>
                <w:rFonts w:cstheme="minorHAnsi"/>
                <w:bCs/>
                <w:sz w:val="22"/>
                <w:szCs w:val="22"/>
              </w:rPr>
              <w:t xml:space="preserve">water heaters </w:t>
            </w:r>
            <w:r w:rsidR="00FC1B0D" w:rsidRPr="00DC3FD7">
              <w:rPr>
                <w:rFonts w:cstheme="minorHAnsi"/>
                <w:bCs/>
                <w:sz w:val="22"/>
                <w:szCs w:val="22"/>
              </w:rPr>
              <w:t xml:space="preserve">rated </w:t>
            </w:r>
            <w:r w:rsidR="00C114F2">
              <w:rPr>
                <w:rFonts w:cstheme="minorHAnsi"/>
                <w:bCs/>
                <w:sz w:val="22"/>
                <w:szCs w:val="22"/>
              </w:rPr>
              <w:t xml:space="preserve">over </w:t>
            </w:r>
            <w:r w:rsidR="006F0D4B" w:rsidRPr="00DC3FD7">
              <w:rPr>
                <w:rFonts w:cstheme="minorHAnsi"/>
                <w:bCs/>
                <w:sz w:val="22"/>
                <w:szCs w:val="22"/>
              </w:rPr>
              <w:t>75kB</w:t>
            </w:r>
            <w:r w:rsidR="00C114F2">
              <w:rPr>
                <w:rFonts w:cstheme="minorHAnsi"/>
                <w:bCs/>
                <w:sz w:val="22"/>
                <w:szCs w:val="22"/>
              </w:rPr>
              <w:t>TU/h</w:t>
            </w:r>
            <w:r w:rsidR="006F0D4B" w:rsidRPr="00DC3FD7">
              <w:rPr>
                <w:rFonts w:cstheme="minorHAnsi"/>
                <w:bCs/>
                <w:sz w:val="22"/>
                <w:szCs w:val="22"/>
              </w:rPr>
              <w:t>.</w:t>
            </w:r>
          </w:p>
          <w:p w14:paraId="7D088218" w14:textId="77777777" w:rsidR="00787183" w:rsidRDefault="00E41CCE" w:rsidP="009D08F0">
            <w:pPr>
              <w:rPr>
                <w:rFonts w:cstheme="minorHAnsi"/>
                <w:sz w:val="22"/>
                <w:szCs w:val="22"/>
              </w:rPr>
            </w:pPr>
            <w:r>
              <w:rPr>
                <w:rFonts w:cstheme="minorHAnsi"/>
                <w:bCs/>
                <w:sz w:val="22"/>
                <w:szCs w:val="22"/>
              </w:rPr>
              <w:t xml:space="preserve">3. </w:t>
            </w:r>
            <w:r w:rsidR="00867B4E" w:rsidRPr="00DC3FD7">
              <w:rPr>
                <w:rFonts w:cstheme="minorHAnsi"/>
                <w:bCs/>
                <w:sz w:val="22"/>
                <w:szCs w:val="22"/>
              </w:rPr>
              <w:t xml:space="preserve"> </w:t>
            </w:r>
            <w:r w:rsidR="00787183">
              <w:rPr>
                <w:rFonts w:cstheme="minorHAnsi"/>
                <w:sz w:val="22"/>
                <w:szCs w:val="22"/>
              </w:rPr>
              <w:t>Created new 1/1/2019 start dates to address Resolution</w:t>
            </w:r>
            <w:r w:rsidR="00500EA5">
              <w:rPr>
                <w:rFonts w:cstheme="minorHAnsi"/>
                <w:sz w:val="22"/>
                <w:szCs w:val="22"/>
              </w:rPr>
              <w:t>s</w:t>
            </w:r>
            <w:r w:rsidR="00787183">
              <w:rPr>
                <w:rFonts w:cstheme="minorHAnsi"/>
                <w:sz w:val="22"/>
                <w:szCs w:val="22"/>
              </w:rPr>
              <w:t xml:space="preserve"> E-4952</w:t>
            </w:r>
            <w:r w:rsidR="00500EA5">
              <w:rPr>
                <w:rFonts w:cstheme="minorHAnsi"/>
                <w:sz w:val="22"/>
                <w:szCs w:val="22"/>
              </w:rPr>
              <w:t>/4818</w:t>
            </w:r>
            <w:r w:rsidR="00787183">
              <w:rPr>
                <w:rFonts w:cstheme="minorHAnsi"/>
                <w:sz w:val="22"/>
                <w:szCs w:val="22"/>
              </w:rPr>
              <w:t xml:space="preserve"> </w:t>
            </w:r>
            <w:r w:rsidR="00500EA5">
              <w:rPr>
                <w:rFonts w:cstheme="minorHAnsi"/>
                <w:sz w:val="22"/>
                <w:szCs w:val="22"/>
              </w:rPr>
              <w:t>new Measure Application Type</w:t>
            </w:r>
            <w:r w:rsidR="000B3776">
              <w:rPr>
                <w:rFonts w:cstheme="minorHAnsi"/>
                <w:sz w:val="22"/>
                <w:szCs w:val="22"/>
              </w:rPr>
              <w:t xml:space="preserve">s. </w:t>
            </w:r>
          </w:p>
          <w:p w14:paraId="269B66C0" w14:textId="4BB1975B" w:rsidR="00982AEC" w:rsidRPr="00DC3FD7" w:rsidRDefault="00982AEC" w:rsidP="009D08F0">
            <w:pPr>
              <w:rPr>
                <w:rFonts w:cstheme="minorHAnsi"/>
                <w:sz w:val="22"/>
                <w:szCs w:val="22"/>
              </w:rPr>
            </w:pPr>
            <w:r>
              <w:rPr>
                <w:rFonts w:cstheme="minorHAnsi"/>
                <w:sz w:val="22"/>
                <w:szCs w:val="22"/>
              </w:rPr>
              <w:t xml:space="preserve">4. </w:t>
            </w:r>
            <w:r w:rsidR="00674B0C">
              <w:rPr>
                <w:rFonts w:cstheme="minorHAnsi"/>
                <w:sz w:val="22"/>
                <w:szCs w:val="22"/>
              </w:rPr>
              <w:t xml:space="preserve">Created internal system </w:t>
            </w:r>
            <w:r w:rsidR="000E06B2">
              <w:rPr>
                <w:rFonts w:cstheme="minorHAnsi"/>
                <w:sz w:val="22"/>
                <w:szCs w:val="22"/>
              </w:rPr>
              <w:t>programing changes to address DEER Energy Impacts associated with certain Building Types and Locations (Climate Zone “CZ”) that do not exist</w:t>
            </w:r>
            <w:r w:rsidR="00EA1B9D">
              <w:rPr>
                <w:rFonts w:cstheme="minorHAnsi"/>
                <w:sz w:val="22"/>
                <w:szCs w:val="22"/>
              </w:rPr>
              <w:t xml:space="preserve">. Refer to Implementation Requirements </w:t>
            </w:r>
            <w:r w:rsidR="00DC5E0B">
              <w:rPr>
                <w:rFonts w:cstheme="minorHAnsi"/>
                <w:sz w:val="22"/>
                <w:szCs w:val="22"/>
              </w:rPr>
              <w:t xml:space="preserve">on page 3 </w:t>
            </w:r>
            <w:r w:rsidR="00E85F2D">
              <w:rPr>
                <w:rFonts w:cstheme="minorHAnsi"/>
                <w:sz w:val="22"/>
                <w:szCs w:val="22"/>
              </w:rPr>
              <w:t xml:space="preserve">of this workpaper. </w:t>
            </w:r>
            <w:bookmarkStart w:id="2" w:name="_GoBack"/>
            <w:bookmarkEnd w:id="2"/>
          </w:p>
        </w:tc>
      </w:tr>
    </w:tbl>
    <w:p w14:paraId="269B66C2" w14:textId="45F0FC22" w:rsidR="0095221A" w:rsidRDefault="0095221A" w:rsidP="0095221A">
      <w:pPr>
        <w:rPr>
          <w:rFonts w:cstheme="minorHAnsi"/>
          <w:szCs w:val="22"/>
        </w:rPr>
      </w:pPr>
    </w:p>
    <w:p w14:paraId="49058383" w14:textId="7393064A" w:rsidR="00E43785" w:rsidRDefault="00E43785" w:rsidP="0095221A">
      <w:pPr>
        <w:rPr>
          <w:rFonts w:cstheme="minorHAnsi"/>
          <w:szCs w:val="22"/>
        </w:rPr>
      </w:pPr>
    </w:p>
    <w:p w14:paraId="5B9167AF" w14:textId="77777777" w:rsidR="00120B04" w:rsidRDefault="000909DA" w:rsidP="009E7185">
      <w:pPr>
        <w:pStyle w:val="PR1"/>
      </w:pPr>
      <w:r w:rsidRPr="009C561E">
        <w:rPr>
          <w:b/>
        </w:rPr>
        <w:t>Eligibility Requirem</w:t>
      </w:r>
      <w:r w:rsidR="00E43785" w:rsidRPr="009C561E">
        <w:rPr>
          <w:b/>
        </w:rPr>
        <w:t>ents</w:t>
      </w:r>
      <w:r w:rsidR="009C561E" w:rsidRPr="009C561E">
        <w:t xml:space="preserve">: </w:t>
      </w:r>
    </w:p>
    <w:p w14:paraId="7C610429" w14:textId="2BD619A9" w:rsidR="00FD1A12" w:rsidRDefault="00112FD9" w:rsidP="00120B04">
      <w:pPr>
        <w:pStyle w:val="PR1"/>
        <w:numPr>
          <w:ilvl w:val="0"/>
          <w:numId w:val="19"/>
        </w:numPr>
      </w:pPr>
      <w:r w:rsidRPr="009C561E">
        <w:t xml:space="preserve">All large storage water heating units must meet or exceed the </w:t>
      </w:r>
      <w:r w:rsidR="00641AC9" w:rsidRPr="009C561E">
        <w:t>thermal efficiency values described in the following measure summary table to participate in the</w:t>
      </w:r>
      <w:r w:rsidR="0022568C" w:rsidRPr="009C561E">
        <w:t xml:space="preserve"> EEBR program.</w:t>
      </w:r>
    </w:p>
    <w:p w14:paraId="4FA32A1B" w14:textId="3A48D687" w:rsidR="00120B04" w:rsidRPr="009E7185" w:rsidRDefault="007169E7" w:rsidP="00120B04">
      <w:pPr>
        <w:pStyle w:val="PR1"/>
        <w:numPr>
          <w:ilvl w:val="0"/>
          <w:numId w:val="19"/>
        </w:numPr>
      </w:pPr>
      <w:r w:rsidRPr="007169E7">
        <w:t>NOx emission level of less than 14 nanograms of NOx (calculated as NO2) per joule of heat output or less than or equal to 20 ppm of NOx emissions (at 3% O2, dry)</w:t>
      </w:r>
    </w:p>
    <w:p w14:paraId="47B748D7" w14:textId="5D723380" w:rsidR="00FD1A12" w:rsidRDefault="00FD1A12" w:rsidP="00FD1A12">
      <w:pPr>
        <w:pStyle w:val="WPPR2"/>
        <w:numPr>
          <w:ilvl w:val="0"/>
          <w:numId w:val="0"/>
        </w:numPr>
        <w:ind w:left="2880" w:hanging="360"/>
        <w:rPr>
          <w:rFonts w:asciiTheme="minorHAnsi" w:hAnsiTheme="minorHAnsi" w:cstheme="minorHAnsi"/>
          <w:sz w:val="22"/>
          <w:szCs w:val="22"/>
        </w:rPr>
      </w:pPr>
    </w:p>
    <w:p w14:paraId="012E95B6" w14:textId="77777777" w:rsidR="00FD1A12" w:rsidRDefault="00FD1A12" w:rsidP="00FD1A12">
      <w:pPr>
        <w:pStyle w:val="WPPR2"/>
        <w:numPr>
          <w:ilvl w:val="0"/>
          <w:numId w:val="0"/>
        </w:numPr>
        <w:ind w:left="2880" w:hanging="360"/>
        <w:rPr>
          <w:rFonts w:asciiTheme="minorHAnsi" w:hAnsiTheme="minorHAnsi" w:cstheme="minorHAnsi"/>
          <w:sz w:val="22"/>
          <w:szCs w:val="22"/>
        </w:rPr>
      </w:pPr>
    </w:p>
    <w:p w14:paraId="38AC4654" w14:textId="77777777" w:rsidR="00FD1A12" w:rsidRPr="00155158" w:rsidRDefault="00FD1A12" w:rsidP="00FD1A12">
      <w:pPr>
        <w:pStyle w:val="NoSpacing"/>
        <w:ind w:left="1944"/>
        <w:rPr>
          <w:b/>
        </w:rPr>
      </w:pPr>
      <w:r>
        <w:rPr>
          <w:b/>
        </w:rPr>
        <w:t>Measure Summary Table</w:t>
      </w:r>
    </w:p>
    <w:tbl>
      <w:tblPr>
        <w:tblpPr w:leftFromText="180" w:rightFromText="180" w:vertAnchor="text" w:horzAnchor="margin" w:tblpXSpec="center" w:tblpY="117"/>
        <w:tblW w:w="9265" w:type="dxa"/>
        <w:tblLook w:val="04A0" w:firstRow="1" w:lastRow="0" w:firstColumn="1" w:lastColumn="0" w:noHBand="0" w:noVBand="1"/>
      </w:tblPr>
      <w:tblGrid>
        <w:gridCol w:w="1975"/>
        <w:gridCol w:w="4500"/>
        <w:gridCol w:w="2790"/>
      </w:tblGrid>
      <w:tr w:rsidR="00FD1A12" w:rsidRPr="0036322C" w14:paraId="19CE170C" w14:textId="77777777" w:rsidTr="00BD0866">
        <w:trPr>
          <w:trHeight w:val="534"/>
        </w:trPr>
        <w:tc>
          <w:tcPr>
            <w:tcW w:w="1975" w:type="dxa"/>
            <w:tcBorders>
              <w:top w:val="single" w:sz="4" w:space="0" w:color="auto"/>
              <w:left w:val="single" w:sz="4" w:space="0" w:color="auto"/>
              <w:bottom w:val="single" w:sz="4" w:space="0" w:color="auto"/>
              <w:right w:val="single" w:sz="4" w:space="0" w:color="auto"/>
            </w:tcBorders>
            <w:shd w:val="clear" w:color="000000" w:fill="D0CECE"/>
            <w:vAlign w:val="center"/>
          </w:tcPr>
          <w:p w14:paraId="4412C51B" w14:textId="77777777" w:rsidR="00FD1A12" w:rsidRPr="0036322C" w:rsidRDefault="00FD1A12" w:rsidP="00A231F6">
            <w:pPr>
              <w:jc w:val="center"/>
              <w:rPr>
                <w:rFonts w:ascii="Calibri" w:hAnsi="Calibri" w:cs="Calibri"/>
                <w:b/>
                <w:bCs/>
                <w:i/>
                <w:iCs/>
                <w:sz w:val="20"/>
                <w:szCs w:val="20"/>
              </w:rPr>
            </w:pPr>
            <w:r w:rsidRPr="0036322C">
              <w:rPr>
                <w:rFonts w:ascii="Calibri" w:hAnsi="Calibri" w:cs="Calibri"/>
                <w:b/>
                <w:bCs/>
                <w:i/>
                <w:iCs/>
                <w:sz w:val="20"/>
                <w:szCs w:val="20"/>
              </w:rPr>
              <w:t>Measure ID</w:t>
            </w:r>
          </w:p>
        </w:tc>
        <w:tc>
          <w:tcPr>
            <w:tcW w:w="4500"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F206651" w14:textId="77777777" w:rsidR="00FD1A12" w:rsidRPr="0036322C" w:rsidRDefault="00FD1A12" w:rsidP="00A231F6">
            <w:pPr>
              <w:jc w:val="center"/>
              <w:rPr>
                <w:rFonts w:ascii="Calibri" w:hAnsi="Calibri" w:cs="Calibri"/>
                <w:b/>
                <w:bCs/>
                <w:i/>
                <w:iCs/>
                <w:sz w:val="20"/>
                <w:szCs w:val="20"/>
              </w:rPr>
            </w:pPr>
            <w:r w:rsidRPr="0036322C">
              <w:rPr>
                <w:rFonts w:ascii="Calibri" w:hAnsi="Calibri" w:cs="Calibri"/>
                <w:b/>
                <w:bCs/>
                <w:i/>
                <w:iCs/>
                <w:sz w:val="20"/>
                <w:szCs w:val="20"/>
              </w:rPr>
              <w:t>Measure Description</w:t>
            </w:r>
          </w:p>
        </w:tc>
        <w:tc>
          <w:tcPr>
            <w:tcW w:w="2790"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3901EC2C" w14:textId="77777777" w:rsidR="00FD1A12" w:rsidRPr="0036322C" w:rsidRDefault="00FD1A12" w:rsidP="00A231F6">
            <w:pPr>
              <w:jc w:val="center"/>
              <w:rPr>
                <w:rFonts w:ascii="Calibri" w:hAnsi="Calibri" w:cs="Calibri"/>
                <w:b/>
                <w:bCs/>
                <w:i/>
                <w:iCs/>
                <w:sz w:val="20"/>
                <w:szCs w:val="20"/>
              </w:rPr>
            </w:pPr>
            <w:r w:rsidRPr="0036322C">
              <w:rPr>
                <w:rFonts w:ascii="Calibri" w:hAnsi="Calibri" w:cs="Calibri"/>
                <w:b/>
                <w:bCs/>
                <w:i/>
                <w:iCs/>
                <w:sz w:val="20"/>
                <w:szCs w:val="20"/>
              </w:rPr>
              <w:t>Baseline Description</w:t>
            </w:r>
          </w:p>
        </w:tc>
      </w:tr>
      <w:tr w:rsidR="00E80752" w:rsidRPr="0036322C" w14:paraId="03191770" w14:textId="77777777" w:rsidTr="00BD0866">
        <w:trPr>
          <w:trHeight w:val="534"/>
        </w:trPr>
        <w:tc>
          <w:tcPr>
            <w:tcW w:w="1975" w:type="dxa"/>
            <w:tcBorders>
              <w:top w:val="single" w:sz="4" w:space="0" w:color="auto"/>
              <w:left w:val="single" w:sz="4" w:space="0" w:color="auto"/>
              <w:bottom w:val="single" w:sz="4" w:space="0" w:color="auto"/>
              <w:right w:val="single" w:sz="4" w:space="0" w:color="auto"/>
            </w:tcBorders>
            <w:vAlign w:val="center"/>
          </w:tcPr>
          <w:p w14:paraId="5BF373EB" w14:textId="77777777" w:rsidR="00E80752" w:rsidRPr="00794E66" w:rsidRDefault="00E80752" w:rsidP="00E80752">
            <w:pPr>
              <w:jc w:val="center"/>
              <w:rPr>
                <w:rFonts w:ascii="Calibri" w:hAnsi="Calibri" w:cs="Calibri"/>
                <w:sz w:val="18"/>
                <w:szCs w:val="18"/>
              </w:rPr>
            </w:pPr>
            <w:r w:rsidRPr="00794E66">
              <w:rPr>
                <w:rFonts w:ascii="Calibri" w:hAnsi="Calibri" w:cs="Calibri"/>
                <w:sz w:val="18"/>
                <w:szCs w:val="18"/>
              </w:rPr>
              <w:t>NG-WtrHt-LrgStrg-Gas-gte75kBtuh-0p83Et</w:t>
            </w:r>
          </w:p>
          <w:p w14:paraId="703475CF" w14:textId="41FEE410" w:rsidR="00E80752" w:rsidRPr="0036322C" w:rsidRDefault="00E80752" w:rsidP="00E80752">
            <w:pPr>
              <w:jc w:val="center"/>
              <w:rPr>
                <w:rFonts w:ascii="Calibri" w:hAnsi="Calibri" w:cs="Calibri"/>
                <w:bCs/>
                <w:iCs/>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C35F1" w14:textId="256D2998" w:rsidR="00BD0866" w:rsidRDefault="00BD0866" w:rsidP="00E80752">
            <w:pPr>
              <w:rPr>
                <w:rFonts w:ascii="Calibri" w:hAnsi="Calibri" w:cs="Calibri"/>
                <w:sz w:val="18"/>
                <w:szCs w:val="22"/>
              </w:rPr>
            </w:pPr>
            <w:r>
              <w:rPr>
                <w:rFonts w:ascii="Calibri" w:hAnsi="Calibri" w:cs="Calibri"/>
                <w:sz w:val="18"/>
                <w:szCs w:val="22"/>
              </w:rPr>
              <w:t>Tier 1</w:t>
            </w:r>
          </w:p>
          <w:p w14:paraId="27987E59" w14:textId="520F3E0C" w:rsidR="00E80752" w:rsidRPr="0036322C" w:rsidRDefault="00E80752" w:rsidP="00E80752">
            <w:pPr>
              <w:rPr>
                <w:rFonts w:ascii="Calibri" w:hAnsi="Calibri" w:cs="Calibri"/>
                <w:bCs/>
                <w:iCs/>
                <w:sz w:val="20"/>
                <w:szCs w:val="20"/>
              </w:rPr>
            </w:pPr>
            <w:r w:rsidRPr="00931D39">
              <w:rPr>
                <w:rFonts w:ascii="Calibri" w:hAnsi="Calibri" w:cs="Calibri"/>
                <w:sz w:val="18"/>
                <w:szCs w:val="22"/>
              </w:rPr>
              <w:t xml:space="preserve">Large Storage Water heater with input rating greater than 75 </w:t>
            </w:r>
            <w:proofErr w:type="spellStart"/>
            <w:r w:rsidRPr="00931D39">
              <w:rPr>
                <w:rFonts w:ascii="Calibri" w:hAnsi="Calibri" w:cs="Calibri"/>
                <w:sz w:val="18"/>
                <w:szCs w:val="22"/>
              </w:rPr>
              <w:t>kBTUh</w:t>
            </w:r>
            <w:proofErr w:type="spellEnd"/>
            <w:r w:rsidRPr="00931D39">
              <w:rPr>
                <w:rFonts w:ascii="Calibri" w:hAnsi="Calibri" w:cs="Calibri"/>
                <w:sz w:val="18"/>
                <w:szCs w:val="22"/>
              </w:rPr>
              <w:t xml:space="preserve"> and/or one of the following</w:t>
            </w:r>
            <w:r w:rsidRPr="00931D39">
              <w:rPr>
                <w:rFonts w:ascii="Calibri" w:hAnsi="Calibri" w:cs="Calibri"/>
                <w:sz w:val="18"/>
                <w:szCs w:val="22"/>
              </w:rPr>
              <w:br/>
              <w:t xml:space="preserve">    • Thermal Efficiency greater than 83%</w:t>
            </w:r>
            <w:r w:rsidRPr="00931D39">
              <w:rPr>
                <w:rFonts w:ascii="Calibri" w:hAnsi="Calibri" w:cs="Calibri"/>
                <w:sz w:val="18"/>
                <w:szCs w:val="22"/>
              </w:rPr>
              <w:br/>
              <w:t xml:space="preserve">    • UEF ≥ .48 for Medium Draw Units</w:t>
            </w:r>
            <w:r w:rsidRPr="00931D39">
              <w:rPr>
                <w:rFonts w:ascii="Calibri" w:hAnsi="Calibri" w:cs="Calibri"/>
                <w:sz w:val="18"/>
                <w:szCs w:val="22"/>
              </w:rPr>
              <w:br/>
              <w:t xml:space="preserve">    • UEF ≥ .56 for High Draw Units</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3ED08" w14:textId="1198652F" w:rsidR="00E80752" w:rsidRPr="0036322C" w:rsidRDefault="00E80752" w:rsidP="00E80752">
            <w:pPr>
              <w:jc w:val="center"/>
              <w:rPr>
                <w:rFonts w:ascii="Calibri" w:hAnsi="Calibri" w:cs="Calibri"/>
                <w:bCs/>
                <w:iCs/>
                <w:sz w:val="20"/>
                <w:szCs w:val="20"/>
              </w:rPr>
            </w:pPr>
            <w:r w:rsidRPr="00931D39">
              <w:rPr>
                <w:rFonts w:ascii="Calibri" w:hAnsi="Calibri" w:cs="Calibri"/>
                <w:sz w:val="18"/>
                <w:szCs w:val="22"/>
              </w:rPr>
              <w:t xml:space="preserve">Large Gas Storage Water Heater, Et = 0.80, </w:t>
            </w:r>
            <w:proofErr w:type="spellStart"/>
            <w:r w:rsidRPr="00931D39">
              <w:rPr>
                <w:rFonts w:ascii="Calibri" w:hAnsi="Calibri" w:cs="Calibri"/>
                <w:sz w:val="18"/>
                <w:szCs w:val="22"/>
              </w:rPr>
              <w:t>Stdby</w:t>
            </w:r>
            <w:proofErr w:type="spellEnd"/>
            <w:r w:rsidRPr="00931D39">
              <w:rPr>
                <w:rFonts w:ascii="Calibri" w:hAnsi="Calibri" w:cs="Calibri"/>
                <w:sz w:val="18"/>
                <w:szCs w:val="22"/>
              </w:rPr>
              <w:t xml:space="preserve"> Loss = 0.56%/</w:t>
            </w:r>
            <w:proofErr w:type="spellStart"/>
            <w:r w:rsidRPr="00931D39">
              <w:rPr>
                <w:rFonts w:ascii="Calibri" w:hAnsi="Calibri" w:cs="Calibri"/>
                <w:sz w:val="18"/>
                <w:szCs w:val="22"/>
              </w:rPr>
              <w:t>hr</w:t>
            </w:r>
            <w:proofErr w:type="spellEnd"/>
          </w:p>
        </w:tc>
      </w:tr>
      <w:tr w:rsidR="00E80752" w:rsidRPr="0036322C" w14:paraId="5043A09E" w14:textId="77777777" w:rsidTr="00BD0866">
        <w:trPr>
          <w:trHeight w:val="534"/>
        </w:trPr>
        <w:tc>
          <w:tcPr>
            <w:tcW w:w="1975" w:type="dxa"/>
            <w:tcBorders>
              <w:top w:val="single" w:sz="4" w:space="0" w:color="auto"/>
              <w:left w:val="single" w:sz="4" w:space="0" w:color="auto"/>
              <w:bottom w:val="single" w:sz="4" w:space="0" w:color="auto"/>
              <w:right w:val="single" w:sz="4" w:space="0" w:color="auto"/>
            </w:tcBorders>
            <w:vAlign w:val="center"/>
          </w:tcPr>
          <w:p w14:paraId="1E6E7AB7" w14:textId="77777777" w:rsidR="00E80752" w:rsidRPr="00794E66" w:rsidRDefault="00E80752" w:rsidP="00E80752">
            <w:pPr>
              <w:jc w:val="center"/>
              <w:rPr>
                <w:rFonts w:ascii="Calibri" w:hAnsi="Calibri" w:cs="Calibri"/>
                <w:sz w:val="18"/>
                <w:szCs w:val="18"/>
              </w:rPr>
            </w:pPr>
            <w:r w:rsidRPr="00794E66">
              <w:rPr>
                <w:rFonts w:ascii="Calibri" w:hAnsi="Calibri" w:cs="Calibri"/>
                <w:sz w:val="18"/>
                <w:szCs w:val="18"/>
              </w:rPr>
              <w:t>NG-WtrHt-LrgStrg-Gas-gte75kBtuh-0p90Et</w:t>
            </w:r>
          </w:p>
          <w:p w14:paraId="56E0A165" w14:textId="6A8020B0" w:rsidR="00E80752" w:rsidRPr="0036322C" w:rsidRDefault="00E80752" w:rsidP="00E80752">
            <w:pPr>
              <w:jc w:val="center"/>
              <w:rPr>
                <w:rFonts w:ascii="Calibri" w:hAnsi="Calibri" w:cs="Calibri"/>
                <w:bCs/>
                <w:iCs/>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8A8300" w14:textId="1A7889F2" w:rsidR="00BD0866" w:rsidRDefault="00BD0866" w:rsidP="00E80752">
            <w:pPr>
              <w:rPr>
                <w:rFonts w:ascii="Calibri" w:hAnsi="Calibri" w:cs="Calibri"/>
                <w:sz w:val="18"/>
                <w:szCs w:val="22"/>
              </w:rPr>
            </w:pPr>
            <w:r>
              <w:rPr>
                <w:rFonts w:ascii="Calibri" w:hAnsi="Calibri" w:cs="Calibri"/>
                <w:sz w:val="18"/>
                <w:szCs w:val="22"/>
              </w:rPr>
              <w:t>Tier 2</w:t>
            </w:r>
          </w:p>
          <w:p w14:paraId="029C85E6" w14:textId="67E183CF" w:rsidR="00E80752" w:rsidRPr="0036322C" w:rsidRDefault="00E80752" w:rsidP="00E80752">
            <w:pPr>
              <w:rPr>
                <w:rFonts w:ascii="Calibri" w:hAnsi="Calibri" w:cs="Calibri"/>
                <w:bCs/>
                <w:iCs/>
                <w:sz w:val="20"/>
                <w:szCs w:val="20"/>
              </w:rPr>
            </w:pPr>
            <w:r w:rsidRPr="00931D39">
              <w:rPr>
                <w:rFonts w:ascii="Calibri" w:hAnsi="Calibri" w:cs="Calibri"/>
                <w:sz w:val="18"/>
                <w:szCs w:val="22"/>
              </w:rPr>
              <w:t xml:space="preserve">Large Storage Water heater with input rating greater than 75 </w:t>
            </w:r>
            <w:proofErr w:type="spellStart"/>
            <w:r w:rsidRPr="00931D39">
              <w:rPr>
                <w:rFonts w:ascii="Calibri" w:hAnsi="Calibri" w:cs="Calibri"/>
                <w:sz w:val="18"/>
                <w:szCs w:val="22"/>
              </w:rPr>
              <w:t>kBTUh</w:t>
            </w:r>
            <w:proofErr w:type="spellEnd"/>
            <w:r w:rsidRPr="00931D39">
              <w:rPr>
                <w:rFonts w:ascii="Calibri" w:hAnsi="Calibri" w:cs="Calibri"/>
                <w:sz w:val="18"/>
                <w:szCs w:val="22"/>
              </w:rPr>
              <w:t xml:space="preserve"> and/or one of the following</w:t>
            </w:r>
            <w:r w:rsidRPr="00931D39">
              <w:rPr>
                <w:rFonts w:ascii="Calibri" w:hAnsi="Calibri" w:cs="Calibri"/>
                <w:sz w:val="18"/>
                <w:szCs w:val="22"/>
              </w:rPr>
              <w:br/>
              <w:t xml:space="preserve">    • Thermal Efficiency greater than 90%</w:t>
            </w:r>
            <w:r w:rsidRPr="00931D39">
              <w:rPr>
                <w:rFonts w:ascii="Calibri" w:hAnsi="Calibri" w:cs="Calibri"/>
                <w:sz w:val="18"/>
                <w:szCs w:val="22"/>
              </w:rPr>
              <w:br/>
              <w:t xml:space="preserve">    • UEF ≥ .76 for Medium Draw Units</w:t>
            </w:r>
            <w:r w:rsidRPr="00931D39">
              <w:rPr>
                <w:rFonts w:ascii="Calibri" w:hAnsi="Calibri" w:cs="Calibri"/>
                <w:sz w:val="18"/>
                <w:szCs w:val="22"/>
              </w:rPr>
              <w:br/>
              <w:t xml:space="preserve">    • UEF ≥ .80 for High Draw Units</w:t>
            </w:r>
          </w:p>
        </w:tc>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972BD" w14:textId="331C75DE" w:rsidR="00E80752" w:rsidRPr="0036322C" w:rsidRDefault="00E80752" w:rsidP="00E80752">
            <w:pPr>
              <w:jc w:val="center"/>
              <w:rPr>
                <w:rFonts w:ascii="Calibri" w:hAnsi="Calibri" w:cs="Calibri"/>
                <w:bCs/>
                <w:iCs/>
                <w:sz w:val="20"/>
                <w:szCs w:val="20"/>
              </w:rPr>
            </w:pPr>
            <w:r w:rsidRPr="00931D39">
              <w:rPr>
                <w:rFonts w:ascii="Calibri" w:hAnsi="Calibri" w:cs="Calibri"/>
                <w:sz w:val="18"/>
                <w:szCs w:val="22"/>
              </w:rPr>
              <w:t xml:space="preserve">Large Gas Storage Water Heater, Et = 0.80, </w:t>
            </w:r>
            <w:proofErr w:type="spellStart"/>
            <w:r w:rsidRPr="00931D39">
              <w:rPr>
                <w:rFonts w:ascii="Calibri" w:hAnsi="Calibri" w:cs="Calibri"/>
                <w:sz w:val="18"/>
                <w:szCs w:val="22"/>
              </w:rPr>
              <w:t>Stdby</w:t>
            </w:r>
            <w:proofErr w:type="spellEnd"/>
            <w:r w:rsidRPr="00931D39">
              <w:rPr>
                <w:rFonts w:ascii="Calibri" w:hAnsi="Calibri" w:cs="Calibri"/>
                <w:sz w:val="18"/>
                <w:szCs w:val="22"/>
              </w:rPr>
              <w:t xml:space="preserve"> Loss = 0.56%/</w:t>
            </w:r>
            <w:proofErr w:type="spellStart"/>
            <w:r w:rsidRPr="00931D39">
              <w:rPr>
                <w:rFonts w:ascii="Calibri" w:hAnsi="Calibri" w:cs="Calibri"/>
                <w:sz w:val="18"/>
                <w:szCs w:val="22"/>
              </w:rPr>
              <w:t>hr</w:t>
            </w:r>
            <w:proofErr w:type="spellEnd"/>
          </w:p>
        </w:tc>
      </w:tr>
    </w:tbl>
    <w:p w14:paraId="0E4B2B8A" w14:textId="51744B51" w:rsidR="00C4094B" w:rsidRDefault="00C4094B" w:rsidP="00C4094B">
      <w:pPr>
        <w:pStyle w:val="WPPR2"/>
        <w:numPr>
          <w:ilvl w:val="0"/>
          <w:numId w:val="0"/>
        </w:numPr>
        <w:rPr>
          <w:rFonts w:asciiTheme="minorHAnsi" w:hAnsiTheme="minorHAnsi" w:cstheme="minorHAnsi"/>
          <w:sz w:val="22"/>
          <w:szCs w:val="22"/>
        </w:rPr>
      </w:pPr>
    </w:p>
    <w:p w14:paraId="757A4734" w14:textId="77777777" w:rsidR="00E43785" w:rsidRDefault="00E43785" w:rsidP="00C4094B">
      <w:pPr>
        <w:pStyle w:val="WPPR2"/>
        <w:numPr>
          <w:ilvl w:val="0"/>
          <w:numId w:val="0"/>
        </w:numPr>
        <w:rPr>
          <w:rFonts w:asciiTheme="minorHAnsi" w:hAnsiTheme="minorHAnsi" w:cstheme="minorHAnsi"/>
          <w:sz w:val="22"/>
          <w:szCs w:val="22"/>
        </w:rPr>
      </w:pPr>
    </w:p>
    <w:p w14:paraId="2ED6434F" w14:textId="6D3E3654" w:rsidR="00432C09" w:rsidRDefault="00432C09" w:rsidP="00C4094B">
      <w:pPr>
        <w:pStyle w:val="WPPR2"/>
        <w:numPr>
          <w:ilvl w:val="0"/>
          <w:numId w:val="0"/>
        </w:numPr>
        <w:rPr>
          <w:rFonts w:asciiTheme="minorHAnsi" w:hAnsiTheme="minorHAnsi" w:cstheme="minorHAnsi"/>
          <w:sz w:val="22"/>
          <w:szCs w:val="22"/>
        </w:rPr>
      </w:pPr>
    </w:p>
    <w:p w14:paraId="06B72BCE" w14:textId="3C1837E8" w:rsidR="00432C09" w:rsidRDefault="00432C09" w:rsidP="00C4094B">
      <w:pPr>
        <w:pStyle w:val="WPPR2"/>
        <w:numPr>
          <w:ilvl w:val="0"/>
          <w:numId w:val="0"/>
        </w:numPr>
        <w:rPr>
          <w:rFonts w:asciiTheme="minorHAnsi" w:hAnsiTheme="minorHAnsi" w:cstheme="minorHAnsi"/>
          <w:sz w:val="22"/>
          <w:szCs w:val="22"/>
        </w:rPr>
      </w:pPr>
    </w:p>
    <w:p w14:paraId="0825905B" w14:textId="241FBB11" w:rsidR="00432C09" w:rsidRDefault="00432C09" w:rsidP="00C4094B">
      <w:pPr>
        <w:pStyle w:val="WPPR2"/>
        <w:numPr>
          <w:ilvl w:val="0"/>
          <w:numId w:val="0"/>
        </w:numPr>
        <w:rPr>
          <w:rFonts w:asciiTheme="minorHAnsi" w:hAnsiTheme="minorHAnsi" w:cstheme="minorHAnsi"/>
          <w:sz w:val="22"/>
          <w:szCs w:val="22"/>
        </w:rPr>
      </w:pPr>
    </w:p>
    <w:p w14:paraId="70584401" w14:textId="0535C97C" w:rsidR="00432C09" w:rsidRDefault="00432C09" w:rsidP="00C4094B">
      <w:pPr>
        <w:pStyle w:val="WPPR2"/>
        <w:numPr>
          <w:ilvl w:val="0"/>
          <w:numId w:val="0"/>
        </w:numPr>
        <w:rPr>
          <w:rFonts w:asciiTheme="minorHAnsi" w:hAnsiTheme="minorHAnsi" w:cstheme="minorHAnsi"/>
          <w:sz w:val="22"/>
          <w:szCs w:val="22"/>
        </w:rPr>
      </w:pPr>
    </w:p>
    <w:p w14:paraId="7B7F5BE8" w14:textId="5FF5C685" w:rsidR="00432C09" w:rsidRDefault="00432C09" w:rsidP="00C4094B">
      <w:pPr>
        <w:pStyle w:val="WPPR2"/>
        <w:numPr>
          <w:ilvl w:val="0"/>
          <w:numId w:val="0"/>
        </w:numPr>
        <w:rPr>
          <w:rFonts w:asciiTheme="minorHAnsi" w:hAnsiTheme="minorHAnsi" w:cstheme="minorHAnsi"/>
          <w:sz w:val="22"/>
          <w:szCs w:val="22"/>
        </w:rPr>
      </w:pPr>
    </w:p>
    <w:p w14:paraId="72CDC43D" w14:textId="77777777" w:rsidR="00432C09" w:rsidRPr="00DC3FD7" w:rsidRDefault="00432C09" w:rsidP="00C4094B">
      <w:pPr>
        <w:pStyle w:val="WPPR2"/>
        <w:numPr>
          <w:ilvl w:val="0"/>
          <w:numId w:val="0"/>
        </w:numPr>
        <w:rPr>
          <w:rFonts w:asciiTheme="minorHAnsi" w:hAnsiTheme="minorHAnsi" w:cstheme="minorHAnsi"/>
          <w:sz w:val="22"/>
          <w:szCs w:val="22"/>
        </w:rPr>
      </w:pPr>
    </w:p>
    <w:p w14:paraId="74D1FE82" w14:textId="77777777" w:rsidR="00C4094B" w:rsidRPr="0036322C" w:rsidRDefault="00C4094B" w:rsidP="00C4094B">
      <w:pPr>
        <w:pStyle w:val="WPPR1"/>
        <w:rPr>
          <w:rFonts w:asciiTheme="minorHAnsi" w:hAnsiTheme="minorHAnsi" w:cstheme="minorHAnsi"/>
        </w:rPr>
      </w:pPr>
      <w:r w:rsidRPr="0036322C">
        <w:rPr>
          <w:rFonts w:asciiTheme="minorHAnsi" w:hAnsiTheme="minorHAnsi" w:cstheme="minorHAnsi"/>
        </w:rPr>
        <w:t>Implementation Requirements</w:t>
      </w:r>
    </w:p>
    <w:p w14:paraId="371DB5F7" w14:textId="6E0E7159"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The rebate applies to gas-for-gas equipment replacements on </w:t>
      </w:r>
      <w:r w:rsidR="00C366B3" w:rsidRPr="0036322C">
        <w:rPr>
          <w:rFonts w:asciiTheme="minorHAnsi" w:hAnsiTheme="minorHAnsi" w:cstheme="minorHAnsi"/>
        </w:rPr>
        <w:t xml:space="preserve">normal replacement (or </w:t>
      </w:r>
      <w:r w:rsidRPr="0036322C">
        <w:rPr>
          <w:rFonts w:asciiTheme="minorHAnsi" w:hAnsiTheme="minorHAnsi" w:cstheme="minorHAnsi"/>
        </w:rPr>
        <w:t>burnout</w:t>
      </w:r>
      <w:r w:rsidR="00C366B3" w:rsidRPr="0036322C">
        <w:rPr>
          <w:rFonts w:asciiTheme="minorHAnsi" w:hAnsiTheme="minorHAnsi" w:cstheme="minorHAnsi"/>
        </w:rPr>
        <w:t>)</w:t>
      </w:r>
      <w:r w:rsidRPr="0036322C">
        <w:rPr>
          <w:rFonts w:asciiTheme="minorHAnsi" w:hAnsiTheme="minorHAnsi" w:cstheme="minorHAnsi"/>
        </w:rPr>
        <w:t xml:space="preserve"> to new installations.  </w:t>
      </w:r>
    </w:p>
    <w:p w14:paraId="09DA9E93" w14:textId="461C3ED4"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This measure is applicable to any commercial domestic (or “service”) hot water application. </w:t>
      </w:r>
    </w:p>
    <w:p w14:paraId="230218B7"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This Workpaper does not cover water heaters used for space conditioning, process end-use applications, pools, or spas.  </w:t>
      </w:r>
    </w:p>
    <w:p w14:paraId="227AD782"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Applicable commercial building/business types include (but are not limited to) offices, restaurants, retail stores, schools, colleges, hotels, motels, and recreational facilities. </w:t>
      </w:r>
    </w:p>
    <w:p w14:paraId="5DAA6473"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lastRenderedPageBreak/>
        <w:t>This measure is not limited to specific NAICS codes.</w:t>
      </w:r>
    </w:p>
    <w:p w14:paraId="4E1F1833" w14:textId="2B55000F" w:rsidR="00830E91" w:rsidRPr="0036322C" w:rsidRDefault="00C4094B" w:rsidP="00830E91">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This measure includes replacing a storage water heater with a storage water heater</w:t>
      </w:r>
      <w:r w:rsidR="00165E4F">
        <w:rPr>
          <w:rFonts w:asciiTheme="minorHAnsi" w:hAnsiTheme="minorHAnsi" w:cstheme="minorHAnsi"/>
        </w:rPr>
        <w:t xml:space="preserve"> or </w:t>
      </w:r>
      <w:r w:rsidR="00F16491">
        <w:rPr>
          <w:rFonts w:asciiTheme="minorHAnsi" w:hAnsiTheme="minorHAnsi" w:cstheme="minorHAnsi"/>
        </w:rPr>
        <w:t xml:space="preserve">new </w:t>
      </w:r>
      <w:r w:rsidR="00164141">
        <w:rPr>
          <w:rFonts w:asciiTheme="minorHAnsi" w:hAnsiTheme="minorHAnsi" w:cstheme="minorHAnsi"/>
        </w:rPr>
        <w:t xml:space="preserve">construction </w:t>
      </w:r>
      <w:r w:rsidR="00F16491">
        <w:rPr>
          <w:rFonts w:asciiTheme="minorHAnsi" w:hAnsiTheme="minorHAnsi" w:cstheme="minorHAnsi"/>
        </w:rPr>
        <w:t>storage water heater</w:t>
      </w:r>
      <w:r w:rsidR="00164141">
        <w:rPr>
          <w:rFonts w:asciiTheme="minorHAnsi" w:hAnsiTheme="minorHAnsi" w:cstheme="minorHAnsi"/>
        </w:rPr>
        <w:t xml:space="preserve"> to an existing building</w:t>
      </w:r>
      <w:r w:rsidR="00F16491">
        <w:rPr>
          <w:rFonts w:asciiTheme="minorHAnsi" w:hAnsiTheme="minorHAnsi" w:cstheme="minorHAnsi"/>
        </w:rPr>
        <w:t>.</w:t>
      </w:r>
    </w:p>
    <w:p w14:paraId="0A01E694" w14:textId="47CF1417" w:rsidR="00A67422" w:rsidRDefault="00830E91" w:rsidP="00D24849">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This workpaper has savings values for many commercial and industrial building types. Non-Residential building types and or locations (climate zones) that are not explicitly included within the ex-ante submission impact table shall use </w:t>
      </w:r>
      <w:r w:rsidR="0036322C" w:rsidRPr="0036322C">
        <w:rPr>
          <w:rFonts w:asciiTheme="minorHAnsi" w:hAnsiTheme="minorHAnsi" w:cstheme="minorHAnsi"/>
        </w:rPr>
        <w:t xml:space="preserve">a </w:t>
      </w:r>
      <w:r w:rsidRPr="0036322C">
        <w:rPr>
          <w:rFonts w:asciiTheme="minorHAnsi" w:hAnsiTheme="minorHAnsi" w:cstheme="minorHAnsi"/>
        </w:rPr>
        <w:t>best available Building type and Location designation.</w:t>
      </w:r>
      <w:r w:rsidR="00B80713">
        <w:rPr>
          <w:rFonts w:asciiTheme="minorHAnsi" w:hAnsiTheme="minorHAnsi" w:cstheme="minorHAnsi"/>
        </w:rPr>
        <w:t xml:space="preserve"> For example, </w:t>
      </w:r>
      <w:r w:rsidR="00AB13C5">
        <w:rPr>
          <w:rFonts w:asciiTheme="minorHAnsi" w:hAnsiTheme="minorHAnsi" w:cstheme="minorHAnsi"/>
        </w:rPr>
        <w:t>DEER Energy Impact ID “</w:t>
      </w:r>
    </w:p>
    <w:p w14:paraId="05BD34F2" w14:textId="19854DAD" w:rsidR="00D266CB" w:rsidRDefault="006B17D1" w:rsidP="00D24849">
      <w:pPr>
        <w:pStyle w:val="WPPR2"/>
        <w:numPr>
          <w:ilvl w:val="0"/>
          <w:numId w:val="0"/>
        </w:numPr>
        <w:ind w:left="1584"/>
        <w:rPr>
          <w:rFonts w:asciiTheme="minorHAnsi" w:hAnsiTheme="minorHAnsi" w:cstheme="minorHAnsi"/>
        </w:rPr>
      </w:pPr>
      <w:r w:rsidRPr="006B17D1">
        <w:rPr>
          <w:rFonts w:asciiTheme="minorHAnsi" w:hAnsiTheme="minorHAnsi" w:cstheme="minorHAnsi"/>
        </w:rPr>
        <w:t>NG-WtrHt-LrgStrg-Gas-gte75kBtuh-0p83Et</w:t>
      </w:r>
      <w:r>
        <w:rPr>
          <w:rFonts w:asciiTheme="minorHAnsi" w:hAnsiTheme="minorHAnsi" w:cstheme="minorHAnsi"/>
        </w:rPr>
        <w:t xml:space="preserve">” </w:t>
      </w:r>
      <w:r w:rsidR="009173F8">
        <w:rPr>
          <w:rFonts w:asciiTheme="minorHAnsi" w:hAnsiTheme="minorHAnsi" w:cstheme="minorHAnsi"/>
        </w:rPr>
        <w:t>(Qualif</w:t>
      </w:r>
      <w:r w:rsidR="00660E39">
        <w:rPr>
          <w:rFonts w:asciiTheme="minorHAnsi" w:hAnsiTheme="minorHAnsi" w:cstheme="minorHAnsi"/>
        </w:rPr>
        <w:t>i</w:t>
      </w:r>
      <w:r w:rsidR="009173F8">
        <w:rPr>
          <w:rFonts w:asciiTheme="minorHAnsi" w:hAnsiTheme="minorHAnsi" w:cstheme="minorHAnsi"/>
        </w:rPr>
        <w:t>er</w:t>
      </w:r>
      <w:r w:rsidR="00660E39">
        <w:rPr>
          <w:rFonts w:asciiTheme="minorHAnsi" w:hAnsiTheme="minorHAnsi" w:cstheme="minorHAnsi"/>
        </w:rPr>
        <w:t xml:space="preserve"> </w:t>
      </w:r>
      <w:r w:rsidR="009173F8">
        <w:rPr>
          <w:rFonts w:asciiTheme="minorHAnsi" w:hAnsiTheme="minorHAnsi" w:cstheme="minorHAnsi"/>
        </w:rPr>
        <w:t>=</w:t>
      </w:r>
      <w:r w:rsidR="00660E39">
        <w:rPr>
          <w:rFonts w:asciiTheme="minorHAnsi" w:hAnsiTheme="minorHAnsi" w:cstheme="minorHAnsi"/>
        </w:rPr>
        <w:t xml:space="preserve"> </w:t>
      </w:r>
      <w:r w:rsidR="009173F8">
        <w:rPr>
          <w:rFonts w:asciiTheme="minorHAnsi" w:hAnsiTheme="minorHAnsi" w:cstheme="minorHAnsi"/>
        </w:rPr>
        <w:t xml:space="preserve">DEER_for_2014) </w:t>
      </w:r>
      <w:r w:rsidR="00A04798">
        <w:rPr>
          <w:rFonts w:asciiTheme="minorHAnsi" w:hAnsiTheme="minorHAnsi" w:cstheme="minorHAnsi"/>
        </w:rPr>
        <w:t xml:space="preserve">does not support Energy Impacts </w:t>
      </w:r>
      <w:r w:rsidR="00D266CB">
        <w:rPr>
          <w:rFonts w:asciiTheme="minorHAnsi" w:hAnsiTheme="minorHAnsi" w:cstheme="minorHAnsi"/>
        </w:rPr>
        <w:t>for the following PA, building type, and locations combination</w:t>
      </w:r>
      <w:r w:rsidR="00B60F38">
        <w:rPr>
          <w:rFonts w:asciiTheme="minorHAnsi" w:hAnsiTheme="minorHAnsi" w:cstheme="minorHAnsi"/>
        </w:rPr>
        <w:t>s</w:t>
      </w:r>
      <w:r w:rsidR="00D266CB">
        <w:rPr>
          <w:rFonts w:asciiTheme="minorHAnsi" w:hAnsiTheme="minorHAnsi" w:cstheme="minorHAnsi"/>
        </w:rPr>
        <w:t>:</w:t>
      </w:r>
    </w:p>
    <w:tbl>
      <w:tblPr>
        <w:tblStyle w:val="TableGrid"/>
        <w:tblW w:w="0" w:type="auto"/>
        <w:tblInd w:w="1584" w:type="dxa"/>
        <w:tblLook w:val="04A0" w:firstRow="1" w:lastRow="0" w:firstColumn="1" w:lastColumn="0" w:noHBand="0" w:noVBand="1"/>
      </w:tblPr>
      <w:tblGrid>
        <w:gridCol w:w="931"/>
        <w:gridCol w:w="1530"/>
        <w:gridCol w:w="1080"/>
        <w:gridCol w:w="1080"/>
      </w:tblGrid>
      <w:tr w:rsidR="0046251A" w14:paraId="1ACB71AD" w14:textId="77777777" w:rsidTr="004419BF">
        <w:tc>
          <w:tcPr>
            <w:tcW w:w="931" w:type="dxa"/>
          </w:tcPr>
          <w:p w14:paraId="2B616C3C" w14:textId="1F1DE52B" w:rsidR="0046251A" w:rsidRDefault="0046251A" w:rsidP="00D24849">
            <w:pPr>
              <w:pStyle w:val="WPPR2"/>
              <w:numPr>
                <w:ilvl w:val="0"/>
                <w:numId w:val="0"/>
              </w:numPr>
              <w:rPr>
                <w:rFonts w:asciiTheme="minorHAnsi" w:hAnsiTheme="minorHAnsi" w:cstheme="minorHAnsi"/>
              </w:rPr>
            </w:pPr>
            <w:r>
              <w:rPr>
                <w:rFonts w:asciiTheme="minorHAnsi" w:hAnsiTheme="minorHAnsi" w:cstheme="minorHAnsi"/>
              </w:rPr>
              <w:t>PA</w:t>
            </w:r>
          </w:p>
        </w:tc>
        <w:tc>
          <w:tcPr>
            <w:tcW w:w="1530" w:type="dxa"/>
          </w:tcPr>
          <w:p w14:paraId="53820061" w14:textId="0364E6DA" w:rsidR="0046251A" w:rsidRDefault="00BF3B14" w:rsidP="00D24849">
            <w:pPr>
              <w:pStyle w:val="WPPR2"/>
              <w:numPr>
                <w:ilvl w:val="0"/>
                <w:numId w:val="0"/>
              </w:numPr>
              <w:rPr>
                <w:rFonts w:asciiTheme="minorHAnsi" w:hAnsiTheme="minorHAnsi" w:cstheme="minorHAnsi"/>
              </w:rPr>
            </w:pPr>
            <w:r>
              <w:rPr>
                <w:rFonts w:asciiTheme="minorHAnsi" w:hAnsiTheme="minorHAnsi" w:cstheme="minorHAnsi"/>
              </w:rPr>
              <w:t>Building Type</w:t>
            </w:r>
          </w:p>
        </w:tc>
        <w:tc>
          <w:tcPr>
            <w:tcW w:w="1080" w:type="dxa"/>
          </w:tcPr>
          <w:p w14:paraId="3D556720" w14:textId="7C9B3F72" w:rsidR="0046251A" w:rsidRDefault="004419BF" w:rsidP="00D24849">
            <w:pPr>
              <w:pStyle w:val="WPPR2"/>
              <w:numPr>
                <w:ilvl w:val="0"/>
                <w:numId w:val="0"/>
              </w:numPr>
              <w:rPr>
                <w:rFonts w:asciiTheme="minorHAnsi" w:hAnsiTheme="minorHAnsi" w:cstheme="minorHAnsi"/>
              </w:rPr>
            </w:pPr>
            <w:r>
              <w:rPr>
                <w:rFonts w:asciiTheme="minorHAnsi" w:hAnsiTheme="minorHAnsi" w:cstheme="minorHAnsi"/>
              </w:rPr>
              <w:t>Building Vintage</w:t>
            </w:r>
          </w:p>
        </w:tc>
        <w:tc>
          <w:tcPr>
            <w:tcW w:w="1080" w:type="dxa"/>
          </w:tcPr>
          <w:p w14:paraId="106200F5" w14:textId="14F56F3C" w:rsidR="0046251A" w:rsidRDefault="004419BF" w:rsidP="00D24849">
            <w:pPr>
              <w:pStyle w:val="WPPR2"/>
              <w:numPr>
                <w:ilvl w:val="0"/>
                <w:numId w:val="0"/>
              </w:numPr>
              <w:rPr>
                <w:rFonts w:asciiTheme="minorHAnsi" w:hAnsiTheme="minorHAnsi" w:cstheme="minorHAnsi"/>
              </w:rPr>
            </w:pPr>
            <w:r>
              <w:rPr>
                <w:rFonts w:asciiTheme="minorHAnsi" w:hAnsiTheme="minorHAnsi" w:cstheme="minorHAnsi"/>
              </w:rPr>
              <w:t>Location</w:t>
            </w:r>
          </w:p>
        </w:tc>
      </w:tr>
      <w:tr w:rsidR="0046251A" w14:paraId="4ED2F3E5" w14:textId="77777777" w:rsidTr="004419BF">
        <w:tc>
          <w:tcPr>
            <w:tcW w:w="931" w:type="dxa"/>
          </w:tcPr>
          <w:p w14:paraId="09D4B5F2" w14:textId="7DE7D2B7" w:rsidR="0046251A" w:rsidRDefault="0046251A" w:rsidP="009A69FA">
            <w:pPr>
              <w:pStyle w:val="WPPR2"/>
              <w:numPr>
                <w:ilvl w:val="0"/>
                <w:numId w:val="0"/>
              </w:numPr>
              <w:jc w:val="center"/>
              <w:rPr>
                <w:rFonts w:asciiTheme="minorHAnsi" w:hAnsiTheme="minorHAnsi" w:cstheme="minorHAnsi"/>
              </w:rPr>
            </w:pPr>
            <w:r>
              <w:rPr>
                <w:rFonts w:asciiTheme="minorHAnsi" w:hAnsiTheme="minorHAnsi" w:cstheme="minorHAnsi"/>
              </w:rPr>
              <w:t>SDG</w:t>
            </w:r>
          </w:p>
        </w:tc>
        <w:tc>
          <w:tcPr>
            <w:tcW w:w="1530" w:type="dxa"/>
          </w:tcPr>
          <w:p w14:paraId="4054ABF4" w14:textId="5063DB8C" w:rsidR="0046251A" w:rsidRDefault="004419BF" w:rsidP="009A69FA">
            <w:pPr>
              <w:pStyle w:val="WPPR2"/>
              <w:numPr>
                <w:ilvl w:val="0"/>
                <w:numId w:val="0"/>
              </w:numPr>
              <w:jc w:val="center"/>
              <w:rPr>
                <w:rFonts w:asciiTheme="minorHAnsi" w:hAnsiTheme="minorHAnsi" w:cstheme="minorHAnsi"/>
              </w:rPr>
            </w:pPr>
            <w:r>
              <w:rPr>
                <w:rFonts w:asciiTheme="minorHAnsi" w:hAnsiTheme="minorHAnsi" w:cstheme="minorHAnsi"/>
              </w:rPr>
              <w:t>ECC</w:t>
            </w:r>
          </w:p>
        </w:tc>
        <w:tc>
          <w:tcPr>
            <w:tcW w:w="1080" w:type="dxa"/>
          </w:tcPr>
          <w:p w14:paraId="0B557B79" w14:textId="61890C48" w:rsidR="0046251A" w:rsidRDefault="004419BF"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696E7D8A" w14:textId="64A053E6" w:rsidR="0046251A" w:rsidRDefault="004419BF" w:rsidP="009A69FA">
            <w:pPr>
              <w:pStyle w:val="WPPR2"/>
              <w:numPr>
                <w:ilvl w:val="0"/>
                <w:numId w:val="0"/>
              </w:numPr>
              <w:jc w:val="center"/>
              <w:rPr>
                <w:rFonts w:asciiTheme="minorHAnsi" w:hAnsiTheme="minorHAnsi" w:cstheme="minorHAnsi"/>
              </w:rPr>
            </w:pPr>
            <w:r>
              <w:rPr>
                <w:rFonts w:asciiTheme="minorHAnsi" w:hAnsiTheme="minorHAnsi" w:cstheme="minorHAnsi"/>
              </w:rPr>
              <w:t>1</w:t>
            </w:r>
            <w:r w:rsidR="00C43CE5">
              <w:rPr>
                <w:rFonts w:asciiTheme="minorHAnsi" w:hAnsiTheme="minorHAnsi" w:cstheme="minorHAnsi"/>
              </w:rPr>
              <w:t>5</w:t>
            </w:r>
          </w:p>
        </w:tc>
      </w:tr>
      <w:tr w:rsidR="00BF3B14" w14:paraId="496E1906" w14:textId="77777777" w:rsidTr="004419BF">
        <w:tc>
          <w:tcPr>
            <w:tcW w:w="931" w:type="dxa"/>
          </w:tcPr>
          <w:p w14:paraId="0DE36D17" w14:textId="40155F25" w:rsidR="00BF3B14" w:rsidRDefault="00BF3B14" w:rsidP="009A69FA">
            <w:pPr>
              <w:pStyle w:val="WPPR2"/>
              <w:numPr>
                <w:ilvl w:val="0"/>
                <w:numId w:val="0"/>
              </w:numPr>
              <w:jc w:val="center"/>
              <w:rPr>
                <w:rFonts w:asciiTheme="minorHAnsi" w:hAnsiTheme="minorHAnsi" w:cstheme="minorHAnsi"/>
              </w:rPr>
            </w:pPr>
            <w:r w:rsidRPr="002748D4">
              <w:rPr>
                <w:rFonts w:asciiTheme="minorHAnsi" w:hAnsiTheme="minorHAnsi" w:cstheme="minorHAnsi"/>
              </w:rPr>
              <w:t>SDG</w:t>
            </w:r>
          </w:p>
        </w:tc>
        <w:tc>
          <w:tcPr>
            <w:tcW w:w="1530" w:type="dxa"/>
          </w:tcPr>
          <w:p w14:paraId="68DCB71D" w14:textId="2EECD3E9" w:rsidR="00BF3B14" w:rsidRDefault="00776FD6"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E</w:t>
            </w:r>
            <w:r w:rsidR="00D428ED">
              <w:rPr>
                <w:rFonts w:asciiTheme="minorHAnsi" w:hAnsiTheme="minorHAnsi" w:cstheme="minorHAnsi"/>
              </w:rPr>
              <w:t>Un</w:t>
            </w:r>
            <w:proofErr w:type="spellEnd"/>
          </w:p>
        </w:tc>
        <w:tc>
          <w:tcPr>
            <w:tcW w:w="1080" w:type="dxa"/>
          </w:tcPr>
          <w:p w14:paraId="7669B05E" w14:textId="70A6D56D" w:rsidR="00BF3B14" w:rsidRDefault="00D428ED"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4FA00860" w14:textId="2F500576" w:rsidR="00BF3B14" w:rsidRDefault="00D428ED"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r>
      <w:tr w:rsidR="00BF3B14" w14:paraId="085B9106" w14:textId="77777777" w:rsidTr="004419BF">
        <w:tc>
          <w:tcPr>
            <w:tcW w:w="931" w:type="dxa"/>
          </w:tcPr>
          <w:p w14:paraId="1FC2E654" w14:textId="0EEFD387" w:rsidR="00BF3B14" w:rsidRDefault="00BF3B14" w:rsidP="009A69FA">
            <w:pPr>
              <w:pStyle w:val="WPPR2"/>
              <w:numPr>
                <w:ilvl w:val="0"/>
                <w:numId w:val="0"/>
              </w:numPr>
              <w:jc w:val="center"/>
              <w:rPr>
                <w:rFonts w:asciiTheme="minorHAnsi" w:hAnsiTheme="minorHAnsi" w:cstheme="minorHAnsi"/>
              </w:rPr>
            </w:pPr>
            <w:r w:rsidRPr="002748D4">
              <w:rPr>
                <w:rFonts w:asciiTheme="minorHAnsi" w:hAnsiTheme="minorHAnsi" w:cstheme="minorHAnsi"/>
              </w:rPr>
              <w:t>SDG</w:t>
            </w:r>
          </w:p>
        </w:tc>
        <w:tc>
          <w:tcPr>
            <w:tcW w:w="1530" w:type="dxa"/>
          </w:tcPr>
          <w:p w14:paraId="130AF49E" w14:textId="33EB1948" w:rsidR="00BF3B14" w:rsidRDefault="00D428ED"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Hsp</w:t>
            </w:r>
            <w:proofErr w:type="spellEnd"/>
          </w:p>
        </w:tc>
        <w:tc>
          <w:tcPr>
            <w:tcW w:w="1080" w:type="dxa"/>
          </w:tcPr>
          <w:p w14:paraId="26570B8B" w14:textId="72237381" w:rsidR="00BF3B14" w:rsidRDefault="00D428ED"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7462AB89" w14:textId="557114A7" w:rsidR="00BF3B14" w:rsidRDefault="00D428ED"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r>
      <w:tr w:rsidR="00BF3B14" w14:paraId="4F4980AD" w14:textId="77777777" w:rsidTr="004419BF">
        <w:tc>
          <w:tcPr>
            <w:tcW w:w="931" w:type="dxa"/>
          </w:tcPr>
          <w:p w14:paraId="3BD7362C" w14:textId="2192A7A7" w:rsidR="00BF3B14" w:rsidRDefault="00BF3B14" w:rsidP="009A69FA">
            <w:pPr>
              <w:pStyle w:val="WPPR2"/>
              <w:numPr>
                <w:ilvl w:val="0"/>
                <w:numId w:val="0"/>
              </w:numPr>
              <w:jc w:val="center"/>
              <w:rPr>
                <w:rFonts w:asciiTheme="minorHAnsi" w:hAnsiTheme="minorHAnsi" w:cstheme="minorHAnsi"/>
              </w:rPr>
            </w:pPr>
            <w:r w:rsidRPr="002748D4">
              <w:rPr>
                <w:rFonts w:asciiTheme="minorHAnsi" w:hAnsiTheme="minorHAnsi" w:cstheme="minorHAnsi"/>
              </w:rPr>
              <w:t>SDG</w:t>
            </w:r>
          </w:p>
        </w:tc>
        <w:tc>
          <w:tcPr>
            <w:tcW w:w="1530" w:type="dxa"/>
          </w:tcPr>
          <w:p w14:paraId="4A460928" w14:textId="6D5386FB" w:rsidR="00BF3B14" w:rsidRDefault="00986FF2"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Nrs</w:t>
            </w:r>
            <w:proofErr w:type="spellEnd"/>
          </w:p>
        </w:tc>
        <w:tc>
          <w:tcPr>
            <w:tcW w:w="1080" w:type="dxa"/>
          </w:tcPr>
          <w:p w14:paraId="7BDA0ED5" w14:textId="7A4926F8" w:rsidR="00BF3B14" w:rsidRDefault="00986FF2"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7777F045" w14:textId="4980D605" w:rsidR="00BF3B14" w:rsidRDefault="00986FF2"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r>
      <w:tr w:rsidR="00BF3B14" w14:paraId="5D24B37C" w14:textId="77777777" w:rsidTr="004419BF">
        <w:tc>
          <w:tcPr>
            <w:tcW w:w="931" w:type="dxa"/>
          </w:tcPr>
          <w:p w14:paraId="51DA3F31" w14:textId="123681B2" w:rsidR="00BF3B14" w:rsidRDefault="00BF3B14" w:rsidP="009A69FA">
            <w:pPr>
              <w:pStyle w:val="WPPR2"/>
              <w:numPr>
                <w:ilvl w:val="0"/>
                <w:numId w:val="0"/>
              </w:numPr>
              <w:jc w:val="center"/>
              <w:rPr>
                <w:rFonts w:asciiTheme="minorHAnsi" w:hAnsiTheme="minorHAnsi" w:cstheme="minorHAnsi"/>
              </w:rPr>
            </w:pPr>
            <w:r w:rsidRPr="002748D4">
              <w:rPr>
                <w:rFonts w:asciiTheme="minorHAnsi" w:hAnsiTheme="minorHAnsi" w:cstheme="minorHAnsi"/>
              </w:rPr>
              <w:t>SDG</w:t>
            </w:r>
          </w:p>
        </w:tc>
        <w:tc>
          <w:tcPr>
            <w:tcW w:w="1530" w:type="dxa"/>
          </w:tcPr>
          <w:p w14:paraId="3CB72C8B" w14:textId="366921E6" w:rsidR="00BF3B14" w:rsidRDefault="00E61D1C"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WRf</w:t>
            </w:r>
            <w:proofErr w:type="spellEnd"/>
          </w:p>
        </w:tc>
        <w:tc>
          <w:tcPr>
            <w:tcW w:w="1080" w:type="dxa"/>
          </w:tcPr>
          <w:p w14:paraId="5A349FFE" w14:textId="720FDA57" w:rsidR="00BF3B14" w:rsidRDefault="00E61D1C"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2FEAC8C3" w14:textId="1B06B50B" w:rsidR="00BF3B14" w:rsidRDefault="00E52E7C" w:rsidP="009A69FA">
            <w:pPr>
              <w:pStyle w:val="WPPR2"/>
              <w:numPr>
                <w:ilvl w:val="0"/>
                <w:numId w:val="0"/>
              </w:numPr>
              <w:jc w:val="center"/>
              <w:rPr>
                <w:rFonts w:asciiTheme="minorHAnsi" w:hAnsiTheme="minorHAnsi" w:cstheme="minorHAnsi"/>
              </w:rPr>
            </w:pPr>
            <w:r>
              <w:rPr>
                <w:rFonts w:asciiTheme="minorHAnsi" w:hAnsiTheme="minorHAnsi" w:cstheme="minorHAnsi"/>
              </w:rPr>
              <w:t>8</w:t>
            </w:r>
          </w:p>
        </w:tc>
      </w:tr>
      <w:tr w:rsidR="00BF3B14" w14:paraId="7B5F7912" w14:textId="77777777" w:rsidTr="004419BF">
        <w:tc>
          <w:tcPr>
            <w:tcW w:w="931" w:type="dxa"/>
          </w:tcPr>
          <w:p w14:paraId="6406834C" w14:textId="501A3CD7" w:rsidR="00BF3B14" w:rsidRDefault="00BF3B14" w:rsidP="009A69FA">
            <w:pPr>
              <w:pStyle w:val="WPPR2"/>
              <w:numPr>
                <w:ilvl w:val="0"/>
                <w:numId w:val="0"/>
              </w:numPr>
              <w:jc w:val="center"/>
              <w:rPr>
                <w:rFonts w:asciiTheme="minorHAnsi" w:hAnsiTheme="minorHAnsi" w:cstheme="minorHAnsi"/>
              </w:rPr>
            </w:pPr>
            <w:r w:rsidRPr="002748D4">
              <w:rPr>
                <w:rFonts w:asciiTheme="minorHAnsi" w:hAnsiTheme="minorHAnsi" w:cstheme="minorHAnsi"/>
              </w:rPr>
              <w:t>SDG</w:t>
            </w:r>
          </w:p>
        </w:tc>
        <w:tc>
          <w:tcPr>
            <w:tcW w:w="1530" w:type="dxa"/>
          </w:tcPr>
          <w:p w14:paraId="68E7DFFC" w14:textId="61DAF588" w:rsidR="00BF3B14" w:rsidRDefault="00E61D1C"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WRf</w:t>
            </w:r>
            <w:proofErr w:type="spellEnd"/>
          </w:p>
        </w:tc>
        <w:tc>
          <w:tcPr>
            <w:tcW w:w="1080" w:type="dxa"/>
          </w:tcPr>
          <w:p w14:paraId="2288BD89" w14:textId="305C1905" w:rsidR="00BF3B14" w:rsidRDefault="00E61D1C"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72DBF553" w14:textId="7D435451" w:rsidR="00BF3B14" w:rsidRDefault="00E52E7C" w:rsidP="009A69FA">
            <w:pPr>
              <w:pStyle w:val="WPPR2"/>
              <w:numPr>
                <w:ilvl w:val="0"/>
                <w:numId w:val="0"/>
              </w:numPr>
              <w:jc w:val="center"/>
              <w:rPr>
                <w:rFonts w:asciiTheme="minorHAnsi" w:hAnsiTheme="minorHAnsi" w:cstheme="minorHAnsi"/>
              </w:rPr>
            </w:pPr>
            <w:r>
              <w:rPr>
                <w:rFonts w:asciiTheme="minorHAnsi" w:hAnsiTheme="minorHAnsi" w:cstheme="minorHAnsi"/>
              </w:rPr>
              <w:t>14</w:t>
            </w:r>
          </w:p>
        </w:tc>
      </w:tr>
      <w:tr w:rsidR="00BF3B14" w14:paraId="0483A48F" w14:textId="77777777" w:rsidTr="004419BF">
        <w:tc>
          <w:tcPr>
            <w:tcW w:w="931" w:type="dxa"/>
          </w:tcPr>
          <w:p w14:paraId="18B49490" w14:textId="199CE045" w:rsidR="00BF3B14" w:rsidRDefault="00BF3B14" w:rsidP="009A69FA">
            <w:pPr>
              <w:pStyle w:val="WPPR2"/>
              <w:numPr>
                <w:ilvl w:val="0"/>
                <w:numId w:val="0"/>
              </w:numPr>
              <w:jc w:val="center"/>
              <w:rPr>
                <w:rFonts w:asciiTheme="minorHAnsi" w:hAnsiTheme="minorHAnsi" w:cstheme="minorHAnsi"/>
              </w:rPr>
            </w:pPr>
            <w:r w:rsidRPr="002748D4">
              <w:rPr>
                <w:rFonts w:asciiTheme="minorHAnsi" w:hAnsiTheme="minorHAnsi" w:cstheme="minorHAnsi"/>
              </w:rPr>
              <w:t>SDG</w:t>
            </w:r>
          </w:p>
        </w:tc>
        <w:tc>
          <w:tcPr>
            <w:tcW w:w="1530" w:type="dxa"/>
          </w:tcPr>
          <w:p w14:paraId="62B416E0" w14:textId="6EA0CBF5" w:rsidR="00BF3B14" w:rsidRDefault="00F65504"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W</w:t>
            </w:r>
            <w:r w:rsidR="00E52E7C">
              <w:rPr>
                <w:rFonts w:asciiTheme="minorHAnsi" w:hAnsiTheme="minorHAnsi" w:cstheme="minorHAnsi"/>
              </w:rPr>
              <w:t>Rf</w:t>
            </w:r>
            <w:proofErr w:type="spellEnd"/>
          </w:p>
        </w:tc>
        <w:tc>
          <w:tcPr>
            <w:tcW w:w="1080" w:type="dxa"/>
          </w:tcPr>
          <w:p w14:paraId="31DE82EA" w14:textId="611CBE27" w:rsidR="00BF3B14" w:rsidRDefault="00E52E7C"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4051284B" w14:textId="74AFED24" w:rsidR="00BF3B14" w:rsidRDefault="00E52E7C"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r>
    </w:tbl>
    <w:p w14:paraId="71DBF13E" w14:textId="2819ED9C" w:rsidR="00D24849" w:rsidRDefault="00D266CB" w:rsidP="00D24849">
      <w:pPr>
        <w:pStyle w:val="WPPR2"/>
        <w:numPr>
          <w:ilvl w:val="0"/>
          <w:numId w:val="0"/>
        </w:numPr>
        <w:ind w:left="1584"/>
        <w:rPr>
          <w:rFonts w:asciiTheme="minorHAnsi" w:hAnsiTheme="minorHAnsi" w:cstheme="minorHAnsi"/>
        </w:rPr>
      </w:pPr>
      <w:r>
        <w:rPr>
          <w:rFonts w:asciiTheme="minorHAnsi" w:hAnsiTheme="minorHAnsi" w:cstheme="minorHAnsi"/>
        </w:rPr>
        <w:t xml:space="preserve"> </w:t>
      </w:r>
    </w:p>
    <w:p w14:paraId="32824846" w14:textId="77777777" w:rsidR="00A25B59" w:rsidRDefault="00695DFE" w:rsidP="007759F1">
      <w:pPr>
        <w:pStyle w:val="PR2"/>
        <w:rPr>
          <w:rFonts w:asciiTheme="minorHAnsi" w:hAnsiTheme="minorHAnsi" w:cstheme="minorHAnsi"/>
        </w:rPr>
      </w:pPr>
      <w:r w:rsidRPr="007759F1">
        <w:rPr>
          <w:rFonts w:asciiTheme="minorHAnsi" w:hAnsiTheme="minorHAnsi" w:cstheme="minorHAnsi"/>
        </w:rPr>
        <w:t xml:space="preserve">SDG&amp;E is in the process of simplifying its internal Ex Ante data and tracking data warehouse.   Part of that process requires that there be savings values for all potential climate zone (CZ) and building type (BT) combinations for lighting measures.  While the DEER data used to develop </w:t>
      </w:r>
      <w:proofErr w:type="gramStart"/>
      <w:r w:rsidRPr="007759F1">
        <w:rPr>
          <w:rFonts w:asciiTheme="minorHAnsi" w:hAnsiTheme="minorHAnsi" w:cstheme="minorHAnsi"/>
        </w:rPr>
        <w:t>all of</w:t>
      </w:r>
      <w:proofErr w:type="gramEnd"/>
      <w:r w:rsidRPr="007759F1">
        <w:rPr>
          <w:rFonts w:asciiTheme="minorHAnsi" w:hAnsiTheme="minorHAnsi" w:cstheme="minorHAnsi"/>
        </w:rPr>
        <w:t xml:space="preserve"> the </w:t>
      </w:r>
      <w:r w:rsidR="00CD2927">
        <w:rPr>
          <w:rFonts w:asciiTheme="minorHAnsi" w:hAnsiTheme="minorHAnsi" w:cstheme="minorHAnsi"/>
        </w:rPr>
        <w:t xml:space="preserve">DEER HVAC, water heating and </w:t>
      </w:r>
      <w:r w:rsidRPr="007759F1">
        <w:rPr>
          <w:rFonts w:asciiTheme="minorHAnsi" w:hAnsiTheme="minorHAnsi" w:cstheme="minorHAnsi"/>
        </w:rPr>
        <w:t>lighting savings values is mostly complete, there are a few cases where DEER is not complete</w:t>
      </w:r>
      <w:r w:rsidR="00305EAA">
        <w:rPr>
          <w:rFonts w:asciiTheme="minorHAnsi" w:hAnsiTheme="minorHAnsi" w:cstheme="minorHAnsi"/>
        </w:rPr>
        <w:t xml:space="preserve"> (or not support</w:t>
      </w:r>
      <w:r w:rsidR="0064724E">
        <w:rPr>
          <w:rFonts w:asciiTheme="minorHAnsi" w:hAnsiTheme="minorHAnsi" w:cstheme="minorHAnsi"/>
        </w:rPr>
        <w:t>ed</w:t>
      </w:r>
      <w:r w:rsidR="00305EAA">
        <w:rPr>
          <w:rFonts w:asciiTheme="minorHAnsi" w:hAnsiTheme="minorHAnsi" w:cstheme="minorHAnsi"/>
        </w:rPr>
        <w:t>)</w:t>
      </w:r>
      <w:r w:rsidR="00B4303C">
        <w:rPr>
          <w:rFonts w:asciiTheme="minorHAnsi" w:hAnsiTheme="minorHAnsi" w:cstheme="minorHAnsi"/>
        </w:rPr>
        <w:t>, as demon</w:t>
      </w:r>
      <w:r w:rsidR="00BA7FB9">
        <w:rPr>
          <w:rFonts w:asciiTheme="minorHAnsi" w:hAnsiTheme="minorHAnsi" w:cstheme="minorHAnsi"/>
        </w:rPr>
        <w:t>strated in the table above</w:t>
      </w:r>
      <w:r w:rsidRPr="007759F1">
        <w:rPr>
          <w:rFonts w:asciiTheme="minorHAnsi" w:hAnsiTheme="minorHAnsi" w:cstheme="minorHAnsi"/>
        </w:rPr>
        <w:t>.  The cases for SDG&amp;E are as follows: CZ 8</w:t>
      </w:r>
      <w:r w:rsidR="00B65184">
        <w:rPr>
          <w:rFonts w:asciiTheme="minorHAnsi" w:hAnsiTheme="minorHAnsi" w:cstheme="minorHAnsi"/>
        </w:rPr>
        <w:t xml:space="preserve">, CZ14 and </w:t>
      </w:r>
      <w:r w:rsidRPr="007759F1">
        <w:rPr>
          <w:rFonts w:asciiTheme="minorHAnsi" w:hAnsiTheme="minorHAnsi" w:cstheme="minorHAnsi"/>
        </w:rPr>
        <w:t>CZ 1</w:t>
      </w:r>
      <w:r w:rsidR="00B65184">
        <w:rPr>
          <w:rFonts w:asciiTheme="minorHAnsi" w:hAnsiTheme="minorHAnsi" w:cstheme="minorHAnsi"/>
        </w:rPr>
        <w:t>5</w:t>
      </w:r>
      <w:r w:rsidRPr="007759F1">
        <w:rPr>
          <w:rFonts w:asciiTheme="minorHAnsi" w:hAnsiTheme="minorHAnsi" w:cstheme="minorHAnsi"/>
        </w:rPr>
        <w:t xml:space="preserve"> are missing </w:t>
      </w:r>
      <w:proofErr w:type="spellStart"/>
      <w:r w:rsidRPr="007759F1">
        <w:rPr>
          <w:rFonts w:asciiTheme="minorHAnsi" w:hAnsiTheme="minorHAnsi" w:cstheme="minorHAnsi"/>
        </w:rPr>
        <w:t>WRf</w:t>
      </w:r>
      <w:proofErr w:type="spellEnd"/>
      <w:r w:rsidRPr="007759F1">
        <w:rPr>
          <w:rFonts w:asciiTheme="minorHAnsi" w:hAnsiTheme="minorHAnsi" w:cstheme="minorHAnsi"/>
        </w:rPr>
        <w:t xml:space="preserve"> values and CZ 15 is missing ECC, </w:t>
      </w:r>
      <w:proofErr w:type="spellStart"/>
      <w:r w:rsidRPr="007759F1">
        <w:rPr>
          <w:rFonts w:asciiTheme="minorHAnsi" w:hAnsiTheme="minorHAnsi" w:cstheme="minorHAnsi"/>
        </w:rPr>
        <w:t>EUn</w:t>
      </w:r>
      <w:proofErr w:type="spellEnd"/>
      <w:r w:rsidRPr="007759F1">
        <w:rPr>
          <w:rFonts w:asciiTheme="minorHAnsi" w:hAnsiTheme="minorHAnsi" w:cstheme="minorHAnsi"/>
        </w:rPr>
        <w:t xml:space="preserve">, </w:t>
      </w:r>
      <w:proofErr w:type="spellStart"/>
      <w:r w:rsidRPr="007759F1">
        <w:rPr>
          <w:rFonts w:asciiTheme="minorHAnsi" w:hAnsiTheme="minorHAnsi" w:cstheme="minorHAnsi"/>
        </w:rPr>
        <w:t>Hsp</w:t>
      </w:r>
      <w:proofErr w:type="spellEnd"/>
      <w:r w:rsidRPr="007759F1">
        <w:rPr>
          <w:rFonts w:asciiTheme="minorHAnsi" w:hAnsiTheme="minorHAnsi" w:cstheme="minorHAnsi"/>
        </w:rPr>
        <w:t xml:space="preserve"> and </w:t>
      </w:r>
      <w:proofErr w:type="spellStart"/>
      <w:r w:rsidRPr="007759F1">
        <w:rPr>
          <w:rFonts w:asciiTheme="minorHAnsi" w:hAnsiTheme="minorHAnsi" w:cstheme="minorHAnsi"/>
        </w:rPr>
        <w:t>WRf</w:t>
      </w:r>
      <w:proofErr w:type="spellEnd"/>
      <w:r w:rsidRPr="007759F1">
        <w:rPr>
          <w:rFonts w:asciiTheme="minorHAnsi" w:hAnsiTheme="minorHAnsi" w:cstheme="minorHAnsi"/>
        </w:rPr>
        <w:t xml:space="preserve">.  SDG&amp;E proposes to fill-in the missing values with the values from an adjacent climate zone.  In the case of </w:t>
      </w:r>
      <w:proofErr w:type="spellStart"/>
      <w:r w:rsidRPr="007759F1">
        <w:rPr>
          <w:rFonts w:asciiTheme="minorHAnsi" w:hAnsiTheme="minorHAnsi" w:cstheme="minorHAnsi"/>
        </w:rPr>
        <w:t>WRf</w:t>
      </w:r>
      <w:proofErr w:type="spellEnd"/>
      <w:r w:rsidRPr="007759F1">
        <w:rPr>
          <w:rFonts w:asciiTheme="minorHAnsi" w:hAnsiTheme="minorHAnsi" w:cstheme="minorHAnsi"/>
        </w:rPr>
        <w:t xml:space="preserve"> in CZ 8, we propose the </w:t>
      </w:r>
      <w:proofErr w:type="spellStart"/>
      <w:r w:rsidRPr="007759F1">
        <w:rPr>
          <w:rFonts w:asciiTheme="minorHAnsi" w:hAnsiTheme="minorHAnsi" w:cstheme="minorHAnsi"/>
        </w:rPr>
        <w:t>WRf</w:t>
      </w:r>
      <w:proofErr w:type="spellEnd"/>
      <w:r w:rsidRPr="007759F1">
        <w:rPr>
          <w:rFonts w:asciiTheme="minorHAnsi" w:hAnsiTheme="minorHAnsi" w:cstheme="minorHAnsi"/>
        </w:rPr>
        <w:t xml:space="preserve"> values from CZ 6.  </w:t>
      </w:r>
      <w:r w:rsidR="0072169F" w:rsidRPr="007759F1">
        <w:rPr>
          <w:rFonts w:asciiTheme="minorHAnsi" w:hAnsiTheme="minorHAnsi" w:cstheme="minorHAnsi"/>
        </w:rPr>
        <w:t>Similarly,</w:t>
      </w:r>
      <w:r w:rsidRPr="007759F1">
        <w:rPr>
          <w:rFonts w:asciiTheme="minorHAnsi" w:hAnsiTheme="minorHAnsi" w:cstheme="minorHAnsi"/>
        </w:rPr>
        <w:t xml:space="preserve"> for CZ 14, we propose to fill-in the missing values from CZ 10.  For CZ 15’s missing values, we propose to use values from CZ 14 </w:t>
      </w:r>
      <w:r w:rsidR="00346558" w:rsidRPr="007759F1">
        <w:rPr>
          <w:rFonts w:asciiTheme="minorHAnsi" w:hAnsiTheme="minorHAnsi" w:cstheme="minorHAnsi"/>
        </w:rPr>
        <w:t>except for</w:t>
      </w:r>
      <w:r w:rsidRPr="007759F1">
        <w:rPr>
          <w:rFonts w:asciiTheme="minorHAnsi" w:hAnsiTheme="minorHAnsi" w:cstheme="minorHAnsi"/>
        </w:rPr>
        <w:t xml:space="preserve"> </w:t>
      </w:r>
      <w:proofErr w:type="spellStart"/>
      <w:r w:rsidRPr="007759F1">
        <w:rPr>
          <w:rFonts w:asciiTheme="minorHAnsi" w:hAnsiTheme="minorHAnsi" w:cstheme="minorHAnsi"/>
        </w:rPr>
        <w:t>WRf</w:t>
      </w:r>
      <w:proofErr w:type="spellEnd"/>
      <w:r w:rsidRPr="007759F1">
        <w:rPr>
          <w:rFonts w:asciiTheme="minorHAnsi" w:hAnsiTheme="minorHAnsi" w:cstheme="minorHAnsi"/>
        </w:rPr>
        <w:t xml:space="preserve"> where the values would come from the CZ 10 DEER data, since the CZ 14 is missing </w:t>
      </w:r>
      <w:proofErr w:type="spellStart"/>
      <w:r w:rsidRPr="007759F1">
        <w:rPr>
          <w:rFonts w:asciiTheme="minorHAnsi" w:hAnsiTheme="minorHAnsi" w:cstheme="minorHAnsi"/>
        </w:rPr>
        <w:t>WRf</w:t>
      </w:r>
      <w:proofErr w:type="spellEnd"/>
      <w:r w:rsidRPr="007759F1">
        <w:rPr>
          <w:rFonts w:asciiTheme="minorHAnsi" w:hAnsiTheme="minorHAnsi" w:cstheme="minorHAnsi"/>
        </w:rPr>
        <w:t xml:space="preserve"> data is also missing.   We believe that this approach is very conservative as the majority of customers </w:t>
      </w:r>
      <w:proofErr w:type="gramStart"/>
      <w:r w:rsidRPr="007759F1">
        <w:rPr>
          <w:rFonts w:asciiTheme="minorHAnsi" w:hAnsiTheme="minorHAnsi" w:cstheme="minorHAnsi"/>
        </w:rPr>
        <w:t>are located in</w:t>
      </w:r>
      <w:proofErr w:type="gramEnd"/>
      <w:r w:rsidRPr="007759F1">
        <w:rPr>
          <w:rFonts w:asciiTheme="minorHAnsi" w:hAnsiTheme="minorHAnsi" w:cstheme="minorHAnsi"/>
        </w:rPr>
        <w:t xml:space="preserve"> CZ 7 and 10 where the DEER data is 100% complete.  Also, SDG&amp;E has only</w:t>
      </w:r>
      <w:r w:rsidR="001C209A">
        <w:rPr>
          <w:rFonts w:asciiTheme="minorHAnsi" w:hAnsiTheme="minorHAnsi" w:cstheme="minorHAnsi"/>
        </w:rPr>
        <w:t xml:space="preserve"> a few dozen </w:t>
      </w:r>
      <w:r w:rsidRPr="007759F1">
        <w:rPr>
          <w:rFonts w:asciiTheme="minorHAnsi" w:hAnsiTheme="minorHAnsi" w:cstheme="minorHAnsi"/>
        </w:rPr>
        <w:t xml:space="preserve">nonresidential customers in CZ 15 (Borrego Springs) and the missing building types are generally associated with more populous areas (e.g., community college/university). </w:t>
      </w:r>
    </w:p>
    <w:p w14:paraId="771F808F" w14:textId="77777777" w:rsidR="00A25B59" w:rsidRDefault="00A25B59" w:rsidP="00A25B59">
      <w:pPr>
        <w:pStyle w:val="PR2"/>
        <w:numPr>
          <w:ilvl w:val="0"/>
          <w:numId w:val="0"/>
        </w:numPr>
        <w:ind w:left="1584"/>
        <w:rPr>
          <w:rFonts w:asciiTheme="minorHAnsi" w:hAnsiTheme="minorHAnsi" w:cstheme="minorHAnsi"/>
        </w:rPr>
      </w:pPr>
    </w:p>
    <w:p w14:paraId="2A5C3ACE" w14:textId="457D4973" w:rsidR="004F1707" w:rsidRDefault="00A25B59" w:rsidP="00A25B59">
      <w:pPr>
        <w:pStyle w:val="PR2"/>
        <w:numPr>
          <w:ilvl w:val="0"/>
          <w:numId w:val="0"/>
        </w:numPr>
        <w:ind w:left="1584"/>
        <w:rPr>
          <w:rFonts w:asciiTheme="minorHAnsi" w:hAnsiTheme="minorHAnsi" w:cstheme="minorHAnsi"/>
        </w:rPr>
      </w:pPr>
      <w:r w:rsidRPr="00A25B59">
        <w:rPr>
          <w:rFonts w:asciiTheme="minorHAnsi" w:hAnsiTheme="minorHAnsi" w:cstheme="minorHAnsi"/>
        </w:rPr>
        <w:t>To further demonstrate building type and location (CZ) associated with CZ15 (Borrego Springs), the Borrego Medical</w:t>
      </w:r>
      <w:r w:rsidR="00F553B4">
        <w:rPr>
          <w:rFonts w:asciiTheme="minorHAnsi" w:hAnsiTheme="minorHAnsi" w:cstheme="minorHAnsi"/>
        </w:rPr>
        <w:t xml:space="preserve"> Clinic </w:t>
      </w:r>
      <w:r w:rsidRPr="00A25B59">
        <w:rPr>
          <w:rFonts w:asciiTheme="minorHAnsi" w:hAnsiTheme="minorHAnsi" w:cstheme="minorHAnsi"/>
        </w:rPr>
        <w:t xml:space="preserve"> (URL:</w:t>
      </w:r>
      <w:r>
        <w:rPr>
          <w:rFonts w:asciiTheme="minorHAnsi" w:hAnsiTheme="minorHAnsi" w:cstheme="minorHAnsi"/>
        </w:rPr>
        <w:t xml:space="preserve"> </w:t>
      </w:r>
      <w:hyperlink r:id="rId9" w:history="1">
        <w:r w:rsidRPr="00ED6114">
          <w:rPr>
            <w:rStyle w:val="Hyperlink"/>
            <w:rFonts w:asciiTheme="minorHAnsi" w:hAnsiTheme="minorHAnsi" w:cstheme="minorHAnsi"/>
          </w:rPr>
          <w:t>http://www.borregohealth.org/borrego-medical-clinic</w:t>
        </w:r>
      </w:hyperlink>
      <w:r>
        <w:rPr>
          <w:rFonts w:asciiTheme="minorHAnsi" w:hAnsiTheme="minorHAnsi" w:cstheme="minorHAnsi"/>
        </w:rPr>
        <w:t xml:space="preserve"> </w:t>
      </w:r>
      <w:r w:rsidRPr="00A25B59">
        <w:rPr>
          <w:rFonts w:asciiTheme="minorHAnsi" w:hAnsiTheme="minorHAnsi" w:cstheme="minorHAnsi"/>
        </w:rPr>
        <w:t>) 4343 Yaqui Pass Road  Borrego Springs, CA 92004  offers Primary Care, Urgent Care and other Specialty Care service that would classify it as a Hospital or Nursing Care building type (versus Office Large/Small “</w:t>
      </w:r>
      <w:proofErr w:type="spellStart"/>
      <w:r w:rsidRPr="00A25B59">
        <w:rPr>
          <w:rFonts w:asciiTheme="minorHAnsi" w:hAnsiTheme="minorHAnsi" w:cstheme="minorHAnsi"/>
        </w:rPr>
        <w:t>OfL</w:t>
      </w:r>
      <w:proofErr w:type="spellEnd"/>
      <w:r w:rsidRPr="00A25B59">
        <w:rPr>
          <w:rFonts w:asciiTheme="minorHAnsi" w:hAnsiTheme="minorHAnsi" w:cstheme="minorHAnsi"/>
        </w:rPr>
        <w:t>”/“</w:t>
      </w:r>
      <w:proofErr w:type="spellStart"/>
      <w:r w:rsidRPr="00A25B59">
        <w:rPr>
          <w:rFonts w:asciiTheme="minorHAnsi" w:hAnsiTheme="minorHAnsi" w:cstheme="minorHAnsi"/>
        </w:rPr>
        <w:t>OfS</w:t>
      </w:r>
      <w:proofErr w:type="spellEnd"/>
      <w:r w:rsidRPr="00A25B59">
        <w:rPr>
          <w:rFonts w:asciiTheme="minorHAnsi" w:hAnsiTheme="minorHAnsi" w:cstheme="minorHAnsi"/>
        </w:rPr>
        <w:t>”) but DEER savings impacts for these building types and location (CZ) does not exist (or supported).</w:t>
      </w:r>
    </w:p>
    <w:p w14:paraId="421B4FA1" w14:textId="77777777" w:rsidR="00294630" w:rsidRDefault="00294630" w:rsidP="00294630">
      <w:pPr>
        <w:pStyle w:val="PR2"/>
        <w:numPr>
          <w:ilvl w:val="0"/>
          <w:numId w:val="0"/>
        </w:numPr>
        <w:ind w:left="1584"/>
        <w:rPr>
          <w:rFonts w:asciiTheme="minorHAnsi" w:hAnsiTheme="minorHAnsi" w:cstheme="minorHAnsi"/>
        </w:rPr>
      </w:pPr>
    </w:p>
    <w:p w14:paraId="23A17DF4" w14:textId="0589227A" w:rsidR="00261737" w:rsidRDefault="0026026C" w:rsidP="007759F1">
      <w:pPr>
        <w:pStyle w:val="PR2"/>
        <w:rPr>
          <w:rFonts w:asciiTheme="minorHAnsi" w:hAnsiTheme="minorHAnsi" w:cstheme="minorHAnsi"/>
        </w:rPr>
      </w:pPr>
      <w:r>
        <w:rPr>
          <w:rFonts w:asciiTheme="minorHAnsi" w:hAnsiTheme="minorHAnsi" w:cstheme="minorHAnsi"/>
        </w:rPr>
        <w:t>Proposed remedy for missing Building Type and Location (CZ)</w:t>
      </w:r>
      <w:r w:rsidR="00036F0A">
        <w:rPr>
          <w:rFonts w:asciiTheme="minorHAnsi" w:hAnsiTheme="minorHAnsi" w:cstheme="minorHAnsi"/>
        </w:rPr>
        <w:t xml:space="preserve"> and referencing adjacent location (CZ). </w:t>
      </w:r>
      <w:r w:rsidR="00E056C4">
        <w:rPr>
          <w:rFonts w:asciiTheme="minorHAnsi" w:hAnsiTheme="minorHAnsi" w:cstheme="minorHAnsi"/>
        </w:rPr>
        <w:t xml:space="preserve">Given that the impacts for these already exist we don’t see a need to submitting </w:t>
      </w:r>
      <w:r w:rsidR="00FE5302">
        <w:rPr>
          <w:rFonts w:asciiTheme="minorHAnsi" w:hAnsiTheme="minorHAnsi" w:cstheme="minorHAnsi"/>
        </w:rPr>
        <w:t xml:space="preserve">existing </w:t>
      </w:r>
      <w:r w:rsidR="00E056C4">
        <w:rPr>
          <w:rFonts w:asciiTheme="minorHAnsi" w:hAnsiTheme="minorHAnsi" w:cstheme="minorHAnsi"/>
        </w:rPr>
        <w:t xml:space="preserve">DEER data </w:t>
      </w:r>
      <w:r w:rsidR="00FE5302">
        <w:rPr>
          <w:rFonts w:asciiTheme="minorHAnsi" w:hAnsiTheme="minorHAnsi" w:cstheme="minorHAnsi"/>
        </w:rPr>
        <w:t xml:space="preserve">and consider this </w:t>
      </w:r>
      <w:r w:rsidR="005161AA">
        <w:rPr>
          <w:rFonts w:asciiTheme="minorHAnsi" w:hAnsiTheme="minorHAnsi" w:cstheme="minorHAnsi"/>
        </w:rPr>
        <w:t xml:space="preserve">an internal system </w:t>
      </w:r>
      <w:r w:rsidR="001E1E83">
        <w:rPr>
          <w:rFonts w:asciiTheme="minorHAnsi" w:hAnsiTheme="minorHAnsi" w:cstheme="minorHAnsi"/>
        </w:rPr>
        <w:t xml:space="preserve">reporting update that will result </w:t>
      </w:r>
      <w:r w:rsidR="00510B64">
        <w:rPr>
          <w:rFonts w:asciiTheme="minorHAnsi" w:hAnsiTheme="minorHAnsi" w:cstheme="minorHAnsi"/>
        </w:rPr>
        <w:t xml:space="preserve">in insignificant </w:t>
      </w:r>
      <w:r w:rsidR="007926D2">
        <w:rPr>
          <w:rFonts w:asciiTheme="minorHAnsi" w:hAnsiTheme="minorHAnsi" w:cstheme="minorHAnsi"/>
        </w:rPr>
        <w:t xml:space="preserve">reporting claims.  </w:t>
      </w:r>
    </w:p>
    <w:tbl>
      <w:tblPr>
        <w:tblStyle w:val="TableGrid"/>
        <w:tblW w:w="0" w:type="auto"/>
        <w:tblInd w:w="1584" w:type="dxa"/>
        <w:tblLook w:val="04A0" w:firstRow="1" w:lastRow="0" w:firstColumn="1" w:lastColumn="0" w:noHBand="0" w:noVBand="1"/>
      </w:tblPr>
      <w:tblGrid>
        <w:gridCol w:w="931"/>
        <w:gridCol w:w="1350"/>
        <w:gridCol w:w="1260"/>
        <w:gridCol w:w="1080"/>
        <w:gridCol w:w="1980"/>
      </w:tblGrid>
      <w:tr w:rsidR="003530F4" w14:paraId="38DC2658" w14:textId="1F9DABD0" w:rsidTr="00715330">
        <w:tc>
          <w:tcPr>
            <w:tcW w:w="931" w:type="dxa"/>
          </w:tcPr>
          <w:p w14:paraId="23034458" w14:textId="77777777" w:rsidR="003530F4" w:rsidRDefault="003530F4" w:rsidP="00D6130F">
            <w:pPr>
              <w:pStyle w:val="WPPR2"/>
              <w:numPr>
                <w:ilvl w:val="0"/>
                <w:numId w:val="0"/>
              </w:numPr>
              <w:rPr>
                <w:rFonts w:asciiTheme="minorHAnsi" w:hAnsiTheme="minorHAnsi" w:cstheme="minorHAnsi"/>
              </w:rPr>
            </w:pPr>
            <w:r>
              <w:rPr>
                <w:rFonts w:asciiTheme="minorHAnsi" w:hAnsiTheme="minorHAnsi" w:cstheme="minorHAnsi"/>
              </w:rPr>
              <w:t>PA</w:t>
            </w:r>
          </w:p>
        </w:tc>
        <w:tc>
          <w:tcPr>
            <w:tcW w:w="1350" w:type="dxa"/>
          </w:tcPr>
          <w:p w14:paraId="4F61B6FD" w14:textId="77777777" w:rsidR="003530F4" w:rsidRDefault="003530F4" w:rsidP="00D6130F">
            <w:pPr>
              <w:pStyle w:val="WPPR2"/>
              <w:numPr>
                <w:ilvl w:val="0"/>
                <w:numId w:val="0"/>
              </w:numPr>
              <w:rPr>
                <w:rFonts w:asciiTheme="minorHAnsi" w:hAnsiTheme="minorHAnsi" w:cstheme="minorHAnsi"/>
              </w:rPr>
            </w:pPr>
            <w:r>
              <w:rPr>
                <w:rFonts w:asciiTheme="minorHAnsi" w:hAnsiTheme="minorHAnsi" w:cstheme="minorHAnsi"/>
              </w:rPr>
              <w:t>Building Type</w:t>
            </w:r>
          </w:p>
        </w:tc>
        <w:tc>
          <w:tcPr>
            <w:tcW w:w="1260" w:type="dxa"/>
          </w:tcPr>
          <w:p w14:paraId="72B5EBA3" w14:textId="77777777" w:rsidR="003530F4" w:rsidRDefault="003530F4" w:rsidP="00D6130F">
            <w:pPr>
              <w:pStyle w:val="WPPR2"/>
              <w:numPr>
                <w:ilvl w:val="0"/>
                <w:numId w:val="0"/>
              </w:numPr>
              <w:rPr>
                <w:rFonts w:asciiTheme="minorHAnsi" w:hAnsiTheme="minorHAnsi" w:cstheme="minorHAnsi"/>
              </w:rPr>
            </w:pPr>
            <w:r>
              <w:rPr>
                <w:rFonts w:asciiTheme="minorHAnsi" w:hAnsiTheme="minorHAnsi" w:cstheme="minorHAnsi"/>
              </w:rPr>
              <w:t>Building Vintage</w:t>
            </w:r>
          </w:p>
        </w:tc>
        <w:tc>
          <w:tcPr>
            <w:tcW w:w="1080" w:type="dxa"/>
          </w:tcPr>
          <w:p w14:paraId="481DC35A" w14:textId="19488EC1" w:rsidR="003530F4" w:rsidRDefault="0043405D" w:rsidP="00D6130F">
            <w:pPr>
              <w:pStyle w:val="WPPR2"/>
              <w:numPr>
                <w:ilvl w:val="0"/>
                <w:numId w:val="0"/>
              </w:numPr>
              <w:rPr>
                <w:rFonts w:asciiTheme="minorHAnsi" w:hAnsiTheme="minorHAnsi" w:cstheme="minorHAnsi"/>
              </w:rPr>
            </w:pPr>
            <w:r>
              <w:rPr>
                <w:rFonts w:asciiTheme="minorHAnsi" w:hAnsiTheme="minorHAnsi" w:cstheme="minorHAnsi"/>
              </w:rPr>
              <w:t xml:space="preserve">Missing </w:t>
            </w:r>
            <w:r w:rsidR="003530F4">
              <w:rPr>
                <w:rFonts w:asciiTheme="minorHAnsi" w:hAnsiTheme="minorHAnsi" w:cstheme="minorHAnsi"/>
              </w:rPr>
              <w:t>Location</w:t>
            </w:r>
          </w:p>
        </w:tc>
        <w:tc>
          <w:tcPr>
            <w:tcW w:w="1980" w:type="dxa"/>
          </w:tcPr>
          <w:p w14:paraId="7ED500E2" w14:textId="1F4397F6" w:rsidR="003530F4" w:rsidRDefault="003530F4" w:rsidP="00D6130F">
            <w:pPr>
              <w:pStyle w:val="WPPR2"/>
              <w:numPr>
                <w:ilvl w:val="0"/>
                <w:numId w:val="0"/>
              </w:numPr>
              <w:rPr>
                <w:rFonts w:asciiTheme="minorHAnsi" w:hAnsiTheme="minorHAnsi" w:cstheme="minorHAnsi"/>
              </w:rPr>
            </w:pPr>
            <w:r>
              <w:rPr>
                <w:rFonts w:asciiTheme="minorHAnsi" w:hAnsiTheme="minorHAnsi" w:cstheme="minorHAnsi"/>
              </w:rPr>
              <w:t>Adjacent Location</w:t>
            </w:r>
            <w:r w:rsidR="00517A0E">
              <w:rPr>
                <w:rFonts w:asciiTheme="minorHAnsi" w:hAnsiTheme="minorHAnsi" w:cstheme="minorHAnsi"/>
              </w:rPr>
              <w:t xml:space="preserve"> to be used for claims reporting</w:t>
            </w:r>
          </w:p>
        </w:tc>
      </w:tr>
      <w:tr w:rsidR="003530F4" w14:paraId="36AE0BB6" w14:textId="0E5FE981" w:rsidTr="00715330">
        <w:tc>
          <w:tcPr>
            <w:tcW w:w="931" w:type="dxa"/>
          </w:tcPr>
          <w:p w14:paraId="70B7BEDB" w14:textId="77777777" w:rsidR="003530F4" w:rsidRDefault="003530F4" w:rsidP="00D6130F">
            <w:pPr>
              <w:pStyle w:val="WPPR2"/>
              <w:numPr>
                <w:ilvl w:val="0"/>
                <w:numId w:val="0"/>
              </w:numPr>
              <w:rPr>
                <w:rFonts w:asciiTheme="minorHAnsi" w:hAnsiTheme="minorHAnsi" w:cstheme="minorHAnsi"/>
              </w:rPr>
            </w:pPr>
            <w:r>
              <w:rPr>
                <w:rFonts w:asciiTheme="minorHAnsi" w:hAnsiTheme="minorHAnsi" w:cstheme="minorHAnsi"/>
              </w:rPr>
              <w:t>SDG</w:t>
            </w:r>
          </w:p>
        </w:tc>
        <w:tc>
          <w:tcPr>
            <w:tcW w:w="1350" w:type="dxa"/>
          </w:tcPr>
          <w:p w14:paraId="5421BCF0"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ECC</w:t>
            </w:r>
          </w:p>
        </w:tc>
        <w:tc>
          <w:tcPr>
            <w:tcW w:w="1260" w:type="dxa"/>
          </w:tcPr>
          <w:p w14:paraId="2D5A13E3"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73B9B6FD" w14:textId="221153D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c>
          <w:tcPr>
            <w:tcW w:w="1980" w:type="dxa"/>
          </w:tcPr>
          <w:p w14:paraId="108DB2E3" w14:textId="1C391FBD" w:rsidR="003530F4" w:rsidRDefault="0043405D" w:rsidP="009A69FA">
            <w:pPr>
              <w:pStyle w:val="WPPR2"/>
              <w:numPr>
                <w:ilvl w:val="0"/>
                <w:numId w:val="0"/>
              </w:numPr>
              <w:jc w:val="center"/>
              <w:rPr>
                <w:rFonts w:asciiTheme="minorHAnsi" w:hAnsiTheme="minorHAnsi" w:cstheme="minorHAnsi"/>
              </w:rPr>
            </w:pPr>
            <w:r>
              <w:rPr>
                <w:rFonts w:asciiTheme="minorHAnsi" w:hAnsiTheme="minorHAnsi" w:cstheme="minorHAnsi"/>
              </w:rPr>
              <w:t>14</w:t>
            </w:r>
          </w:p>
        </w:tc>
      </w:tr>
      <w:tr w:rsidR="003530F4" w14:paraId="44F226BB" w14:textId="3F21C54E" w:rsidTr="00715330">
        <w:tc>
          <w:tcPr>
            <w:tcW w:w="931" w:type="dxa"/>
          </w:tcPr>
          <w:p w14:paraId="4E040C13" w14:textId="77777777" w:rsidR="003530F4" w:rsidRDefault="003530F4" w:rsidP="00D6130F">
            <w:pPr>
              <w:pStyle w:val="WPPR2"/>
              <w:numPr>
                <w:ilvl w:val="0"/>
                <w:numId w:val="0"/>
              </w:numPr>
              <w:rPr>
                <w:rFonts w:asciiTheme="minorHAnsi" w:hAnsiTheme="minorHAnsi" w:cstheme="minorHAnsi"/>
              </w:rPr>
            </w:pPr>
            <w:r w:rsidRPr="002748D4">
              <w:rPr>
                <w:rFonts w:asciiTheme="minorHAnsi" w:hAnsiTheme="minorHAnsi" w:cstheme="minorHAnsi"/>
              </w:rPr>
              <w:t>SDG</w:t>
            </w:r>
          </w:p>
        </w:tc>
        <w:tc>
          <w:tcPr>
            <w:tcW w:w="1350" w:type="dxa"/>
          </w:tcPr>
          <w:p w14:paraId="0C500F45" w14:textId="77777777" w:rsidR="003530F4" w:rsidRDefault="003530F4"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EUn</w:t>
            </w:r>
            <w:proofErr w:type="spellEnd"/>
          </w:p>
        </w:tc>
        <w:tc>
          <w:tcPr>
            <w:tcW w:w="1260" w:type="dxa"/>
          </w:tcPr>
          <w:p w14:paraId="76667FC9"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55414B4A" w14:textId="0BBE7DD3"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c>
          <w:tcPr>
            <w:tcW w:w="1980" w:type="dxa"/>
          </w:tcPr>
          <w:p w14:paraId="0D9B1509" w14:textId="0819289E" w:rsidR="003530F4" w:rsidRDefault="0043405D" w:rsidP="009A69FA">
            <w:pPr>
              <w:pStyle w:val="WPPR2"/>
              <w:numPr>
                <w:ilvl w:val="0"/>
                <w:numId w:val="0"/>
              </w:numPr>
              <w:jc w:val="center"/>
              <w:rPr>
                <w:rFonts w:asciiTheme="minorHAnsi" w:hAnsiTheme="minorHAnsi" w:cstheme="minorHAnsi"/>
              </w:rPr>
            </w:pPr>
            <w:r>
              <w:rPr>
                <w:rFonts w:asciiTheme="minorHAnsi" w:hAnsiTheme="minorHAnsi" w:cstheme="minorHAnsi"/>
              </w:rPr>
              <w:t>14</w:t>
            </w:r>
          </w:p>
        </w:tc>
      </w:tr>
      <w:tr w:rsidR="003530F4" w14:paraId="056CA281" w14:textId="3B153ADA" w:rsidTr="00715330">
        <w:tc>
          <w:tcPr>
            <w:tcW w:w="931" w:type="dxa"/>
          </w:tcPr>
          <w:p w14:paraId="18C4AD67" w14:textId="77777777" w:rsidR="003530F4" w:rsidRDefault="003530F4" w:rsidP="00D6130F">
            <w:pPr>
              <w:pStyle w:val="WPPR2"/>
              <w:numPr>
                <w:ilvl w:val="0"/>
                <w:numId w:val="0"/>
              </w:numPr>
              <w:rPr>
                <w:rFonts w:asciiTheme="minorHAnsi" w:hAnsiTheme="minorHAnsi" w:cstheme="minorHAnsi"/>
              </w:rPr>
            </w:pPr>
            <w:r w:rsidRPr="002748D4">
              <w:rPr>
                <w:rFonts w:asciiTheme="minorHAnsi" w:hAnsiTheme="minorHAnsi" w:cstheme="minorHAnsi"/>
              </w:rPr>
              <w:t>SDG</w:t>
            </w:r>
          </w:p>
        </w:tc>
        <w:tc>
          <w:tcPr>
            <w:tcW w:w="1350" w:type="dxa"/>
          </w:tcPr>
          <w:p w14:paraId="4C3CF73F" w14:textId="77777777" w:rsidR="003530F4" w:rsidRDefault="003530F4"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Hsp</w:t>
            </w:r>
            <w:proofErr w:type="spellEnd"/>
          </w:p>
        </w:tc>
        <w:tc>
          <w:tcPr>
            <w:tcW w:w="1260" w:type="dxa"/>
          </w:tcPr>
          <w:p w14:paraId="59E619E1"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6B7BBF73"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c>
          <w:tcPr>
            <w:tcW w:w="1980" w:type="dxa"/>
          </w:tcPr>
          <w:p w14:paraId="387F9D2E" w14:textId="2A1A0AB7" w:rsidR="003530F4" w:rsidRDefault="0043405D" w:rsidP="009A69FA">
            <w:pPr>
              <w:pStyle w:val="WPPR2"/>
              <w:numPr>
                <w:ilvl w:val="0"/>
                <w:numId w:val="0"/>
              </w:numPr>
              <w:jc w:val="center"/>
              <w:rPr>
                <w:rFonts w:asciiTheme="minorHAnsi" w:hAnsiTheme="minorHAnsi" w:cstheme="minorHAnsi"/>
              </w:rPr>
            </w:pPr>
            <w:r>
              <w:rPr>
                <w:rFonts w:asciiTheme="minorHAnsi" w:hAnsiTheme="minorHAnsi" w:cstheme="minorHAnsi"/>
              </w:rPr>
              <w:t>14</w:t>
            </w:r>
          </w:p>
        </w:tc>
      </w:tr>
      <w:tr w:rsidR="003530F4" w14:paraId="494D6EB7" w14:textId="1586E768" w:rsidTr="00715330">
        <w:tc>
          <w:tcPr>
            <w:tcW w:w="931" w:type="dxa"/>
          </w:tcPr>
          <w:p w14:paraId="33A2EEEE" w14:textId="77777777" w:rsidR="003530F4" w:rsidRDefault="003530F4" w:rsidP="00D6130F">
            <w:pPr>
              <w:pStyle w:val="WPPR2"/>
              <w:numPr>
                <w:ilvl w:val="0"/>
                <w:numId w:val="0"/>
              </w:numPr>
              <w:rPr>
                <w:rFonts w:asciiTheme="minorHAnsi" w:hAnsiTheme="minorHAnsi" w:cstheme="minorHAnsi"/>
              </w:rPr>
            </w:pPr>
            <w:r w:rsidRPr="002748D4">
              <w:rPr>
                <w:rFonts w:asciiTheme="minorHAnsi" w:hAnsiTheme="minorHAnsi" w:cstheme="minorHAnsi"/>
              </w:rPr>
              <w:t>SDG</w:t>
            </w:r>
          </w:p>
        </w:tc>
        <w:tc>
          <w:tcPr>
            <w:tcW w:w="1350" w:type="dxa"/>
          </w:tcPr>
          <w:p w14:paraId="0CB4DF8E" w14:textId="77777777" w:rsidR="003530F4" w:rsidRDefault="003530F4"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Nrs</w:t>
            </w:r>
            <w:proofErr w:type="spellEnd"/>
          </w:p>
        </w:tc>
        <w:tc>
          <w:tcPr>
            <w:tcW w:w="1260" w:type="dxa"/>
          </w:tcPr>
          <w:p w14:paraId="11F0FBD1"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64F9415D"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c>
          <w:tcPr>
            <w:tcW w:w="1980" w:type="dxa"/>
          </w:tcPr>
          <w:p w14:paraId="7368384D" w14:textId="30C46588" w:rsidR="003530F4" w:rsidRDefault="0043405D" w:rsidP="009A69FA">
            <w:pPr>
              <w:pStyle w:val="WPPR2"/>
              <w:numPr>
                <w:ilvl w:val="0"/>
                <w:numId w:val="0"/>
              </w:numPr>
              <w:jc w:val="center"/>
              <w:rPr>
                <w:rFonts w:asciiTheme="minorHAnsi" w:hAnsiTheme="minorHAnsi" w:cstheme="minorHAnsi"/>
              </w:rPr>
            </w:pPr>
            <w:r>
              <w:rPr>
                <w:rFonts w:asciiTheme="minorHAnsi" w:hAnsiTheme="minorHAnsi" w:cstheme="minorHAnsi"/>
              </w:rPr>
              <w:t>14</w:t>
            </w:r>
          </w:p>
        </w:tc>
      </w:tr>
      <w:tr w:rsidR="003530F4" w14:paraId="7D45B106" w14:textId="5C88BBD7" w:rsidTr="00715330">
        <w:tc>
          <w:tcPr>
            <w:tcW w:w="931" w:type="dxa"/>
          </w:tcPr>
          <w:p w14:paraId="3A9D4BD5" w14:textId="77777777" w:rsidR="003530F4" w:rsidRDefault="003530F4" w:rsidP="00D6130F">
            <w:pPr>
              <w:pStyle w:val="WPPR2"/>
              <w:numPr>
                <w:ilvl w:val="0"/>
                <w:numId w:val="0"/>
              </w:numPr>
              <w:rPr>
                <w:rFonts w:asciiTheme="minorHAnsi" w:hAnsiTheme="minorHAnsi" w:cstheme="minorHAnsi"/>
              </w:rPr>
            </w:pPr>
            <w:r w:rsidRPr="002748D4">
              <w:rPr>
                <w:rFonts w:asciiTheme="minorHAnsi" w:hAnsiTheme="minorHAnsi" w:cstheme="minorHAnsi"/>
              </w:rPr>
              <w:t>SDG</w:t>
            </w:r>
          </w:p>
        </w:tc>
        <w:tc>
          <w:tcPr>
            <w:tcW w:w="1350" w:type="dxa"/>
          </w:tcPr>
          <w:p w14:paraId="3F72ECB1" w14:textId="77777777" w:rsidR="003530F4" w:rsidRDefault="003530F4"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WRf</w:t>
            </w:r>
            <w:proofErr w:type="spellEnd"/>
          </w:p>
        </w:tc>
        <w:tc>
          <w:tcPr>
            <w:tcW w:w="1260" w:type="dxa"/>
          </w:tcPr>
          <w:p w14:paraId="36EF12A0"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0CAA532E" w14:textId="005947DB"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8</w:t>
            </w:r>
          </w:p>
        </w:tc>
        <w:tc>
          <w:tcPr>
            <w:tcW w:w="1980" w:type="dxa"/>
          </w:tcPr>
          <w:p w14:paraId="049B02E6" w14:textId="750C5C15" w:rsidR="003530F4" w:rsidRDefault="009A69FA" w:rsidP="009A69FA">
            <w:pPr>
              <w:pStyle w:val="WPPR2"/>
              <w:numPr>
                <w:ilvl w:val="0"/>
                <w:numId w:val="0"/>
              </w:numPr>
              <w:jc w:val="center"/>
              <w:rPr>
                <w:rFonts w:asciiTheme="minorHAnsi" w:hAnsiTheme="minorHAnsi" w:cstheme="minorHAnsi"/>
              </w:rPr>
            </w:pPr>
            <w:r>
              <w:rPr>
                <w:rFonts w:asciiTheme="minorHAnsi" w:hAnsiTheme="minorHAnsi" w:cstheme="minorHAnsi"/>
              </w:rPr>
              <w:t>6</w:t>
            </w:r>
          </w:p>
        </w:tc>
      </w:tr>
      <w:tr w:rsidR="003530F4" w14:paraId="30088938" w14:textId="7B277598" w:rsidTr="00715330">
        <w:tc>
          <w:tcPr>
            <w:tcW w:w="931" w:type="dxa"/>
          </w:tcPr>
          <w:p w14:paraId="75A51E8D" w14:textId="77777777" w:rsidR="003530F4" w:rsidRDefault="003530F4" w:rsidP="00D6130F">
            <w:pPr>
              <w:pStyle w:val="WPPR2"/>
              <w:numPr>
                <w:ilvl w:val="0"/>
                <w:numId w:val="0"/>
              </w:numPr>
              <w:rPr>
                <w:rFonts w:asciiTheme="minorHAnsi" w:hAnsiTheme="minorHAnsi" w:cstheme="minorHAnsi"/>
              </w:rPr>
            </w:pPr>
            <w:r w:rsidRPr="002748D4">
              <w:rPr>
                <w:rFonts w:asciiTheme="minorHAnsi" w:hAnsiTheme="minorHAnsi" w:cstheme="minorHAnsi"/>
              </w:rPr>
              <w:t>SDG</w:t>
            </w:r>
          </w:p>
        </w:tc>
        <w:tc>
          <w:tcPr>
            <w:tcW w:w="1350" w:type="dxa"/>
          </w:tcPr>
          <w:p w14:paraId="5A91EC4D" w14:textId="77777777" w:rsidR="003530F4" w:rsidRDefault="003530F4"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WRf</w:t>
            </w:r>
            <w:proofErr w:type="spellEnd"/>
          </w:p>
        </w:tc>
        <w:tc>
          <w:tcPr>
            <w:tcW w:w="1260" w:type="dxa"/>
          </w:tcPr>
          <w:p w14:paraId="2B232129"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7DBBFDE7"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14</w:t>
            </w:r>
          </w:p>
        </w:tc>
        <w:tc>
          <w:tcPr>
            <w:tcW w:w="1980" w:type="dxa"/>
          </w:tcPr>
          <w:p w14:paraId="33D751DD" w14:textId="65CAB014" w:rsidR="003530F4" w:rsidRDefault="009A69FA" w:rsidP="009A69FA">
            <w:pPr>
              <w:pStyle w:val="WPPR2"/>
              <w:numPr>
                <w:ilvl w:val="0"/>
                <w:numId w:val="0"/>
              </w:numPr>
              <w:jc w:val="center"/>
              <w:rPr>
                <w:rFonts w:asciiTheme="minorHAnsi" w:hAnsiTheme="minorHAnsi" w:cstheme="minorHAnsi"/>
              </w:rPr>
            </w:pPr>
            <w:r>
              <w:rPr>
                <w:rFonts w:asciiTheme="minorHAnsi" w:hAnsiTheme="minorHAnsi" w:cstheme="minorHAnsi"/>
              </w:rPr>
              <w:t>10</w:t>
            </w:r>
          </w:p>
        </w:tc>
      </w:tr>
      <w:tr w:rsidR="003530F4" w14:paraId="405DF974" w14:textId="58CFE926" w:rsidTr="00715330">
        <w:tc>
          <w:tcPr>
            <w:tcW w:w="931" w:type="dxa"/>
          </w:tcPr>
          <w:p w14:paraId="5284FE63" w14:textId="77777777" w:rsidR="003530F4" w:rsidRDefault="003530F4" w:rsidP="00D6130F">
            <w:pPr>
              <w:pStyle w:val="WPPR2"/>
              <w:numPr>
                <w:ilvl w:val="0"/>
                <w:numId w:val="0"/>
              </w:numPr>
              <w:rPr>
                <w:rFonts w:asciiTheme="minorHAnsi" w:hAnsiTheme="minorHAnsi" w:cstheme="minorHAnsi"/>
              </w:rPr>
            </w:pPr>
            <w:r w:rsidRPr="002748D4">
              <w:rPr>
                <w:rFonts w:asciiTheme="minorHAnsi" w:hAnsiTheme="minorHAnsi" w:cstheme="minorHAnsi"/>
              </w:rPr>
              <w:t>SDG</w:t>
            </w:r>
          </w:p>
        </w:tc>
        <w:tc>
          <w:tcPr>
            <w:tcW w:w="1350" w:type="dxa"/>
          </w:tcPr>
          <w:p w14:paraId="531FFC06" w14:textId="77777777" w:rsidR="003530F4" w:rsidRDefault="003530F4" w:rsidP="009A69FA">
            <w:pPr>
              <w:pStyle w:val="WPPR2"/>
              <w:numPr>
                <w:ilvl w:val="0"/>
                <w:numId w:val="0"/>
              </w:numPr>
              <w:jc w:val="center"/>
              <w:rPr>
                <w:rFonts w:asciiTheme="minorHAnsi" w:hAnsiTheme="minorHAnsi" w:cstheme="minorHAnsi"/>
              </w:rPr>
            </w:pPr>
            <w:proofErr w:type="spellStart"/>
            <w:r>
              <w:rPr>
                <w:rFonts w:asciiTheme="minorHAnsi" w:hAnsiTheme="minorHAnsi" w:cstheme="minorHAnsi"/>
              </w:rPr>
              <w:t>WRf</w:t>
            </w:r>
            <w:proofErr w:type="spellEnd"/>
          </w:p>
        </w:tc>
        <w:tc>
          <w:tcPr>
            <w:tcW w:w="1260" w:type="dxa"/>
          </w:tcPr>
          <w:p w14:paraId="0D1446C7"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Ex</w:t>
            </w:r>
          </w:p>
        </w:tc>
        <w:tc>
          <w:tcPr>
            <w:tcW w:w="1080" w:type="dxa"/>
          </w:tcPr>
          <w:p w14:paraId="5DEBF68A" w14:textId="77777777" w:rsidR="003530F4" w:rsidRDefault="003530F4" w:rsidP="009A69FA">
            <w:pPr>
              <w:pStyle w:val="WPPR2"/>
              <w:numPr>
                <w:ilvl w:val="0"/>
                <w:numId w:val="0"/>
              </w:numPr>
              <w:jc w:val="center"/>
              <w:rPr>
                <w:rFonts w:asciiTheme="minorHAnsi" w:hAnsiTheme="minorHAnsi" w:cstheme="minorHAnsi"/>
              </w:rPr>
            </w:pPr>
            <w:r>
              <w:rPr>
                <w:rFonts w:asciiTheme="minorHAnsi" w:hAnsiTheme="minorHAnsi" w:cstheme="minorHAnsi"/>
              </w:rPr>
              <w:t>15</w:t>
            </w:r>
          </w:p>
        </w:tc>
        <w:tc>
          <w:tcPr>
            <w:tcW w:w="1980" w:type="dxa"/>
          </w:tcPr>
          <w:p w14:paraId="3B303391" w14:textId="2C110BFB" w:rsidR="003530F4" w:rsidRDefault="009A69FA" w:rsidP="009A69FA">
            <w:pPr>
              <w:pStyle w:val="WPPR2"/>
              <w:numPr>
                <w:ilvl w:val="0"/>
                <w:numId w:val="0"/>
              </w:numPr>
              <w:jc w:val="center"/>
              <w:rPr>
                <w:rFonts w:asciiTheme="minorHAnsi" w:hAnsiTheme="minorHAnsi" w:cstheme="minorHAnsi"/>
              </w:rPr>
            </w:pPr>
            <w:r>
              <w:rPr>
                <w:rFonts w:asciiTheme="minorHAnsi" w:hAnsiTheme="minorHAnsi" w:cstheme="minorHAnsi"/>
              </w:rPr>
              <w:t>10</w:t>
            </w:r>
          </w:p>
        </w:tc>
      </w:tr>
    </w:tbl>
    <w:p w14:paraId="2102EFC4" w14:textId="77777777" w:rsidR="00261737" w:rsidRDefault="00261737" w:rsidP="00261737">
      <w:pPr>
        <w:pStyle w:val="PR2"/>
        <w:numPr>
          <w:ilvl w:val="0"/>
          <w:numId w:val="0"/>
        </w:numPr>
        <w:ind w:left="1584"/>
        <w:rPr>
          <w:rFonts w:asciiTheme="minorHAnsi" w:hAnsiTheme="minorHAnsi" w:cstheme="minorHAnsi"/>
        </w:rPr>
      </w:pPr>
    </w:p>
    <w:p w14:paraId="160FE679" w14:textId="77777777" w:rsidR="004F1707" w:rsidRDefault="004F1707" w:rsidP="004F1707">
      <w:pPr>
        <w:pStyle w:val="PR2"/>
        <w:numPr>
          <w:ilvl w:val="0"/>
          <w:numId w:val="0"/>
        </w:numPr>
        <w:ind w:left="1584"/>
        <w:rPr>
          <w:rFonts w:asciiTheme="minorHAnsi" w:hAnsiTheme="minorHAnsi" w:cstheme="minorHAnsi"/>
        </w:rPr>
      </w:pPr>
    </w:p>
    <w:p w14:paraId="03814CBA" w14:textId="77777777" w:rsidR="00C4094B" w:rsidRPr="0036322C" w:rsidRDefault="00C4094B" w:rsidP="00C4094B">
      <w:pPr>
        <w:pStyle w:val="WPPR1"/>
        <w:rPr>
          <w:rFonts w:asciiTheme="minorHAnsi" w:hAnsiTheme="minorHAnsi" w:cstheme="minorHAnsi"/>
        </w:rPr>
      </w:pPr>
      <w:r w:rsidRPr="0036322C">
        <w:rPr>
          <w:rFonts w:asciiTheme="minorHAnsi" w:hAnsiTheme="minorHAnsi" w:cstheme="minorHAnsi"/>
        </w:rPr>
        <w:t>Documentation Requirements</w:t>
      </w:r>
    </w:p>
    <w:p w14:paraId="12692CE0"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The manufacturer’s name and equipment model number must be provided.  </w:t>
      </w:r>
    </w:p>
    <w:p w14:paraId="67EB54C8"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If necessary, customer must provide proof of unit efficiency (e.g., manufacturer’s equipment specification sheet).</w:t>
      </w:r>
    </w:p>
    <w:p w14:paraId="4A205A77" w14:textId="77777777" w:rsidR="00C4094B" w:rsidRPr="0036322C" w:rsidRDefault="00C4094B" w:rsidP="00C4094B">
      <w:pPr>
        <w:pStyle w:val="WPPR1"/>
        <w:rPr>
          <w:rFonts w:asciiTheme="minorHAnsi" w:hAnsiTheme="minorHAnsi" w:cstheme="minorHAnsi"/>
        </w:rPr>
      </w:pPr>
      <w:r w:rsidRPr="0036322C">
        <w:rPr>
          <w:rFonts w:asciiTheme="minorHAnsi" w:hAnsiTheme="minorHAnsi" w:cstheme="minorHAnsi"/>
        </w:rPr>
        <w:t>Terms and Conditions</w:t>
      </w:r>
    </w:p>
    <w:p w14:paraId="563B70F4" w14:textId="77777777" w:rsidR="00C4094B" w:rsidRPr="0036322C" w:rsidRDefault="00C4094B" w:rsidP="00C4094B">
      <w:pPr>
        <w:pStyle w:val="PR2"/>
        <w:tabs>
          <w:tab w:val="num" w:pos="1782"/>
        </w:tabs>
        <w:rPr>
          <w:rFonts w:asciiTheme="minorHAnsi" w:hAnsiTheme="minorHAnsi" w:cstheme="minorHAnsi"/>
        </w:rPr>
      </w:pPr>
      <w:r w:rsidRPr="0036322C">
        <w:rPr>
          <w:rFonts w:asciiTheme="minorHAnsi" w:hAnsiTheme="minorHAnsi" w:cstheme="minorHAnsi"/>
        </w:rPr>
        <w:t>Only storage water heaters as defined by the California Energy Commission qualify, and they must:</w:t>
      </w:r>
    </w:p>
    <w:p w14:paraId="416925CB" w14:textId="77777777" w:rsidR="00C4094B" w:rsidRPr="0036322C" w:rsidRDefault="00C4094B" w:rsidP="00C4094B">
      <w:pPr>
        <w:pStyle w:val="WPPR3"/>
        <w:numPr>
          <w:ilvl w:val="4"/>
          <w:numId w:val="6"/>
        </w:numPr>
        <w:rPr>
          <w:rFonts w:asciiTheme="minorHAnsi" w:hAnsiTheme="minorHAnsi" w:cstheme="minorHAnsi"/>
        </w:rPr>
      </w:pPr>
      <w:r w:rsidRPr="0036322C">
        <w:rPr>
          <w:rFonts w:asciiTheme="minorHAnsi" w:hAnsiTheme="minorHAnsi" w:cstheme="minorHAnsi"/>
        </w:rPr>
        <w:t>Be used primarily for domestic hot water</w:t>
      </w:r>
    </w:p>
    <w:p w14:paraId="79DBBED3" w14:textId="4F9A2EDF" w:rsidR="00C4094B" w:rsidRPr="0036322C" w:rsidRDefault="00C4094B" w:rsidP="00C4094B">
      <w:pPr>
        <w:pStyle w:val="WPPR3"/>
        <w:numPr>
          <w:ilvl w:val="4"/>
          <w:numId w:val="6"/>
        </w:numPr>
        <w:rPr>
          <w:rFonts w:asciiTheme="minorHAnsi" w:hAnsiTheme="minorHAnsi" w:cstheme="minorHAnsi"/>
        </w:rPr>
      </w:pPr>
      <w:r w:rsidRPr="0036322C">
        <w:rPr>
          <w:rFonts w:asciiTheme="minorHAnsi" w:hAnsiTheme="minorHAnsi" w:cstheme="minorHAnsi"/>
        </w:rPr>
        <w:t xml:space="preserve">Have an input rating of </w:t>
      </w:r>
      <w:r w:rsidR="00E27103">
        <w:rPr>
          <w:rFonts w:asciiTheme="minorHAnsi" w:hAnsiTheme="minorHAnsi" w:cstheme="minorHAnsi"/>
        </w:rPr>
        <w:t>greater</w:t>
      </w:r>
      <w:r w:rsidRPr="0036322C">
        <w:rPr>
          <w:rFonts w:asciiTheme="minorHAnsi" w:hAnsiTheme="minorHAnsi" w:cstheme="minorHAnsi"/>
        </w:rPr>
        <w:t xml:space="preserve"> than </w:t>
      </w:r>
      <w:r w:rsidR="00F718E4" w:rsidRPr="0036322C">
        <w:rPr>
          <w:rFonts w:asciiTheme="minorHAnsi" w:hAnsiTheme="minorHAnsi" w:cstheme="minorHAnsi"/>
        </w:rPr>
        <w:t>75</w:t>
      </w:r>
      <w:r w:rsidRPr="0036322C">
        <w:rPr>
          <w:rFonts w:asciiTheme="minorHAnsi" w:hAnsiTheme="minorHAnsi" w:cstheme="minorHAnsi"/>
        </w:rPr>
        <w:t xml:space="preserve">,000 </w:t>
      </w:r>
      <w:proofErr w:type="spellStart"/>
      <w:r w:rsidR="00F718E4" w:rsidRPr="0036322C">
        <w:rPr>
          <w:rFonts w:asciiTheme="minorHAnsi" w:hAnsiTheme="minorHAnsi" w:cstheme="minorHAnsi"/>
        </w:rPr>
        <w:t>k</w:t>
      </w:r>
      <w:r w:rsidRPr="0036322C">
        <w:rPr>
          <w:rFonts w:asciiTheme="minorHAnsi" w:hAnsiTheme="minorHAnsi" w:cstheme="minorHAnsi"/>
        </w:rPr>
        <w:t>B</w:t>
      </w:r>
      <w:r w:rsidR="00F718E4" w:rsidRPr="0036322C">
        <w:rPr>
          <w:rFonts w:asciiTheme="minorHAnsi" w:hAnsiTheme="minorHAnsi" w:cstheme="minorHAnsi"/>
        </w:rPr>
        <w:t>TU</w:t>
      </w:r>
      <w:proofErr w:type="spellEnd"/>
      <w:r w:rsidR="00F718E4" w:rsidRPr="0036322C">
        <w:rPr>
          <w:rFonts w:asciiTheme="minorHAnsi" w:hAnsiTheme="minorHAnsi" w:cstheme="minorHAnsi"/>
        </w:rPr>
        <w:t>/hour</w:t>
      </w:r>
      <w:r w:rsidRPr="0036322C">
        <w:rPr>
          <w:rFonts w:asciiTheme="minorHAnsi" w:hAnsiTheme="minorHAnsi" w:cstheme="minorHAnsi"/>
        </w:rPr>
        <w:t>.</w:t>
      </w:r>
    </w:p>
    <w:p w14:paraId="7E349BEF" w14:textId="77777777" w:rsidR="00C4094B" w:rsidRPr="0036322C" w:rsidRDefault="00C4094B" w:rsidP="00C4094B">
      <w:pPr>
        <w:pStyle w:val="WPPR3"/>
        <w:numPr>
          <w:ilvl w:val="4"/>
          <w:numId w:val="6"/>
        </w:numPr>
        <w:rPr>
          <w:rFonts w:asciiTheme="minorHAnsi" w:hAnsiTheme="minorHAnsi" w:cstheme="minorHAnsi"/>
        </w:rPr>
      </w:pPr>
      <w:r w:rsidRPr="0036322C">
        <w:rPr>
          <w:rFonts w:asciiTheme="minorHAnsi" w:hAnsiTheme="minorHAnsi" w:cstheme="minorHAnsi"/>
        </w:rPr>
        <w:t>Never be used for process end-use.</w:t>
      </w:r>
    </w:p>
    <w:p w14:paraId="714EBD0F" w14:textId="3D28F931" w:rsidR="008A739C" w:rsidRDefault="008A739C" w:rsidP="0022781C">
      <w:pPr>
        <w:spacing w:after="200" w:line="276" w:lineRule="auto"/>
        <w:rPr>
          <w:rFonts w:ascii="Arial Narrow" w:hAnsi="Arial Narrow" w:cs="Arial"/>
          <w:b/>
          <w:bCs/>
          <w:iCs/>
          <w:smallCaps/>
          <w:sz w:val="28"/>
          <w:szCs w:val="28"/>
        </w:rPr>
      </w:pPr>
    </w:p>
    <w:p w14:paraId="269B66C4" w14:textId="77777777" w:rsidR="009B0E7F" w:rsidRPr="00DC3FD7" w:rsidRDefault="009B0E7F" w:rsidP="009B0E7F">
      <w:pPr>
        <w:keepNext/>
        <w:spacing w:before="240" w:after="60"/>
        <w:outlineLvl w:val="1"/>
        <w:rPr>
          <w:rFonts w:cstheme="minorHAnsi"/>
          <w:b/>
          <w:bCs/>
          <w:iCs/>
          <w:smallCaps/>
          <w:sz w:val="28"/>
          <w:szCs w:val="28"/>
        </w:rPr>
      </w:pPr>
      <w:r w:rsidRPr="00DC3FD7">
        <w:rPr>
          <w:rFonts w:cstheme="minorHAnsi"/>
          <w:b/>
          <w:bCs/>
          <w:iCs/>
          <w:smallCaps/>
          <w:sz w:val="28"/>
          <w:szCs w:val="28"/>
        </w:rPr>
        <w:t xml:space="preserve">Measure Summary </w:t>
      </w:r>
    </w:p>
    <w:p w14:paraId="269B66C5" w14:textId="77777777" w:rsidR="009B0E7F" w:rsidRPr="00DC3FD7" w:rsidRDefault="009B0E7F" w:rsidP="009B0E7F">
      <w:pPr>
        <w:keepNext/>
        <w:jc w:val="center"/>
        <w:rPr>
          <w:b/>
          <w:bCs/>
          <w:szCs w:val="22"/>
        </w:rPr>
      </w:pPr>
      <w:r w:rsidRPr="00DC3FD7">
        <w:rPr>
          <w:b/>
          <w:bCs/>
          <w:szCs w:val="22"/>
        </w:rPr>
        <w:t xml:space="preserve">Table </w:t>
      </w:r>
      <w:r w:rsidRPr="00DC3FD7">
        <w:rPr>
          <w:b/>
          <w:bCs/>
          <w:szCs w:val="22"/>
        </w:rPr>
        <w:fldChar w:fldCharType="begin"/>
      </w:r>
      <w:r w:rsidRPr="00DC3FD7">
        <w:rPr>
          <w:b/>
          <w:bCs/>
          <w:szCs w:val="22"/>
        </w:rPr>
        <w:instrText xml:space="preserve"> SEQ Table \* ARABIC </w:instrText>
      </w:r>
      <w:r w:rsidRPr="00DC3FD7">
        <w:rPr>
          <w:b/>
          <w:bCs/>
          <w:szCs w:val="22"/>
        </w:rPr>
        <w:fldChar w:fldCharType="separate"/>
      </w:r>
      <w:r w:rsidRPr="00DC3FD7">
        <w:rPr>
          <w:b/>
          <w:bCs/>
          <w:noProof/>
          <w:szCs w:val="22"/>
        </w:rPr>
        <w:t>1</w:t>
      </w:r>
      <w:r w:rsidRPr="00DC3FD7">
        <w:rPr>
          <w:b/>
          <w:bCs/>
          <w:noProof/>
          <w:szCs w:val="22"/>
        </w:rPr>
        <w:fldChar w:fldCharType="end"/>
      </w:r>
      <w:r w:rsidRPr="00DC3FD7">
        <w:rPr>
          <w:b/>
          <w:bCs/>
          <w:szCs w:val="22"/>
        </w:rPr>
        <w:t>: Measure Summary Table</w:t>
      </w:r>
    </w:p>
    <w:tbl>
      <w:tblPr>
        <w:tblStyle w:val="TableGrid2"/>
        <w:tblW w:w="0" w:type="auto"/>
        <w:tblInd w:w="108" w:type="dxa"/>
        <w:tblLook w:val="04A0" w:firstRow="1" w:lastRow="0" w:firstColumn="1" w:lastColumn="0" w:noHBand="0" w:noVBand="1"/>
      </w:tblPr>
      <w:tblGrid>
        <w:gridCol w:w="1430"/>
        <w:gridCol w:w="9252"/>
      </w:tblGrid>
      <w:tr w:rsidR="00C80D48" w:rsidRPr="00DC3FD7" w14:paraId="269B66C8" w14:textId="77777777" w:rsidTr="00235D4A">
        <w:trPr>
          <w:cantSplit/>
          <w:tblHeader/>
        </w:trPr>
        <w:tc>
          <w:tcPr>
            <w:tcW w:w="2402" w:type="dxa"/>
          </w:tcPr>
          <w:p w14:paraId="269B66C6" w14:textId="77777777" w:rsidR="009B0E7F" w:rsidRPr="00DC3FD7" w:rsidRDefault="009B0E7F" w:rsidP="009B0E7F">
            <w:pPr>
              <w:jc w:val="center"/>
              <w:rPr>
                <w:b/>
                <w:sz w:val="20"/>
                <w:szCs w:val="20"/>
              </w:rPr>
            </w:pPr>
            <w:r w:rsidRPr="00DC3FD7">
              <w:rPr>
                <w:b/>
                <w:sz w:val="20"/>
                <w:szCs w:val="20"/>
              </w:rPr>
              <w:t>Section</w:t>
            </w:r>
          </w:p>
        </w:tc>
        <w:tc>
          <w:tcPr>
            <w:tcW w:w="8280" w:type="dxa"/>
          </w:tcPr>
          <w:p w14:paraId="269B66C7" w14:textId="77777777" w:rsidR="009B0E7F" w:rsidRPr="00DC3FD7" w:rsidRDefault="009B0E7F" w:rsidP="009B0E7F">
            <w:pPr>
              <w:jc w:val="center"/>
              <w:rPr>
                <w:b/>
                <w:sz w:val="20"/>
                <w:szCs w:val="20"/>
              </w:rPr>
            </w:pPr>
            <w:r w:rsidRPr="00DC3FD7">
              <w:rPr>
                <w:b/>
                <w:sz w:val="20"/>
                <w:szCs w:val="20"/>
              </w:rPr>
              <w:t>Value</w:t>
            </w:r>
          </w:p>
        </w:tc>
      </w:tr>
      <w:tr w:rsidR="00C80D48" w:rsidRPr="00DC3FD7" w14:paraId="269B66CB" w14:textId="77777777" w:rsidTr="00235D4A">
        <w:trPr>
          <w:cantSplit/>
        </w:trPr>
        <w:tc>
          <w:tcPr>
            <w:tcW w:w="2402" w:type="dxa"/>
            <w:vAlign w:val="center"/>
          </w:tcPr>
          <w:p w14:paraId="269B66C9" w14:textId="77777777" w:rsidR="009B0E7F" w:rsidRPr="00DC3FD7" w:rsidRDefault="009B0E7F" w:rsidP="009B0E7F">
            <w:pPr>
              <w:rPr>
                <w:b/>
                <w:sz w:val="20"/>
                <w:szCs w:val="20"/>
              </w:rPr>
            </w:pPr>
            <w:r w:rsidRPr="00DC3FD7">
              <w:rPr>
                <w:b/>
                <w:sz w:val="20"/>
                <w:szCs w:val="20"/>
              </w:rPr>
              <w:t>Summary &amp; Purpose</w:t>
            </w:r>
          </w:p>
        </w:tc>
        <w:tc>
          <w:tcPr>
            <w:tcW w:w="8280" w:type="dxa"/>
          </w:tcPr>
          <w:p w14:paraId="269B66CA" w14:textId="0153ED99" w:rsidR="009B0E7F" w:rsidRPr="00DC3FD7" w:rsidRDefault="009B0E7F" w:rsidP="003D547E">
            <w:pPr>
              <w:rPr>
                <w:rFonts w:cs="Arial"/>
                <w:sz w:val="20"/>
                <w:szCs w:val="20"/>
              </w:rPr>
            </w:pPr>
            <w:r w:rsidRPr="00DC3FD7">
              <w:rPr>
                <w:rFonts w:cs="Arial"/>
                <w:sz w:val="20"/>
                <w:szCs w:val="20"/>
              </w:rPr>
              <w:t>This short form workpaper documents ex-ante load impact</w:t>
            </w:r>
            <w:r w:rsidR="00F2382E">
              <w:rPr>
                <w:rFonts w:cs="Arial"/>
                <w:sz w:val="20"/>
                <w:szCs w:val="20"/>
              </w:rPr>
              <w:t xml:space="preserve">s cost-effectiveness values for </w:t>
            </w:r>
            <w:r w:rsidR="00A450B1">
              <w:rPr>
                <w:rFonts w:cs="Arial"/>
                <w:sz w:val="20"/>
                <w:szCs w:val="20"/>
              </w:rPr>
              <w:t xml:space="preserve">large </w:t>
            </w:r>
            <w:r w:rsidR="00F718E4">
              <w:rPr>
                <w:rFonts w:cs="Arial"/>
                <w:sz w:val="20"/>
                <w:szCs w:val="20"/>
              </w:rPr>
              <w:t xml:space="preserve">storage </w:t>
            </w:r>
            <w:r w:rsidR="00B3082D" w:rsidRPr="00DC3FD7">
              <w:rPr>
                <w:rFonts w:cs="Arial"/>
                <w:sz w:val="20"/>
                <w:szCs w:val="20"/>
              </w:rPr>
              <w:t xml:space="preserve">water heaters for commercial </w:t>
            </w:r>
            <w:r w:rsidR="00F2382E">
              <w:rPr>
                <w:rFonts w:cs="Arial"/>
                <w:sz w:val="20"/>
                <w:szCs w:val="20"/>
              </w:rPr>
              <w:t xml:space="preserve">and indusial </w:t>
            </w:r>
            <w:r w:rsidR="00B3082D" w:rsidRPr="00DC3FD7">
              <w:rPr>
                <w:rFonts w:cs="Arial"/>
                <w:sz w:val="20"/>
                <w:szCs w:val="20"/>
              </w:rPr>
              <w:t>applications.</w:t>
            </w:r>
            <w:r w:rsidRPr="00DC3FD7">
              <w:rPr>
                <w:rFonts w:cs="Arial"/>
                <w:sz w:val="20"/>
                <w:szCs w:val="20"/>
              </w:rPr>
              <w:t xml:space="preserve"> The cost values are adopted from SCG’s workpaper</w:t>
            </w:r>
            <w:r w:rsidR="00F2382E">
              <w:rPr>
                <w:rFonts w:cs="Arial"/>
                <w:sz w:val="20"/>
                <w:szCs w:val="20"/>
              </w:rPr>
              <w:t xml:space="preserve"> </w:t>
            </w:r>
            <w:r w:rsidR="00B3082D" w:rsidRPr="00DC3FD7">
              <w:rPr>
                <w:rFonts w:cs="Arial"/>
                <w:sz w:val="20"/>
                <w:szCs w:val="20"/>
              </w:rPr>
              <w:t>as described in the revision history above herein</w:t>
            </w:r>
            <w:r w:rsidR="00044D10">
              <w:rPr>
                <w:rFonts w:cs="Arial"/>
                <w:sz w:val="20"/>
                <w:szCs w:val="20"/>
              </w:rPr>
              <w:t xml:space="preserve">.  All </w:t>
            </w:r>
            <w:r w:rsidR="00A450B1">
              <w:rPr>
                <w:rFonts w:cs="Arial"/>
                <w:sz w:val="20"/>
                <w:szCs w:val="20"/>
              </w:rPr>
              <w:t xml:space="preserve">measures definitions and </w:t>
            </w:r>
            <w:r w:rsidR="00044D10">
              <w:rPr>
                <w:rFonts w:cs="Arial"/>
                <w:sz w:val="20"/>
                <w:szCs w:val="20"/>
              </w:rPr>
              <w:t xml:space="preserve">savings </w:t>
            </w:r>
            <w:r w:rsidRPr="00DC3FD7">
              <w:rPr>
                <w:rFonts w:cs="Arial"/>
                <w:sz w:val="20"/>
                <w:szCs w:val="20"/>
              </w:rPr>
              <w:t xml:space="preserve">parameters are </w:t>
            </w:r>
            <w:r w:rsidR="00A450B1">
              <w:rPr>
                <w:rFonts w:cs="Arial"/>
                <w:sz w:val="20"/>
                <w:szCs w:val="20"/>
              </w:rPr>
              <w:t xml:space="preserve">adopted </w:t>
            </w:r>
            <w:r w:rsidR="001A1D6C">
              <w:rPr>
                <w:rFonts w:cs="Arial"/>
                <w:sz w:val="20"/>
                <w:szCs w:val="20"/>
              </w:rPr>
              <w:t xml:space="preserve">from DEER database, as stated herein. </w:t>
            </w:r>
          </w:p>
        </w:tc>
      </w:tr>
      <w:tr w:rsidR="00C80D48" w:rsidRPr="009B0E7F" w14:paraId="269B66CF" w14:textId="77777777" w:rsidTr="00235D4A">
        <w:trPr>
          <w:cantSplit/>
        </w:trPr>
        <w:tc>
          <w:tcPr>
            <w:tcW w:w="2402" w:type="dxa"/>
            <w:vAlign w:val="center"/>
          </w:tcPr>
          <w:p w14:paraId="269B66CC" w14:textId="77777777" w:rsidR="009B0E7F" w:rsidRPr="009B0E7F" w:rsidRDefault="009B0E7F" w:rsidP="009B0E7F">
            <w:pPr>
              <w:rPr>
                <w:b/>
              </w:rPr>
            </w:pPr>
            <w:r w:rsidRPr="009B0E7F">
              <w:rPr>
                <w:b/>
              </w:rPr>
              <w:t>1.1 Measure &amp; Baseline Data</w:t>
            </w:r>
          </w:p>
        </w:tc>
        <w:tc>
          <w:tcPr>
            <w:tcW w:w="8280" w:type="dxa"/>
          </w:tcPr>
          <w:p w14:paraId="139BE136" w14:textId="77777777" w:rsidR="0036322C" w:rsidRPr="0036322C" w:rsidRDefault="0036322C" w:rsidP="009B0E7F">
            <w:pPr>
              <w:rPr>
                <w:rFonts w:cs="Arial"/>
                <w:sz w:val="20"/>
                <w:szCs w:val="20"/>
              </w:rPr>
            </w:pPr>
          </w:p>
          <w:p w14:paraId="269B66CD" w14:textId="21D56BF9" w:rsidR="008A739C" w:rsidRPr="0036322C" w:rsidRDefault="0036322C" w:rsidP="009B0E7F">
            <w:pPr>
              <w:rPr>
                <w:rFonts w:cs="Arial"/>
                <w:sz w:val="20"/>
                <w:szCs w:val="20"/>
              </w:rPr>
            </w:pPr>
            <w:r w:rsidRPr="0036322C">
              <w:rPr>
                <w:rFonts w:cs="Arial"/>
                <w:sz w:val="20"/>
                <w:szCs w:val="20"/>
              </w:rPr>
              <w:t>DEER m</w:t>
            </w:r>
            <w:r w:rsidR="009258E5" w:rsidRPr="0036322C">
              <w:rPr>
                <w:rFonts w:cs="Arial"/>
                <w:sz w:val="20"/>
                <w:szCs w:val="20"/>
              </w:rPr>
              <w:t>easure</w:t>
            </w:r>
            <w:r w:rsidR="00EB0A9A" w:rsidRPr="0036322C">
              <w:rPr>
                <w:rFonts w:cs="Arial"/>
                <w:sz w:val="20"/>
                <w:szCs w:val="20"/>
              </w:rPr>
              <w:t xml:space="preserve"> </w:t>
            </w:r>
            <w:r w:rsidRPr="0036322C">
              <w:rPr>
                <w:rFonts w:cs="Arial"/>
                <w:sz w:val="20"/>
                <w:szCs w:val="20"/>
              </w:rPr>
              <w:t>d</w:t>
            </w:r>
            <w:r w:rsidR="00EB0A9A" w:rsidRPr="0036322C">
              <w:rPr>
                <w:rFonts w:cs="Arial"/>
                <w:sz w:val="20"/>
                <w:szCs w:val="20"/>
              </w:rPr>
              <w:t xml:space="preserve">efinitions have been modified by </w:t>
            </w:r>
            <w:r w:rsidRPr="0036322C">
              <w:rPr>
                <w:rFonts w:cs="Arial"/>
                <w:sz w:val="20"/>
                <w:szCs w:val="20"/>
              </w:rPr>
              <w:t xml:space="preserve">the </w:t>
            </w:r>
            <w:r w:rsidR="00EB0A9A" w:rsidRPr="0036322C">
              <w:rPr>
                <w:rFonts w:cs="Arial"/>
                <w:sz w:val="20"/>
                <w:szCs w:val="20"/>
              </w:rPr>
              <w:t>SCG workpaper a</w:t>
            </w:r>
            <w:r w:rsidR="009258E5" w:rsidRPr="0036322C">
              <w:rPr>
                <w:rFonts w:cs="Arial"/>
                <w:sz w:val="20"/>
                <w:szCs w:val="20"/>
              </w:rPr>
              <w:t>s noted herein.</w:t>
            </w:r>
          </w:p>
          <w:p w14:paraId="25DADA95" w14:textId="163246DE" w:rsidR="00B3082D" w:rsidRPr="0036322C" w:rsidRDefault="0036322C" w:rsidP="009B0E7F">
            <w:pPr>
              <w:rPr>
                <w:rFonts w:cs="Arial"/>
                <w:sz w:val="20"/>
                <w:szCs w:val="20"/>
              </w:rPr>
            </w:pPr>
            <w:r w:rsidRPr="0036322C">
              <w:rPr>
                <w:rFonts w:cs="Arial"/>
                <w:sz w:val="20"/>
                <w:szCs w:val="20"/>
              </w:rPr>
              <w:t xml:space="preserve"> </w:t>
            </w:r>
          </w:p>
          <w:tbl>
            <w:tblPr>
              <w:tblStyle w:val="TableGrid"/>
              <w:tblW w:w="9053" w:type="dxa"/>
              <w:tblLook w:val="04A0" w:firstRow="1" w:lastRow="0" w:firstColumn="1" w:lastColumn="0" w:noHBand="0" w:noVBand="1"/>
            </w:tblPr>
            <w:tblGrid>
              <w:gridCol w:w="1058"/>
              <w:gridCol w:w="2059"/>
              <w:gridCol w:w="3358"/>
              <w:gridCol w:w="2578"/>
            </w:tblGrid>
            <w:tr w:rsidR="00122A60" w:rsidRPr="0036322C" w14:paraId="75489BA5" w14:textId="5B827086" w:rsidTr="00862B56">
              <w:tc>
                <w:tcPr>
                  <w:tcW w:w="1058" w:type="dxa"/>
                </w:tcPr>
                <w:p w14:paraId="5384691F" w14:textId="1DFFEFC0" w:rsidR="00122A60" w:rsidRPr="0036322C" w:rsidRDefault="00122A60" w:rsidP="00B3082D">
                  <w:pPr>
                    <w:rPr>
                      <w:rFonts w:cs="Arial"/>
                      <w:sz w:val="20"/>
                      <w:szCs w:val="20"/>
                    </w:rPr>
                  </w:pPr>
                  <w:r w:rsidRPr="0036322C">
                    <w:rPr>
                      <w:sz w:val="20"/>
                      <w:szCs w:val="20"/>
                    </w:rPr>
                    <w:t>SDGE Imp. ID</w:t>
                  </w:r>
                </w:p>
              </w:tc>
              <w:tc>
                <w:tcPr>
                  <w:tcW w:w="2059" w:type="dxa"/>
                </w:tcPr>
                <w:p w14:paraId="6CB2FAD4" w14:textId="472117F1" w:rsidR="00122A60" w:rsidRPr="0036322C" w:rsidRDefault="00122A60" w:rsidP="00B3082D">
                  <w:pPr>
                    <w:rPr>
                      <w:rFonts w:cs="Arial"/>
                      <w:sz w:val="20"/>
                      <w:szCs w:val="20"/>
                    </w:rPr>
                  </w:pPr>
                  <w:r w:rsidRPr="0036322C">
                    <w:rPr>
                      <w:rFonts w:cs="Arial"/>
                      <w:sz w:val="20"/>
                      <w:szCs w:val="20"/>
                    </w:rPr>
                    <w:t>Measure ID</w:t>
                  </w:r>
                </w:p>
              </w:tc>
              <w:tc>
                <w:tcPr>
                  <w:tcW w:w="3358" w:type="dxa"/>
                </w:tcPr>
                <w:p w14:paraId="294D9486" w14:textId="7145C992" w:rsidR="00122A60" w:rsidRPr="0036322C" w:rsidRDefault="00122A60" w:rsidP="00B3082D">
                  <w:pPr>
                    <w:rPr>
                      <w:rFonts w:cs="Arial"/>
                      <w:sz w:val="20"/>
                      <w:szCs w:val="20"/>
                    </w:rPr>
                  </w:pPr>
                  <w:r>
                    <w:rPr>
                      <w:rFonts w:cs="Arial"/>
                      <w:sz w:val="20"/>
                      <w:szCs w:val="20"/>
                    </w:rPr>
                    <w:t>D</w:t>
                  </w:r>
                  <w:r w:rsidRPr="0036322C">
                    <w:rPr>
                      <w:rFonts w:cs="Arial"/>
                      <w:sz w:val="20"/>
                      <w:szCs w:val="20"/>
                    </w:rPr>
                    <w:t>EER Measures Description</w:t>
                  </w:r>
                </w:p>
              </w:tc>
              <w:tc>
                <w:tcPr>
                  <w:tcW w:w="2578" w:type="dxa"/>
                </w:tcPr>
                <w:p w14:paraId="3623A710" w14:textId="6F6EED46" w:rsidR="00122A60" w:rsidRPr="0036322C" w:rsidRDefault="0087167E" w:rsidP="00B3082D">
                  <w:pPr>
                    <w:rPr>
                      <w:rFonts w:cs="Arial"/>
                      <w:sz w:val="20"/>
                      <w:szCs w:val="20"/>
                    </w:rPr>
                  </w:pPr>
                  <w:r>
                    <w:rPr>
                      <w:rFonts w:cs="Arial"/>
                      <w:sz w:val="20"/>
                      <w:szCs w:val="20"/>
                    </w:rPr>
                    <w:t>Baseline Description</w:t>
                  </w:r>
                </w:p>
              </w:tc>
            </w:tr>
            <w:tr w:rsidR="002818BD" w:rsidRPr="0036322C" w14:paraId="216B0605" w14:textId="52C2EFBF" w:rsidTr="00862B56">
              <w:tc>
                <w:tcPr>
                  <w:tcW w:w="1058" w:type="dxa"/>
                </w:tcPr>
                <w:p w14:paraId="49450294" w14:textId="57BED49A" w:rsidR="002818BD" w:rsidRPr="0036322C" w:rsidRDefault="002818BD" w:rsidP="002818BD">
                  <w:pPr>
                    <w:rPr>
                      <w:rFonts w:cs="Arial"/>
                      <w:sz w:val="20"/>
                      <w:szCs w:val="20"/>
                    </w:rPr>
                  </w:pPr>
                  <w:bookmarkStart w:id="3" w:name="_Hlk502243077"/>
                  <w:r w:rsidRPr="0036322C">
                    <w:rPr>
                      <w:rFonts w:cs="Arial"/>
                      <w:sz w:val="20"/>
                      <w:szCs w:val="20"/>
                    </w:rPr>
                    <w:t>Refer to ex-ante table</w:t>
                  </w:r>
                </w:p>
              </w:tc>
              <w:tc>
                <w:tcPr>
                  <w:tcW w:w="2059" w:type="dxa"/>
                  <w:tcBorders>
                    <w:top w:val="single" w:sz="4" w:space="0" w:color="auto"/>
                    <w:left w:val="single" w:sz="4" w:space="0" w:color="auto"/>
                    <w:bottom w:val="single" w:sz="4" w:space="0" w:color="auto"/>
                    <w:right w:val="single" w:sz="4" w:space="0" w:color="auto"/>
                  </w:tcBorders>
                  <w:vAlign w:val="center"/>
                </w:tcPr>
                <w:p w14:paraId="07B723D1" w14:textId="77777777" w:rsidR="002818BD" w:rsidRPr="00794E66" w:rsidRDefault="002818BD" w:rsidP="002818BD">
                  <w:pPr>
                    <w:jc w:val="center"/>
                    <w:rPr>
                      <w:rFonts w:ascii="Calibri" w:hAnsi="Calibri" w:cs="Calibri"/>
                      <w:sz w:val="18"/>
                      <w:szCs w:val="18"/>
                    </w:rPr>
                  </w:pPr>
                  <w:r w:rsidRPr="00794E66">
                    <w:rPr>
                      <w:rFonts w:ascii="Calibri" w:hAnsi="Calibri" w:cs="Calibri"/>
                      <w:sz w:val="18"/>
                      <w:szCs w:val="18"/>
                    </w:rPr>
                    <w:t>NG-WtrHt-LrgStrg-Gas-gte75kBtuh-0p83Et</w:t>
                  </w:r>
                </w:p>
                <w:p w14:paraId="68325269" w14:textId="67136F79" w:rsidR="002818BD" w:rsidRPr="0036322C" w:rsidRDefault="002818BD" w:rsidP="002818BD">
                  <w:pPr>
                    <w:rPr>
                      <w:rFonts w:cs="Arial"/>
                      <w:sz w:val="20"/>
                      <w:szCs w:val="20"/>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D906287" w14:textId="3646767B" w:rsidR="002818BD" w:rsidRPr="0036322C" w:rsidRDefault="002818BD" w:rsidP="002818BD">
                  <w:pPr>
                    <w:rPr>
                      <w:rFonts w:cs="Arial"/>
                      <w:sz w:val="20"/>
                      <w:szCs w:val="20"/>
                    </w:rPr>
                  </w:pPr>
                  <w:r w:rsidRPr="00931D39">
                    <w:rPr>
                      <w:rFonts w:ascii="Calibri" w:hAnsi="Calibri" w:cs="Calibri"/>
                      <w:sz w:val="18"/>
                      <w:szCs w:val="22"/>
                    </w:rPr>
                    <w:t xml:space="preserve">Large Storage Water heater with input rating greater than 75 </w:t>
                  </w:r>
                  <w:proofErr w:type="spellStart"/>
                  <w:r w:rsidRPr="00931D39">
                    <w:rPr>
                      <w:rFonts w:ascii="Calibri" w:hAnsi="Calibri" w:cs="Calibri"/>
                      <w:sz w:val="18"/>
                      <w:szCs w:val="22"/>
                    </w:rPr>
                    <w:t>kBTUh</w:t>
                  </w:r>
                  <w:proofErr w:type="spellEnd"/>
                  <w:r w:rsidRPr="00931D39">
                    <w:rPr>
                      <w:rFonts w:ascii="Calibri" w:hAnsi="Calibri" w:cs="Calibri"/>
                      <w:sz w:val="18"/>
                      <w:szCs w:val="22"/>
                    </w:rPr>
                    <w:t xml:space="preserve"> and/or one of the following</w:t>
                  </w:r>
                  <w:r w:rsidRPr="00931D39">
                    <w:rPr>
                      <w:rFonts w:ascii="Calibri" w:hAnsi="Calibri" w:cs="Calibri"/>
                      <w:sz w:val="18"/>
                      <w:szCs w:val="22"/>
                    </w:rPr>
                    <w:br/>
                    <w:t xml:space="preserve">    • Thermal Efficiency greater than 83%</w:t>
                  </w:r>
                  <w:r w:rsidRPr="00931D39">
                    <w:rPr>
                      <w:rFonts w:ascii="Calibri" w:hAnsi="Calibri" w:cs="Calibri"/>
                      <w:sz w:val="18"/>
                      <w:szCs w:val="22"/>
                    </w:rPr>
                    <w:br/>
                    <w:t xml:space="preserve">    • UEF ≥ .48 for Medium Draw Units</w:t>
                  </w:r>
                  <w:r w:rsidRPr="00931D39">
                    <w:rPr>
                      <w:rFonts w:ascii="Calibri" w:hAnsi="Calibri" w:cs="Calibri"/>
                      <w:sz w:val="18"/>
                      <w:szCs w:val="22"/>
                    </w:rPr>
                    <w:br/>
                    <w:t xml:space="preserve">    • UEF ≥ .56 for High Draw Units</w:t>
                  </w:r>
                </w:p>
              </w:tc>
              <w:tc>
                <w:tcPr>
                  <w:tcW w:w="2578" w:type="dxa"/>
                  <w:tcBorders>
                    <w:top w:val="single" w:sz="4" w:space="0" w:color="auto"/>
                    <w:left w:val="single" w:sz="4" w:space="0" w:color="auto"/>
                    <w:bottom w:val="single" w:sz="4" w:space="0" w:color="auto"/>
                    <w:right w:val="single" w:sz="4" w:space="0" w:color="auto"/>
                  </w:tcBorders>
                  <w:shd w:val="clear" w:color="auto" w:fill="auto"/>
                  <w:vAlign w:val="center"/>
                </w:tcPr>
                <w:p w14:paraId="1B745299" w14:textId="6DB7DB79" w:rsidR="002818BD" w:rsidRPr="0036322C" w:rsidRDefault="002818BD" w:rsidP="002818BD">
                  <w:pPr>
                    <w:rPr>
                      <w:rFonts w:ascii="Calibri" w:hAnsi="Calibri" w:cs="Calibri"/>
                      <w:sz w:val="20"/>
                      <w:szCs w:val="20"/>
                    </w:rPr>
                  </w:pPr>
                  <w:r w:rsidRPr="00931D39">
                    <w:rPr>
                      <w:rFonts w:ascii="Calibri" w:hAnsi="Calibri" w:cs="Calibri"/>
                      <w:sz w:val="18"/>
                      <w:szCs w:val="22"/>
                    </w:rPr>
                    <w:t xml:space="preserve">Large Gas Storage Water Heater, Et = 0.80, </w:t>
                  </w:r>
                  <w:proofErr w:type="spellStart"/>
                  <w:r w:rsidRPr="00931D39">
                    <w:rPr>
                      <w:rFonts w:ascii="Calibri" w:hAnsi="Calibri" w:cs="Calibri"/>
                      <w:sz w:val="18"/>
                      <w:szCs w:val="22"/>
                    </w:rPr>
                    <w:t>Stdby</w:t>
                  </w:r>
                  <w:proofErr w:type="spellEnd"/>
                  <w:r w:rsidRPr="00931D39">
                    <w:rPr>
                      <w:rFonts w:ascii="Calibri" w:hAnsi="Calibri" w:cs="Calibri"/>
                      <w:sz w:val="18"/>
                      <w:szCs w:val="22"/>
                    </w:rPr>
                    <w:t xml:space="preserve"> Loss = 0.56%/</w:t>
                  </w:r>
                  <w:proofErr w:type="spellStart"/>
                  <w:r w:rsidRPr="00931D39">
                    <w:rPr>
                      <w:rFonts w:ascii="Calibri" w:hAnsi="Calibri" w:cs="Calibri"/>
                      <w:sz w:val="18"/>
                      <w:szCs w:val="22"/>
                    </w:rPr>
                    <w:t>hr</w:t>
                  </w:r>
                  <w:proofErr w:type="spellEnd"/>
                </w:p>
              </w:tc>
            </w:tr>
            <w:tr w:rsidR="002818BD" w:rsidRPr="0036322C" w14:paraId="367BC877" w14:textId="5F24A9F7" w:rsidTr="00862B56">
              <w:tc>
                <w:tcPr>
                  <w:tcW w:w="1058" w:type="dxa"/>
                </w:tcPr>
                <w:p w14:paraId="47DF7E77" w14:textId="6E43D059" w:rsidR="002818BD" w:rsidRPr="0036322C" w:rsidRDefault="002818BD" w:rsidP="002818BD">
                  <w:pPr>
                    <w:rPr>
                      <w:rFonts w:cs="Arial"/>
                      <w:sz w:val="20"/>
                      <w:szCs w:val="20"/>
                    </w:rPr>
                  </w:pPr>
                  <w:r w:rsidRPr="0036322C">
                    <w:rPr>
                      <w:rFonts w:cs="Arial"/>
                      <w:sz w:val="20"/>
                      <w:szCs w:val="20"/>
                    </w:rPr>
                    <w:t>Refer to ex-ante table</w:t>
                  </w:r>
                </w:p>
              </w:tc>
              <w:tc>
                <w:tcPr>
                  <w:tcW w:w="2059" w:type="dxa"/>
                  <w:tcBorders>
                    <w:top w:val="single" w:sz="4" w:space="0" w:color="auto"/>
                    <w:left w:val="single" w:sz="4" w:space="0" w:color="auto"/>
                    <w:bottom w:val="single" w:sz="4" w:space="0" w:color="auto"/>
                    <w:right w:val="single" w:sz="4" w:space="0" w:color="auto"/>
                  </w:tcBorders>
                  <w:vAlign w:val="center"/>
                </w:tcPr>
                <w:p w14:paraId="17E5B25D" w14:textId="77777777" w:rsidR="002818BD" w:rsidRPr="00794E66" w:rsidRDefault="002818BD" w:rsidP="002818BD">
                  <w:pPr>
                    <w:jc w:val="center"/>
                    <w:rPr>
                      <w:rFonts w:ascii="Calibri" w:hAnsi="Calibri" w:cs="Calibri"/>
                      <w:sz w:val="18"/>
                      <w:szCs w:val="18"/>
                    </w:rPr>
                  </w:pPr>
                  <w:r w:rsidRPr="00794E66">
                    <w:rPr>
                      <w:rFonts w:ascii="Calibri" w:hAnsi="Calibri" w:cs="Calibri"/>
                      <w:sz w:val="18"/>
                      <w:szCs w:val="18"/>
                    </w:rPr>
                    <w:t>NG-WtrHt-LrgStrg-Gas-gte75kBtuh-0p90Et</w:t>
                  </w:r>
                </w:p>
                <w:p w14:paraId="28ADA9FB" w14:textId="28F4A1FD" w:rsidR="002818BD" w:rsidRPr="0036322C" w:rsidRDefault="002818BD" w:rsidP="002818BD">
                  <w:pPr>
                    <w:rPr>
                      <w:rFonts w:cs="Arial"/>
                      <w:sz w:val="20"/>
                      <w:szCs w:val="20"/>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95EC41F" w14:textId="483C1810" w:rsidR="002818BD" w:rsidRPr="0036322C" w:rsidRDefault="002818BD" w:rsidP="002818BD">
                  <w:pPr>
                    <w:rPr>
                      <w:rFonts w:cs="Arial"/>
                      <w:sz w:val="20"/>
                      <w:szCs w:val="20"/>
                    </w:rPr>
                  </w:pPr>
                  <w:r w:rsidRPr="00931D39">
                    <w:rPr>
                      <w:rFonts w:ascii="Calibri" w:hAnsi="Calibri" w:cs="Calibri"/>
                      <w:sz w:val="18"/>
                      <w:szCs w:val="22"/>
                    </w:rPr>
                    <w:t xml:space="preserve">Large Storage Water heater with input rating greater than 75 </w:t>
                  </w:r>
                  <w:proofErr w:type="spellStart"/>
                  <w:r w:rsidRPr="00931D39">
                    <w:rPr>
                      <w:rFonts w:ascii="Calibri" w:hAnsi="Calibri" w:cs="Calibri"/>
                      <w:sz w:val="18"/>
                      <w:szCs w:val="22"/>
                    </w:rPr>
                    <w:t>kBTUh</w:t>
                  </w:r>
                  <w:proofErr w:type="spellEnd"/>
                  <w:r w:rsidRPr="00931D39">
                    <w:rPr>
                      <w:rFonts w:ascii="Calibri" w:hAnsi="Calibri" w:cs="Calibri"/>
                      <w:sz w:val="18"/>
                      <w:szCs w:val="22"/>
                    </w:rPr>
                    <w:t xml:space="preserve"> and/or one of the following</w:t>
                  </w:r>
                  <w:r w:rsidRPr="00931D39">
                    <w:rPr>
                      <w:rFonts w:ascii="Calibri" w:hAnsi="Calibri" w:cs="Calibri"/>
                      <w:sz w:val="18"/>
                      <w:szCs w:val="22"/>
                    </w:rPr>
                    <w:br/>
                    <w:t xml:space="preserve">    • Thermal Efficiency greater than 83%</w:t>
                  </w:r>
                  <w:r w:rsidRPr="00931D39">
                    <w:rPr>
                      <w:rFonts w:ascii="Calibri" w:hAnsi="Calibri" w:cs="Calibri"/>
                      <w:sz w:val="18"/>
                      <w:szCs w:val="22"/>
                    </w:rPr>
                    <w:br/>
                    <w:t xml:space="preserve">    • UEF ≥ .48 for Medium Draw Units</w:t>
                  </w:r>
                  <w:r w:rsidRPr="00931D39">
                    <w:rPr>
                      <w:rFonts w:ascii="Calibri" w:hAnsi="Calibri" w:cs="Calibri"/>
                      <w:sz w:val="18"/>
                      <w:szCs w:val="22"/>
                    </w:rPr>
                    <w:br/>
                    <w:t xml:space="preserve">    • UEF ≥ .56 for High Draw Units</w:t>
                  </w:r>
                </w:p>
              </w:tc>
              <w:tc>
                <w:tcPr>
                  <w:tcW w:w="2578" w:type="dxa"/>
                  <w:tcBorders>
                    <w:top w:val="single" w:sz="4" w:space="0" w:color="auto"/>
                    <w:left w:val="single" w:sz="4" w:space="0" w:color="auto"/>
                    <w:bottom w:val="single" w:sz="4" w:space="0" w:color="auto"/>
                    <w:right w:val="single" w:sz="4" w:space="0" w:color="auto"/>
                  </w:tcBorders>
                  <w:shd w:val="clear" w:color="auto" w:fill="auto"/>
                  <w:vAlign w:val="center"/>
                </w:tcPr>
                <w:p w14:paraId="1C99626B" w14:textId="416B937D" w:rsidR="002818BD" w:rsidRPr="0036322C" w:rsidRDefault="002818BD" w:rsidP="002818BD">
                  <w:pPr>
                    <w:rPr>
                      <w:rFonts w:ascii="Calibri" w:hAnsi="Calibri" w:cs="Calibri"/>
                      <w:sz w:val="20"/>
                      <w:szCs w:val="20"/>
                    </w:rPr>
                  </w:pPr>
                  <w:r w:rsidRPr="00931D39">
                    <w:rPr>
                      <w:rFonts w:ascii="Calibri" w:hAnsi="Calibri" w:cs="Calibri"/>
                      <w:sz w:val="18"/>
                      <w:szCs w:val="22"/>
                    </w:rPr>
                    <w:t xml:space="preserve">Large Gas Storage Water Heater, Et = 0.80, </w:t>
                  </w:r>
                  <w:proofErr w:type="spellStart"/>
                  <w:r w:rsidRPr="00931D39">
                    <w:rPr>
                      <w:rFonts w:ascii="Calibri" w:hAnsi="Calibri" w:cs="Calibri"/>
                      <w:sz w:val="18"/>
                      <w:szCs w:val="22"/>
                    </w:rPr>
                    <w:t>Stdby</w:t>
                  </w:r>
                  <w:proofErr w:type="spellEnd"/>
                  <w:r w:rsidRPr="00931D39">
                    <w:rPr>
                      <w:rFonts w:ascii="Calibri" w:hAnsi="Calibri" w:cs="Calibri"/>
                      <w:sz w:val="18"/>
                      <w:szCs w:val="22"/>
                    </w:rPr>
                    <w:t xml:space="preserve"> Loss = 0.56%/</w:t>
                  </w:r>
                  <w:proofErr w:type="spellStart"/>
                  <w:r w:rsidRPr="00931D39">
                    <w:rPr>
                      <w:rFonts w:ascii="Calibri" w:hAnsi="Calibri" w:cs="Calibri"/>
                      <w:sz w:val="18"/>
                      <w:szCs w:val="22"/>
                    </w:rPr>
                    <w:t>hr</w:t>
                  </w:r>
                  <w:proofErr w:type="spellEnd"/>
                </w:p>
              </w:tc>
            </w:tr>
            <w:bookmarkEnd w:id="3"/>
          </w:tbl>
          <w:p w14:paraId="2AE65155" w14:textId="77777777" w:rsidR="007264C7" w:rsidRDefault="007264C7" w:rsidP="007264C7">
            <w:pPr>
              <w:pStyle w:val="WPPR2"/>
              <w:numPr>
                <w:ilvl w:val="0"/>
                <w:numId w:val="0"/>
              </w:numPr>
              <w:rPr>
                <w:rFonts w:cs="Arial"/>
              </w:rPr>
            </w:pPr>
          </w:p>
          <w:p w14:paraId="281AD8B4" w14:textId="77777777" w:rsidR="00FF6330" w:rsidRDefault="00FF6330" w:rsidP="007264C7">
            <w:pPr>
              <w:pStyle w:val="WPPR2"/>
              <w:numPr>
                <w:ilvl w:val="0"/>
                <w:numId w:val="0"/>
              </w:numPr>
              <w:rPr>
                <w:rFonts w:cs="Arial"/>
              </w:rPr>
            </w:pPr>
          </w:p>
          <w:p w14:paraId="54C79202" w14:textId="77777777" w:rsidR="00FF6330" w:rsidRDefault="00FF6330" w:rsidP="007264C7">
            <w:pPr>
              <w:pStyle w:val="WPPR2"/>
              <w:numPr>
                <w:ilvl w:val="0"/>
                <w:numId w:val="0"/>
              </w:numPr>
              <w:rPr>
                <w:rFonts w:cs="Arial"/>
              </w:rPr>
            </w:pPr>
          </w:p>
          <w:p w14:paraId="36D84A0F" w14:textId="77777777" w:rsidR="00FF6330" w:rsidRDefault="00FF6330" w:rsidP="007264C7">
            <w:pPr>
              <w:pStyle w:val="WPPR2"/>
              <w:numPr>
                <w:ilvl w:val="0"/>
                <w:numId w:val="0"/>
              </w:numPr>
              <w:rPr>
                <w:rFonts w:cs="Arial"/>
              </w:rPr>
            </w:pPr>
          </w:p>
          <w:p w14:paraId="269B66CE" w14:textId="073928A1" w:rsidR="00FF6330" w:rsidRPr="0036322C" w:rsidRDefault="00FF6330" w:rsidP="007264C7">
            <w:pPr>
              <w:pStyle w:val="WPPR2"/>
              <w:numPr>
                <w:ilvl w:val="0"/>
                <w:numId w:val="0"/>
              </w:numPr>
              <w:rPr>
                <w:rFonts w:cs="Arial"/>
              </w:rPr>
            </w:pPr>
          </w:p>
        </w:tc>
      </w:tr>
      <w:tr w:rsidR="00C80D48" w:rsidRPr="009B0E7F" w14:paraId="269B66D5" w14:textId="77777777" w:rsidTr="00235D4A">
        <w:trPr>
          <w:cantSplit/>
        </w:trPr>
        <w:tc>
          <w:tcPr>
            <w:tcW w:w="2402" w:type="dxa"/>
            <w:vAlign w:val="center"/>
          </w:tcPr>
          <w:p w14:paraId="269B66D0" w14:textId="77777777" w:rsidR="009B0E7F" w:rsidRPr="009B0E7F" w:rsidRDefault="009B0E7F" w:rsidP="009B0E7F">
            <w:pPr>
              <w:rPr>
                <w:b/>
              </w:rPr>
            </w:pPr>
            <w:r w:rsidRPr="009B0E7F">
              <w:rPr>
                <w:b/>
              </w:rPr>
              <w:lastRenderedPageBreak/>
              <w:t xml:space="preserve">1.2 Technical Description </w:t>
            </w:r>
          </w:p>
        </w:tc>
        <w:tc>
          <w:tcPr>
            <w:tcW w:w="8280" w:type="dxa"/>
          </w:tcPr>
          <w:p w14:paraId="0148E068" w14:textId="77777777" w:rsidR="00FF6330" w:rsidRPr="00E26DBD" w:rsidRDefault="00FF6330" w:rsidP="00FF6330">
            <w:pPr>
              <w:pStyle w:val="Reminder"/>
              <w:rPr>
                <w:rFonts w:cstheme="minorHAnsi"/>
                <w:color w:val="auto"/>
                <w:szCs w:val="22"/>
              </w:rPr>
            </w:pPr>
          </w:p>
          <w:p w14:paraId="63D5B611" w14:textId="77777777" w:rsidR="00FF6330" w:rsidRPr="00920905" w:rsidRDefault="00FF6330" w:rsidP="00FF6330">
            <w:pPr>
              <w:pStyle w:val="Caption"/>
              <w:keepNext/>
              <w:jc w:val="center"/>
              <w:rPr>
                <w:rFonts w:cs="Arial"/>
                <w:szCs w:val="22"/>
              </w:rPr>
            </w:pPr>
            <w:bookmarkStart w:id="4" w:name="_Toc385592671"/>
            <w:r w:rsidRPr="00920905">
              <w:rPr>
                <w:rFonts w:cs="Arial"/>
                <w:szCs w:val="22"/>
              </w:rPr>
              <w:t>DEER Difference Summary</w:t>
            </w:r>
            <w:bookmarkEnd w:id="4"/>
          </w:p>
          <w:tbl>
            <w:tblPr>
              <w:tblStyle w:val="TableGrid1"/>
              <w:tblW w:w="5000" w:type="pct"/>
              <w:tblCellMar>
                <w:left w:w="115" w:type="dxa"/>
                <w:right w:w="115" w:type="dxa"/>
              </w:tblCellMar>
              <w:tblLook w:val="04A0" w:firstRow="1" w:lastRow="0" w:firstColumn="1" w:lastColumn="0" w:noHBand="0" w:noVBand="1"/>
            </w:tblPr>
            <w:tblGrid>
              <w:gridCol w:w="2794"/>
              <w:gridCol w:w="6232"/>
            </w:tblGrid>
            <w:tr w:rsidR="00FF6330" w:rsidRPr="00500C4E" w14:paraId="04AC78C8" w14:textId="77777777" w:rsidTr="00580148">
              <w:trPr>
                <w:trHeight w:val="20"/>
              </w:trPr>
              <w:tc>
                <w:tcPr>
                  <w:tcW w:w="1548" w:type="pct"/>
                  <w:shd w:val="clear" w:color="auto" w:fill="D9D9D9" w:themeFill="background1" w:themeFillShade="D9"/>
                </w:tcPr>
                <w:p w14:paraId="18B6A48A" w14:textId="77777777" w:rsidR="00FF6330" w:rsidRPr="00920905" w:rsidRDefault="00FF6330" w:rsidP="00FF6330">
                  <w:pPr>
                    <w:tabs>
                      <w:tab w:val="right" w:pos="2957"/>
                    </w:tabs>
                    <w:rPr>
                      <w:rFonts w:cs="Arial"/>
                      <w:b/>
                      <w:szCs w:val="20"/>
                    </w:rPr>
                  </w:pPr>
                  <w:r w:rsidRPr="00920905">
                    <w:rPr>
                      <w:rFonts w:cs="Arial"/>
                      <w:b/>
                      <w:szCs w:val="20"/>
                    </w:rPr>
                    <w:t>DEER</w:t>
                  </w:r>
                  <w:r w:rsidRPr="00500C4E">
                    <w:rPr>
                      <w:rFonts w:cs="Arial"/>
                      <w:b/>
                      <w:szCs w:val="20"/>
                    </w:rPr>
                    <w:t xml:space="preserve"> </w:t>
                  </w:r>
                  <w:r>
                    <w:rPr>
                      <w:rFonts w:cs="Arial"/>
                      <w:b/>
                      <w:szCs w:val="20"/>
                    </w:rPr>
                    <w:t>Item</w:t>
                  </w:r>
                </w:p>
              </w:tc>
              <w:tc>
                <w:tcPr>
                  <w:tcW w:w="3452" w:type="pct"/>
                  <w:shd w:val="clear" w:color="auto" w:fill="D9D9D9" w:themeFill="background1" w:themeFillShade="D9"/>
                </w:tcPr>
                <w:p w14:paraId="31D2F276" w14:textId="77777777" w:rsidR="00FF6330" w:rsidRPr="00920905" w:rsidRDefault="00FF6330" w:rsidP="00FF6330">
                  <w:pPr>
                    <w:rPr>
                      <w:rFonts w:cs="Arial"/>
                      <w:b/>
                      <w:szCs w:val="20"/>
                    </w:rPr>
                  </w:pPr>
                  <w:r w:rsidRPr="00920905">
                    <w:rPr>
                      <w:rFonts w:cs="Arial"/>
                      <w:b/>
                      <w:szCs w:val="20"/>
                    </w:rPr>
                    <w:t xml:space="preserve">Used </w:t>
                  </w:r>
                  <w:r>
                    <w:rPr>
                      <w:rFonts w:cs="Arial"/>
                      <w:b/>
                      <w:szCs w:val="20"/>
                    </w:rPr>
                    <w:t>for</w:t>
                  </w:r>
                  <w:r w:rsidRPr="00920905">
                    <w:rPr>
                      <w:rFonts w:cs="Arial"/>
                      <w:b/>
                      <w:szCs w:val="20"/>
                    </w:rPr>
                    <w:t xml:space="preserve"> Workpaper?</w:t>
                  </w:r>
                </w:p>
              </w:tc>
            </w:tr>
            <w:tr w:rsidR="00FF6330" w:rsidRPr="00500C4E" w14:paraId="397D418F" w14:textId="77777777" w:rsidTr="00580148">
              <w:trPr>
                <w:trHeight w:val="20"/>
              </w:trPr>
              <w:tc>
                <w:tcPr>
                  <w:tcW w:w="1548" w:type="pct"/>
                </w:tcPr>
                <w:p w14:paraId="67A230F3" w14:textId="77777777" w:rsidR="00FF6330" w:rsidRPr="00920905" w:rsidRDefault="00FF6330" w:rsidP="00FF6330">
                  <w:pPr>
                    <w:rPr>
                      <w:rFonts w:cs="Arial"/>
                      <w:szCs w:val="20"/>
                    </w:rPr>
                  </w:pPr>
                  <w:r w:rsidRPr="00920905">
                    <w:rPr>
                      <w:rFonts w:cs="Arial"/>
                      <w:szCs w:val="20"/>
                    </w:rPr>
                    <w:t>Modified DEER methodology</w:t>
                  </w:r>
                </w:p>
              </w:tc>
              <w:tc>
                <w:tcPr>
                  <w:tcW w:w="3452" w:type="pct"/>
                </w:tcPr>
                <w:p w14:paraId="543CBF21" w14:textId="54843B5B" w:rsidR="00FF6330" w:rsidRPr="00AB4CD7" w:rsidRDefault="00E55B51" w:rsidP="00FF6330">
                  <w:pPr>
                    <w:rPr>
                      <w:rFonts w:cs="Arial"/>
                      <w:szCs w:val="20"/>
                    </w:rPr>
                  </w:pPr>
                  <w:r>
                    <w:rPr>
                      <w:rFonts w:cs="Arial"/>
                      <w:szCs w:val="20"/>
                    </w:rPr>
                    <w:t>No</w:t>
                  </w:r>
                </w:p>
              </w:tc>
            </w:tr>
            <w:tr w:rsidR="00FF6330" w:rsidRPr="00500C4E" w14:paraId="03771870" w14:textId="77777777" w:rsidTr="00580148">
              <w:trPr>
                <w:trHeight w:val="20"/>
              </w:trPr>
              <w:tc>
                <w:tcPr>
                  <w:tcW w:w="1548" w:type="pct"/>
                </w:tcPr>
                <w:p w14:paraId="1548EC5C" w14:textId="77777777" w:rsidR="00FF6330" w:rsidRPr="00920905" w:rsidRDefault="00FF6330" w:rsidP="00FF6330">
                  <w:pPr>
                    <w:rPr>
                      <w:rFonts w:cs="Arial"/>
                      <w:szCs w:val="20"/>
                    </w:rPr>
                  </w:pPr>
                  <w:r w:rsidRPr="00920905">
                    <w:rPr>
                      <w:rFonts w:cs="Arial"/>
                      <w:szCs w:val="20"/>
                    </w:rPr>
                    <w:t>Scaled DEER measure</w:t>
                  </w:r>
                </w:p>
              </w:tc>
              <w:tc>
                <w:tcPr>
                  <w:tcW w:w="3452" w:type="pct"/>
                </w:tcPr>
                <w:p w14:paraId="29A03DFF" w14:textId="42772B5D" w:rsidR="00FF6330" w:rsidRPr="00AB4CD7" w:rsidRDefault="00E55B51" w:rsidP="00FF6330">
                  <w:pPr>
                    <w:rPr>
                      <w:rFonts w:cs="Arial"/>
                      <w:szCs w:val="20"/>
                    </w:rPr>
                  </w:pPr>
                  <w:r>
                    <w:rPr>
                      <w:rFonts w:cs="Arial"/>
                      <w:szCs w:val="20"/>
                    </w:rPr>
                    <w:t>No</w:t>
                  </w:r>
                </w:p>
              </w:tc>
            </w:tr>
            <w:tr w:rsidR="00FF6330" w:rsidRPr="00500C4E" w14:paraId="7580818F" w14:textId="77777777" w:rsidTr="00580148">
              <w:trPr>
                <w:trHeight w:val="20"/>
              </w:trPr>
              <w:tc>
                <w:tcPr>
                  <w:tcW w:w="1548" w:type="pct"/>
                </w:tcPr>
                <w:p w14:paraId="0AF12807"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609955E1" w14:textId="7097AC4A" w:rsidR="00FF6330" w:rsidRPr="00AB4CD7" w:rsidRDefault="00FF6330" w:rsidP="00FF6330">
                  <w:pPr>
                    <w:rPr>
                      <w:rFonts w:cs="Arial"/>
                      <w:szCs w:val="20"/>
                    </w:rPr>
                  </w:pPr>
                  <w:r w:rsidRPr="00AB4CD7">
                    <w:rPr>
                      <w:rFonts w:cs="Arial"/>
                      <w:szCs w:val="20"/>
                    </w:rPr>
                    <w:t>Y</w:t>
                  </w:r>
                  <w:r w:rsidR="00E55B51">
                    <w:rPr>
                      <w:rFonts w:cs="Arial"/>
                      <w:szCs w:val="20"/>
                    </w:rPr>
                    <w:t>es</w:t>
                  </w:r>
                </w:p>
              </w:tc>
            </w:tr>
            <w:tr w:rsidR="00FF6330" w:rsidRPr="00500C4E" w14:paraId="6ED380C8" w14:textId="77777777" w:rsidTr="00580148">
              <w:trPr>
                <w:trHeight w:val="20"/>
              </w:trPr>
              <w:tc>
                <w:tcPr>
                  <w:tcW w:w="1548" w:type="pct"/>
                </w:tcPr>
                <w:p w14:paraId="5DF74F92"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73B4815B" w14:textId="77777777" w:rsidR="00FF6330" w:rsidRPr="00AB4CD7" w:rsidRDefault="00FF6330" w:rsidP="00FF6330">
                  <w:pPr>
                    <w:rPr>
                      <w:rFonts w:cs="Arial"/>
                      <w:szCs w:val="20"/>
                    </w:rPr>
                  </w:pPr>
                  <w:r w:rsidRPr="00AB4CD7">
                    <w:rPr>
                      <w:rFonts w:cs="Arial"/>
                      <w:szCs w:val="20"/>
                    </w:rPr>
                    <w:t>Yes</w:t>
                  </w:r>
                </w:p>
              </w:tc>
            </w:tr>
            <w:tr w:rsidR="00FF6330" w:rsidRPr="00500C4E" w14:paraId="0B61F9FC" w14:textId="77777777" w:rsidTr="00580148">
              <w:trPr>
                <w:trHeight w:val="20"/>
              </w:trPr>
              <w:tc>
                <w:tcPr>
                  <w:tcW w:w="1548" w:type="pct"/>
                </w:tcPr>
                <w:p w14:paraId="43007B42"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04855D89" w14:textId="77777777" w:rsidR="00FF6330" w:rsidRPr="00AB4CD7" w:rsidRDefault="00FF6330" w:rsidP="00FF6330">
                  <w:pPr>
                    <w:rPr>
                      <w:rFonts w:cs="Arial"/>
                      <w:szCs w:val="20"/>
                    </w:rPr>
                  </w:pPr>
                  <w:r w:rsidRPr="00AB4CD7">
                    <w:rPr>
                      <w:rFonts w:cs="Arial"/>
                      <w:szCs w:val="20"/>
                    </w:rPr>
                    <w:t>Yes</w:t>
                  </w:r>
                </w:p>
              </w:tc>
            </w:tr>
            <w:tr w:rsidR="00FF6330" w:rsidRPr="00500C4E" w14:paraId="527E9D0D" w14:textId="77777777" w:rsidTr="00580148">
              <w:trPr>
                <w:trHeight w:val="20"/>
              </w:trPr>
              <w:tc>
                <w:tcPr>
                  <w:tcW w:w="1548" w:type="pct"/>
                </w:tcPr>
                <w:p w14:paraId="48BFE847"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053EBA52" w14:textId="77777777" w:rsidR="00FF6330" w:rsidRPr="00AB4CD7" w:rsidRDefault="00FF6330" w:rsidP="00FF6330">
                  <w:pPr>
                    <w:rPr>
                      <w:rFonts w:cs="Arial"/>
                      <w:szCs w:val="20"/>
                    </w:rPr>
                  </w:pPr>
                  <w:r w:rsidRPr="00AB4CD7">
                    <w:rPr>
                      <w:rFonts w:cs="Arial"/>
                      <w:szCs w:val="20"/>
                    </w:rPr>
                    <w:t>Yes</w:t>
                  </w:r>
                </w:p>
              </w:tc>
            </w:tr>
            <w:tr w:rsidR="00FF6330" w:rsidRPr="00500C4E" w14:paraId="7678CD3C" w14:textId="77777777" w:rsidTr="00580148">
              <w:trPr>
                <w:trHeight w:val="20"/>
              </w:trPr>
              <w:tc>
                <w:tcPr>
                  <w:tcW w:w="1548" w:type="pct"/>
                </w:tcPr>
                <w:p w14:paraId="5E5BDD94" w14:textId="77777777" w:rsidR="00FF6330" w:rsidRPr="00920905" w:rsidRDefault="00FF6330" w:rsidP="00FF6330">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05505926" w14:textId="77777777" w:rsidR="00FF6330" w:rsidRPr="00AB4CD7" w:rsidDel="00505CEC" w:rsidRDefault="00FF6330" w:rsidP="00FF6330">
                  <w:pPr>
                    <w:tabs>
                      <w:tab w:val="left" w:pos="810"/>
                    </w:tabs>
                    <w:rPr>
                      <w:rFonts w:cs="Arial"/>
                      <w:szCs w:val="20"/>
                    </w:rPr>
                  </w:pPr>
                  <w:r w:rsidRPr="00AB4CD7">
                    <w:rPr>
                      <w:rFonts w:cs="Arial"/>
                      <w:szCs w:val="20"/>
                    </w:rPr>
                    <w:t>N/A</w:t>
                  </w:r>
                </w:p>
              </w:tc>
            </w:tr>
            <w:tr w:rsidR="00FF6330" w:rsidRPr="00500C4E" w14:paraId="23D7422E" w14:textId="77777777" w:rsidTr="00580148">
              <w:trPr>
                <w:trHeight w:val="20"/>
              </w:trPr>
              <w:tc>
                <w:tcPr>
                  <w:tcW w:w="1548" w:type="pct"/>
                </w:tcPr>
                <w:p w14:paraId="13666D1D" w14:textId="77777777" w:rsidR="00FF6330" w:rsidRPr="00500C4E" w:rsidRDefault="00FF6330" w:rsidP="00FF6330">
                  <w:pPr>
                    <w:rPr>
                      <w:rFonts w:cs="Arial"/>
                      <w:szCs w:val="20"/>
                    </w:rPr>
                  </w:pPr>
                  <w:r w:rsidRPr="00500C4E">
                    <w:rPr>
                      <w:rFonts w:cs="Arial"/>
                      <w:szCs w:val="20"/>
                    </w:rPr>
                    <w:t>DEER Version</w:t>
                  </w:r>
                </w:p>
              </w:tc>
              <w:tc>
                <w:tcPr>
                  <w:tcW w:w="3452" w:type="pct"/>
                </w:tcPr>
                <w:p w14:paraId="5B749DD1" w14:textId="40840A4E" w:rsidR="00FF6330" w:rsidRPr="00AB4CD7" w:rsidRDefault="00FF6330" w:rsidP="00FF6330">
                  <w:pPr>
                    <w:rPr>
                      <w:rFonts w:cs="Arial"/>
                      <w:szCs w:val="20"/>
                    </w:rPr>
                  </w:pPr>
                  <w:r>
                    <w:rPr>
                      <w:rFonts w:cstheme="minorHAnsi"/>
                      <w:szCs w:val="20"/>
                    </w:rPr>
                    <w:t xml:space="preserve">DEER </w:t>
                  </w:r>
                  <w:r w:rsidR="00C04DFE">
                    <w:rPr>
                      <w:rFonts w:cstheme="minorHAnsi"/>
                      <w:szCs w:val="20"/>
                    </w:rPr>
                    <w:t>20</w:t>
                  </w:r>
                  <w:r w:rsidR="00465BCE">
                    <w:rPr>
                      <w:rFonts w:cstheme="minorHAnsi"/>
                      <w:szCs w:val="20"/>
                    </w:rPr>
                    <w:t>14</w:t>
                  </w:r>
                  <w:r w:rsidR="009774B0">
                    <w:rPr>
                      <w:rFonts w:cstheme="minorHAnsi"/>
                      <w:szCs w:val="20"/>
                    </w:rPr>
                    <w:t xml:space="preserve"> (Qualifier: DEER_for_2014)</w:t>
                  </w:r>
                </w:p>
              </w:tc>
            </w:tr>
            <w:tr w:rsidR="00FF6330" w:rsidRPr="00500C4E" w14:paraId="268277BA" w14:textId="77777777" w:rsidTr="00580148">
              <w:trPr>
                <w:trHeight w:val="20"/>
              </w:trPr>
              <w:tc>
                <w:tcPr>
                  <w:tcW w:w="1548" w:type="pct"/>
                </w:tcPr>
                <w:p w14:paraId="14129DBB" w14:textId="77777777" w:rsidR="00FF6330" w:rsidRPr="00920905" w:rsidRDefault="00FF6330" w:rsidP="00FF6330">
                  <w:pPr>
                    <w:rPr>
                      <w:rFonts w:cs="Arial"/>
                      <w:szCs w:val="20"/>
                    </w:rPr>
                  </w:pPr>
                  <w:r w:rsidRPr="00920905">
                    <w:rPr>
                      <w:rFonts w:cs="Arial"/>
                      <w:szCs w:val="20"/>
                    </w:rPr>
                    <w:t>Reason for Deviation from DEER</w:t>
                  </w:r>
                </w:p>
              </w:tc>
              <w:tc>
                <w:tcPr>
                  <w:tcW w:w="3452" w:type="pct"/>
                </w:tcPr>
                <w:p w14:paraId="2939B932" w14:textId="77777777" w:rsidR="00FF6330" w:rsidRPr="00AB4CD7" w:rsidRDefault="00FF6330" w:rsidP="00FF6330">
                  <w:pPr>
                    <w:rPr>
                      <w:rFonts w:cs="Arial"/>
                      <w:szCs w:val="20"/>
                    </w:rPr>
                  </w:pPr>
                  <w:r w:rsidRPr="00AB4CD7">
                    <w:rPr>
                      <w:rFonts w:cs="Arial"/>
                      <w:szCs w:val="20"/>
                    </w:rPr>
                    <w:t>N/A</w:t>
                  </w:r>
                </w:p>
              </w:tc>
            </w:tr>
            <w:tr w:rsidR="00FF6330" w:rsidRPr="00500C4E" w14:paraId="5A8CE0DE" w14:textId="77777777" w:rsidTr="00580148">
              <w:trPr>
                <w:trHeight w:val="20"/>
              </w:trPr>
              <w:tc>
                <w:tcPr>
                  <w:tcW w:w="1548" w:type="pct"/>
                </w:tcPr>
                <w:p w14:paraId="7637D5C3"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tbl>
                  <w:tblPr>
                    <w:tblW w:w="5334" w:type="dxa"/>
                    <w:tblLook w:val="04A0" w:firstRow="1" w:lastRow="0" w:firstColumn="1" w:lastColumn="0" w:noHBand="0" w:noVBand="1"/>
                  </w:tblPr>
                  <w:tblGrid>
                    <w:gridCol w:w="5334"/>
                  </w:tblGrid>
                  <w:tr w:rsidR="00FF6330" w:rsidRPr="00EA5BE1" w14:paraId="2912828B" w14:textId="77777777" w:rsidTr="004D11D9">
                    <w:trPr>
                      <w:trHeight w:val="80"/>
                    </w:trPr>
                    <w:tc>
                      <w:tcPr>
                        <w:tcW w:w="5334" w:type="dxa"/>
                        <w:tcBorders>
                          <w:top w:val="nil"/>
                          <w:left w:val="nil"/>
                          <w:bottom w:val="nil"/>
                          <w:right w:val="nil"/>
                        </w:tcBorders>
                        <w:shd w:val="clear" w:color="auto" w:fill="auto"/>
                        <w:noWrap/>
                        <w:vAlign w:val="bottom"/>
                        <w:hideMark/>
                      </w:tcPr>
                      <w:p w14:paraId="1F4BCA04" w14:textId="77777777" w:rsidR="00FF6330" w:rsidRPr="001F690E" w:rsidRDefault="00FF6330" w:rsidP="00FF6330">
                        <w:pPr>
                          <w:rPr>
                            <w:rFonts w:ascii="Calibri" w:hAnsi="Calibri" w:cs="Calibri"/>
                            <w:color w:val="000000"/>
                            <w:sz w:val="20"/>
                            <w:szCs w:val="22"/>
                          </w:rPr>
                        </w:pPr>
                        <w:r w:rsidRPr="001F690E">
                          <w:rPr>
                            <w:rFonts w:ascii="Calibri" w:hAnsi="Calibri" w:cs="Calibri"/>
                            <w:color w:val="000000"/>
                            <w:sz w:val="20"/>
                            <w:szCs w:val="22"/>
                          </w:rPr>
                          <w:t>NG-WtrHt-LrgStrg-Gas-gte75kBtuh—0p83Et</w:t>
                        </w:r>
                      </w:p>
                      <w:p w14:paraId="3991CA81" w14:textId="77777777" w:rsidR="00FF6330" w:rsidRPr="00EA5BE1" w:rsidRDefault="00FF6330" w:rsidP="00FF6330">
                        <w:pPr>
                          <w:rPr>
                            <w:rFonts w:ascii="Calibri" w:hAnsi="Calibri" w:cs="Calibri"/>
                            <w:color w:val="000000"/>
                            <w:sz w:val="20"/>
                            <w:szCs w:val="22"/>
                          </w:rPr>
                        </w:pPr>
                        <w:r w:rsidRPr="001F690E">
                          <w:rPr>
                            <w:rFonts w:ascii="Calibri" w:hAnsi="Calibri" w:cs="Calibri"/>
                            <w:color w:val="000000"/>
                            <w:sz w:val="20"/>
                            <w:szCs w:val="22"/>
                          </w:rPr>
                          <w:t>NG-WtrHt-LrgStrg-Gas-gte75kBtuh—0p90Et</w:t>
                        </w:r>
                      </w:p>
                    </w:tc>
                  </w:tr>
                </w:tbl>
                <w:p w14:paraId="4626D381" w14:textId="77777777" w:rsidR="00FF6330" w:rsidRPr="00920905" w:rsidRDefault="00FF6330" w:rsidP="00FF6330">
                  <w:pPr>
                    <w:rPr>
                      <w:rFonts w:cs="Arial"/>
                      <w:color w:val="FF0000"/>
                      <w:szCs w:val="20"/>
                    </w:rPr>
                  </w:pPr>
                </w:p>
              </w:tc>
            </w:tr>
          </w:tbl>
          <w:p w14:paraId="269B66D4" w14:textId="4C4D09A6" w:rsidR="00FF6330" w:rsidRPr="00B3082D" w:rsidRDefault="00FF6330" w:rsidP="00B3082D">
            <w:pPr>
              <w:rPr>
                <w:rFonts w:cs="Arial"/>
                <w:sz w:val="20"/>
                <w:szCs w:val="20"/>
              </w:rPr>
            </w:pPr>
          </w:p>
        </w:tc>
      </w:tr>
      <w:tr w:rsidR="00C80D48" w:rsidRPr="009B0E7F" w14:paraId="269B66D8" w14:textId="77777777" w:rsidTr="00235D4A">
        <w:trPr>
          <w:cantSplit/>
        </w:trPr>
        <w:tc>
          <w:tcPr>
            <w:tcW w:w="2402" w:type="dxa"/>
          </w:tcPr>
          <w:p w14:paraId="5956AE94" w14:textId="77777777" w:rsidR="009B0E7F" w:rsidRDefault="009B0E7F" w:rsidP="009B0E7F">
            <w:pPr>
              <w:jc w:val="right"/>
              <w:rPr>
                <w:sz w:val="20"/>
                <w:szCs w:val="20"/>
              </w:rPr>
            </w:pPr>
            <w:r w:rsidRPr="009B0E7F">
              <w:rPr>
                <w:sz w:val="20"/>
                <w:szCs w:val="20"/>
              </w:rPr>
              <w:t>Measures</w:t>
            </w:r>
          </w:p>
          <w:p w14:paraId="16508B6D" w14:textId="77777777" w:rsidR="002C23E9" w:rsidRDefault="002C23E9" w:rsidP="009B0E7F">
            <w:pPr>
              <w:jc w:val="right"/>
              <w:rPr>
                <w:sz w:val="20"/>
                <w:szCs w:val="20"/>
              </w:rPr>
            </w:pPr>
          </w:p>
          <w:p w14:paraId="269B66D6" w14:textId="32B9A08A" w:rsidR="002C23E9" w:rsidRPr="009B0E7F" w:rsidRDefault="002C23E9" w:rsidP="009B0E7F">
            <w:pPr>
              <w:jc w:val="right"/>
              <w:rPr>
                <w:sz w:val="20"/>
                <w:szCs w:val="20"/>
              </w:rPr>
            </w:pPr>
          </w:p>
        </w:tc>
        <w:tc>
          <w:tcPr>
            <w:tcW w:w="8280" w:type="dxa"/>
          </w:tcPr>
          <w:p w14:paraId="269B66D7" w14:textId="4BEFD62E" w:rsidR="009B0E7F" w:rsidRPr="003233BD" w:rsidRDefault="009B0E7F" w:rsidP="009B0E7F">
            <w:pPr>
              <w:rPr>
                <w:rFonts w:cs="Arial"/>
                <w:sz w:val="20"/>
                <w:szCs w:val="20"/>
              </w:rPr>
            </w:pPr>
            <w:r w:rsidRPr="003233BD">
              <w:rPr>
                <w:rFonts w:cs="Arial"/>
                <w:sz w:val="20"/>
                <w:szCs w:val="20"/>
              </w:rPr>
              <w:t xml:space="preserve">Per DEER/READI </w:t>
            </w:r>
            <w:r w:rsidR="000E7445" w:rsidRPr="003233BD">
              <w:rPr>
                <w:rFonts w:cs="Arial"/>
                <w:sz w:val="20"/>
                <w:szCs w:val="20"/>
              </w:rPr>
              <w:t xml:space="preserve">Measures IDs </w:t>
            </w:r>
            <w:r w:rsidRPr="003233BD">
              <w:rPr>
                <w:rFonts w:cs="Arial"/>
                <w:sz w:val="20"/>
                <w:szCs w:val="20"/>
              </w:rPr>
              <w:t xml:space="preserve">as </w:t>
            </w:r>
            <w:r w:rsidR="000E7445" w:rsidRPr="003233BD">
              <w:rPr>
                <w:rFonts w:cs="Arial"/>
                <w:sz w:val="20"/>
                <w:szCs w:val="20"/>
              </w:rPr>
              <w:t>noted herein above per Revision History</w:t>
            </w:r>
          </w:p>
        </w:tc>
      </w:tr>
      <w:tr w:rsidR="00C80D48" w:rsidRPr="009B0E7F" w14:paraId="269B66DB" w14:textId="77777777" w:rsidTr="00235D4A">
        <w:trPr>
          <w:cantSplit/>
        </w:trPr>
        <w:tc>
          <w:tcPr>
            <w:tcW w:w="2402" w:type="dxa"/>
          </w:tcPr>
          <w:p w14:paraId="269B66D9" w14:textId="77777777" w:rsidR="009B0E7F" w:rsidRPr="009B0E7F" w:rsidRDefault="009B0E7F" w:rsidP="009B0E7F">
            <w:pPr>
              <w:jc w:val="right"/>
              <w:rPr>
                <w:sz w:val="20"/>
                <w:szCs w:val="20"/>
              </w:rPr>
            </w:pPr>
            <w:r w:rsidRPr="009B0E7F">
              <w:rPr>
                <w:sz w:val="20"/>
                <w:szCs w:val="20"/>
              </w:rPr>
              <w:lastRenderedPageBreak/>
              <w:t>Code for All Measures</w:t>
            </w:r>
          </w:p>
        </w:tc>
        <w:tc>
          <w:tcPr>
            <w:tcW w:w="8280" w:type="dxa"/>
          </w:tcPr>
          <w:p w14:paraId="4F24E409" w14:textId="56FFC11E" w:rsidR="009B0E7F" w:rsidRPr="003233BD" w:rsidRDefault="00383142" w:rsidP="003D547E">
            <w:pPr>
              <w:rPr>
                <w:rFonts w:cs="Arial"/>
                <w:sz w:val="20"/>
                <w:szCs w:val="20"/>
              </w:rPr>
            </w:pPr>
            <w:r>
              <w:rPr>
                <w:rFonts w:cs="Arial"/>
                <w:sz w:val="20"/>
                <w:szCs w:val="20"/>
              </w:rPr>
              <w:t>Adopted from SCG workpaper (</w:t>
            </w:r>
            <w:r w:rsidR="00504246">
              <w:rPr>
                <w:rFonts w:cs="Arial"/>
                <w:sz w:val="20"/>
                <w:szCs w:val="20"/>
              </w:rPr>
              <w:t>WPSCGNRWH120206A-Rev10)</w:t>
            </w:r>
          </w:p>
          <w:p w14:paraId="5FA632E4" w14:textId="59019BDF" w:rsidR="00697D77" w:rsidRDefault="00697D77" w:rsidP="003D547E">
            <w:pPr>
              <w:rPr>
                <w:rFonts w:cs="Arial"/>
                <w:sz w:val="20"/>
                <w:szCs w:val="20"/>
              </w:rPr>
            </w:pPr>
          </w:p>
          <w:p w14:paraId="0ED46EBC" w14:textId="77777777" w:rsidR="00383142" w:rsidRDefault="00383142" w:rsidP="00383142">
            <w:r>
              <w:t>The manufacturing of storage water heaters is federally regulated and have established standards within the California Code of Regulations. Title 20, Section 1605.1(f)</w:t>
            </w:r>
            <w:r>
              <w:rPr>
                <w:rStyle w:val="EndnoteReference"/>
              </w:rPr>
              <w:endnoteReference w:id="1"/>
            </w:r>
            <w:r>
              <w:t xml:space="preserve"> shows the current standards for water </w:t>
            </w:r>
            <w:r w:rsidRPr="00D9290B">
              <w:t xml:space="preserve">heaters. For </w:t>
            </w:r>
            <w:r>
              <w:t xml:space="preserve">gas fired storage water heaters, units with an input rating greater than 75,000 </w:t>
            </w:r>
            <w:proofErr w:type="spellStart"/>
            <w:r>
              <w:t>BTUh</w:t>
            </w:r>
            <w:proofErr w:type="spellEnd"/>
            <w:r>
              <w:t xml:space="preserve">, </w:t>
            </w:r>
            <w:r w:rsidRPr="00D9290B">
              <w:t>the</w:t>
            </w:r>
            <w:r>
              <w:t xml:space="preserve"> following standards shown in T</w:t>
            </w:r>
            <w:r w:rsidRPr="00D9290B">
              <w:t xml:space="preserve">able </w:t>
            </w:r>
            <w:r>
              <w:t xml:space="preserve">1 </w:t>
            </w:r>
            <w:r w:rsidRPr="00D9290B">
              <w:t>will apply. These standards were rated with thermal efficiency (%) and in maximum standby loss (Btu/</w:t>
            </w:r>
            <w:proofErr w:type="spellStart"/>
            <w:r w:rsidRPr="00D9290B">
              <w:t>hr</w:t>
            </w:r>
            <w:proofErr w:type="spellEnd"/>
            <w:r w:rsidRPr="00D9290B">
              <w:t>).</w:t>
            </w:r>
          </w:p>
          <w:p w14:paraId="2DC58D8F" w14:textId="583B3FF2" w:rsidR="00383142" w:rsidRDefault="00383142" w:rsidP="003D547E">
            <w:pPr>
              <w:rPr>
                <w:rFonts w:cs="Arial"/>
                <w:sz w:val="20"/>
                <w:szCs w:val="20"/>
              </w:rPr>
            </w:pPr>
          </w:p>
          <w:p w14:paraId="741116B4" w14:textId="279CE9FF" w:rsidR="00AA5223" w:rsidRDefault="006F7744" w:rsidP="003D547E">
            <w:pPr>
              <w:rPr>
                <w:rFonts w:cs="Arial"/>
                <w:sz w:val="20"/>
                <w:szCs w:val="20"/>
              </w:rPr>
            </w:pPr>
            <w:r>
              <w:rPr>
                <w:noProof/>
              </w:rPr>
              <w:drawing>
                <wp:inline distT="0" distB="0" distL="0" distR="0" wp14:anchorId="49C996FB" wp14:editId="342F9998">
                  <wp:extent cx="5600700" cy="3612930"/>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7556" cy="3623803"/>
                          </a:xfrm>
                          <a:prstGeom prst="rect">
                            <a:avLst/>
                          </a:prstGeom>
                        </pic:spPr>
                      </pic:pic>
                    </a:graphicData>
                  </a:graphic>
                </wp:inline>
              </w:drawing>
            </w:r>
          </w:p>
          <w:p w14:paraId="1052D374" w14:textId="77777777" w:rsidR="00AA5223" w:rsidRPr="003233BD" w:rsidRDefault="00AA5223" w:rsidP="003D547E">
            <w:pPr>
              <w:rPr>
                <w:rFonts w:cs="Arial"/>
                <w:sz w:val="20"/>
                <w:szCs w:val="20"/>
              </w:rPr>
            </w:pPr>
          </w:p>
          <w:p w14:paraId="39960034" w14:textId="77777777" w:rsidR="00697D77" w:rsidRPr="003233BD" w:rsidRDefault="00697D77" w:rsidP="003D547E">
            <w:pPr>
              <w:rPr>
                <w:rFonts w:cs="Arial"/>
                <w:sz w:val="20"/>
                <w:szCs w:val="20"/>
              </w:rPr>
            </w:pPr>
            <w:r w:rsidRPr="003233BD">
              <w:rPr>
                <w:noProof/>
                <w:sz w:val="20"/>
                <w:szCs w:val="20"/>
              </w:rPr>
              <w:lastRenderedPageBreak/>
              <w:drawing>
                <wp:inline distT="0" distB="0" distL="0" distR="0" wp14:anchorId="43657C73" wp14:editId="355895E2">
                  <wp:extent cx="5010150" cy="3675109"/>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34075" cy="3692659"/>
                          </a:xfrm>
                          <a:prstGeom prst="rect">
                            <a:avLst/>
                          </a:prstGeom>
                        </pic:spPr>
                      </pic:pic>
                    </a:graphicData>
                  </a:graphic>
                </wp:inline>
              </w:drawing>
            </w:r>
          </w:p>
          <w:p w14:paraId="0C67B4A6" w14:textId="77777777" w:rsidR="0027399B" w:rsidRPr="003233BD" w:rsidRDefault="0027399B" w:rsidP="003D547E">
            <w:pPr>
              <w:rPr>
                <w:rFonts w:cs="Arial"/>
                <w:sz w:val="20"/>
                <w:szCs w:val="20"/>
              </w:rPr>
            </w:pPr>
          </w:p>
          <w:p w14:paraId="67A693B6" w14:textId="4A518EF8" w:rsidR="007E648E" w:rsidRPr="007E648E" w:rsidRDefault="007E648E" w:rsidP="007E648E">
            <w:pPr>
              <w:rPr>
                <w:sz w:val="20"/>
                <w:szCs w:val="20"/>
              </w:rPr>
            </w:pPr>
            <w:r w:rsidRPr="007E648E">
              <w:rPr>
                <w:sz w:val="20"/>
                <w:szCs w:val="20"/>
              </w:rPr>
              <w:t xml:space="preserve">As of December 29, 2016, the Department of Energy developed a final ruling within the Federal </w:t>
            </w:r>
            <w:proofErr w:type="gramStart"/>
            <w:r w:rsidRPr="007E648E">
              <w:rPr>
                <w:sz w:val="20"/>
                <w:szCs w:val="20"/>
              </w:rPr>
              <w:t>Register</w:t>
            </w:r>
            <w:r w:rsidR="00B11639">
              <w:rPr>
                <w:sz w:val="20"/>
                <w:szCs w:val="20"/>
              </w:rPr>
              <w:t xml:space="preserve"> </w:t>
            </w:r>
            <w:r w:rsidRPr="007E648E">
              <w:rPr>
                <w:sz w:val="20"/>
                <w:szCs w:val="20"/>
                <w:vertAlign w:val="superscript"/>
              </w:rPr>
              <w:t xml:space="preserve"> </w:t>
            </w:r>
            <w:r w:rsidRPr="007E648E">
              <w:rPr>
                <w:sz w:val="20"/>
                <w:szCs w:val="20"/>
              </w:rPr>
              <w:t>which</w:t>
            </w:r>
            <w:proofErr w:type="gramEnd"/>
            <w:r w:rsidRPr="007E648E">
              <w:rPr>
                <w:sz w:val="20"/>
                <w:szCs w:val="20"/>
              </w:rPr>
              <w:t xml:space="preserve"> has changed the way that all residential and some commercial water heating technology would be rated. All water heaters within the scope of the ruling will no longer be rated with the Energy Factor (EF), thermal efficiency, or standby loss but now be using the Uniform Energy Factor (UEF). The UEF is the DOE’s newly developed metric for communicating the energy efficiency of water heaters. UEF ratings are determined by assigning water heaters into one of four different categories of hot water usage and then evaluating their performance based on that usage. These categories are based on draw pattern and differ by the labels </w:t>
            </w:r>
            <w:r w:rsidRPr="007E648E">
              <w:rPr>
                <w:i/>
                <w:sz w:val="20"/>
                <w:szCs w:val="20"/>
              </w:rPr>
              <w:t xml:space="preserve">very small, low, medium, </w:t>
            </w:r>
            <w:r w:rsidRPr="007E648E">
              <w:rPr>
                <w:sz w:val="20"/>
                <w:szCs w:val="20"/>
              </w:rPr>
              <w:t xml:space="preserve">and </w:t>
            </w:r>
            <w:r w:rsidRPr="007E648E">
              <w:rPr>
                <w:i/>
                <w:sz w:val="20"/>
                <w:szCs w:val="20"/>
              </w:rPr>
              <w:t>high</w:t>
            </w:r>
            <w:r w:rsidRPr="007E648E">
              <w:rPr>
                <w:sz w:val="20"/>
                <w:szCs w:val="20"/>
              </w:rPr>
              <w:t>. This allows water heaters to be compared more easily between different types (i.e. Storage and Tankless), so long as they are being compared within those same bins. The final ruling from the Federal Register dated on December 29, 2016</w:t>
            </w:r>
            <w:r w:rsidR="00413CF9">
              <w:rPr>
                <w:sz w:val="20"/>
                <w:szCs w:val="20"/>
              </w:rPr>
              <w:t>.</w:t>
            </w:r>
            <w:r w:rsidRPr="007E648E">
              <w:rPr>
                <w:sz w:val="20"/>
                <w:szCs w:val="20"/>
              </w:rPr>
              <w:t xml:space="preserve"> The </w:t>
            </w:r>
            <w:r w:rsidR="00413CF9">
              <w:rPr>
                <w:sz w:val="20"/>
                <w:szCs w:val="20"/>
              </w:rPr>
              <w:t xml:space="preserve">ruling </w:t>
            </w:r>
            <w:r w:rsidRPr="007E648E">
              <w:rPr>
                <w:sz w:val="20"/>
                <w:szCs w:val="20"/>
              </w:rPr>
              <w:t>contains the following table that can be referenced when evaluating the UEF of units that coincide with the current code standards of Title 20 for water heaters.</w:t>
            </w:r>
          </w:p>
          <w:p w14:paraId="7C7DA0CE" w14:textId="77777777" w:rsidR="007E648E" w:rsidRDefault="007E648E" w:rsidP="007E648E"/>
          <w:p w14:paraId="7A8EEA0E" w14:textId="77777777" w:rsidR="007E648E" w:rsidRPr="00D9290B" w:rsidRDefault="007E648E" w:rsidP="007E648E">
            <w:pPr>
              <w:jc w:val="center"/>
              <w:rPr>
                <w:b/>
              </w:rPr>
            </w:pPr>
            <w:r w:rsidRPr="00D9290B">
              <w:rPr>
                <w:b/>
              </w:rPr>
              <w:t xml:space="preserve">Table </w:t>
            </w:r>
            <w:r>
              <w:rPr>
                <w:b/>
              </w:rPr>
              <w:t>3</w:t>
            </w:r>
            <w:r w:rsidRPr="00D9290B">
              <w:rPr>
                <w:b/>
              </w:rPr>
              <w:t>: Equations to Convert Current Title 20 Code to UEF</w:t>
            </w:r>
          </w:p>
          <w:p w14:paraId="07F54C27" w14:textId="7BBC4F89" w:rsidR="007E648E" w:rsidRDefault="00455500" w:rsidP="003D547E">
            <w:pPr>
              <w:rPr>
                <w:rFonts w:cs="Arial"/>
                <w:sz w:val="20"/>
                <w:szCs w:val="20"/>
              </w:rPr>
            </w:pPr>
            <w:r>
              <w:rPr>
                <w:noProof/>
              </w:rPr>
              <w:lastRenderedPageBreak/>
              <w:drawing>
                <wp:inline distT="0" distB="0" distL="0" distR="0" wp14:anchorId="02442625" wp14:editId="0B781829">
                  <wp:extent cx="5229225" cy="2586679"/>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31348" cy="2587729"/>
                          </a:xfrm>
                          <a:prstGeom prst="rect">
                            <a:avLst/>
                          </a:prstGeom>
                        </pic:spPr>
                      </pic:pic>
                    </a:graphicData>
                  </a:graphic>
                </wp:inline>
              </w:drawing>
            </w:r>
          </w:p>
          <w:p w14:paraId="09AF4849" w14:textId="77777777" w:rsidR="007E648E" w:rsidRDefault="007E648E" w:rsidP="007E648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final ruling also contains tables that define what is meant by the draw patterns of </w:t>
            </w:r>
            <w:r>
              <w:rPr>
                <w:rFonts w:asciiTheme="minorHAnsi" w:hAnsiTheme="minorHAnsi" w:cstheme="minorHAnsi"/>
                <w:color w:val="auto"/>
                <w:szCs w:val="22"/>
              </w:rPr>
              <w:t xml:space="preserve">very small, low, medium, </w:t>
            </w:r>
            <w:r>
              <w:rPr>
                <w:rFonts w:asciiTheme="minorHAnsi" w:hAnsiTheme="minorHAnsi" w:cstheme="minorHAnsi"/>
                <w:i w:val="0"/>
                <w:color w:val="auto"/>
                <w:szCs w:val="22"/>
              </w:rPr>
              <w:t xml:space="preserve">and </w:t>
            </w:r>
            <w:r>
              <w:rPr>
                <w:rFonts w:asciiTheme="minorHAnsi" w:hAnsiTheme="minorHAnsi" w:cstheme="minorHAnsi"/>
                <w:color w:val="auto"/>
                <w:szCs w:val="22"/>
              </w:rPr>
              <w:t>high</w:t>
            </w:r>
            <w:r>
              <w:rPr>
                <w:rFonts w:asciiTheme="minorHAnsi" w:hAnsiTheme="minorHAnsi" w:cstheme="minorHAnsi"/>
                <w:i w:val="0"/>
                <w:color w:val="auto"/>
                <w:szCs w:val="22"/>
              </w:rPr>
              <w:t xml:space="preserve">. </w:t>
            </w:r>
          </w:p>
          <w:p w14:paraId="2474E03A" w14:textId="77777777" w:rsidR="007E648E" w:rsidRDefault="007E648E" w:rsidP="007E648E">
            <w:pPr>
              <w:pStyle w:val="Reminders"/>
              <w:rPr>
                <w:rFonts w:asciiTheme="minorHAnsi" w:hAnsiTheme="minorHAnsi" w:cstheme="minorHAnsi"/>
                <w:i w:val="0"/>
                <w:color w:val="auto"/>
                <w:szCs w:val="22"/>
              </w:rPr>
            </w:pPr>
          </w:p>
          <w:p w14:paraId="32CAE464" w14:textId="77777777" w:rsidR="007E648E" w:rsidRDefault="007E648E" w:rsidP="007E648E">
            <w:pPr>
              <w:pStyle w:val="Reminders"/>
              <w:rPr>
                <w:rFonts w:asciiTheme="minorHAnsi" w:hAnsiTheme="minorHAnsi" w:cstheme="minorHAnsi"/>
                <w:color w:val="auto"/>
                <w:szCs w:val="22"/>
              </w:rPr>
            </w:pPr>
            <w:r w:rsidRPr="00E43CA6">
              <w:rPr>
                <w:rFonts w:asciiTheme="minorHAnsi" w:hAnsiTheme="minorHAnsi" w:cstheme="minorHAnsi"/>
                <w:color w:val="auto"/>
                <w:szCs w:val="22"/>
              </w:rPr>
              <w:t>Section 429.17 (B</w:t>
            </w:r>
            <w:r>
              <w:rPr>
                <w:rFonts w:asciiTheme="minorHAnsi" w:hAnsiTheme="minorHAnsi" w:cstheme="minorHAnsi"/>
                <w:color w:val="auto"/>
                <w:szCs w:val="22"/>
              </w:rPr>
              <w:t>) Determine the applicable draw pattern as follows:</w:t>
            </w:r>
          </w:p>
          <w:p w14:paraId="2CA8A992" w14:textId="77777777" w:rsidR="007E648E" w:rsidRDefault="007E648E" w:rsidP="007E648E">
            <w:pPr>
              <w:pStyle w:val="Reminders"/>
              <w:rPr>
                <w:rFonts w:asciiTheme="minorHAnsi" w:hAnsiTheme="minorHAnsi" w:cstheme="minorHAnsi"/>
                <w:color w:val="auto"/>
                <w:szCs w:val="22"/>
              </w:rPr>
            </w:pPr>
          </w:p>
          <w:p w14:paraId="5D7E0653" w14:textId="77777777" w:rsidR="007E648E" w:rsidRDefault="007E648E" w:rsidP="007E648E">
            <w:pPr>
              <w:pStyle w:val="Reminders"/>
              <w:rPr>
                <w:rFonts w:asciiTheme="minorHAnsi" w:hAnsiTheme="minorHAnsi" w:cstheme="minorHAnsi"/>
                <w:color w:val="auto"/>
                <w:szCs w:val="22"/>
              </w:rPr>
            </w:pPr>
            <w:r>
              <w:rPr>
                <w:rFonts w:asciiTheme="minorHAnsi" w:hAnsiTheme="minorHAnsi" w:cstheme="minorHAnsi"/>
                <w:color w:val="auto"/>
                <w:szCs w:val="22"/>
              </w:rPr>
              <w:t>(1) For consumer gas-fired water heaters, consumer oil-fired water heaters, consumer electric water heaters, tabletop water heaters, grid enabled water heaters, residential-duty commercial gas water heaters, residential-duty commercial oil filed water heaters: Use the New FHR (First Hour Rating) to select the applicable draw pattern from the table in this paragraph:</w:t>
            </w:r>
          </w:p>
          <w:p w14:paraId="46C59883" w14:textId="77777777" w:rsidR="007E648E" w:rsidRDefault="007E648E" w:rsidP="007E648E">
            <w:pPr>
              <w:pStyle w:val="Reminders"/>
              <w:rPr>
                <w:rFonts w:asciiTheme="minorHAnsi" w:hAnsiTheme="minorHAnsi" w:cstheme="minorHAnsi"/>
                <w:color w:val="auto"/>
                <w:szCs w:val="22"/>
              </w:rPr>
            </w:pPr>
          </w:p>
          <w:p w14:paraId="2578A4D2" w14:textId="77777777" w:rsidR="007E648E" w:rsidRPr="00D9290B" w:rsidRDefault="007E648E" w:rsidP="007E648E">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Pr>
                <w:rFonts w:asciiTheme="minorHAnsi" w:hAnsiTheme="minorHAnsi" w:cstheme="minorHAnsi"/>
                <w:b/>
                <w:i w:val="0"/>
                <w:color w:val="auto"/>
                <w:szCs w:val="22"/>
              </w:rPr>
              <w:t>4</w:t>
            </w:r>
            <w:r w:rsidRPr="00D9290B">
              <w:rPr>
                <w:rFonts w:asciiTheme="minorHAnsi" w:hAnsiTheme="minorHAnsi" w:cstheme="minorHAnsi"/>
                <w:b/>
                <w:i w:val="0"/>
                <w:color w:val="auto"/>
                <w:szCs w:val="22"/>
              </w:rPr>
              <w:t>: Storage Water Heater Draw Patterns</w:t>
            </w:r>
          </w:p>
          <w:p w14:paraId="3B3F90DA" w14:textId="77777777" w:rsidR="007E648E" w:rsidRDefault="007E648E" w:rsidP="003D547E">
            <w:pPr>
              <w:rPr>
                <w:rFonts w:cs="Arial"/>
                <w:sz w:val="20"/>
                <w:szCs w:val="20"/>
              </w:rPr>
            </w:pPr>
            <w:r>
              <w:rPr>
                <w:noProof/>
              </w:rPr>
              <w:drawing>
                <wp:inline distT="0" distB="0" distL="0" distR="0" wp14:anchorId="76F15476" wp14:editId="181586D2">
                  <wp:extent cx="5813519" cy="7378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06941" cy="749727"/>
                          </a:xfrm>
                          <a:prstGeom prst="rect">
                            <a:avLst/>
                          </a:prstGeom>
                        </pic:spPr>
                      </pic:pic>
                    </a:graphicData>
                  </a:graphic>
                </wp:inline>
              </w:drawing>
            </w:r>
          </w:p>
          <w:p w14:paraId="52AFF33A" w14:textId="77777777" w:rsidR="007E648E" w:rsidRDefault="007E648E" w:rsidP="007E648E">
            <w:pPr>
              <w:pStyle w:val="Reminders"/>
              <w:rPr>
                <w:rFonts w:asciiTheme="minorHAnsi" w:hAnsiTheme="minorHAnsi" w:cstheme="minorHAnsi"/>
                <w:color w:val="auto"/>
                <w:szCs w:val="22"/>
              </w:rPr>
            </w:pPr>
            <w:r>
              <w:rPr>
                <w:rFonts w:asciiTheme="minorHAnsi" w:hAnsiTheme="minorHAnsi" w:cstheme="minorHAnsi"/>
                <w:color w:val="auto"/>
                <w:szCs w:val="22"/>
              </w:rPr>
              <w:t>(2) For instantaneous gas-fired water heaters, instantaneous electric water heaters, and residential-duty commercial electric instantaneous water heaters: Use New Max GPM to select the applicable draw pattern from the table in this paragraph:</w:t>
            </w:r>
          </w:p>
          <w:p w14:paraId="4312D9B4" w14:textId="77777777" w:rsidR="007E648E" w:rsidRPr="00D9290B" w:rsidRDefault="007E648E" w:rsidP="007E648E">
            <w:pPr>
              <w:pStyle w:val="Reminders"/>
              <w:jc w:val="center"/>
              <w:rPr>
                <w:rFonts w:asciiTheme="minorHAnsi" w:hAnsiTheme="minorHAnsi" w:cstheme="minorHAnsi"/>
                <w:b/>
                <w:color w:val="auto"/>
                <w:szCs w:val="22"/>
              </w:rPr>
            </w:pPr>
            <w:r>
              <w:rPr>
                <w:rFonts w:asciiTheme="minorHAnsi" w:hAnsiTheme="minorHAnsi" w:cstheme="minorHAnsi"/>
                <w:b/>
                <w:i w:val="0"/>
                <w:color w:val="auto"/>
                <w:szCs w:val="22"/>
              </w:rPr>
              <w:t>Table 5</w:t>
            </w:r>
            <w:r w:rsidRPr="00D9290B">
              <w:rPr>
                <w:rFonts w:asciiTheme="minorHAnsi" w:hAnsiTheme="minorHAnsi" w:cstheme="minorHAnsi"/>
                <w:b/>
                <w:i w:val="0"/>
                <w:color w:val="auto"/>
                <w:szCs w:val="22"/>
              </w:rPr>
              <w:t>: Instantaneous Water Heater Draw Patterns</w:t>
            </w:r>
          </w:p>
          <w:p w14:paraId="65D4DCD5" w14:textId="77777777" w:rsidR="007E648E" w:rsidRDefault="007E648E" w:rsidP="003D547E">
            <w:pPr>
              <w:rPr>
                <w:rFonts w:cs="Arial"/>
                <w:b/>
                <w:sz w:val="20"/>
                <w:szCs w:val="20"/>
              </w:rPr>
            </w:pPr>
            <w:r>
              <w:rPr>
                <w:noProof/>
              </w:rPr>
              <w:drawing>
                <wp:inline distT="0" distB="0" distL="0" distR="0" wp14:anchorId="00FF3CF8" wp14:editId="30E14D37">
                  <wp:extent cx="5724525" cy="75960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4502" cy="763578"/>
                          </a:xfrm>
                          <a:prstGeom prst="rect">
                            <a:avLst/>
                          </a:prstGeom>
                        </pic:spPr>
                      </pic:pic>
                    </a:graphicData>
                  </a:graphic>
                </wp:inline>
              </w:drawing>
            </w:r>
          </w:p>
          <w:p w14:paraId="269B66DA" w14:textId="423FA3A2" w:rsidR="00F21D19" w:rsidRPr="007E648E" w:rsidRDefault="00F21D19" w:rsidP="003D547E">
            <w:pPr>
              <w:rPr>
                <w:rFonts w:cs="Arial"/>
                <w:b/>
                <w:sz w:val="20"/>
                <w:szCs w:val="20"/>
              </w:rPr>
            </w:pPr>
          </w:p>
        </w:tc>
      </w:tr>
      <w:tr w:rsidR="00C80D48" w:rsidRPr="009B0E7F" w14:paraId="269B66DE" w14:textId="77777777" w:rsidTr="00235D4A">
        <w:trPr>
          <w:cantSplit/>
        </w:trPr>
        <w:tc>
          <w:tcPr>
            <w:tcW w:w="2402" w:type="dxa"/>
          </w:tcPr>
          <w:p w14:paraId="269B66DC" w14:textId="77777777" w:rsidR="009B0E7F" w:rsidRPr="009B0E7F" w:rsidRDefault="009B0E7F" w:rsidP="009B0E7F">
            <w:pPr>
              <w:rPr>
                <w:b/>
              </w:rPr>
            </w:pPr>
            <w:r w:rsidRPr="009B0E7F">
              <w:rPr>
                <w:b/>
              </w:rPr>
              <w:lastRenderedPageBreak/>
              <w:t>1.3 Installation Type and Delivery Mechanisms</w:t>
            </w:r>
          </w:p>
        </w:tc>
        <w:tc>
          <w:tcPr>
            <w:tcW w:w="8280" w:type="dxa"/>
          </w:tcPr>
          <w:p w14:paraId="47D4ACFB" w14:textId="77777777" w:rsidR="00FF6330" w:rsidRPr="00500C4E" w:rsidRDefault="00FF6330" w:rsidP="00FF6330">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341"/>
              <w:gridCol w:w="6685"/>
            </w:tblGrid>
            <w:tr w:rsidR="00FF6330" w:rsidRPr="00A3164A" w14:paraId="62B9C5F4" w14:textId="77777777" w:rsidTr="00580148">
              <w:tc>
                <w:tcPr>
                  <w:tcW w:w="1297" w:type="pct"/>
                  <w:shd w:val="clear" w:color="auto" w:fill="D9D9D9" w:themeFill="background1" w:themeFillShade="D9"/>
                </w:tcPr>
                <w:p w14:paraId="44FCEB3B" w14:textId="77777777" w:rsidR="00FF6330" w:rsidRPr="00920905" w:rsidRDefault="00FF6330" w:rsidP="00FF6330">
                  <w:pPr>
                    <w:rPr>
                      <w:b/>
                      <w:sz w:val="18"/>
                      <w:szCs w:val="18"/>
                    </w:rPr>
                  </w:pPr>
                  <w:r w:rsidRPr="00920905">
                    <w:rPr>
                      <w:b/>
                      <w:sz w:val="18"/>
                      <w:szCs w:val="18"/>
                    </w:rPr>
                    <w:t>Delivery Method</w:t>
                  </w:r>
                </w:p>
              </w:tc>
              <w:tc>
                <w:tcPr>
                  <w:tcW w:w="3703" w:type="pct"/>
                  <w:shd w:val="clear" w:color="auto" w:fill="D9D9D9" w:themeFill="background1" w:themeFillShade="D9"/>
                </w:tcPr>
                <w:p w14:paraId="35D90C4D" w14:textId="77777777" w:rsidR="00FF6330" w:rsidRPr="00920905" w:rsidRDefault="00FF6330" w:rsidP="00FF6330">
                  <w:pPr>
                    <w:rPr>
                      <w:b/>
                      <w:sz w:val="18"/>
                      <w:szCs w:val="18"/>
                    </w:rPr>
                  </w:pPr>
                  <w:r w:rsidRPr="00920905">
                    <w:rPr>
                      <w:b/>
                      <w:sz w:val="18"/>
                      <w:szCs w:val="18"/>
                    </w:rPr>
                    <w:t>Description</w:t>
                  </w:r>
                </w:p>
              </w:tc>
            </w:tr>
            <w:tr w:rsidR="00FF6330" w:rsidRPr="00A3164A" w14:paraId="488A2B4A" w14:textId="77777777" w:rsidTr="00580148">
              <w:tc>
                <w:tcPr>
                  <w:tcW w:w="1297" w:type="pct"/>
                </w:tcPr>
                <w:p w14:paraId="0BEC15A2" w14:textId="77777777" w:rsidR="00FF6330" w:rsidRPr="00920905" w:rsidRDefault="00FF6330" w:rsidP="00FF6330">
                  <w:pPr>
                    <w:pStyle w:val="NoSpacing"/>
                    <w:rPr>
                      <w:sz w:val="18"/>
                      <w:szCs w:val="18"/>
                    </w:rPr>
                  </w:pPr>
                  <w:r w:rsidRPr="00920905">
                    <w:rPr>
                      <w:rFonts w:eastAsiaTheme="minorHAnsi" w:cs="BookAntiqua"/>
                      <w:sz w:val="18"/>
                      <w:szCs w:val="18"/>
                    </w:rPr>
                    <w:t>Financial Support</w:t>
                  </w:r>
                </w:p>
              </w:tc>
              <w:tc>
                <w:tcPr>
                  <w:tcW w:w="3703" w:type="pct"/>
                </w:tcPr>
                <w:p w14:paraId="7B06A238" w14:textId="77777777" w:rsidR="00FF6330" w:rsidRPr="00920905" w:rsidRDefault="00FF6330" w:rsidP="00FF6330">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 projects.</w:t>
                  </w:r>
                </w:p>
              </w:tc>
            </w:tr>
            <w:tr w:rsidR="00FF6330" w:rsidRPr="00A3164A" w14:paraId="6C122427" w14:textId="77777777" w:rsidTr="00580148">
              <w:tc>
                <w:tcPr>
                  <w:tcW w:w="1297" w:type="pct"/>
                </w:tcPr>
                <w:p w14:paraId="77AB93EA" w14:textId="77777777" w:rsidR="00FF6330" w:rsidRPr="00920905" w:rsidRDefault="00FF6330" w:rsidP="00FF6330">
                  <w:pPr>
                    <w:pStyle w:val="NoSpacing"/>
                    <w:rPr>
                      <w:sz w:val="18"/>
                      <w:szCs w:val="18"/>
                    </w:rPr>
                  </w:pPr>
                  <w:r w:rsidRPr="00920905">
                    <w:rPr>
                      <w:rFonts w:eastAsiaTheme="minorHAnsi" w:cstheme="minorBidi"/>
                      <w:sz w:val="18"/>
                      <w:szCs w:val="18"/>
                    </w:rPr>
                    <w:t>New Construction</w:t>
                  </w:r>
                </w:p>
              </w:tc>
              <w:tc>
                <w:tcPr>
                  <w:tcW w:w="3703" w:type="pct"/>
                </w:tcPr>
                <w:p w14:paraId="0C5676A4" w14:textId="77777777" w:rsidR="00FF6330" w:rsidRPr="00920905" w:rsidRDefault="00FF6330" w:rsidP="00FF6330">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6C9F46B2" w14:textId="77777777" w:rsidR="00FF6330" w:rsidRPr="00500C4E" w:rsidRDefault="00FF6330" w:rsidP="00FF6330">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341"/>
              <w:gridCol w:w="6685"/>
            </w:tblGrid>
            <w:tr w:rsidR="00FF6330" w:rsidRPr="00A3164A" w14:paraId="72B34D8F" w14:textId="77777777" w:rsidTr="00580148">
              <w:tc>
                <w:tcPr>
                  <w:tcW w:w="1297" w:type="pct"/>
                  <w:shd w:val="clear" w:color="auto" w:fill="D9D9D9" w:themeFill="background1" w:themeFillShade="D9"/>
                </w:tcPr>
                <w:p w14:paraId="35680A29" w14:textId="77777777" w:rsidR="00FF6330" w:rsidRPr="00920905" w:rsidRDefault="00FF6330" w:rsidP="00FF6330">
                  <w:pPr>
                    <w:rPr>
                      <w:b/>
                      <w:sz w:val="18"/>
                      <w:szCs w:val="18"/>
                    </w:rPr>
                  </w:pPr>
                  <w:r w:rsidRPr="00920905">
                    <w:rPr>
                      <w:b/>
                      <w:sz w:val="18"/>
                      <w:szCs w:val="18"/>
                    </w:rPr>
                    <w:t>Incentive Method</w:t>
                  </w:r>
                </w:p>
              </w:tc>
              <w:tc>
                <w:tcPr>
                  <w:tcW w:w="3703" w:type="pct"/>
                  <w:shd w:val="clear" w:color="auto" w:fill="D9D9D9" w:themeFill="background1" w:themeFillShade="D9"/>
                </w:tcPr>
                <w:p w14:paraId="735A8528" w14:textId="77777777" w:rsidR="00FF6330" w:rsidRPr="00920905" w:rsidRDefault="00FF6330" w:rsidP="00FF6330">
                  <w:pPr>
                    <w:rPr>
                      <w:b/>
                      <w:sz w:val="18"/>
                      <w:szCs w:val="18"/>
                    </w:rPr>
                  </w:pPr>
                  <w:r w:rsidRPr="00920905">
                    <w:rPr>
                      <w:b/>
                      <w:sz w:val="18"/>
                      <w:szCs w:val="18"/>
                    </w:rPr>
                    <w:t>Description</w:t>
                  </w:r>
                </w:p>
              </w:tc>
            </w:tr>
            <w:tr w:rsidR="00FF6330" w:rsidRPr="00A3164A" w14:paraId="2ED7480C" w14:textId="77777777" w:rsidTr="00580148">
              <w:tc>
                <w:tcPr>
                  <w:tcW w:w="1297" w:type="pct"/>
                </w:tcPr>
                <w:p w14:paraId="63B354DE"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71CBB478"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FF6330" w:rsidRPr="00A3164A" w14:paraId="4F6AFE17" w14:textId="77777777" w:rsidTr="00580148">
              <w:tc>
                <w:tcPr>
                  <w:tcW w:w="1297" w:type="pct"/>
                </w:tcPr>
                <w:p w14:paraId="13F3AFEE"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06B10073"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FF6330" w:rsidRPr="00A3164A" w14:paraId="3DEB5CD3" w14:textId="77777777" w:rsidTr="00580148">
              <w:tc>
                <w:tcPr>
                  <w:tcW w:w="1297" w:type="pct"/>
                </w:tcPr>
                <w:p w14:paraId="56A288AD" w14:textId="77777777" w:rsidR="00FF6330" w:rsidRPr="00920905" w:rsidRDefault="00FF6330" w:rsidP="00FF6330">
                  <w:pPr>
                    <w:autoSpaceDE w:val="0"/>
                    <w:autoSpaceDN w:val="0"/>
                    <w:adjustRightInd w:val="0"/>
                    <w:spacing w:line="240" w:lineRule="atLeast"/>
                    <w:rPr>
                      <w:rFonts w:cs="Helv"/>
                      <w:sz w:val="18"/>
                      <w:szCs w:val="18"/>
                    </w:rPr>
                  </w:pPr>
                  <w:r w:rsidRPr="00920905">
                    <w:rPr>
                      <w:rFonts w:cs="Helv"/>
                      <w:sz w:val="18"/>
                      <w:szCs w:val="18"/>
                    </w:rPr>
                    <w:t>Up-Stream Incentive</w:t>
                  </w:r>
                </w:p>
                <w:p w14:paraId="34624A43" w14:textId="77777777" w:rsidR="00FF6330" w:rsidRPr="00920905" w:rsidRDefault="00FF6330" w:rsidP="00FF6330">
                  <w:pPr>
                    <w:rPr>
                      <w:sz w:val="18"/>
                      <w:szCs w:val="18"/>
                    </w:rPr>
                  </w:pPr>
                </w:p>
              </w:tc>
              <w:tc>
                <w:tcPr>
                  <w:tcW w:w="3703" w:type="pct"/>
                </w:tcPr>
                <w:p w14:paraId="39C7B805"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4138A9" w:rsidRPr="00A3164A" w14:paraId="7757A7B3" w14:textId="77777777" w:rsidTr="00580148">
              <w:tc>
                <w:tcPr>
                  <w:tcW w:w="1297" w:type="pct"/>
                </w:tcPr>
                <w:p w14:paraId="74616742" w14:textId="4C3C1349" w:rsidR="004138A9" w:rsidRPr="00920905" w:rsidRDefault="004138A9" w:rsidP="004138A9">
                  <w:pPr>
                    <w:autoSpaceDE w:val="0"/>
                    <w:autoSpaceDN w:val="0"/>
                    <w:adjustRightInd w:val="0"/>
                    <w:spacing w:line="240" w:lineRule="atLeast"/>
                    <w:rPr>
                      <w:rFonts w:cs="Helv"/>
                      <w:sz w:val="18"/>
                      <w:szCs w:val="18"/>
                    </w:rPr>
                  </w:pPr>
                  <w:r w:rsidRPr="00AC74B3">
                    <w:rPr>
                      <w:rFonts w:cs="Helv"/>
                      <w:sz w:val="18"/>
                      <w:szCs w:val="18"/>
                    </w:rPr>
                    <w:t>Direct Install</w:t>
                  </w:r>
                  <w:r>
                    <w:rPr>
                      <w:rFonts w:cs="Helv"/>
                      <w:sz w:val="18"/>
                      <w:szCs w:val="18"/>
                    </w:rPr>
                    <w:t xml:space="preserve"> (</w:t>
                  </w:r>
                  <w:proofErr w:type="spellStart"/>
                  <w:r>
                    <w:rPr>
                      <w:rFonts w:cs="Helv"/>
                      <w:sz w:val="18"/>
                      <w:szCs w:val="18"/>
                    </w:rPr>
                    <w:t>DirInstall</w:t>
                  </w:r>
                  <w:proofErr w:type="spellEnd"/>
                  <w:r w:rsidRPr="00AC74B3">
                    <w:rPr>
                      <w:rFonts w:cs="Helv"/>
                      <w:sz w:val="18"/>
                      <w:szCs w:val="18"/>
                    </w:rPr>
                    <w:t>)</w:t>
                  </w:r>
                </w:p>
              </w:tc>
              <w:tc>
                <w:tcPr>
                  <w:tcW w:w="3703" w:type="pct"/>
                </w:tcPr>
                <w:p w14:paraId="57C33867" w14:textId="37BCC5F7" w:rsidR="004138A9" w:rsidRPr="00920905" w:rsidRDefault="004138A9" w:rsidP="004138A9">
                  <w:pPr>
                    <w:autoSpaceDE w:val="0"/>
                    <w:autoSpaceDN w:val="0"/>
                    <w:adjustRightInd w:val="0"/>
                    <w:spacing w:line="240" w:lineRule="atLeast"/>
                    <w:rPr>
                      <w:rFonts w:cs="Helv"/>
                      <w:sz w:val="18"/>
                      <w:szCs w:val="18"/>
                    </w:rPr>
                  </w:pPr>
                  <w:r w:rsidRPr="00AC74B3">
                    <w:rPr>
                      <w:rFonts w:cs="Helv"/>
                      <w:sz w:val="18"/>
                      <w:szCs w:val="18"/>
                    </w:rPr>
                    <w:t xml:space="preserve">The program </w:t>
                  </w:r>
                  <w:r w:rsidRPr="00AC74B3">
                    <w:rPr>
                      <w:sz w:val="18"/>
                      <w:szCs w:val="18"/>
                    </w:rPr>
                    <w:t>implements energy efficiency measures for qualifying customers, at no cost to the customer.</w:t>
                  </w:r>
                </w:p>
              </w:tc>
            </w:tr>
          </w:tbl>
          <w:p w14:paraId="269B66DD" w14:textId="0F01DD50" w:rsidR="00FF6330" w:rsidRPr="009B0E7F" w:rsidRDefault="00FF6330" w:rsidP="009B0E7F">
            <w:pPr>
              <w:rPr>
                <w:rFonts w:cs="Arial"/>
                <w:sz w:val="20"/>
                <w:szCs w:val="20"/>
              </w:rPr>
            </w:pPr>
          </w:p>
        </w:tc>
      </w:tr>
      <w:tr w:rsidR="00C80D48" w:rsidRPr="009B0E7F" w14:paraId="269B66E1" w14:textId="77777777" w:rsidTr="00235D4A">
        <w:trPr>
          <w:cantSplit/>
        </w:trPr>
        <w:tc>
          <w:tcPr>
            <w:tcW w:w="2402" w:type="dxa"/>
            <w:vAlign w:val="center"/>
          </w:tcPr>
          <w:p w14:paraId="269B66DF" w14:textId="77777777" w:rsidR="009B0E7F" w:rsidRPr="009B0E7F" w:rsidRDefault="009B0E7F" w:rsidP="009B0E7F">
            <w:pPr>
              <w:jc w:val="right"/>
              <w:rPr>
                <w:sz w:val="20"/>
                <w:szCs w:val="20"/>
              </w:rPr>
            </w:pPr>
            <w:r w:rsidRPr="009B0E7F">
              <w:rPr>
                <w:sz w:val="20"/>
                <w:szCs w:val="20"/>
              </w:rPr>
              <w:t>Installation Type</w:t>
            </w:r>
          </w:p>
        </w:tc>
        <w:tc>
          <w:tcPr>
            <w:tcW w:w="8280" w:type="dxa"/>
          </w:tcPr>
          <w:p w14:paraId="52625EDA" w14:textId="77777777" w:rsidR="00FF6330" w:rsidRDefault="00FF6330" w:rsidP="00FF6330">
            <w:pPr>
              <w:pStyle w:val="Reminders"/>
              <w:tabs>
                <w:tab w:val="num" w:pos="360"/>
              </w:tabs>
              <w:rPr>
                <w:rFonts w:asciiTheme="minorHAnsi" w:hAnsiTheme="minorHAnsi" w:cstheme="minorHAnsi"/>
                <w:i w:val="0"/>
                <w:color w:val="auto"/>
                <w:szCs w:val="22"/>
              </w:rPr>
            </w:pPr>
          </w:p>
          <w:p w14:paraId="22DDA02C" w14:textId="77777777" w:rsidR="00FF6330" w:rsidRPr="00920905" w:rsidRDefault="00FF6330" w:rsidP="00FF6330">
            <w:pPr>
              <w:pStyle w:val="NoSpacing"/>
              <w:rPr>
                <w:rFonts w:cstheme="minorHAnsi"/>
                <w:b/>
                <w:i/>
              </w:rPr>
            </w:pPr>
            <w:r w:rsidRPr="00920905">
              <w:rPr>
                <w:b/>
              </w:rPr>
              <w:t>Installation Type Descriptions</w:t>
            </w:r>
          </w:p>
          <w:tbl>
            <w:tblPr>
              <w:tblStyle w:val="TableGrid1"/>
              <w:tblW w:w="5000" w:type="pct"/>
              <w:tblLook w:val="04A0" w:firstRow="1" w:lastRow="0" w:firstColumn="1" w:lastColumn="0" w:noHBand="0" w:noVBand="1"/>
            </w:tblPr>
            <w:tblGrid>
              <w:gridCol w:w="3210"/>
              <w:gridCol w:w="1998"/>
              <w:gridCol w:w="2000"/>
              <w:gridCol w:w="868"/>
              <w:gridCol w:w="950"/>
            </w:tblGrid>
            <w:tr w:rsidR="007E648E" w:rsidRPr="00500C4E" w14:paraId="43A3938B" w14:textId="77777777" w:rsidTr="00580148">
              <w:trPr>
                <w:trHeight w:val="20"/>
              </w:trPr>
              <w:tc>
                <w:tcPr>
                  <w:tcW w:w="1778" w:type="pct"/>
                  <w:vMerge w:val="restart"/>
                  <w:shd w:val="clear" w:color="auto" w:fill="D9D9D9" w:themeFill="background1" w:themeFillShade="D9"/>
                </w:tcPr>
                <w:p w14:paraId="2B567CB2" w14:textId="77777777" w:rsidR="00FF6330" w:rsidRPr="00920905" w:rsidRDefault="00FF6330" w:rsidP="00FF6330">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FFA81CC" w14:textId="77777777" w:rsidR="00FF6330" w:rsidRPr="00920905" w:rsidRDefault="00FF6330" w:rsidP="00FF6330">
                  <w:pPr>
                    <w:rPr>
                      <w:b/>
                      <w:sz w:val="18"/>
                      <w:szCs w:val="18"/>
                    </w:rPr>
                  </w:pPr>
                  <w:r w:rsidRPr="00920905">
                    <w:rPr>
                      <w:b/>
                      <w:sz w:val="18"/>
                      <w:szCs w:val="18"/>
                    </w:rPr>
                    <w:t>Savings</w:t>
                  </w:r>
                </w:p>
              </w:tc>
              <w:tc>
                <w:tcPr>
                  <w:tcW w:w="1007" w:type="pct"/>
                  <w:gridSpan w:val="2"/>
                  <w:shd w:val="clear" w:color="auto" w:fill="D9D9D9" w:themeFill="background1" w:themeFillShade="D9"/>
                </w:tcPr>
                <w:p w14:paraId="38522D60" w14:textId="77777777" w:rsidR="00FF6330" w:rsidRPr="00920905" w:rsidRDefault="00FF6330" w:rsidP="00FF6330">
                  <w:pPr>
                    <w:rPr>
                      <w:b/>
                      <w:sz w:val="18"/>
                      <w:szCs w:val="18"/>
                    </w:rPr>
                  </w:pPr>
                  <w:r w:rsidRPr="00920905">
                    <w:rPr>
                      <w:b/>
                      <w:sz w:val="18"/>
                      <w:szCs w:val="18"/>
                    </w:rPr>
                    <w:t>Life</w:t>
                  </w:r>
                </w:p>
              </w:tc>
            </w:tr>
            <w:tr w:rsidR="007E648E" w:rsidRPr="00500C4E" w14:paraId="4970FC87" w14:textId="77777777" w:rsidTr="00580148">
              <w:trPr>
                <w:trHeight w:val="20"/>
              </w:trPr>
              <w:tc>
                <w:tcPr>
                  <w:tcW w:w="1778" w:type="pct"/>
                  <w:vMerge/>
                  <w:shd w:val="clear" w:color="auto" w:fill="D9D9D9" w:themeFill="background1" w:themeFillShade="D9"/>
                </w:tcPr>
                <w:p w14:paraId="756002E6" w14:textId="77777777" w:rsidR="00FF6330" w:rsidRPr="00500C4E" w:rsidRDefault="00FF6330" w:rsidP="00FF6330">
                  <w:pPr>
                    <w:rPr>
                      <w:sz w:val="18"/>
                      <w:szCs w:val="18"/>
                    </w:rPr>
                  </w:pPr>
                </w:p>
              </w:tc>
              <w:tc>
                <w:tcPr>
                  <w:tcW w:w="1107" w:type="pct"/>
                  <w:shd w:val="clear" w:color="auto" w:fill="F2F2F2" w:themeFill="background1" w:themeFillShade="F2"/>
                </w:tcPr>
                <w:p w14:paraId="7F5C35BA" w14:textId="77777777" w:rsidR="00FF6330" w:rsidRPr="00920905" w:rsidRDefault="00FF6330" w:rsidP="00FF6330">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0F860A4C" w14:textId="77777777" w:rsidR="00FF6330" w:rsidRPr="00920905" w:rsidRDefault="00FF6330" w:rsidP="00FF6330">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2445C47A" w14:textId="77777777" w:rsidR="00FF6330" w:rsidRPr="00920905" w:rsidRDefault="00FF6330" w:rsidP="00FF6330">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38F3F02" w14:textId="77777777" w:rsidR="00FF6330" w:rsidRPr="00920905" w:rsidRDefault="00FF6330" w:rsidP="00FF6330">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7E648E" w:rsidRPr="00500C4E" w14:paraId="686A004F" w14:textId="77777777" w:rsidTr="00580148">
              <w:trPr>
                <w:trHeight w:val="20"/>
              </w:trPr>
              <w:tc>
                <w:tcPr>
                  <w:tcW w:w="1778" w:type="pct"/>
                </w:tcPr>
                <w:p w14:paraId="67075CC9" w14:textId="77777777" w:rsidR="00790109" w:rsidRDefault="00FF6330" w:rsidP="00FF6330">
                  <w:pPr>
                    <w:rPr>
                      <w:sz w:val="18"/>
                      <w:szCs w:val="18"/>
                    </w:rPr>
                  </w:pPr>
                  <w:r w:rsidRPr="00500C4E">
                    <w:rPr>
                      <w:sz w:val="18"/>
                      <w:szCs w:val="18"/>
                    </w:rPr>
                    <w:t>Replace on Burnout (ROB)</w:t>
                  </w:r>
                </w:p>
                <w:p w14:paraId="3E128E46" w14:textId="0E34BF9D" w:rsidR="00FF6330" w:rsidRDefault="00790109" w:rsidP="00FF6330">
                  <w:pPr>
                    <w:rPr>
                      <w:sz w:val="18"/>
                      <w:szCs w:val="18"/>
                    </w:rPr>
                  </w:pPr>
                  <w:r>
                    <w:rPr>
                      <w:sz w:val="18"/>
                      <w:szCs w:val="18"/>
                    </w:rPr>
                    <w:t>(expiry date = 12/31/2018)</w:t>
                  </w:r>
                </w:p>
                <w:p w14:paraId="4914768F" w14:textId="77777777" w:rsidR="00790109" w:rsidRDefault="00790109" w:rsidP="00FF6330">
                  <w:pPr>
                    <w:rPr>
                      <w:sz w:val="18"/>
                      <w:szCs w:val="18"/>
                    </w:rPr>
                  </w:pPr>
                </w:p>
                <w:p w14:paraId="713B7D4B" w14:textId="77777777" w:rsidR="00790109" w:rsidRDefault="00790109" w:rsidP="00FF6330">
                  <w:pPr>
                    <w:rPr>
                      <w:sz w:val="18"/>
                      <w:szCs w:val="18"/>
                    </w:rPr>
                  </w:pPr>
                  <w:r>
                    <w:rPr>
                      <w:sz w:val="18"/>
                      <w:szCs w:val="18"/>
                    </w:rPr>
                    <w:t xml:space="preserve">Normal Replacement (NR) </w:t>
                  </w:r>
                </w:p>
                <w:p w14:paraId="0E94A7DB" w14:textId="633673BE" w:rsidR="00790109" w:rsidRPr="00500C4E" w:rsidRDefault="00790109" w:rsidP="00FF6330">
                  <w:pPr>
                    <w:rPr>
                      <w:sz w:val="18"/>
                      <w:szCs w:val="18"/>
                    </w:rPr>
                  </w:pPr>
                  <w:r>
                    <w:rPr>
                      <w:sz w:val="18"/>
                      <w:szCs w:val="18"/>
                    </w:rPr>
                    <w:t>(start date = 1/1/2019)</w:t>
                  </w:r>
                </w:p>
              </w:tc>
              <w:tc>
                <w:tcPr>
                  <w:tcW w:w="1107" w:type="pct"/>
                </w:tcPr>
                <w:p w14:paraId="77F823BE" w14:textId="77777777" w:rsidR="00FF6330" w:rsidRPr="00500C4E" w:rsidRDefault="00FF6330" w:rsidP="00FF6330">
                  <w:pPr>
                    <w:rPr>
                      <w:sz w:val="18"/>
                      <w:szCs w:val="18"/>
                    </w:rPr>
                  </w:pPr>
                  <w:r w:rsidRPr="00500C4E">
                    <w:rPr>
                      <w:sz w:val="18"/>
                      <w:szCs w:val="18"/>
                    </w:rPr>
                    <w:t>Above Code or Standard</w:t>
                  </w:r>
                </w:p>
              </w:tc>
              <w:tc>
                <w:tcPr>
                  <w:tcW w:w="1108" w:type="pct"/>
                </w:tcPr>
                <w:p w14:paraId="05803028" w14:textId="77777777" w:rsidR="00FF6330" w:rsidRPr="00500C4E" w:rsidRDefault="00FF6330" w:rsidP="00FF6330">
                  <w:pPr>
                    <w:rPr>
                      <w:sz w:val="18"/>
                      <w:szCs w:val="18"/>
                    </w:rPr>
                  </w:pPr>
                  <w:r w:rsidRPr="00500C4E">
                    <w:rPr>
                      <w:sz w:val="18"/>
                      <w:szCs w:val="18"/>
                    </w:rPr>
                    <w:t>N/A</w:t>
                  </w:r>
                </w:p>
              </w:tc>
              <w:tc>
                <w:tcPr>
                  <w:tcW w:w="481" w:type="pct"/>
                </w:tcPr>
                <w:p w14:paraId="21C41306" w14:textId="77777777" w:rsidR="00FF6330" w:rsidRPr="00500C4E" w:rsidRDefault="00FF6330" w:rsidP="00FF6330">
                  <w:pPr>
                    <w:rPr>
                      <w:sz w:val="18"/>
                      <w:szCs w:val="18"/>
                    </w:rPr>
                  </w:pPr>
                  <w:r w:rsidRPr="00500C4E">
                    <w:rPr>
                      <w:sz w:val="18"/>
                      <w:szCs w:val="18"/>
                    </w:rPr>
                    <w:t>EUL</w:t>
                  </w:r>
                </w:p>
              </w:tc>
              <w:tc>
                <w:tcPr>
                  <w:tcW w:w="526" w:type="pct"/>
                </w:tcPr>
                <w:p w14:paraId="7A1A9243" w14:textId="77777777" w:rsidR="00FF6330" w:rsidRPr="00500C4E" w:rsidRDefault="00FF6330" w:rsidP="00FF6330">
                  <w:pPr>
                    <w:rPr>
                      <w:sz w:val="18"/>
                      <w:szCs w:val="18"/>
                    </w:rPr>
                  </w:pPr>
                  <w:r w:rsidRPr="00500C4E">
                    <w:rPr>
                      <w:sz w:val="18"/>
                      <w:szCs w:val="18"/>
                    </w:rPr>
                    <w:t>N/A</w:t>
                  </w:r>
                </w:p>
              </w:tc>
            </w:tr>
            <w:tr w:rsidR="007E648E" w:rsidRPr="00500C4E" w14:paraId="779A9318" w14:textId="77777777" w:rsidTr="00580148">
              <w:trPr>
                <w:trHeight w:val="20"/>
              </w:trPr>
              <w:tc>
                <w:tcPr>
                  <w:tcW w:w="1778" w:type="pct"/>
                </w:tcPr>
                <w:p w14:paraId="29DED5EE" w14:textId="77777777" w:rsidR="00FF6330" w:rsidRDefault="00FF6330" w:rsidP="00FF6330">
                  <w:pPr>
                    <w:rPr>
                      <w:sz w:val="18"/>
                      <w:szCs w:val="18"/>
                    </w:rPr>
                  </w:pPr>
                  <w:r w:rsidRPr="00500C4E">
                    <w:rPr>
                      <w:sz w:val="18"/>
                      <w:szCs w:val="18"/>
                    </w:rPr>
                    <w:t>New Construction (NEW</w:t>
                  </w:r>
                  <w:r>
                    <w:rPr>
                      <w:sz w:val="18"/>
                      <w:szCs w:val="18"/>
                    </w:rPr>
                    <w:t>/NC</w:t>
                  </w:r>
                  <w:r w:rsidRPr="00500C4E">
                    <w:rPr>
                      <w:sz w:val="18"/>
                      <w:szCs w:val="18"/>
                    </w:rPr>
                    <w:t>)</w:t>
                  </w:r>
                </w:p>
                <w:p w14:paraId="459ACD29" w14:textId="7DF7E37B" w:rsidR="00AA423E" w:rsidRPr="00500C4E" w:rsidRDefault="00AA423E" w:rsidP="00FF6330">
                  <w:pPr>
                    <w:rPr>
                      <w:sz w:val="18"/>
                      <w:szCs w:val="18"/>
                    </w:rPr>
                  </w:pPr>
                </w:p>
              </w:tc>
              <w:tc>
                <w:tcPr>
                  <w:tcW w:w="1107" w:type="pct"/>
                </w:tcPr>
                <w:p w14:paraId="5EBD7E67" w14:textId="77777777" w:rsidR="00FF6330" w:rsidRPr="00500C4E" w:rsidRDefault="00FF6330" w:rsidP="00FF6330">
                  <w:pPr>
                    <w:rPr>
                      <w:sz w:val="18"/>
                      <w:szCs w:val="18"/>
                    </w:rPr>
                  </w:pPr>
                  <w:r w:rsidRPr="00500C4E">
                    <w:rPr>
                      <w:sz w:val="18"/>
                      <w:szCs w:val="18"/>
                    </w:rPr>
                    <w:t>Above Code or Standard</w:t>
                  </w:r>
                </w:p>
              </w:tc>
              <w:tc>
                <w:tcPr>
                  <w:tcW w:w="1108" w:type="pct"/>
                </w:tcPr>
                <w:p w14:paraId="26A70D76" w14:textId="77777777" w:rsidR="00FF6330" w:rsidRPr="00500C4E" w:rsidRDefault="00FF6330" w:rsidP="00FF6330">
                  <w:pPr>
                    <w:rPr>
                      <w:sz w:val="18"/>
                      <w:szCs w:val="18"/>
                    </w:rPr>
                  </w:pPr>
                  <w:r w:rsidRPr="00500C4E">
                    <w:rPr>
                      <w:sz w:val="18"/>
                      <w:szCs w:val="18"/>
                    </w:rPr>
                    <w:t>N/A</w:t>
                  </w:r>
                </w:p>
              </w:tc>
              <w:tc>
                <w:tcPr>
                  <w:tcW w:w="481" w:type="pct"/>
                </w:tcPr>
                <w:p w14:paraId="71BC2BC0" w14:textId="77777777" w:rsidR="00FF6330" w:rsidRPr="00500C4E" w:rsidRDefault="00FF6330" w:rsidP="00FF6330">
                  <w:pPr>
                    <w:rPr>
                      <w:sz w:val="18"/>
                      <w:szCs w:val="18"/>
                    </w:rPr>
                  </w:pPr>
                  <w:r w:rsidRPr="00500C4E">
                    <w:rPr>
                      <w:sz w:val="18"/>
                      <w:szCs w:val="18"/>
                    </w:rPr>
                    <w:t>EUL</w:t>
                  </w:r>
                </w:p>
              </w:tc>
              <w:tc>
                <w:tcPr>
                  <w:tcW w:w="526" w:type="pct"/>
                </w:tcPr>
                <w:p w14:paraId="5AE75451" w14:textId="77777777" w:rsidR="00FF6330" w:rsidRPr="00500C4E" w:rsidRDefault="00FF6330" w:rsidP="00FF6330">
                  <w:pPr>
                    <w:rPr>
                      <w:sz w:val="18"/>
                      <w:szCs w:val="18"/>
                    </w:rPr>
                  </w:pPr>
                  <w:r w:rsidRPr="00500C4E">
                    <w:rPr>
                      <w:sz w:val="18"/>
                      <w:szCs w:val="18"/>
                    </w:rPr>
                    <w:t>N/A</w:t>
                  </w:r>
                </w:p>
              </w:tc>
            </w:tr>
          </w:tbl>
          <w:p w14:paraId="269B66E0" w14:textId="37690144" w:rsidR="00FF6330" w:rsidRPr="003233BD" w:rsidRDefault="00FF6330" w:rsidP="00FF6330">
            <w:pPr>
              <w:ind w:left="360"/>
              <w:contextualSpacing/>
              <w:rPr>
                <w:rFonts w:cs="Arial"/>
                <w:sz w:val="20"/>
                <w:szCs w:val="20"/>
              </w:rPr>
            </w:pPr>
          </w:p>
        </w:tc>
      </w:tr>
      <w:tr w:rsidR="00C80D48" w:rsidRPr="009B0E7F" w14:paraId="269B66E4" w14:textId="77777777" w:rsidTr="00235D4A">
        <w:trPr>
          <w:cantSplit/>
        </w:trPr>
        <w:tc>
          <w:tcPr>
            <w:tcW w:w="2402" w:type="dxa"/>
            <w:vAlign w:val="center"/>
          </w:tcPr>
          <w:p w14:paraId="269B66E2" w14:textId="77777777" w:rsidR="009B0E7F" w:rsidRPr="009B0E7F" w:rsidRDefault="009B0E7F" w:rsidP="009B0E7F">
            <w:pPr>
              <w:jc w:val="right"/>
              <w:rPr>
                <w:sz w:val="20"/>
                <w:szCs w:val="20"/>
              </w:rPr>
            </w:pPr>
            <w:r w:rsidRPr="009B0E7F">
              <w:rPr>
                <w:sz w:val="20"/>
                <w:szCs w:val="20"/>
              </w:rPr>
              <w:t>Delivery Mechanisms</w:t>
            </w:r>
          </w:p>
        </w:tc>
        <w:tc>
          <w:tcPr>
            <w:tcW w:w="8280" w:type="dxa"/>
          </w:tcPr>
          <w:p w14:paraId="269B66E3" w14:textId="254E55EC" w:rsidR="00FF6330" w:rsidRPr="003233BD" w:rsidRDefault="00FF6330" w:rsidP="00FF6330">
            <w:pPr>
              <w:ind w:left="360"/>
              <w:contextualSpacing/>
              <w:rPr>
                <w:rFonts w:cs="Arial"/>
                <w:sz w:val="20"/>
                <w:szCs w:val="20"/>
              </w:rPr>
            </w:pPr>
          </w:p>
        </w:tc>
      </w:tr>
      <w:tr w:rsidR="00C80D48" w:rsidRPr="009B0E7F" w14:paraId="269B66E7" w14:textId="77777777" w:rsidTr="00235D4A">
        <w:trPr>
          <w:cantSplit/>
        </w:trPr>
        <w:tc>
          <w:tcPr>
            <w:tcW w:w="2402" w:type="dxa"/>
          </w:tcPr>
          <w:p w14:paraId="269B66E5" w14:textId="77777777" w:rsidR="009B0E7F" w:rsidRPr="009B0E7F" w:rsidRDefault="009B0E7F" w:rsidP="009B0E7F">
            <w:pPr>
              <w:rPr>
                <w:b/>
              </w:rPr>
            </w:pPr>
            <w:r w:rsidRPr="009B0E7F">
              <w:rPr>
                <w:b/>
              </w:rPr>
              <w:t>1.4.1 DEER Data</w:t>
            </w:r>
          </w:p>
        </w:tc>
        <w:tc>
          <w:tcPr>
            <w:tcW w:w="8280" w:type="dxa"/>
          </w:tcPr>
          <w:p w14:paraId="269B66E6" w14:textId="77777777" w:rsidR="009B0E7F" w:rsidRPr="003233BD" w:rsidRDefault="009B0E7F" w:rsidP="009B0E7F">
            <w:pPr>
              <w:rPr>
                <w:sz w:val="20"/>
                <w:szCs w:val="20"/>
              </w:rPr>
            </w:pPr>
          </w:p>
        </w:tc>
      </w:tr>
      <w:tr w:rsidR="00C80D48" w:rsidRPr="009B0E7F" w14:paraId="269B66F3" w14:textId="77777777" w:rsidTr="00235D4A">
        <w:trPr>
          <w:cantSplit/>
        </w:trPr>
        <w:tc>
          <w:tcPr>
            <w:tcW w:w="2402" w:type="dxa"/>
            <w:vAlign w:val="center"/>
          </w:tcPr>
          <w:p w14:paraId="269B66F1" w14:textId="77777777" w:rsidR="009B0E7F" w:rsidRPr="009B0E7F" w:rsidRDefault="009B0E7F" w:rsidP="009B0E7F">
            <w:pPr>
              <w:jc w:val="right"/>
              <w:rPr>
                <w:sz w:val="20"/>
                <w:szCs w:val="20"/>
              </w:rPr>
            </w:pPr>
            <w:r w:rsidRPr="009B0E7F">
              <w:rPr>
                <w:sz w:val="20"/>
                <w:szCs w:val="20"/>
              </w:rPr>
              <w:t>Net-to-Gross Ratio</w:t>
            </w:r>
          </w:p>
        </w:tc>
        <w:tc>
          <w:tcPr>
            <w:tcW w:w="8280" w:type="dxa"/>
          </w:tcPr>
          <w:p w14:paraId="6FD2242E" w14:textId="77777777" w:rsidR="00EF438A" w:rsidRPr="00325EE9" w:rsidRDefault="00D83D0D" w:rsidP="00C1087D">
            <w:pPr>
              <w:tabs>
                <w:tab w:val="right" w:pos="8064"/>
              </w:tabs>
              <w:rPr>
                <w:rFonts w:cs="Arial"/>
                <w:szCs w:val="22"/>
              </w:rPr>
            </w:pPr>
            <w:r w:rsidRPr="00325EE9">
              <w:rPr>
                <w:rFonts w:cs="Arial"/>
                <w:szCs w:val="22"/>
              </w:rPr>
              <w:t>Com – Default&gt;2yrs</w:t>
            </w:r>
            <w:r w:rsidR="009B0E7F" w:rsidRPr="00325EE9">
              <w:rPr>
                <w:rFonts w:cs="Arial"/>
                <w:szCs w:val="22"/>
              </w:rPr>
              <w:tab/>
            </w:r>
          </w:p>
          <w:p w14:paraId="269B66F2" w14:textId="36DA4D3E" w:rsidR="009B0E7F" w:rsidRPr="00325EE9" w:rsidRDefault="00C80D48" w:rsidP="00C1087D">
            <w:pPr>
              <w:tabs>
                <w:tab w:val="right" w:pos="8064"/>
              </w:tabs>
              <w:rPr>
                <w:rFonts w:cs="Arial"/>
                <w:szCs w:val="22"/>
              </w:rPr>
            </w:pPr>
            <w:r w:rsidRPr="00325EE9">
              <w:rPr>
                <w:rFonts w:cs="Arial"/>
                <w:szCs w:val="22"/>
              </w:rPr>
              <w:t>SDG&amp;E is using the default as ther</w:t>
            </w:r>
            <w:r w:rsidR="0022781C" w:rsidRPr="00325EE9">
              <w:rPr>
                <w:rFonts w:cs="Arial"/>
                <w:szCs w:val="22"/>
              </w:rPr>
              <w:t>e is no other applicable NTG</w:t>
            </w:r>
            <w:r w:rsidRPr="00325EE9">
              <w:rPr>
                <w:rFonts w:cs="Arial"/>
                <w:szCs w:val="22"/>
              </w:rPr>
              <w:t>D</w:t>
            </w:r>
            <w:r w:rsidR="00D83D0D" w:rsidRPr="00325EE9">
              <w:rPr>
                <w:rFonts w:cs="Arial"/>
                <w:szCs w:val="22"/>
              </w:rPr>
              <w:t xml:space="preserve"> </w:t>
            </w:r>
          </w:p>
        </w:tc>
      </w:tr>
      <w:tr w:rsidR="00EF438A" w:rsidRPr="009B0E7F" w14:paraId="7093F2AE" w14:textId="77777777" w:rsidTr="00235D4A">
        <w:trPr>
          <w:cantSplit/>
        </w:trPr>
        <w:tc>
          <w:tcPr>
            <w:tcW w:w="2402" w:type="dxa"/>
            <w:vAlign w:val="center"/>
          </w:tcPr>
          <w:p w14:paraId="6802D8D0" w14:textId="05702CCA" w:rsidR="00EF438A" w:rsidRPr="009B0E7F" w:rsidRDefault="00EF438A" w:rsidP="009B0E7F">
            <w:pPr>
              <w:jc w:val="right"/>
              <w:rPr>
                <w:sz w:val="20"/>
                <w:szCs w:val="20"/>
              </w:rPr>
            </w:pPr>
            <w:r>
              <w:rPr>
                <w:sz w:val="20"/>
                <w:szCs w:val="20"/>
              </w:rPr>
              <w:t xml:space="preserve">Installation Rate </w:t>
            </w:r>
          </w:p>
        </w:tc>
        <w:tc>
          <w:tcPr>
            <w:tcW w:w="8280" w:type="dxa"/>
          </w:tcPr>
          <w:p w14:paraId="125F622A" w14:textId="77777777" w:rsidR="00EF438A" w:rsidRPr="00325EE9" w:rsidRDefault="00EF438A" w:rsidP="00EF438A">
            <w:pPr>
              <w:pStyle w:val="NoSpacing"/>
            </w:pPr>
            <w:r w:rsidRPr="00325EE9">
              <w:t>The IR values were obtained using the DEER READI tool. The relevant IR values for the measures in this work paper are in the table below.</w:t>
            </w:r>
          </w:p>
          <w:tbl>
            <w:tblPr>
              <w:tblStyle w:val="TableGrid1"/>
              <w:tblW w:w="5000" w:type="pct"/>
              <w:tblLook w:val="01E0" w:firstRow="1" w:lastRow="1" w:firstColumn="1" w:lastColumn="1" w:noHBand="0" w:noVBand="0"/>
            </w:tblPr>
            <w:tblGrid>
              <w:gridCol w:w="1285"/>
              <w:gridCol w:w="2517"/>
              <w:gridCol w:w="1225"/>
              <w:gridCol w:w="1532"/>
              <w:gridCol w:w="1293"/>
              <w:gridCol w:w="1174"/>
            </w:tblGrid>
            <w:tr w:rsidR="007E648E" w:rsidRPr="00325EE9" w14:paraId="29A967C9" w14:textId="77777777" w:rsidTr="00580148">
              <w:tc>
                <w:tcPr>
                  <w:tcW w:w="722" w:type="pct"/>
                  <w:shd w:val="clear" w:color="auto" w:fill="D9D9D9" w:themeFill="background1" w:themeFillShade="D9"/>
                </w:tcPr>
                <w:p w14:paraId="7045A731" w14:textId="77777777" w:rsidR="00EF438A" w:rsidRPr="00325EE9" w:rsidRDefault="00EF438A" w:rsidP="00EF438A">
                  <w:pPr>
                    <w:rPr>
                      <w:rFonts w:cstheme="minorHAnsi"/>
                      <w:b/>
                      <w:sz w:val="22"/>
                      <w:szCs w:val="22"/>
                    </w:rPr>
                  </w:pPr>
                  <w:r w:rsidRPr="00325EE9">
                    <w:rPr>
                      <w:rFonts w:cstheme="minorHAnsi"/>
                      <w:b/>
                      <w:sz w:val="22"/>
                      <w:szCs w:val="22"/>
                    </w:rPr>
                    <w:t>GSIA ID</w:t>
                  </w:r>
                </w:p>
              </w:tc>
              <w:tc>
                <w:tcPr>
                  <w:tcW w:w="1404" w:type="pct"/>
                  <w:shd w:val="clear" w:color="auto" w:fill="D9D9D9" w:themeFill="background1" w:themeFillShade="D9"/>
                </w:tcPr>
                <w:p w14:paraId="3B2BFD02" w14:textId="77777777" w:rsidR="00EF438A" w:rsidRPr="00325EE9" w:rsidRDefault="00EF438A" w:rsidP="00EF438A">
                  <w:pPr>
                    <w:rPr>
                      <w:rFonts w:cstheme="minorHAnsi"/>
                      <w:b/>
                      <w:sz w:val="22"/>
                      <w:szCs w:val="22"/>
                    </w:rPr>
                  </w:pPr>
                  <w:r w:rsidRPr="00325EE9">
                    <w:rPr>
                      <w:rFonts w:cstheme="minorHAnsi"/>
                      <w:b/>
                      <w:sz w:val="22"/>
                      <w:szCs w:val="22"/>
                    </w:rPr>
                    <w:t>Description</w:t>
                  </w:r>
                </w:p>
              </w:tc>
              <w:tc>
                <w:tcPr>
                  <w:tcW w:w="688" w:type="pct"/>
                  <w:shd w:val="clear" w:color="auto" w:fill="D9D9D9" w:themeFill="background1" w:themeFillShade="D9"/>
                </w:tcPr>
                <w:p w14:paraId="21961975" w14:textId="77777777" w:rsidR="00EF438A" w:rsidRPr="00325EE9" w:rsidRDefault="00EF438A" w:rsidP="00EF438A">
                  <w:pPr>
                    <w:rPr>
                      <w:rFonts w:cstheme="minorHAnsi"/>
                      <w:b/>
                      <w:sz w:val="22"/>
                      <w:szCs w:val="22"/>
                    </w:rPr>
                  </w:pPr>
                  <w:r w:rsidRPr="00325EE9">
                    <w:rPr>
                      <w:rFonts w:cstheme="minorHAnsi"/>
                      <w:b/>
                      <w:sz w:val="22"/>
                      <w:szCs w:val="22"/>
                    </w:rPr>
                    <w:t>Sector</w:t>
                  </w:r>
                </w:p>
              </w:tc>
              <w:tc>
                <w:tcPr>
                  <w:tcW w:w="858" w:type="pct"/>
                  <w:shd w:val="clear" w:color="auto" w:fill="D9D9D9" w:themeFill="background1" w:themeFillShade="D9"/>
                </w:tcPr>
                <w:p w14:paraId="165B6E48" w14:textId="77777777" w:rsidR="00EF438A" w:rsidRPr="00325EE9" w:rsidRDefault="00EF438A" w:rsidP="00EF438A">
                  <w:pPr>
                    <w:rPr>
                      <w:rFonts w:cstheme="minorHAnsi"/>
                      <w:b/>
                      <w:sz w:val="22"/>
                      <w:szCs w:val="22"/>
                    </w:rPr>
                  </w:pPr>
                  <w:proofErr w:type="spellStart"/>
                  <w:r w:rsidRPr="00325EE9">
                    <w:rPr>
                      <w:rFonts w:cstheme="minorHAnsi"/>
                      <w:b/>
                      <w:sz w:val="22"/>
                      <w:szCs w:val="22"/>
                    </w:rPr>
                    <w:t>BldgType</w:t>
                  </w:r>
                  <w:proofErr w:type="spellEnd"/>
                </w:p>
              </w:tc>
              <w:tc>
                <w:tcPr>
                  <w:tcW w:w="693" w:type="pct"/>
                  <w:shd w:val="clear" w:color="auto" w:fill="D9D9D9" w:themeFill="background1" w:themeFillShade="D9"/>
                </w:tcPr>
                <w:p w14:paraId="4CA26C4A" w14:textId="77777777" w:rsidR="00EF438A" w:rsidRPr="00325EE9" w:rsidRDefault="00EF438A" w:rsidP="00EF438A">
                  <w:pPr>
                    <w:rPr>
                      <w:rFonts w:cstheme="minorHAnsi"/>
                      <w:b/>
                      <w:sz w:val="22"/>
                      <w:szCs w:val="22"/>
                    </w:rPr>
                  </w:pPr>
                  <w:proofErr w:type="spellStart"/>
                  <w:r w:rsidRPr="00325EE9">
                    <w:rPr>
                      <w:rFonts w:cstheme="minorHAnsi"/>
                      <w:b/>
                      <w:sz w:val="22"/>
                      <w:szCs w:val="22"/>
                    </w:rPr>
                    <w:t>ProgDelivID</w:t>
                  </w:r>
                  <w:proofErr w:type="spellEnd"/>
                </w:p>
              </w:tc>
              <w:tc>
                <w:tcPr>
                  <w:tcW w:w="634" w:type="pct"/>
                  <w:shd w:val="clear" w:color="auto" w:fill="D9D9D9" w:themeFill="background1" w:themeFillShade="D9"/>
                </w:tcPr>
                <w:p w14:paraId="0E212C33" w14:textId="77777777" w:rsidR="00EF438A" w:rsidRPr="00325EE9" w:rsidRDefault="00EF438A" w:rsidP="00EF438A">
                  <w:pPr>
                    <w:rPr>
                      <w:rFonts w:cstheme="minorHAnsi"/>
                      <w:b/>
                      <w:sz w:val="22"/>
                      <w:szCs w:val="22"/>
                    </w:rPr>
                  </w:pPr>
                  <w:proofErr w:type="spellStart"/>
                  <w:r w:rsidRPr="00325EE9">
                    <w:rPr>
                      <w:rFonts w:cstheme="minorHAnsi"/>
                      <w:b/>
                      <w:sz w:val="22"/>
                      <w:szCs w:val="22"/>
                    </w:rPr>
                    <w:t>GSIAValue</w:t>
                  </w:r>
                  <w:proofErr w:type="spellEnd"/>
                </w:p>
              </w:tc>
            </w:tr>
            <w:tr w:rsidR="007E648E" w:rsidRPr="00325EE9" w14:paraId="176AB431" w14:textId="77777777" w:rsidTr="00580148">
              <w:tc>
                <w:tcPr>
                  <w:tcW w:w="722" w:type="pct"/>
                </w:tcPr>
                <w:p w14:paraId="62FF59E4" w14:textId="77777777" w:rsidR="00EF438A" w:rsidRPr="00325EE9" w:rsidRDefault="00EF438A" w:rsidP="00EF438A">
                  <w:pPr>
                    <w:rPr>
                      <w:sz w:val="22"/>
                      <w:szCs w:val="22"/>
                    </w:rPr>
                  </w:pPr>
                  <w:r w:rsidRPr="00325EE9">
                    <w:rPr>
                      <w:sz w:val="22"/>
                      <w:szCs w:val="22"/>
                    </w:rPr>
                    <w:t>Def-GSIA</w:t>
                  </w:r>
                </w:p>
              </w:tc>
              <w:tc>
                <w:tcPr>
                  <w:tcW w:w="1404" w:type="pct"/>
                </w:tcPr>
                <w:p w14:paraId="792871CA" w14:textId="77777777" w:rsidR="00EF438A" w:rsidRPr="00325EE9" w:rsidRDefault="00EF438A" w:rsidP="00EF438A">
                  <w:pPr>
                    <w:rPr>
                      <w:sz w:val="22"/>
                      <w:szCs w:val="22"/>
                    </w:rPr>
                  </w:pPr>
                  <w:r w:rsidRPr="00325EE9">
                    <w:rPr>
                      <w:sz w:val="22"/>
                      <w:szCs w:val="22"/>
                    </w:rPr>
                    <w:t>Default GSIA values</w:t>
                  </w:r>
                </w:p>
              </w:tc>
              <w:tc>
                <w:tcPr>
                  <w:tcW w:w="688" w:type="pct"/>
                </w:tcPr>
                <w:p w14:paraId="1FA25D27" w14:textId="77777777" w:rsidR="00EF438A" w:rsidRPr="00325EE9" w:rsidRDefault="00EF438A" w:rsidP="00EF438A">
                  <w:pPr>
                    <w:rPr>
                      <w:sz w:val="22"/>
                      <w:szCs w:val="22"/>
                    </w:rPr>
                  </w:pPr>
                  <w:r w:rsidRPr="00325EE9">
                    <w:rPr>
                      <w:sz w:val="22"/>
                      <w:szCs w:val="22"/>
                    </w:rPr>
                    <w:t>Any</w:t>
                  </w:r>
                </w:p>
              </w:tc>
              <w:tc>
                <w:tcPr>
                  <w:tcW w:w="858" w:type="pct"/>
                </w:tcPr>
                <w:p w14:paraId="32DC63EE" w14:textId="77777777" w:rsidR="00EF438A" w:rsidRPr="00325EE9" w:rsidRDefault="00EF438A" w:rsidP="00EF438A">
                  <w:pPr>
                    <w:rPr>
                      <w:sz w:val="22"/>
                      <w:szCs w:val="22"/>
                    </w:rPr>
                  </w:pPr>
                  <w:r w:rsidRPr="00325EE9">
                    <w:rPr>
                      <w:sz w:val="22"/>
                      <w:szCs w:val="22"/>
                    </w:rPr>
                    <w:t>Any</w:t>
                  </w:r>
                </w:p>
              </w:tc>
              <w:tc>
                <w:tcPr>
                  <w:tcW w:w="693" w:type="pct"/>
                </w:tcPr>
                <w:p w14:paraId="4BF2753B" w14:textId="77777777" w:rsidR="00EF438A" w:rsidRPr="00325EE9" w:rsidRDefault="00EF438A" w:rsidP="00EF438A">
                  <w:pPr>
                    <w:rPr>
                      <w:sz w:val="22"/>
                      <w:szCs w:val="22"/>
                    </w:rPr>
                  </w:pPr>
                  <w:r w:rsidRPr="00325EE9">
                    <w:rPr>
                      <w:sz w:val="22"/>
                      <w:szCs w:val="22"/>
                    </w:rPr>
                    <w:t>Any</w:t>
                  </w:r>
                </w:p>
              </w:tc>
              <w:tc>
                <w:tcPr>
                  <w:tcW w:w="634" w:type="pct"/>
                </w:tcPr>
                <w:p w14:paraId="2F88351F" w14:textId="77777777" w:rsidR="00EF438A" w:rsidRPr="00325EE9" w:rsidRDefault="00EF438A" w:rsidP="00EF438A">
                  <w:pPr>
                    <w:rPr>
                      <w:sz w:val="22"/>
                      <w:szCs w:val="22"/>
                    </w:rPr>
                  </w:pPr>
                  <w:r w:rsidRPr="00325EE9">
                    <w:rPr>
                      <w:sz w:val="22"/>
                      <w:szCs w:val="22"/>
                    </w:rPr>
                    <w:t>1</w:t>
                  </w:r>
                </w:p>
              </w:tc>
            </w:tr>
          </w:tbl>
          <w:p w14:paraId="50448AF6" w14:textId="7974A178" w:rsidR="00EF438A" w:rsidRPr="00325EE9" w:rsidRDefault="00EF438A" w:rsidP="00C1087D">
            <w:pPr>
              <w:tabs>
                <w:tab w:val="right" w:pos="8064"/>
              </w:tabs>
              <w:rPr>
                <w:rFonts w:cs="Arial"/>
                <w:szCs w:val="22"/>
              </w:rPr>
            </w:pPr>
          </w:p>
        </w:tc>
      </w:tr>
      <w:tr w:rsidR="00C80D48" w:rsidRPr="009B0E7F" w14:paraId="269B66F6" w14:textId="77777777" w:rsidTr="00235D4A">
        <w:trPr>
          <w:cantSplit/>
        </w:trPr>
        <w:tc>
          <w:tcPr>
            <w:tcW w:w="2402" w:type="dxa"/>
            <w:vAlign w:val="center"/>
          </w:tcPr>
          <w:p w14:paraId="269B66F4" w14:textId="77777777" w:rsidR="009B0E7F" w:rsidRPr="009B0E7F" w:rsidRDefault="009B0E7F" w:rsidP="009B0E7F">
            <w:pPr>
              <w:jc w:val="right"/>
              <w:rPr>
                <w:sz w:val="20"/>
                <w:szCs w:val="20"/>
              </w:rPr>
            </w:pPr>
            <w:r w:rsidRPr="009B0E7F">
              <w:rPr>
                <w:sz w:val="20"/>
                <w:szCs w:val="20"/>
              </w:rPr>
              <w:t>Effective and Remaining Useful Life</w:t>
            </w:r>
          </w:p>
        </w:tc>
        <w:tc>
          <w:tcPr>
            <w:tcW w:w="8280" w:type="dxa"/>
          </w:tcPr>
          <w:p w14:paraId="6DA63579" w14:textId="77777777" w:rsidR="00EF438A" w:rsidRPr="00920905" w:rsidRDefault="00EF438A" w:rsidP="00EF438A">
            <w:pPr>
              <w:pStyle w:val="NoSpacing"/>
            </w:pPr>
            <w:r w:rsidRPr="0087393E">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477"/>
              <w:gridCol w:w="2582"/>
              <w:gridCol w:w="846"/>
              <w:gridCol w:w="1270"/>
              <w:gridCol w:w="1458"/>
              <w:gridCol w:w="1393"/>
            </w:tblGrid>
            <w:tr w:rsidR="007E648E" w:rsidRPr="00500C4E" w14:paraId="22A72BAD" w14:textId="77777777" w:rsidTr="00580148">
              <w:tc>
                <w:tcPr>
                  <w:tcW w:w="824" w:type="pct"/>
                  <w:shd w:val="clear" w:color="auto" w:fill="D9D9D9" w:themeFill="background1" w:themeFillShade="D9"/>
                </w:tcPr>
                <w:p w14:paraId="1C5E5EF7" w14:textId="77777777" w:rsidR="00EF438A" w:rsidRPr="00920905" w:rsidRDefault="00EF438A" w:rsidP="00EF438A">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6B6DF4E2" w14:textId="77777777" w:rsidR="00EF438A" w:rsidRPr="00920905" w:rsidRDefault="00EF438A" w:rsidP="00EF438A">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7458630E" w14:textId="77777777" w:rsidR="00EF438A" w:rsidRPr="00920905" w:rsidRDefault="00EF438A" w:rsidP="00EF438A">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7DDD1215" w14:textId="77777777" w:rsidR="00EF438A" w:rsidRPr="00920905" w:rsidRDefault="00EF438A" w:rsidP="00EF438A">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250BB587" w14:textId="77777777" w:rsidR="00EF438A" w:rsidRPr="00920905" w:rsidRDefault="00EF438A" w:rsidP="00EF438A">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4D3FC64C" w14:textId="77777777" w:rsidR="00EF438A" w:rsidRPr="00920905" w:rsidRDefault="00EF438A" w:rsidP="00EF438A">
                  <w:pPr>
                    <w:rPr>
                      <w:rFonts w:cstheme="minorHAnsi"/>
                      <w:b/>
                      <w:szCs w:val="20"/>
                    </w:rPr>
                  </w:pPr>
                  <w:r w:rsidRPr="00920905">
                    <w:rPr>
                      <w:rFonts w:cstheme="minorHAnsi"/>
                      <w:b/>
                      <w:szCs w:val="20"/>
                    </w:rPr>
                    <w:t>RUL (Years)</w:t>
                  </w:r>
                </w:p>
              </w:tc>
            </w:tr>
            <w:tr w:rsidR="007E648E" w:rsidRPr="001616E4" w14:paraId="42426FDC" w14:textId="77777777" w:rsidTr="00580148">
              <w:trPr>
                <w:trHeight w:val="243"/>
              </w:trPr>
              <w:tc>
                <w:tcPr>
                  <w:tcW w:w="824" w:type="pct"/>
                </w:tcPr>
                <w:p w14:paraId="02434C11" w14:textId="77777777" w:rsidR="00EF438A" w:rsidRPr="001616E4" w:rsidRDefault="00EF438A" w:rsidP="00EF438A">
                  <w:pPr>
                    <w:rPr>
                      <w:szCs w:val="20"/>
                    </w:rPr>
                  </w:pPr>
                  <w:proofErr w:type="spellStart"/>
                  <w:r w:rsidRPr="001616E4">
                    <w:rPr>
                      <w:szCs w:val="20"/>
                    </w:rPr>
                    <w:t>WtrHt</w:t>
                  </w:r>
                  <w:proofErr w:type="spellEnd"/>
                  <w:r w:rsidRPr="001616E4">
                    <w:rPr>
                      <w:szCs w:val="20"/>
                    </w:rPr>
                    <w:t>-Com</w:t>
                  </w:r>
                </w:p>
              </w:tc>
              <w:tc>
                <w:tcPr>
                  <w:tcW w:w="1436" w:type="pct"/>
                </w:tcPr>
                <w:p w14:paraId="6AC9CED6" w14:textId="77777777" w:rsidR="00EF438A" w:rsidRPr="001616E4" w:rsidRDefault="00EF438A" w:rsidP="00EF438A">
                  <w:pPr>
                    <w:rPr>
                      <w:szCs w:val="20"/>
                    </w:rPr>
                  </w:pPr>
                  <w:r w:rsidRPr="001616E4">
                    <w:rPr>
                      <w:szCs w:val="20"/>
                    </w:rPr>
                    <w:t>Commercial Water Heater</w:t>
                  </w:r>
                </w:p>
              </w:tc>
              <w:tc>
                <w:tcPr>
                  <w:tcW w:w="474" w:type="pct"/>
                </w:tcPr>
                <w:p w14:paraId="5B10DD75" w14:textId="77777777" w:rsidR="00EF438A" w:rsidRPr="001616E4" w:rsidRDefault="00EF438A" w:rsidP="00EF438A">
                  <w:pPr>
                    <w:rPr>
                      <w:szCs w:val="20"/>
                    </w:rPr>
                  </w:pPr>
                  <w:r w:rsidRPr="001616E4">
                    <w:rPr>
                      <w:szCs w:val="20"/>
                    </w:rPr>
                    <w:t>Com</w:t>
                  </w:r>
                </w:p>
              </w:tc>
              <w:tc>
                <w:tcPr>
                  <w:tcW w:w="676" w:type="pct"/>
                </w:tcPr>
                <w:p w14:paraId="310CA9B2" w14:textId="77777777" w:rsidR="00EF438A" w:rsidRPr="001616E4" w:rsidRDefault="00EF438A" w:rsidP="00EF438A">
                  <w:pPr>
                    <w:rPr>
                      <w:szCs w:val="20"/>
                    </w:rPr>
                  </w:pPr>
                  <w:r w:rsidRPr="001616E4">
                    <w:rPr>
                      <w:szCs w:val="20"/>
                    </w:rPr>
                    <w:t>SHW</w:t>
                  </w:r>
                </w:p>
              </w:tc>
              <w:tc>
                <w:tcPr>
                  <w:tcW w:w="813" w:type="pct"/>
                </w:tcPr>
                <w:p w14:paraId="4DD6E37C" w14:textId="77777777" w:rsidR="00EF438A" w:rsidRPr="001616E4" w:rsidRDefault="00EF438A" w:rsidP="00EF438A">
                  <w:pPr>
                    <w:rPr>
                      <w:szCs w:val="20"/>
                    </w:rPr>
                  </w:pPr>
                  <w:r w:rsidRPr="001616E4">
                    <w:rPr>
                      <w:szCs w:val="20"/>
                    </w:rPr>
                    <w:t>15</w:t>
                  </w:r>
                </w:p>
              </w:tc>
              <w:tc>
                <w:tcPr>
                  <w:tcW w:w="777" w:type="pct"/>
                </w:tcPr>
                <w:p w14:paraId="47E1F35F" w14:textId="77777777" w:rsidR="00EF438A" w:rsidRPr="001616E4" w:rsidRDefault="00EF438A" w:rsidP="00EF438A">
                  <w:pPr>
                    <w:rPr>
                      <w:szCs w:val="20"/>
                    </w:rPr>
                  </w:pPr>
                  <w:r>
                    <w:rPr>
                      <w:szCs w:val="20"/>
                    </w:rPr>
                    <w:t>0</w:t>
                  </w:r>
                </w:p>
              </w:tc>
            </w:tr>
          </w:tbl>
          <w:p w14:paraId="269B66F5" w14:textId="52119F37" w:rsidR="009B0E7F" w:rsidRPr="003233BD" w:rsidRDefault="009B0E7F" w:rsidP="0022781C">
            <w:pPr>
              <w:tabs>
                <w:tab w:val="right" w:pos="8064"/>
              </w:tabs>
              <w:rPr>
                <w:rFonts w:cs="Arial"/>
                <w:sz w:val="20"/>
                <w:szCs w:val="20"/>
              </w:rPr>
            </w:pPr>
            <w:r w:rsidRPr="003233BD">
              <w:rPr>
                <w:rFonts w:cs="Arial"/>
                <w:sz w:val="20"/>
                <w:szCs w:val="20"/>
              </w:rPr>
              <w:tab/>
            </w:r>
          </w:p>
        </w:tc>
      </w:tr>
      <w:tr w:rsidR="00C80D48" w:rsidRPr="009B0E7F" w14:paraId="269B66F9" w14:textId="77777777" w:rsidTr="00235D4A">
        <w:trPr>
          <w:cantSplit/>
        </w:trPr>
        <w:tc>
          <w:tcPr>
            <w:tcW w:w="2402" w:type="dxa"/>
            <w:vAlign w:val="center"/>
          </w:tcPr>
          <w:p w14:paraId="269B66F7" w14:textId="77777777" w:rsidR="009B0E7F" w:rsidRPr="009B0E7F" w:rsidRDefault="009B0E7F" w:rsidP="009B0E7F">
            <w:pPr>
              <w:rPr>
                <w:b/>
              </w:rPr>
            </w:pPr>
            <w:r w:rsidRPr="009B0E7F">
              <w:rPr>
                <w:b/>
              </w:rPr>
              <w:lastRenderedPageBreak/>
              <w:t>Section 2. Calculation Methodology</w:t>
            </w:r>
          </w:p>
        </w:tc>
        <w:tc>
          <w:tcPr>
            <w:tcW w:w="8280" w:type="dxa"/>
            <w:vAlign w:val="center"/>
          </w:tcPr>
          <w:p w14:paraId="269B66F8" w14:textId="77777777" w:rsidR="009B0E7F" w:rsidRPr="003233BD" w:rsidRDefault="009B0E7F" w:rsidP="009B0E7F">
            <w:pPr>
              <w:rPr>
                <w:rFonts w:cs="Arial"/>
                <w:sz w:val="20"/>
                <w:szCs w:val="20"/>
              </w:rPr>
            </w:pPr>
            <w:r w:rsidRPr="003233BD">
              <w:rPr>
                <w:rFonts w:cs="Arial"/>
                <w:sz w:val="20"/>
                <w:szCs w:val="20"/>
              </w:rPr>
              <w:t>Measures will be processed using DEER Measure/Impact ID by building type and Building Location.  All will be processed and claimed using “Existing” vintage.</w:t>
            </w:r>
          </w:p>
        </w:tc>
      </w:tr>
      <w:tr w:rsidR="00C80D48" w:rsidRPr="009B0E7F" w14:paraId="269B66FC" w14:textId="77777777" w:rsidTr="00235D4A">
        <w:trPr>
          <w:cantSplit/>
        </w:trPr>
        <w:tc>
          <w:tcPr>
            <w:tcW w:w="2402" w:type="dxa"/>
            <w:vAlign w:val="center"/>
          </w:tcPr>
          <w:p w14:paraId="76642B08" w14:textId="77777777" w:rsidR="009B0E7F" w:rsidRDefault="009B0E7F" w:rsidP="009B0E7F">
            <w:pPr>
              <w:jc w:val="right"/>
              <w:rPr>
                <w:rFonts w:cs="Arial"/>
                <w:sz w:val="20"/>
                <w:szCs w:val="20"/>
              </w:rPr>
            </w:pPr>
            <w:r w:rsidRPr="009B0E7F">
              <w:rPr>
                <w:rFonts w:cs="Arial"/>
                <w:sz w:val="20"/>
                <w:szCs w:val="20"/>
              </w:rPr>
              <w:t>Energy Savings/Peak Demand Reduction – All Measures</w:t>
            </w:r>
          </w:p>
          <w:p w14:paraId="048A1807" w14:textId="77777777" w:rsidR="000D06BD" w:rsidRDefault="000D06BD" w:rsidP="009B0E7F">
            <w:pPr>
              <w:jc w:val="right"/>
            </w:pPr>
          </w:p>
          <w:p w14:paraId="673817E6" w14:textId="77777777" w:rsidR="000D06BD" w:rsidRDefault="000D06BD" w:rsidP="009B0E7F">
            <w:pPr>
              <w:jc w:val="right"/>
            </w:pPr>
          </w:p>
          <w:p w14:paraId="20851747" w14:textId="77777777" w:rsidR="000D06BD" w:rsidRDefault="000D06BD" w:rsidP="009B0E7F">
            <w:pPr>
              <w:jc w:val="right"/>
            </w:pPr>
          </w:p>
          <w:p w14:paraId="5DD048E8" w14:textId="77777777" w:rsidR="000D06BD" w:rsidRDefault="000D06BD" w:rsidP="009B0E7F">
            <w:pPr>
              <w:jc w:val="right"/>
            </w:pPr>
          </w:p>
          <w:p w14:paraId="373F6E5C" w14:textId="77777777" w:rsidR="000D06BD" w:rsidRDefault="000D06BD" w:rsidP="009B0E7F">
            <w:pPr>
              <w:jc w:val="right"/>
            </w:pPr>
          </w:p>
          <w:p w14:paraId="2CFF87C6" w14:textId="77777777" w:rsidR="000D06BD" w:rsidRDefault="000D06BD" w:rsidP="009B0E7F">
            <w:pPr>
              <w:jc w:val="right"/>
            </w:pPr>
          </w:p>
          <w:p w14:paraId="7D0B6E38" w14:textId="77777777" w:rsidR="000D06BD" w:rsidRDefault="000D06BD" w:rsidP="009B0E7F">
            <w:pPr>
              <w:jc w:val="right"/>
            </w:pPr>
          </w:p>
          <w:p w14:paraId="4DB80C93" w14:textId="77777777" w:rsidR="000D06BD" w:rsidRDefault="000D06BD" w:rsidP="009B0E7F">
            <w:pPr>
              <w:jc w:val="right"/>
            </w:pPr>
          </w:p>
          <w:p w14:paraId="7D34F453" w14:textId="77777777" w:rsidR="000D06BD" w:rsidRDefault="000D06BD" w:rsidP="009B0E7F">
            <w:pPr>
              <w:jc w:val="right"/>
            </w:pPr>
          </w:p>
          <w:p w14:paraId="269B66FA" w14:textId="28C7347A" w:rsidR="000D06BD" w:rsidRPr="009B0E7F" w:rsidRDefault="000D06BD" w:rsidP="009B0E7F">
            <w:pPr>
              <w:jc w:val="right"/>
            </w:pPr>
          </w:p>
        </w:tc>
        <w:tc>
          <w:tcPr>
            <w:tcW w:w="8280" w:type="dxa"/>
          </w:tcPr>
          <w:p w14:paraId="4765E73A" w14:textId="77777777" w:rsidR="009B0E7F" w:rsidRDefault="009B0E7F" w:rsidP="009B0E7F">
            <w:pPr>
              <w:tabs>
                <w:tab w:val="right" w:pos="6732"/>
              </w:tabs>
              <w:rPr>
                <w:rFonts w:cs="Arial"/>
                <w:sz w:val="20"/>
                <w:szCs w:val="20"/>
              </w:rPr>
            </w:pPr>
            <w:r w:rsidRPr="003233BD">
              <w:rPr>
                <w:rFonts w:cs="Arial"/>
                <w:sz w:val="20"/>
                <w:szCs w:val="20"/>
              </w:rPr>
              <w:t xml:space="preserve">All Energy Impacts per DEER Measure IDs noted </w:t>
            </w:r>
            <w:r w:rsidR="004423AF">
              <w:rPr>
                <w:rFonts w:cs="Arial"/>
                <w:sz w:val="20"/>
                <w:szCs w:val="20"/>
              </w:rPr>
              <w:t>her</w:t>
            </w:r>
            <w:r w:rsidR="008E6BB1">
              <w:rPr>
                <w:rFonts w:cs="Arial"/>
                <w:sz w:val="20"/>
                <w:szCs w:val="20"/>
              </w:rPr>
              <w:t>e</w:t>
            </w:r>
            <w:r w:rsidR="004423AF">
              <w:rPr>
                <w:rFonts w:cs="Arial"/>
                <w:sz w:val="20"/>
                <w:szCs w:val="20"/>
              </w:rPr>
              <w:t xml:space="preserve">in </w:t>
            </w:r>
            <w:r w:rsidRPr="003233BD">
              <w:rPr>
                <w:rFonts w:cs="Arial"/>
                <w:sz w:val="20"/>
                <w:szCs w:val="20"/>
              </w:rPr>
              <w:t>above</w:t>
            </w:r>
            <w:r w:rsidR="004423AF">
              <w:rPr>
                <w:rFonts w:cs="Arial"/>
                <w:sz w:val="20"/>
                <w:szCs w:val="20"/>
              </w:rPr>
              <w:t>.</w:t>
            </w:r>
          </w:p>
          <w:p w14:paraId="473A66C2" w14:textId="77777777" w:rsidR="008E6BB1" w:rsidRDefault="008E6BB1" w:rsidP="009B0E7F">
            <w:pPr>
              <w:tabs>
                <w:tab w:val="right" w:pos="6732"/>
              </w:tabs>
              <w:rPr>
                <w:rFonts w:cs="Arial"/>
                <w:sz w:val="20"/>
                <w:szCs w:val="20"/>
              </w:rPr>
            </w:pPr>
          </w:p>
          <w:p w14:paraId="7DC276BB" w14:textId="77777777" w:rsidR="001A3370" w:rsidRPr="00983A57" w:rsidRDefault="001A3370" w:rsidP="001A3370">
            <w:pPr>
              <w:pStyle w:val="Reminders"/>
              <w:jc w:val="center"/>
              <w:rPr>
                <w:rFonts w:asciiTheme="minorHAnsi" w:hAnsiTheme="minorHAnsi" w:cstheme="minorHAnsi"/>
                <w:b/>
                <w:i w:val="0"/>
                <w:color w:val="auto"/>
                <w:szCs w:val="22"/>
              </w:rPr>
            </w:pPr>
            <w:r>
              <w:rPr>
                <w:rFonts w:asciiTheme="minorHAnsi" w:hAnsiTheme="minorHAnsi" w:cstheme="minorHAnsi"/>
                <w:b/>
                <w:i w:val="0"/>
                <w:color w:val="auto"/>
                <w:szCs w:val="22"/>
              </w:rPr>
              <w:t>Table 6: Average Large Tier UEF Values</w:t>
            </w:r>
          </w:p>
          <w:tbl>
            <w:tblPr>
              <w:tblW w:w="8132" w:type="dxa"/>
              <w:tblInd w:w="113" w:type="dxa"/>
              <w:tblLook w:val="04A0" w:firstRow="1" w:lastRow="0" w:firstColumn="1" w:lastColumn="0" w:noHBand="0" w:noVBand="1"/>
            </w:tblPr>
            <w:tblGrid>
              <w:gridCol w:w="2731"/>
              <w:gridCol w:w="2701"/>
              <w:gridCol w:w="2700"/>
            </w:tblGrid>
            <w:tr w:rsidR="001A3370" w:rsidRPr="00983A57" w14:paraId="68D13E44" w14:textId="77777777" w:rsidTr="001A3370">
              <w:trPr>
                <w:trHeight w:val="290"/>
              </w:trPr>
              <w:tc>
                <w:tcPr>
                  <w:tcW w:w="2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1D0F5" w14:textId="77777777" w:rsidR="001A3370" w:rsidRPr="00983A57" w:rsidRDefault="001A3370" w:rsidP="001A3370">
                  <w:pPr>
                    <w:rPr>
                      <w:rFonts w:ascii="Calibri" w:hAnsi="Calibri" w:cs="Calibri"/>
                      <w:szCs w:val="22"/>
                    </w:rPr>
                  </w:pPr>
                  <w:r w:rsidRPr="00983A57">
                    <w:rPr>
                      <w:rFonts w:ascii="Calibri" w:hAnsi="Calibri" w:cs="Calibri"/>
                      <w:szCs w:val="22"/>
                    </w:rPr>
                    <w:t> </w:t>
                  </w:r>
                </w:p>
              </w:tc>
              <w:tc>
                <w:tcPr>
                  <w:tcW w:w="2701" w:type="dxa"/>
                  <w:tcBorders>
                    <w:top w:val="single" w:sz="4" w:space="0" w:color="auto"/>
                    <w:left w:val="nil"/>
                    <w:bottom w:val="single" w:sz="4" w:space="0" w:color="auto"/>
                    <w:right w:val="single" w:sz="4" w:space="0" w:color="auto"/>
                  </w:tcBorders>
                  <w:shd w:val="clear" w:color="000000" w:fill="D0CECE"/>
                  <w:noWrap/>
                  <w:vAlign w:val="bottom"/>
                  <w:hideMark/>
                </w:tcPr>
                <w:p w14:paraId="65CA0591" w14:textId="77777777" w:rsidR="001A3370" w:rsidRPr="00983A57" w:rsidRDefault="001A3370" w:rsidP="001A3370">
                  <w:pPr>
                    <w:jc w:val="center"/>
                    <w:rPr>
                      <w:rFonts w:ascii="Calibri" w:hAnsi="Calibri" w:cs="Calibri"/>
                      <w:szCs w:val="22"/>
                    </w:rPr>
                  </w:pPr>
                  <w:r w:rsidRPr="00983A57">
                    <w:rPr>
                      <w:rFonts w:ascii="Calibri" w:hAnsi="Calibri" w:cs="Calibri"/>
                      <w:szCs w:val="22"/>
                    </w:rPr>
                    <w:t>Tier 1 (&gt;= 83% TE)</w:t>
                  </w:r>
                </w:p>
              </w:tc>
              <w:tc>
                <w:tcPr>
                  <w:tcW w:w="2700" w:type="dxa"/>
                  <w:tcBorders>
                    <w:top w:val="single" w:sz="4" w:space="0" w:color="auto"/>
                    <w:left w:val="nil"/>
                    <w:bottom w:val="single" w:sz="4" w:space="0" w:color="auto"/>
                    <w:right w:val="single" w:sz="4" w:space="0" w:color="auto"/>
                  </w:tcBorders>
                  <w:shd w:val="clear" w:color="000000" w:fill="D0CECE"/>
                  <w:noWrap/>
                  <w:vAlign w:val="bottom"/>
                  <w:hideMark/>
                </w:tcPr>
                <w:p w14:paraId="12447F38" w14:textId="77777777" w:rsidR="001A3370" w:rsidRPr="00983A57" w:rsidRDefault="001A3370" w:rsidP="001A3370">
                  <w:pPr>
                    <w:jc w:val="center"/>
                    <w:rPr>
                      <w:rFonts w:ascii="Calibri" w:hAnsi="Calibri" w:cs="Calibri"/>
                      <w:szCs w:val="22"/>
                    </w:rPr>
                  </w:pPr>
                  <w:r w:rsidRPr="00983A57">
                    <w:rPr>
                      <w:rFonts w:ascii="Calibri" w:hAnsi="Calibri" w:cs="Calibri"/>
                      <w:szCs w:val="22"/>
                    </w:rPr>
                    <w:t>Tier 2 (&gt;= 90% TE)</w:t>
                  </w:r>
                </w:p>
              </w:tc>
            </w:tr>
            <w:tr w:rsidR="001A3370" w:rsidRPr="00983A57" w14:paraId="05F6851F" w14:textId="77777777" w:rsidTr="001A3370">
              <w:trPr>
                <w:trHeight w:val="290"/>
              </w:trPr>
              <w:tc>
                <w:tcPr>
                  <w:tcW w:w="2731" w:type="dxa"/>
                  <w:tcBorders>
                    <w:top w:val="nil"/>
                    <w:left w:val="single" w:sz="4" w:space="0" w:color="auto"/>
                    <w:bottom w:val="single" w:sz="4" w:space="0" w:color="auto"/>
                    <w:right w:val="single" w:sz="4" w:space="0" w:color="auto"/>
                  </w:tcBorders>
                  <w:shd w:val="clear" w:color="000000" w:fill="D0CECE"/>
                  <w:noWrap/>
                  <w:vAlign w:val="bottom"/>
                  <w:hideMark/>
                </w:tcPr>
                <w:p w14:paraId="3E4E9603" w14:textId="77777777" w:rsidR="001A3370" w:rsidRPr="00983A57" w:rsidRDefault="001A3370" w:rsidP="001A3370">
                  <w:pPr>
                    <w:jc w:val="right"/>
                    <w:rPr>
                      <w:rFonts w:ascii="Calibri" w:hAnsi="Calibri" w:cs="Calibri"/>
                      <w:szCs w:val="22"/>
                    </w:rPr>
                  </w:pPr>
                  <w:r w:rsidRPr="00983A57">
                    <w:rPr>
                      <w:rFonts w:ascii="Calibri" w:hAnsi="Calibri" w:cs="Calibri"/>
                      <w:szCs w:val="22"/>
                    </w:rPr>
                    <w:t>Average Medium Draw UEF</w:t>
                  </w:r>
                </w:p>
              </w:tc>
              <w:tc>
                <w:tcPr>
                  <w:tcW w:w="2701" w:type="dxa"/>
                  <w:tcBorders>
                    <w:top w:val="nil"/>
                    <w:left w:val="nil"/>
                    <w:bottom w:val="single" w:sz="4" w:space="0" w:color="auto"/>
                    <w:right w:val="single" w:sz="4" w:space="0" w:color="auto"/>
                  </w:tcBorders>
                  <w:shd w:val="clear" w:color="000000" w:fill="C6E0B4"/>
                  <w:noWrap/>
                  <w:vAlign w:val="bottom"/>
                  <w:hideMark/>
                </w:tcPr>
                <w:p w14:paraId="67DDCCBA" w14:textId="77777777" w:rsidR="001A3370" w:rsidRPr="00983A57" w:rsidRDefault="001A3370" w:rsidP="001A3370">
                  <w:pPr>
                    <w:jc w:val="center"/>
                    <w:rPr>
                      <w:rFonts w:ascii="Calibri" w:hAnsi="Calibri" w:cs="Calibri"/>
                      <w:b/>
                      <w:bCs/>
                      <w:szCs w:val="22"/>
                    </w:rPr>
                  </w:pPr>
                  <w:r w:rsidRPr="00983A57">
                    <w:rPr>
                      <w:rFonts w:ascii="Calibri" w:hAnsi="Calibri" w:cs="Calibri"/>
                      <w:b/>
                      <w:bCs/>
                      <w:szCs w:val="22"/>
                    </w:rPr>
                    <w:t>0.48</w:t>
                  </w:r>
                </w:p>
              </w:tc>
              <w:tc>
                <w:tcPr>
                  <w:tcW w:w="2700" w:type="dxa"/>
                  <w:tcBorders>
                    <w:top w:val="nil"/>
                    <w:left w:val="nil"/>
                    <w:bottom w:val="single" w:sz="4" w:space="0" w:color="auto"/>
                    <w:right w:val="single" w:sz="4" w:space="0" w:color="auto"/>
                  </w:tcBorders>
                  <w:shd w:val="clear" w:color="000000" w:fill="C6E0B4"/>
                  <w:noWrap/>
                  <w:vAlign w:val="bottom"/>
                  <w:hideMark/>
                </w:tcPr>
                <w:p w14:paraId="4303DB07" w14:textId="77777777" w:rsidR="001A3370" w:rsidRPr="00983A57" w:rsidRDefault="001A3370" w:rsidP="001A3370">
                  <w:pPr>
                    <w:jc w:val="center"/>
                    <w:rPr>
                      <w:rFonts w:ascii="Calibri" w:hAnsi="Calibri" w:cs="Calibri"/>
                      <w:b/>
                      <w:bCs/>
                      <w:szCs w:val="22"/>
                    </w:rPr>
                  </w:pPr>
                  <w:r>
                    <w:rPr>
                      <w:rFonts w:ascii="Calibri" w:hAnsi="Calibri" w:cs="Calibri"/>
                      <w:b/>
                      <w:bCs/>
                      <w:szCs w:val="22"/>
                    </w:rPr>
                    <w:t>0.63</w:t>
                  </w:r>
                </w:p>
              </w:tc>
            </w:tr>
            <w:tr w:rsidR="001A3370" w:rsidRPr="00983A57" w14:paraId="24F53D59" w14:textId="77777777" w:rsidTr="001A3370">
              <w:trPr>
                <w:trHeight w:val="290"/>
              </w:trPr>
              <w:tc>
                <w:tcPr>
                  <w:tcW w:w="2731" w:type="dxa"/>
                  <w:tcBorders>
                    <w:top w:val="nil"/>
                    <w:left w:val="single" w:sz="4" w:space="0" w:color="auto"/>
                    <w:bottom w:val="single" w:sz="4" w:space="0" w:color="auto"/>
                    <w:right w:val="single" w:sz="4" w:space="0" w:color="auto"/>
                  </w:tcBorders>
                  <w:shd w:val="clear" w:color="000000" w:fill="D0CECE"/>
                  <w:noWrap/>
                  <w:vAlign w:val="bottom"/>
                  <w:hideMark/>
                </w:tcPr>
                <w:p w14:paraId="5D5DA71D" w14:textId="77777777" w:rsidR="001A3370" w:rsidRPr="00983A57" w:rsidRDefault="001A3370" w:rsidP="001A3370">
                  <w:pPr>
                    <w:jc w:val="right"/>
                    <w:rPr>
                      <w:rFonts w:ascii="Calibri" w:hAnsi="Calibri" w:cs="Calibri"/>
                      <w:szCs w:val="22"/>
                    </w:rPr>
                  </w:pPr>
                  <w:r w:rsidRPr="00983A57">
                    <w:rPr>
                      <w:rFonts w:ascii="Calibri" w:hAnsi="Calibri" w:cs="Calibri"/>
                      <w:szCs w:val="22"/>
                    </w:rPr>
                    <w:t>Average High Draw UEF</w:t>
                  </w:r>
                </w:p>
              </w:tc>
              <w:tc>
                <w:tcPr>
                  <w:tcW w:w="2701" w:type="dxa"/>
                  <w:tcBorders>
                    <w:top w:val="nil"/>
                    <w:left w:val="nil"/>
                    <w:bottom w:val="single" w:sz="4" w:space="0" w:color="auto"/>
                    <w:right w:val="single" w:sz="4" w:space="0" w:color="auto"/>
                  </w:tcBorders>
                  <w:shd w:val="clear" w:color="000000" w:fill="C6E0B4"/>
                  <w:noWrap/>
                  <w:vAlign w:val="bottom"/>
                  <w:hideMark/>
                </w:tcPr>
                <w:p w14:paraId="6CE0EDDB" w14:textId="77777777" w:rsidR="001A3370" w:rsidRPr="00983A57" w:rsidRDefault="001A3370" w:rsidP="001A3370">
                  <w:pPr>
                    <w:jc w:val="center"/>
                    <w:rPr>
                      <w:rFonts w:ascii="Calibri" w:hAnsi="Calibri" w:cs="Calibri"/>
                      <w:b/>
                      <w:bCs/>
                      <w:szCs w:val="22"/>
                    </w:rPr>
                  </w:pPr>
                  <w:r w:rsidRPr="00983A57">
                    <w:rPr>
                      <w:rFonts w:ascii="Calibri" w:hAnsi="Calibri" w:cs="Calibri"/>
                      <w:b/>
                      <w:bCs/>
                      <w:szCs w:val="22"/>
                    </w:rPr>
                    <w:t>0.56</w:t>
                  </w:r>
                </w:p>
              </w:tc>
              <w:tc>
                <w:tcPr>
                  <w:tcW w:w="2700" w:type="dxa"/>
                  <w:tcBorders>
                    <w:top w:val="nil"/>
                    <w:left w:val="nil"/>
                    <w:bottom w:val="single" w:sz="4" w:space="0" w:color="auto"/>
                    <w:right w:val="single" w:sz="4" w:space="0" w:color="auto"/>
                  </w:tcBorders>
                  <w:shd w:val="clear" w:color="000000" w:fill="C6E0B4"/>
                  <w:noWrap/>
                  <w:vAlign w:val="bottom"/>
                  <w:hideMark/>
                </w:tcPr>
                <w:p w14:paraId="0C11E119" w14:textId="77777777" w:rsidR="001A3370" w:rsidRPr="00983A57" w:rsidRDefault="001A3370" w:rsidP="001A3370">
                  <w:pPr>
                    <w:jc w:val="center"/>
                    <w:rPr>
                      <w:rFonts w:ascii="Calibri" w:hAnsi="Calibri" w:cs="Calibri"/>
                      <w:b/>
                      <w:bCs/>
                      <w:szCs w:val="22"/>
                    </w:rPr>
                  </w:pPr>
                  <w:r>
                    <w:rPr>
                      <w:rFonts w:ascii="Calibri" w:hAnsi="Calibri" w:cs="Calibri"/>
                      <w:b/>
                      <w:bCs/>
                      <w:szCs w:val="22"/>
                    </w:rPr>
                    <w:t>0.72</w:t>
                  </w:r>
                </w:p>
              </w:tc>
            </w:tr>
          </w:tbl>
          <w:p w14:paraId="269B66FB" w14:textId="2B647071" w:rsidR="008E6BB1" w:rsidRPr="003233BD" w:rsidRDefault="008E6BB1" w:rsidP="009B0E7F">
            <w:pPr>
              <w:tabs>
                <w:tab w:val="right" w:pos="6732"/>
              </w:tabs>
              <w:rPr>
                <w:rFonts w:cs="Arial"/>
                <w:sz w:val="20"/>
                <w:szCs w:val="20"/>
              </w:rPr>
            </w:pPr>
          </w:p>
        </w:tc>
      </w:tr>
      <w:tr w:rsidR="00C80D48" w:rsidRPr="009B0E7F" w14:paraId="269B66FF" w14:textId="77777777" w:rsidTr="00235D4A">
        <w:trPr>
          <w:cantSplit/>
        </w:trPr>
        <w:tc>
          <w:tcPr>
            <w:tcW w:w="2402" w:type="dxa"/>
            <w:vAlign w:val="center"/>
          </w:tcPr>
          <w:p w14:paraId="269B66FD" w14:textId="77777777" w:rsidR="009B0E7F" w:rsidRPr="009B0E7F" w:rsidRDefault="009B0E7F" w:rsidP="009B0E7F">
            <w:pPr>
              <w:rPr>
                <w:b/>
              </w:rPr>
            </w:pPr>
            <w:r w:rsidRPr="009B0E7F">
              <w:rPr>
                <w:b/>
              </w:rPr>
              <w:t>Section 3. Load Shapes</w:t>
            </w:r>
          </w:p>
        </w:tc>
        <w:tc>
          <w:tcPr>
            <w:tcW w:w="8280" w:type="dxa"/>
          </w:tcPr>
          <w:p w14:paraId="3654E58A" w14:textId="265D7178" w:rsidR="00235D4A" w:rsidRPr="003233BD" w:rsidRDefault="00235D4A" w:rsidP="0022781C">
            <w:pPr>
              <w:tabs>
                <w:tab w:val="right" w:pos="8082"/>
              </w:tabs>
              <w:rPr>
                <w:rFonts w:cs="Arial"/>
                <w:sz w:val="20"/>
                <w:szCs w:val="20"/>
              </w:rPr>
            </w:pPr>
            <w:proofErr w:type="spellStart"/>
            <w:r w:rsidRPr="003233BD">
              <w:rPr>
                <w:rFonts w:cs="Arial"/>
                <w:sz w:val="20"/>
                <w:szCs w:val="20"/>
              </w:rPr>
              <w:t>ElecImpProfile</w:t>
            </w:r>
            <w:proofErr w:type="spellEnd"/>
            <w:r w:rsidRPr="003233BD">
              <w:rPr>
                <w:rFonts w:cs="Arial"/>
                <w:sz w:val="20"/>
                <w:szCs w:val="20"/>
              </w:rPr>
              <w:t>: SDGE:35-OTI-OtherIndustrial-PROC_OTH</w:t>
            </w:r>
          </w:p>
          <w:p w14:paraId="269B66FE" w14:textId="781D54E1" w:rsidR="009B0E7F" w:rsidRPr="003233BD" w:rsidRDefault="0022781C" w:rsidP="0022781C">
            <w:pPr>
              <w:tabs>
                <w:tab w:val="right" w:pos="8082"/>
              </w:tabs>
              <w:rPr>
                <w:rFonts w:cs="Arial"/>
                <w:sz w:val="20"/>
                <w:szCs w:val="20"/>
              </w:rPr>
            </w:pPr>
            <w:r w:rsidRPr="003233BD">
              <w:rPr>
                <w:rFonts w:cs="Arial"/>
                <w:sz w:val="20"/>
                <w:szCs w:val="20"/>
              </w:rPr>
              <w:t xml:space="preserve">Gas: </w:t>
            </w:r>
            <w:r w:rsidR="00235D4A" w:rsidRPr="003233BD">
              <w:rPr>
                <w:rFonts w:cs="Arial"/>
                <w:sz w:val="20"/>
                <w:szCs w:val="20"/>
              </w:rPr>
              <w:t>Annual</w:t>
            </w:r>
            <w:r w:rsidR="009B0E7F" w:rsidRPr="003233BD">
              <w:rPr>
                <w:rFonts w:cs="Arial"/>
                <w:sz w:val="20"/>
                <w:szCs w:val="20"/>
              </w:rPr>
              <w:tab/>
            </w:r>
          </w:p>
        </w:tc>
      </w:tr>
      <w:tr w:rsidR="00C80D48" w:rsidRPr="009B0E7F" w14:paraId="269B6702" w14:textId="77777777" w:rsidTr="00235D4A">
        <w:trPr>
          <w:cantSplit/>
        </w:trPr>
        <w:tc>
          <w:tcPr>
            <w:tcW w:w="2402" w:type="dxa"/>
            <w:vAlign w:val="center"/>
          </w:tcPr>
          <w:p w14:paraId="269B6700" w14:textId="77777777" w:rsidR="009B0E7F" w:rsidRPr="009B0E7F" w:rsidRDefault="009B0E7F" w:rsidP="009B0E7F">
            <w:pPr>
              <w:rPr>
                <w:b/>
              </w:rPr>
            </w:pPr>
            <w:r w:rsidRPr="009B0E7F">
              <w:rPr>
                <w:b/>
              </w:rPr>
              <w:t>Section 4. Costs</w:t>
            </w:r>
          </w:p>
        </w:tc>
        <w:tc>
          <w:tcPr>
            <w:tcW w:w="8280" w:type="dxa"/>
          </w:tcPr>
          <w:p w14:paraId="269B6701" w14:textId="77777777" w:rsidR="009B0E7F" w:rsidRPr="009B0E7F" w:rsidRDefault="009B0E7F" w:rsidP="009B0E7F">
            <w:pPr>
              <w:rPr>
                <w:rFonts w:cs="Arial"/>
                <w:sz w:val="20"/>
                <w:szCs w:val="20"/>
              </w:rPr>
            </w:pPr>
          </w:p>
        </w:tc>
      </w:tr>
      <w:tr w:rsidR="003D547E" w:rsidRPr="00C1087D" w14:paraId="269B6705" w14:textId="77777777" w:rsidTr="00235D4A">
        <w:trPr>
          <w:cantSplit/>
        </w:trPr>
        <w:tc>
          <w:tcPr>
            <w:tcW w:w="2402" w:type="dxa"/>
            <w:vAlign w:val="center"/>
          </w:tcPr>
          <w:p w14:paraId="269B6703" w14:textId="22B41A02" w:rsidR="003D547E" w:rsidRPr="00C1087D" w:rsidRDefault="00235D4A" w:rsidP="00C1087D">
            <w:pPr>
              <w:jc w:val="right"/>
              <w:rPr>
                <w:sz w:val="20"/>
                <w:szCs w:val="20"/>
              </w:rPr>
            </w:pPr>
            <w:r>
              <w:rPr>
                <w:sz w:val="20"/>
                <w:szCs w:val="20"/>
              </w:rPr>
              <w:t>Base Cost</w:t>
            </w:r>
          </w:p>
        </w:tc>
        <w:tc>
          <w:tcPr>
            <w:tcW w:w="8280" w:type="dxa"/>
          </w:tcPr>
          <w:tbl>
            <w:tblPr>
              <w:tblStyle w:val="TableGrid"/>
              <w:tblW w:w="0" w:type="auto"/>
              <w:tblLook w:val="04A0" w:firstRow="1" w:lastRow="0" w:firstColumn="1" w:lastColumn="0" w:noHBand="0" w:noVBand="1"/>
            </w:tblPr>
            <w:tblGrid>
              <w:gridCol w:w="1515"/>
              <w:gridCol w:w="4688"/>
              <w:gridCol w:w="1260"/>
              <w:gridCol w:w="1260"/>
            </w:tblGrid>
            <w:tr w:rsidR="007264C7" w:rsidRPr="00225EFB" w14:paraId="22AF8D57" w14:textId="68C9C9D8" w:rsidTr="00D51074">
              <w:trPr>
                <w:trHeight w:val="458"/>
              </w:trPr>
              <w:tc>
                <w:tcPr>
                  <w:tcW w:w="1515" w:type="dxa"/>
                </w:tcPr>
                <w:p w14:paraId="2376E157" w14:textId="4FC0E103" w:rsidR="007264C7" w:rsidRPr="003233BD" w:rsidRDefault="007264C7" w:rsidP="003D547E">
                  <w:pPr>
                    <w:rPr>
                      <w:sz w:val="20"/>
                      <w:szCs w:val="20"/>
                    </w:rPr>
                  </w:pPr>
                  <w:r w:rsidRPr="003233BD">
                    <w:rPr>
                      <w:sz w:val="20"/>
                      <w:szCs w:val="20"/>
                    </w:rPr>
                    <w:t xml:space="preserve">SDG&amp;E </w:t>
                  </w:r>
                  <w:proofErr w:type="spellStart"/>
                  <w:r w:rsidRPr="003233BD">
                    <w:rPr>
                      <w:sz w:val="20"/>
                      <w:szCs w:val="20"/>
                    </w:rPr>
                    <w:t>Impl</w:t>
                  </w:r>
                  <w:proofErr w:type="spellEnd"/>
                  <w:r w:rsidRPr="003233BD">
                    <w:rPr>
                      <w:sz w:val="20"/>
                      <w:szCs w:val="20"/>
                    </w:rPr>
                    <w:t>. ID</w:t>
                  </w:r>
                </w:p>
              </w:tc>
              <w:tc>
                <w:tcPr>
                  <w:tcW w:w="4688" w:type="dxa"/>
                </w:tcPr>
                <w:p w14:paraId="7A44B86D" w14:textId="34D1FB1A" w:rsidR="007264C7" w:rsidRPr="003233BD" w:rsidRDefault="007264C7" w:rsidP="003D547E">
                  <w:pPr>
                    <w:rPr>
                      <w:sz w:val="20"/>
                      <w:szCs w:val="20"/>
                    </w:rPr>
                  </w:pPr>
                  <w:r w:rsidRPr="003233BD">
                    <w:rPr>
                      <w:sz w:val="20"/>
                      <w:szCs w:val="20"/>
                    </w:rPr>
                    <w:t>Base Cost ID</w:t>
                  </w:r>
                </w:p>
              </w:tc>
              <w:tc>
                <w:tcPr>
                  <w:tcW w:w="1260" w:type="dxa"/>
                </w:tcPr>
                <w:p w14:paraId="23504842" w14:textId="62E0E8DB" w:rsidR="007264C7" w:rsidRPr="003233BD" w:rsidRDefault="007264C7" w:rsidP="003D547E">
                  <w:pPr>
                    <w:rPr>
                      <w:sz w:val="20"/>
                      <w:szCs w:val="20"/>
                    </w:rPr>
                  </w:pPr>
                  <w:r w:rsidRPr="003233BD">
                    <w:rPr>
                      <w:sz w:val="20"/>
                      <w:szCs w:val="20"/>
                    </w:rPr>
                    <w:t>Base Cost Value</w:t>
                  </w:r>
                </w:p>
              </w:tc>
              <w:tc>
                <w:tcPr>
                  <w:tcW w:w="1260" w:type="dxa"/>
                </w:tcPr>
                <w:p w14:paraId="20516373" w14:textId="01FE099A" w:rsidR="007264C7" w:rsidRPr="003233BD" w:rsidRDefault="007264C7" w:rsidP="003D547E">
                  <w:pPr>
                    <w:rPr>
                      <w:sz w:val="20"/>
                      <w:szCs w:val="20"/>
                    </w:rPr>
                  </w:pPr>
                  <w:r w:rsidRPr="003233BD">
                    <w:rPr>
                      <w:sz w:val="20"/>
                      <w:szCs w:val="20"/>
                    </w:rPr>
                    <w:t xml:space="preserve">Units </w:t>
                  </w:r>
                </w:p>
              </w:tc>
            </w:tr>
            <w:tr w:rsidR="00B5525E" w:rsidRPr="00225EFB" w14:paraId="05E68A20" w14:textId="3A819D80" w:rsidTr="00D51074">
              <w:tc>
                <w:tcPr>
                  <w:tcW w:w="1515" w:type="dxa"/>
                </w:tcPr>
                <w:p w14:paraId="52183643" w14:textId="653253DE" w:rsidR="00B5525E" w:rsidRPr="003233BD" w:rsidRDefault="00E63339" w:rsidP="00B5525E">
                  <w:pPr>
                    <w:rPr>
                      <w:sz w:val="20"/>
                      <w:szCs w:val="20"/>
                    </w:rPr>
                  </w:pPr>
                  <w:r>
                    <w:rPr>
                      <w:sz w:val="20"/>
                      <w:szCs w:val="20"/>
                    </w:rPr>
                    <w:t>Ex-ante submission</w:t>
                  </w:r>
                </w:p>
              </w:tc>
              <w:tc>
                <w:tcPr>
                  <w:tcW w:w="4688" w:type="dxa"/>
                </w:tcPr>
                <w:p w14:paraId="4AA15FCE" w14:textId="63E29D5D" w:rsidR="00B5525E" w:rsidRPr="003233BD" w:rsidRDefault="00EF359C" w:rsidP="00B5525E">
                  <w:pPr>
                    <w:rPr>
                      <w:sz w:val="20"/>
                      <w:szCs w:val="20"/>
                    </w:rPr>
                  </w:pPr>
                  <w:r w:rsidRPr="00EF359C">
                    <w:rPr>
                      <w:sz w:val="20"/>
                      <w:szCs w:val="20"/>
                    </w:rPr>
                    <w:t>SDG-Stor_TE-Gas-gte75kBtuh-0.80TE_BASE</w:t>
                  </w:r>
                </w:p>
              </w:tc>
              <w:tc>
                <w:tcPr>
                  <w:tcW w:w="1260" w:type="dxa"/>
                </w:tcPr>
                <w:p w14:paraId="24769348" w14:textId="32C50E08" w:rsidR="00B5525E" w:rsidRPr="00B5525E" w:rsidRDefault="00A5572C" w:rsidP="00B5525E">
                  <w:pPr>
                    <w:rPr>
                      <w:sz w:val="20"/>
                      <w:szCs w:val="20"/>
                    </w:rPr>
                  </w:pPr>
                  <w:r w:rsidRPr="00A4584F">
                    <w:rPr>
                      <w:rFonts w:ascii="Calibri" w:hAnsi="Calibri" w:cs="Calibri"/>
                      <w:sz w:val="20"/>
                      <w:szCs w:val="22"/>
                    </w:rPr>
                    <w:t xml:space="preserve">$ </w:t>
                  </w:r>
                  <w:r w:rsidR="00FA2CC5" w:rsidRPr="00FA2CC5">
                    <w:rPr>
                      <w:rFonts w:ascii="Calibri" w:hAnsi="Calibri" w:cs="Calibri"/>
                      <w:sz w:val="20"/>
                      <w:szCs w:val="22"/>
                    </w:rPr>
                    <w:t>42.35</w:t>
                  </w:r>
                </w:p>
              </w:tc>
              <w:tc>
                <w:tcPr>
                  <w:tcW w:w="1260" w:type="dxa"/>
                </w:tcPr>
                <w:p w14:paraId="19841BC2" w14:textId="0BF861C8" w:rsidR="00B5525E" w:rsidRPr="003233BD" w:rsidRDefault="00B5525E" w:rsidP="00B5525E">
                  <w:pPr>
                    <w:rPr>
                      <w:sz w:val="20"/>
                      <w:szCs w:val="20"/>
                    </w:rPr>
                  </w:pPr>
                  <w:r>
                    <w:rPr>
                      <w:sz w:val="20"/>
                      <w:szCs w:val="20"/>
                    </w:rPr>
                    <w:t>Cap-</w:t>
                  </w:r>
                  <w:proofErr w:type="spellStart"/>
                  <w:r>
                    <w:rPr>
                      <w:sz w:val="20"/>
                      <w:szCs w:val="20"/>
                    </w:rPr>
                    <w:t>kBTUh</w:t>
                  </w:r>
                  <w:proofErr w:type="spellEnd"/>
                </w:p>
              </w:tc>
            </w:tr>
          </w:tbl>
          <w:p w14:paraId="269B6704" w14:textId="249AD596" w:rsidR="003D547E" w:rsidRPr="00225EFB" w:rsidRDefault="003D547E" w:rsidP="003D547E">
            <w:pPr>
              <w:rPr>
                <w:sz w:val="20"/>
                <w:szCs w:val="20"/>
              </w:rPr>
            </w:pPr>
          </w:p>
        </w:tc>
      </w:tr>
      <w:tr w:rsidR="00C80D48" w:rsidRPr="009B0E7F" w14:paraId="269B6708" w14:textId="77777777" w:rsidTr="00235D4A">
        <w:trPr>
          <w:cantSplit/>
        </w:trPr>
        <w:tc>
          <w:tcPr>
            <w:tcW w:w="2402" w:type="dxa"/>
          </w:tcPr>
          <w:p w14:paraId="65C390B7" w14:textId="77777777" w:rsidR="00225EFB" w:rsidRDefault="00225EFB" w:rsidP="009B0E7F">
            <w:pPr>
              <w:jc w:val="right"/>
              <w:rPr>
                <w:sz w:val="20"/>
                <w:szCs w:val="20"/>
              </w:rPr>
            </w:pPr>
          </w:p>
          <w:p w14:paraId="08D8E44B" w14:textId="77777777" w:rsidR="00225EFB" w:rsidRDefault="00225EFB" w:rsidP="009B0E7F">
            <w:pPr>
              <w:jc w:val="right"/>
              <w:rPr>
                <w:sz w:val="20"/>
                <w:szCs w:val="20"/>
              </w:rPr>
            </w:pPr>
          </w:p>
          <w:p w14:paraId="269B6706" w14:textId="2FA5DB40" w:rsidR="009B0E7F" w:rsidRPr="009B0E7F" w:rsidRDefault="00235D4A" w:rsidP="009B0E7F">
            <w:pPr>
              <w:jc w:val="right"/>
              <w:rPr>
                <w:sz w:val="20"/>
                <w:szCs w:val="20"/>
              </w:rPr>
            </w:pPr>
            <w:r>
              <w:rPr>
                <w:sz w:val="20"/>
                <w:szCs w:val="20"/>
              </w:rPr>
              <w:t>Measure Cost</w:t>
            </w:r>
          </w:p>
        </w:tc>
        <w:tc>
          <w:tcPr>
            <w:tcW w:w="8280" w:type="dxa"/>
          </w:tcPr>
          <w:p w14:paraId="7FAC968D" w14:textId="77777777" w:rsidR="009B0E7F" w:rsidRDefault="009B0E7F" w:rsidP="00C1087D">
            <w:pPr>
              <w:tabs>
                <w:tab w:val="right" w:pos="7884"/>
              </w:tabs>
              <w:rPr>
                <w:rFonts w:cs="Arial"/>
                <w:sz w:val="20"/>
                <w:szCs w:val="20"/>
              </w:rPr>
            </w:pPr>
          </w:p>
          <w:tbl>
            <w:tblPr>
              <w:tblStyle w:val="TableGrid"/>
              <w:tblW w:w="0" w:type="auto"/>
              <w:tblLook w:val="04A0" w:firstRow="1" w:lastRow="0" w:firstColumn="1" w:lastColumn="0" w:noHBand="0" w:noVBand="1"/>
            </w:tblPr>
            <w:tblGrid>
              <w:gridCol w:w="1515"/>
              <w:gridCol w:w="3338"/>
              <w:gridCol w:w="1530"/>
              <w:gridCol w:w="1080"/>
              <w:gridCol w:w="1260"/>
            </w:tblGrid>
            <w:tr w:rsidR="000E1229" w14:paraId="395BF8F8" w14:textId="72A29654" w:rsidTr="005F63E2">
              <w:tc>
                <w:tcPr>
                  <w:tcW w:w="1515" w:type="dxa"/>
                </w:tcPr>
                <w:p w14:paraId="4BDE80B0" w14:textId="061F8C5D" w:rsidR="000E1229" w:rsidRPr="001149CE" w:rsidRDefault="000E1229" w:rsidP="00225EFB">
                  <w:pPr>
                    <w:rPr>
                      <w:sz w:val="20"/>
                      <w:szCs w:val="20"/>
                    </w:rPr>
                  </w:pPr>
                  <w:bookmarkStart w:id="5" w:name="_Hlk502036223"/>
                  <w:r w:rsidRPr="001149CE">
                    <w:rPr>
                      <w:sz w:val="20"/>
                      <w:szCs w:val="20"/>
                    </w:rPr>
                    <w:t xml:space="preserve">SDG&amp;E </w:t>
                  </w:r>
                  <w:proofErr w:type="spellStart"/>
                  <w:r w:rsidRPr="001149CE">
                    <w:rPr>
                      <w:sz w:val="20"/>
                      <w:szCs w:val="20"/>
                    </w:rPr>
                    <w:t>Impl</w:t>
                  </w:r>
                  <w:proofErr w:type="spellEnd"/>
                  <w:r w:rsidRPr="001149CE">
                    <w:rPr>
                      <w:sz w:val="20"/>
                      <w:szCs w:val="20"/>
                    </w:rPr>
                    <w:t>. ID</w:t>
                  </w:r>
                </w:p>
              </w:tc>
              <w:tc>
                <w:tcPr>
                  <w:tcW w:w="3338" w:type="dxa"/>
                </w:tcPr>
                <w:p w14:paraId="31FBC158" w14:textId="77915DB5" w:rsidR="000E1229" w:rsidRPr="001149CE" w:rsidRDefault="000E1229" w:rsidP="00225EFB">
                  <w:pPr>
                    <w:rPr>
                      <w:sz w:val="20"/>
                      <w:szCs w:val="20"/>
                    </w:rPr>
                  </w:pPr>
                  <w:r w:rsidRPr="001149CE">
                    <w:rPr>
                      <w:sz w:val="20"/>
                      <w:szCs w:val="20"/>
                    </w:rPr>
                    <w:t>Measure Cost ID</w:t>
                  </w:r>
                </w:p>
              </w:tc>
              <w:tc>
                <w:tcPr>
                  <w:tcW w:w="1530" w:type="dxa"/>
                </w:tcPr>
                <w:p w14:paraId="22352BE8" w14:textId="04D4578C" w:rsidR="000E1229" w:rsidRPr="001149CE" w:rsidRDefault="000E1229" w:rsidP="00225EFB">
                  <w:pPr>
                    <w:rPr>
                      <w:sz w:val="20"/>
                      <w:szCs w:val="20"/>
                    </w:rPr>
                  </w:pPr>
                  <w:proofErr w:type="spellStart"/>
                  <w:r w:rsidRPr="001149CE">
                    <w:rPr>
                      <w:sz w:val="20"/>
                      <w:szCs w:val="20"/>
                    </w:rPr>
                    <w:t>Msr</w:t>
                  </w:r>
                  <w:proofErr w:type="spellEnd"/>
                  <w:r w:rsidRPr="001149CE">
                    <w:rPr>
                      <w:sz w:val="20"/>
                      <w:szCs w:val="20"/>
                    </w:rPr>
                    <w:t xml:space="preserve"> Cost Value</w:t>
                  </w:r>
                </w:p>
              </w:tc>
              <w:tc>
                <w:tcPr>
                  <w:tcW w:w="1080" w:type="dxa"/>
                </w:tcPr>
                <w:p w14:paraId="3C5611DE" w14:textId="14985288" w:rsidR="000E1229" w:rsidRPr="001149CE" w:rsidRDefault="000E1229" w:rsidP="00225EFB">
                  <w:pPr>
                    <w:rPr>
                      <w:sz w:val="20"/>
                      <w:szCs w:val="20"/>
                    </w:rPr>
                  </w:pPr>
                  <w:r w:rsidRPr="001149CE">
                    <w:rPr>
                      <w:sz w:val="20"/>
                      <w:szCs w:val="20"/>
                    </w:rPr>
                    <w:t>IMC</w:t>
                  </w:r>
                </w:p>
              </w:tc>
              <w:tc>
                <w:tcPr>
                  <w:tcW w:w="1260" w:type="dxa"/>
                </w:tcPr>
                <w:p w14:paraId="626E176A" w14:textId="1D976843" w:rsidR="000E1229" w:rsidRPr="001149CE" w:rsidRDefault="000E1229" w:rsidP="00225EFB">
                  <w:pPr>
                    <w:rPr>
                      <w:sz w:val="20"/>
                      <w:szCs w:val="20"/>
                    </w:rPr>
                  </w:pPr>
                  <w:r w:rsidRPr="001149CE">
                    <w:rPr>
                      <w:sz w:val="20"/>
                      <w:szCs w:val="20"/>
                    </w:rPr>
                    <w:t>Units</w:t>
                  </w:r>
                </w:p>
              </w:tc>
            </w:tr>
            <w:tr w:rsidR="00E63339" w14:paraId="4FB9403B" w14:textId="5B2D1462" w:rsidTr="005F63E2">
              <w:tc>
                <w:tcPr>
                  <w:tcW w:w="1515" w:type="dxa"/>
                </w:tcPr>
                <w:p w14:paraId="2A33162C" w14:textId="30D0B1F4" w:rsidR="00E63339" w:rsidRPr="001149CE" w:rsidRDefault="00E63339" w:rsidP="00E63339">
                  <w:pPr>
                    <w:rPr>
                      <w:sz w:val="20"/>
                      <w:szCs w:val="20"/>
                    </w:rPr>
                  </w:pPr>
                  <w:bookmarkStart w:id="6" w:name="_Hlk502036672"/>
                  <w:r w:rsidRPr="001149CE">
                    <w:rPr>
                      <w:sz w:val="20"/>
                      <w:szCs w:val="20"/>
                    </w:rPr>
                    <w:t>Ex-ante submission</w:t>
                  </w:r>
                </w:p>
              </w:tc>
              <w:tc>
                <w:tcPr>
                  <w:tcW w:w="3338" w:type="dxa"/>
                </w:tcPr>
                <w:p w14:paraId="04E65D2C" w14:textId="07607FF1" w:rsidR="00E63339" w:rsidRPr="001149CE" w:rsidRDefault="006B697B" w:rsidP="00E63339">
                  <w:pPr>
                    <w:rPr>
                      <w:sz w:val="20"/>
                      <w:szCs w:val="20"/>
                    </w:rPr>
                  </w:pPr>
                  <w:r w:rsidRPr="006B697B">
                    <w:rPr>
                      <w:sz w:val="20"/>
                      <w:szCs w:val="20"/>
                    </w:rPr>
                    <w:t>SDG-Stor_TE-Gas-gte75kBtuh-0p83TE</w:t>
                  </w:r>
                </w:p>
              </w:tc>
              <w:tc>
                <w:tcPr>
                  <w:tcW w:w="1530" w:type="dxa"/>
                </w:tcPr>
                <w:p w14:paraId="14910388" w14:textId="41FF06A9" w:rsidR="00E63339" w:rsidRPr="001149CE" w:rsidRDefault="001149CE" w:rsidP="001149CE">
                  <w:pPr>
                    <w:jc w:val="both"/>
                    <w:rPr>
                      <w:sz w:val="20"/>
                      <w:szCs w:val="20"/>
                    </w:rPr>
                  </w:pPr>
                  <w:r w:rsidRPr="001149CE">
                    <w:rPr>
                      <w:rFonts w:ascii="Calibri" w:hAnsi="Calibri" w:cs="Calibri"/>
                      <w:sz w:val="20"/>
                      <w:szCs w:val="20"/>
                    </w:rPr>
                    <w:t xml:space="preserve">$            </w:t>
                  </w:r>
                  <w:r w:rsidR="00B33BA2" w:rsidRPr="00B33BA2">
                    <w:rPr>
                      <w:rFonts w:ascii="Calibri" w:hAnsi="Calibri" w:cs="Calibri"/>
                      <w:sz w:val="20"/>
                      <w:szCs w:val="20"/>
                    </w:rPr>
                    <w:t>45.49</w:t>
                  </w:r>
                </w:p>
              </w:tc>
              <w:tc>
                <w:tcPr>
                  <w:tcW w:w="1080" w:type="dxa"/>
                </w:tcPr>
                <w:p w14:paraId="63867D68" w14:textId="25C928AA" w:rsidR="00E63339" w:rsidRPr="001149CE" w:rsidRDefault="001149CE" w:rsidP="001149CE">
                  <w:pPr>
                    <w:jc w:val="both"/>
                    <w:rPr>
                      <w:sz w:val="20"/>
                      <w:szCs w:val="20"/>
                    </w:rPr>
                  </w:pPr>
                  <w:r w:rsidRPr="001149CE">
                    <w:rPr>
                      <w:rFonts w:ascii="Calibri" w:hAnsi="Calibri" w:cs="Calibri"/>
                      <w:sz w:val="20"/>
                      <w:szCs w:val="20"/>
                    </w:rPr>
                    <w:t xml:space="preserve">$ </w:t>
                  </w:r>
                  <w:r w:rsidR="005D34FD">
                    <w:rPr>
                      <w:rFonts w:ascii="Calibri" w:hAnsi="Calibri" w:cs="Calibri"/>
                      <w:sz w:val="20"/>
                      <w:szCs w:val="20"/>
                    </w:rPr>
                    <w:t>3.14</w:t>
                  </w:r>
                </w:p>
              </w:tc>
              <w:tc>
                <w:tcPr>
                  <w:tcW w:w="1260" w:type="dxa"/>
                </w:tcPr>
                <w:p w14:paraId="6B73DA7A" w14:textId="0F8537AB" w:rsidR="00E63339" w:rsidRPr="001149CE" w:rsidRDefault="00E63339" w:rsidP="00E63339">
                  <w:pPr>
                    <w:rPr>
                      <w:sz w:val="20"/>
                      <w:szCs w:val="20"/>
                    </w:rPr>
                  </w:pPr>
                  <w:r w:rsidRPr="001149CE">
                    <w:rPr>
                      <w:sz w:val="20"/>
                      <w:szCs w:val="20"/>
                    </w:rPr>
                    <w:t>Cap-</w:t>
                  </w:r>
                  <w:proofErr w:type="spellStart"/>
                  <w:r w:rsidRPr="001149CE">
                    <w:rPr>
                      <w:sz w:val="20"/>
                      <w:szCs w:val="20"/>
                    </w:rPr>
                    <w:t>kBTUh</w:t>
                  </w:r>
                  <w:proofErr w:type="spellEnd"/>
                </w:p>
              </w:tc>
            </w:tr>
            <w:tr w:rsidR="00E63339" w14:paraId="2B8F5454" w14:textId="45F20A17" w:rsidTr="005F63E2">
              <w:tc>
                <w:tcPr>
                  <w:tcW w:w="1515" w:type="dxa"/>
                </w:tcPr>
                <w:p w14:paraId="49C35BA4" w14:textId="5147B0E3" w:rsidR="00E63339" w:rsidRPr="001149CE" w:rsidRDefault="00E63339" w:rsidP="00E63339">
                  <w:pPr>
                    <w:rPr>
                      <w:sz w:val="20"/>
                      <w:szCs w:val="20"/>
                    </w:rPr>
                  </w:pPr>
                  <w:r w:rsidRPr="001149CE">
                    <w:rPr>
                      <w:sz w:val="20"/>
                      <w:szCs w:val="20"/>
                    </w:rPr>
                    <w:t>Ex-ante submission</w:t>
                  </w:r>
                </w:p>
              </w:tc>
              <w:tc>
                <w:tcPr>
                  <w:tcW w:w="3338" w:type="dxa"/>
                </w:tcPr>
                <w:p w14:paraId="669F7D64" w14:textId="0D4AC486" w:rsidR="00E63339" w:rsidRPr="001149CE" w:rsidRDefault="006B697B" w:rsidP="00E63339">
                  <w:pPr>
                    <w:rPr>
                      <w:sz w:val="20"/>
                      <w:szCs w:val="20"/>
                    </w:rPr>
                  </w:pPr>
                  <w:r w:rsidRPr="006B697B">
                    <w:rPr>
                      <w:sz w:val="20"/>
                      <w:szCs w:val="20"/>
                    </w:rPr>
                    <w:t>SDG-Stor_TE-Gas-gte75kBtuh-0p90TE</w:t>
                  </w:r>
                </w:p>
              </w:tc>
              <w:tc>
                <w:tcPr>
                  <w:tcW w:w="1530" w:type="dxa"/>
                </w:tcPr>
                <w:p w14:paraId="0F9A44DD" w14:textId="1B0339F5" w:rsidR="00E63339" w:rsidRPr="001149CE" w:rsidRDefault="001149CE" w:rsidP="001149CE">
                  <w:pPr>
                    <w:jc w:val="both"/>
                    <w:rPr>
                      <w:sz w:val="20"/>
                      <w:szCs w:val="20"/>
                    </w:rPr>
                  </w:pPr>
                  <w:r w:rsidRPr="001149CE">
                    <w:rPr>
                      <w:rFonts w:ascii="Calibri" w:hAnsi="Calibri" w:cs="Calibri"/>
                      <w:sz w:val="20"/>
                      <w:szCs w:val="20"/>
                    </w:rPr>
                    <w:t xml:space="preserve">$            </w:t>
                  </w:r>
                  <w:r w:rsidR="005D34FD" w:rsidRPr="005D34FD">
                    <w:rPr>
                      <w:rFonts w:ascii="Calibri" w:hAnsi="Calibri" w:cs="Calibri"/>
                      <w:sz w:val="20"/>
                      <w:szCs w:val="20"/>
                    </w:rPr>
                    <w:t>52.81</w:t>
                  </w:r>
                </w:p>
              </w:tc>
              <w:tc>
                <w:tcPr>
                  <w:tcW w:w="1080" w:type="dxa"/>
                </w:tcPr>
                <w:p w14:paraId="4F8C91A8" w14:textId="19E079A4" w:rsidR="00E63339" w:rsidRPr="001149CE" w:rsidRDefault="001149CE" w:rsidP="001149CE">
                  <w:pPr>
                    <w:jc w:val="both"/>
                    <w:rPr>
                      <w:sz w:val="20"/>
                      <w:szCs w:val="20"/>
                    </w:rPr>
                  </w:pPr>
                  <w:r w:rsidRPr="001149CE">
                    <w:rPr>
                      <w:rFonts w:ascii="Calibri" w:hAnsi="Calibri" w:cs="Calibri"/>
                      <w:sz w:val="20"/>
                      <w:szCs w:val="20"/>
                    </w:rPr>
                    <w:t xml:space="preserve">$ </w:t>
                  </w:r>
                  <w:r w:rsidR="005D34FD">
                    <w:rPr>
                      <w:rFonts w:ascii="Calibri" w:hAnsi="Calibri" w:cs="Calibri"/>
                      <w:sz w:val="20"/>
                      <w:szCs w:val="20"/>
                    </w:rPr>
                    <w:t>10.46</w:t>
                  </w:r>
                </w:p>
              </w:tc>
              <w:tc>
                <w:tcPr>
                  <w:tcW w:w="1260" w:type="dxa"/>
                </w:tcPr>
                <w:p w14:paraId="7179E127" w14:textId="04B55B7D" w:rsidR="00E63339" w:rsidRPr="001149CE" w:rsidRDefault="00E63339" w:rsidP="00E63339">
                  <w:pPr>
                    <w:rPr>
                      <w:sz w:val="20"/>
                      <w:szCs w:val="20"/>
                    </w:rPr>
                  </w:pPr>
                  <w:r w:rsidRPr="001149CE">
                    <w:rPr>
                      <w:sz w:val="20"/>
                      <w:szCs w:val="20"/>
                    </w:rPr>
                    <w:t>Cap-</w:t>
                  </w:r>
                  <w:proofErr w:type="spellStart"/>
                  <w:r w:rsidRPr="001149CE">
                    <w:rPr>
                      <w:sz w:val="20"/>
                      <w:szCs w:val="20"/>
                    </w:rPr>
                    <w:t>kBTUh</w:t>
                  </w:r>
                  <w:proofErr w:type="spellEnd"/>
                </w:p>
              </w:tc>
            </w:tr>
            <w:bookmarkEnd w:id="5"/>
            <w:bookmarkEnd w:id="6"/>
          </w:tbl>
          <w:p w14:paraId="269B6707" w14:textId="7089A8F7" w:rsidR="00225EFB" w:rsidRPr="009B0E7F" w:rsidRDefault="00225EFB" w:rsidP="00C1087D">
            <w:pPr>
              <w:tabs>
                <w:tab w:val="right" w:pos="7884"/>
              </w:tabs>
              <w:rPr>
                <w:rFonts w:cs="Arial"/>
                <w:sz w:val="20"/>
                <w:szCs w:val="20"/>
              </w:rPr>
            </w:pPr>
          </w:p>
        </w:tc>
      </w:tr>
    </w:tbl>
    <w:p w14:paraId="16F4D8DF" w14:textId="484D31CE" w:rsidR="00235D4A" w:rsidRDefault="00235D4A" w:rsidP="00225EFB"/>
    <w:sectPr w:rsidR="00235D4A" w:rsidSect="00C012DD">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69F57" w14:textId="77777777" w:rsidR="00ED2F65" w:rsidRDefault="00ED2F65" w:rsidP="00FE520B">
      <w:r>
        <w:separator/>
      </w:r>
    </w:p>
  </w:endnote>
  <w:endnote w:type="continuationSeparator" w:id="0">
    <w:p w14:paraId="0B420CA0" w14:textId="77777777" w:rsidR="00ED2F65" w:rsidRDefault="00ED2F65" w:rsidP="00FE520B">
      <w:r>
        <w:continuationSeparator/>
      </w:r>
    </w:p>
  </w:endnote>
  <w:endnote w:id="1">
    <w:p w14:paraId="06A8D63A" w14:textId="77777777" w:rsidR="00383142" w:rsidRDefault="00383142" w:rsidP="00383142">
      <w:pPr>
        <w:pStyle w:val="EndnoteText"/>
        <w:rPr>
          <w:rStyle w:val="Hyperlink"/>
        </w:rPr>
      </w:pPr>
      <w:r>
        <w:rPr>
          <w:rStyle w:val="EndnoteReference"/>
        </w:rPr>
        <w:endnoteRef/>
      </w:r>
      <w:r>
        <w:t xml:space="preserve"> Department of Energy. (Revised 2018, May). California Code of Regulations, Title 20; Retrieved From </w:t>
      </w:r>
      <w:hyperlink r:id="rId1" w:history="1">
        <w:r w:rsidRPr="00F153DD">
          <w:rPr>
            <w:rStyle w:val="Hyperlink"/>
          </w:rPr>
          <w:t>http://www.energy.ca.gov/title20/</w:t>
        </w:r>
      </w:hyperlink>
    </w:p>
    <w:p w14:paraId="162F1DD4" w14:textId="77777777" w:rsidR="00383142" w:rsidRDefault="00383142" w:rsidP="0038314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B6734" w14:textId="77777777" w:rsidR="00697D77" w:rsidRDefault="00697D77" w:rsidP="00BF7104">
    <w:pPr>
      <w:pStyle w:val="Footer"/>
      <w:jc w:val="right"/>
      <w:rPr>
        <w:rFonts w:cstheme="minorHAnsi"/>
        <w:b/>
        <w:sz w:val="36"/>
        <w:szCs w:val="3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6761F" w14:textId="77777777" w:rsidR="00697D77" w:rsidRDefault="00697D77" w:rsidP="00047849">
    <w:pPr>
      <w:pStyle w:val="Footer"/>
      <w:jc w:val="right"/>
      <w:rPr>
        <w:rFonts w:cstheme="minorHAnsi"/>
        <w:b/>
        <w:sz w:val="36"/>
        <w:szCs w:val="36"/>
      </w:rPr>
    </w:pPr>
  </w:p>
  <w:p w14:paraId="2ECE3BD5" w14:textId="60005B09" w:rsidR="00697D77" w:rsidRPr="0095221A" w:rsidRDefault="00697D77" w:rsidP="00047849">
    <w:pPr>
      <w:pBdr>
        <w:top w:val="single" w:sz="4" w:space="1" w:color="auto"/>
      </w:pBdr>
      <w:tabs>
        <w:tab w:val="center" w:pos="4680"/>
        <w:tab w:val="right" w:pos="9360"/>
      </w:tabs>
      <w:rPr>
        <w:b/>
      </w:rPr>
    </w:pPr>
    <w:r w:rsidRPr="0095221A">
      <w:rPr>
        <w:b/>
      </w:rPr>
      <w:t>Workpaper WPSDGE</w:t>
    </w:r>
    <w:r w:rsidR="006F0D4B">
      <w:rPr>
        <w:b/>
      </w:rPr>
      <w:t>NRWH1205</w:t>
    </w:r>
    <w:r w:rsidR="000872A2">
      <w:rPr>
        <w:b/>
      </w:rPr>
      <w:t>B</w:t>
    </w:r>
    <w:r w:rsidRPr="0095221A">
      <w:rPr>
        <w:b/>
      </w:rPr>
      <w:t xml:space="preserve">, Revision </w:t>
    </w:r>
    <w:r w:rsidR="00BD3C47">
      <w:rPr>
        <w:b/>
      </w:rPr>
      <w:t>0</w:t>
    </w:r>
    <w:r w:rsidRPr="0095221A">
      <w:rPr>
        <w:b/>
      </w:rPr>
      <w:t xml:space="preserve">                             </w:t>
    </w:r>
    <w:r w:rsidRPr="0095221A">
      <w:rPr>
        <w:b/>
      </w:rPr>
      <w:tab/>
    </w:r>
    <w:r w:rsidR="000E22EA">
      <w:rPr>
        <w:b/>
      </w:rPr>
      <w:t xml:space="preserve">January </w:t>
    </w:r>
    <w:r w:rsidR="00BD3C47">
      <w:rPr>
        <w:b/>
      </w:rPr>
      <w:t>1</w:t>
    </w:r>
    <w:r w:rsidRPr="0095221A">
      <w:rPr>
        <w:b/>
      </w:rPr>
      <w:t>, 201</w:t>
    </w:r>
    <w:r w:rsidR="000E22EA">
      <w:rPr>
        <w:b/>
      </w:rPr>
      <w:t>9</w:t>
    </w:r>
  </w:p>
  <w:p w14:paraId="38DA398A" w14:textId="77777777" w:rsidR="00697D77" w:rsidRPr="0095221A" w:rsidRDefault="00697D77" w:rsidP="00047849">
    <w:pPr>
      <w:tabs>
        <w:tab w:val="center" w:pos="4680"/>
        <w:tab w:val="right" w:pos="9360"/>
      </w:tabs>
      <w:rPr>
        <w:b/>
      </w:rPr>
    </w:pPr>
    <w:r w:rsidRPr="0095221A">
      <w:rPr>
        <w:b/>
      </w:rPr>
      <w:t>San Diego Gas &amp; Electric</w:t>
    </w:r>
  </w:p>
  <w:p w14:paraId="072AA4CC" w14:textId="2BE18307" w:rsidR="00697D77" w:rsidRDefault="00697D77">
    <w:pPr>
      <w:pStyle w:val="Footer"/>
      <w:jc w:val="center"/>
    </w:pPr>
    <w:r>
      <w:t xml:space="preserve">Page </w:t>
    </w:r>
    <w:sdt>
      <w:sdtPr>
        <w:id w:val="213459813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330F8">
          <w:rPr>
            <w:noProof/>
          </w:rPr>
          <w:t>1</w:t>
        </w:r>
        <w:r>
          <w:rPr>
            <w:noProof/>
          </w:rPr>
          <w:fldChar w:fldCharType="end"/>
        </w:r>
      </w:sdtContent>
    </w:sdt>
  </w:p>
  <w:p w14:paraId="269B673A" w14:textId="77777777" w:rsidR="00697D77" w:rsidRPr="009500DC" w:rsidRDefault="00697D77"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6B76C" w14:textId="77777777" w:rsidR="00ED2F65" w:rsidRDefault="00ED2F65" w:rsidP="00FE520B">
      <w:r>
        <w:separator/>
      </w:r>
    </w:p>
  </w:footnote>
  <w:footnote w:type="continuationSeparator" w:id="0">
    <w:p w14:paraId="7E390460" w14:textId="77777777" w:rsidR="00ED2F65" w:rsidRDefault="00ED2F65"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83BBA"/>
    <w:multiLevelType w:val="hybridMultilevel"/>
    <w:tmpl w:val="6DFA70BC"/>
    <w:lvl w:ilvl="0" w:tplc="16587ACC">
      <w:numFmt w:val="bullet"/>
      <w:lvlText w:val=""/>
      <w:lvlJc w:val="left"/>
      <w:pPr>
        <w:ind w:left="1512" w:hanging="360"/>
      </w:pPr>
      <w:rPr>
        <w:rFonts w:ascii="Symbol" w:eastAsia="Batang" w:hAnsi="Symbol" w:cs="Times New Roman" w:hint="default"/>
        <w:b/>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 w15:restartNumberingAfterBreak="0">
    <w:nsid w:val="125C19D9"/>
    <w:multiLevelType w:val="multilevel"/>
    <w:tmpl w:val="E63E8E3E"/>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Calibri" w:hAnsi="Calibri"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15:restartNumberingAfterBreak="0">
    <w:nsid w:val="14675DAA"/>
    <w:multiLevelType w:val="hybridMultilevel"/>
    <w:tmpl w:val="109EF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7A02E5"/>
    <w:multiLevelType w:val="hybridMultilevel"/>
    <w:tmpl w:val="6B809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28A27C4"/>
    <w:multiLevelType w:val="hybridMultilevel"/>
    <w:tmpl w:val="783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081C3C"/>
    <w:multiLevelType w:val="hybridMultilevel"/>
    <w:tmpl w:val="1F8EE4CE"/>
    <w:lvl w:ilvl="0" w:tplc="63EA60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BFF49B3"/>
    <w:multiLevelType w:val="hybridMultilevel"/>
    <w:tmpl w:val="0F6AB63E"/>
    <w:lvl w:ilvl="0" w:tplc="D236E8FE">
      <w:start w:val="5"/>
      <w:numFmt w:val="bullet"/>
      <w:lvlText w:val=""/>
      <w:lvlJc w:val="left"/>
      <w:pPr>
        <w:ind w:left="1944" w:hanging="360"/>
      </w:pPr>
      <w:rPr>
        <w:rFonts w:ascii="Symbol" w:eastAsia="Batang" w:hAnsi="Symbol" w:cstheme="minorHAnsi"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5"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3"/>
  </w:num>
  <w:num w:numId="4">
    <w:abstractNumId w:val="9"/>
  </w:num>
  <w:num w:numId="5">
    <w:abstractNumId w:val="10"/>
  </w:num>
  <w:num w:numId="6">
    <w:abstractNumId w:val="1"/>
  </w:num>
  <w:num w:numId="7">
    <w:abstractNumId w:val="12"/>
  </w:num>
  <w:num w:numId="8">
    <w:abstractNumId w:val="13"/>
  </w:num>
  <w:num w:numId="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7"/>
  </w:num>
  <w:num w:numId="13">
    <w:abstractNumId w:val="15"/>
  </w:num>
  <w:num w:numId="14">
    <w:abstractNumId w:val="2"/>
  </w:num>
  <w:num w:numId="15">
    <w:abstractNumId w:val="8"/>
  </w:num>
  <w:num w:numId="16">
    <w:abstractNumId w:val="4"/>
  </w:num>
  <w:num w:numId="17">
    <w:abstractNumId w:val="14"/>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10583"/>
    <w:rsid w:val="00011E16"/>
    <w:rsid w:val="00034FCD"/>
    <w:rsid w:val="00035509"/>
    <w:rsid w:val="00035524"/>
    <w:rsid w:val="00035995"/>
    <w:rsid w:val="00036F0A"/>
    <w:rsid w:val="000374DA"/>
    <w:rsid w:val="00044D10"/>
    <w:rsid w:val="00047060"/>
    <w:rsid w:val="00047849"/>
    <w:rsid w:val="00052743"/>
    <w:rsid w:val="00052CE4"/>
    <w:rsid w:val="00057D22"/>
    <w:rsid w:val="00065962"/>
    <w:rsid w:val="000872A2"/>
    <w:rsid w:val="000909DA"/>
    <w:rsid w:val="000A69E4"/>
    <w:rsid w:val="000B3776"/>
    <w:rsid w:val="000C5422"/>
    <w:rsid w:val="000D06BD"/>
    <w:rsid w:val="000D0FF7"/>
    <w:rsid w:val="000D1CE9"/>
    <w:rsid w:val="000D24B2"/>
    <w:rsid w:val="000E06B2"/>
    <w:rsid w:val="000E1229"/>
    <w:rsid w:val="000E22EA"/>
    <w:rsid w:val="000E2E9B"/>
    <w:rsid w:val="000E7445"/>
    <w:rsid w:val="000F4F55"/>
    <w:rsid w:val="000F72EF"/>
    <w:rsid w:val="001014C5"/>
    <w:rsid w:val="00111B31"/>
    <w:rsid w:val="00112FD9"/>
    <w:rsid w:val="001149CE"/>
    <w:rsid w:val="001158E9"/>
    <w:rsid w:val="00120B04"/>
    <w:rsid w:val="00122A60"/>
    <w:rsid w:val="001326FD"/>
    <w:rsid w:val="001330F8"/>
    <w:rsid w:val="0014135D"/>
    <w:rsid w:val="00141783"/>
    <w:rsid w:val="0014383C"/>
    <w:rsid w:val="00164141"/>
    <w:rsid w:val="00165840"/>
    <w:rsid w:val="00165E4F"/>
    <w:rsid w:val="001803C3"/>
    <w:rsid w:val="00181290"/>
    <w:rsid w:val="00183787"/>
    <w:rsid w:val="001879C7"/>
    <w:rsid w:val="00190E66"/>
    <w:rsid w:val="00191296"/>
    <w:rsid w:val="00193E56"/>
    <w:rsid w:val="00195D2A"/>
    <w:rsid w:val="00197D1C"/>
    <w:rsid w:val="001A1D6C"/>
    <w:rsid w:val="001A3370"/>
    <w:rsid w:val="001B148A"/>
    <w:rsid w:val="001B4F0F"/>
    <w:rsid w:val="001B7603"/>
    <w:rsid w:val="001C209A"/>
    <w:rsid w:val="001D3DB2"/>
    <w:rsid w:val="001D44E6"/>
    <w:rsid w:val="001E1E83"/>
    <w:rsid w:val="001E5E5C"/>
    <w:rsid w:val="001F2125"/>
    <w:rsid w:val="001F6075"/>
    <w:rsid w:val="002057A3"/>
    <w:rsid w:val="0022568C"/>
    <w:rsid w:val="00225EFB"/>
    <w:rsid w:val="00226262"/>
    <w:rsid w:val="0022781C"/>
    <w:rsid w:val="002304DB"/>
    <w:rsid w:val="00235D4A"/>
    <w:rsid w:val="00251A7A"/>
    <w:rsid w:val="002556AD"/>
    <w:rsid w:val="0026026C"/>
    <w:rsid w:val="00261737"/>
    <w:rsid w:val="00266B30"/>
    <w:rsid w:val="0027399B"/>
    <w:rsid w:val="00281341"/>
    <w:rsid w:val="002818BD"/>
    <w:rsid w:val="002822BC"/>
    <w:rsid w:val="002842C1"/>
    <w:rsid w:val="00294630"/>
    <w:rsid w:val="002A127F"/>
    <w:rsid w:val="002A6E43"/>
    <w:rsid w:val="002A716D"/>
    <w:rsid w:val="002C23E9"/>
    <w:rsid w:val="002C3178"/>
    <w:rsid w:val="002C7FB3"/>
    <w:rsid w:val="002D21B6"/>
    <w:rsid w:val="002D2829"/>
    <w:rsid w:val="002D3A18"/>
    <w:rsid w:val="002F225D"/>
    <w:rsid w:val="002F2790"/>
    <w:rsid w:val="002F4E1A"/>
    <w:rsid w:val="00305EAA"/>
    <w:rsid w:val="003063CD"/>
    <w:rsid w:val="00311729"/>
    <w:rsid w:val="00312B89"/>
    <w:rsid w:val="003233BD"/>
    <w:rsid w:val="00325EE9"/>
    <w:rsid w:val="00341DA5"/>
    <w:rsid w:val="00346558"/>
    <w:rsid w:val="00346A2C"/>
    <w:rsid w:val="00350035"/>
    <w:rsid w:val="00352CB7"/>
    <w:rsid w:val="00352DEF"/>
    <w:rsid w:val="003530F4"/>
    <w:rsid w:val="00353ECF"/>
    <w:rsid w:val="0036322C"/>
    <w:rsid w:val="003804E4"/>
    <w:rsid w:val="00383142"/>
    <w:rsid w:val="00384B1D"/>
    <w:rsid w:val="00391FC6"/>
    <w:rsid w:val="003A0D5E"/>
    <w:rsid w:val="003A7B4E"/>
    <w:rsid w:val="003C1E38"/>
    <w:rsid w:val="003C4D88"/>
    <w:rsid w:val="003D547E"/>
    <w:rsid w:val="003E122A"/>
    <w:rsid w:val="003E6FA5"/>
    <w:rsid w:val="0040365D"/>
    <w:rsid w:val="00404945"/>
    <w:rsid w:val="00411A39"/>
    <w:rsid w:val="004138A9"/>
    <w:rsid w:val="00413CF9"/>
    <w:rsid w:val="0042529B"/>
    <w:rsid w:val="00432C09"/>
    <w:rsid w:val="0043405D"/>
    <w:rsid w:val="004419BF"/>
    <w:rsid w:val="004423AF"/>
    <w:rsid w:val="004537B4"/>
    <w:rsid w:val="00455100"/>
    <w:rsid w:val="00455500"/>
    <w:rsid w:val="0046251A"/>
    <w:rsid w:val="00465BCE"/>
    <w:rsid w:val="00485F27"/>
    <w:rsid w:val="004864F4"/>
    <w:rsid w:val="0049749E"/>
    <w:rsid w:val="004A001C"/>
    <w:rsid w:val="004A6CBC"/>
    <w:rsid w:val="004B112A"/>
    <w:rsid w:val="004B1EF8"/>
    <w:rsid w:val="004C05AE"/>
    <w:rsid w:val="004C3716"/>
    <w:rsid w:val="004C44B9"/>
    <w:rsid w:val="004D11D9"/>
    <w:rsid w:val="004D6897"/>
    <w:rsid w:val="004E74AB"/>
    <w:rsid w:val="004F1707"/>
    <w:rsid w:val="00500D21"/>
    <w:rsid w:val="00500EA5"/>
    <w:rsid w:val="00504246"/>
    <w:rsid w:val="00505172"/>
    <w:rsid w:val="00510B64"/>
    <w:rsid w:val="005161AA"/>
    <w:rsid w:val="00517A0E"/>
    <w:rsid w:val="005254D3"/>
    <w:rsid w:val="0053719E"/>
    <w:rsid w:val="00551571"/>
    <w:rsid w:val="00563833"/>
    <w:rsid w:val="00571A2F"/>
    <w:rsid w:val="005743D2"/>
    <w:rsid w:val="00580786"/>
    <w:rsid w:val="005815D4"/>
    <w:rsid w:val="00584F6D"/>
    <w:rsid w:val="0059117D"/>
    <w:rsid w:val="005A17D1"/>
    <w:rsid w:val="005B439A"/>
    <w:rsid w:val="005B6210"/>
    <w:rsid w:val="005C0C56"/>
    <w:rsid w:val="005C2962"/>
    <w:rsid w:val="005C599D"/>
    <w:rsid w:val="005D0058"/>
    <w:rsid w:val="005D2A2D"/>
    <w:rsid w:val="005D34FD"/>
    <w:rsid w:val="005E2B83"/>
    <w:rsid w:val="005E361C"/>
    <w:rsid w:val="005F63E2"/>
    <w:rsid w:val="006049AE"/>
    <w:rsid w:val="00604E09"/>
    <w:rsid w:val="0062702B"/>
    <w:rsid w:val="00627B0B"/>
    <w:rsid w:val="0063351B"/>
    <w:rsid w:val="00636490"/>
    <w:rsid w:val="00640F6B"/>
    <w:rsid w:val="00641AC9"/>
    <w:rsid w:val="0064724E"/>
    <w:rsid w:val="00654030"/>
    <w:rsid w:val="00660E39"/>
    <w:rsid w:val="00661D43"/>
    <w:rsid w:val="00674A59"/>
    <w:rsid w:val="00674B0C"/>
    <w:rsid w:val="00684ABA"/>
    <w:rsid w:val="00695DFE"/>
    <w:rsid w:val="00697D77"/>
    <w:rsid w:val="006B17D1"/>
    <w:rsid w:val="006B2014"/>
    <w:rsid w:val="006B6771"/>
    <w:rsid w:val="006B697B"/>
    <w:rsid w:val="006C3A18"/>
    <w:rsid w:val="006C5298"/>
    <w:rsid w:val="006D5F49"/>
    <w:rsid w:val="006D60A6"/>
    <w:rsid w:val="006E33E0"/>
    <w:rsid w:val="006E57AF"/>
    <w:rsid w:val="006F0D4B"/>
    <w:rsid w:val="006F7744"/>
    <w:rsid w:val="00706120"/>
    <w:rsid w:val="007071FE"/>
    <w:rsid w:val="007123A8"/>
    <w:rsid w:val="00715330"/>
    <w:rsid w:val="007169E7"/>
    <w:rsid w:val="0072169F"/>
    <w:rsid w:val="007264C7"/>
    <w:rsid w:val="00737434"/>
    <w:rsid w:val="0074209B"/>
    <w:rsid w:val="00761CDC"/>
    <w:rsid w:val="00763E52"/>
    <w:rsid w:val="007661F0"/>
    <w:rsid w:val="007759F1"/>
    <w:rsid w:val="00776FD6"/>
    <w:rsid w:val="00783F49"/>
    <w:rsid w:val="00785670"/>
    <w:rsid w:val="00787183"/>
    <w:rsid w:val="00790109"/>
    <w:rsid w:val="007926D2"/>
    <w:rsid w:val="00794B37"/>
    <w:rsid w:val="007A3463"/>
    <w:rsid w:val="007A365D"/>
    <w:rsid w:val="007B3E34"/>
    <w:rsid w:val="007B7FA6"/>
    <w:rsid w:val="007E648E"/>
    <w:rsid w:val="007F56D5"/>
    <w:rsid w:val="007F6B28"/>
    <w:rsid w:val="0081162E"/>
    <w:rsid w:val="0081380A"/>
    <w:rsid w:val="0082244A"/>
    <w:rsid w:val="008301C9"/>
    <w:rsid w:val="00830E91"/>
    <w:rsid w:val="00836672"/>
    <w:rsid w:val="0084491B"/>
    <w:rsid w:val="008618BF"/>
    <w:rsid w:val="00861B74"/>
    <w:rsid w:val="00862B56"/>
    <w:rsid w:val="008648BA"/>
    <w:rsid w:val="00867B4E"/>
    <w:rsid w:val="00867C9A"/>
    <w:rsid w:val="0087167E"/>
    <w:rsid w:val="008729A6"/>
    <w:rsid w:val="008733BD"/>
    <w:rsid w:val="00873EE1"/>
    <w:rsid w:val="00882BAE"/>
    <w:rsid w:val="00885C8A"/>
    <w:rsid w:val="008A4F57"/>
    <w:rsid w:val="008A739C"/>
    <w:rsid w:val="008B0468"/>
    <w:rsid w:val="008B1591"/>
    <w:rsid w:val="008B239F"/>
    <w:rsid w:val="008C376F"/>
    <w:rsid w:val="008C3D1E"/>
    <w:rsid w:val="008E6BB1"/>
    <w:rsid w:val="008F5293"/>
    <w:rsid w:val="009012D0"/>
    <w:rsid w:val="00913876"/>
    <w:rsid w:val="009173F8"/>
    <w:rsid w:val="009258E5"/>
    <w:rsid w:val="0093295E"/>
    <w:rsid w:val="009406D7"/>
    <w:rsid w:val="00943B18"/>
    <w:rsid w:val="0095221A"/>
    <w:rsid w:val="009544BA"/>
    <w:rsid w:val="009604A3"/>
    <w:rsid w:val="009774B0"/>
    <w:rsid w:val="00982AEC"/>
    <w:rsid w:val="0098351C"/>
    <w:rsid w:val="00984230"/>
    <w:rsid w:val="00986FF2"/>
    <w:rsid w:val="00991F7A"/>
    <w:rsid w:val="009955D5"/>
    <w:rsid w:val="009A0721"/>
    <w:rsid w:val="009A0F3E"/>
    <w:rsid w:val="009A1672"/>
    <w:rsid w:val="009A69FA"/>
    <w:rsid w:val="009B0E7F"/>
    <w:rsid w:val="009C17F4"/>
    <w:rsid w:val="009C209E"/>
    <w:rsid w:val="009C4A8A"/>
    <w:rsid w:val="009C561E"/>
    <w:rsid w:val="009D08F0"/>
    <w:rsid w:val="009E7185"/>
    <w:rsid w:val="009F3AAA"/>
    <w:rsid w:val="009F3F4D"/>
    <w:rsid w:val="00A031B3"/>
    <w:rsid w:val="00A03B41"/>
    <w:rsid w:val="00A04798"/>
    <w:rsid w:val="00A17D2B"/>
    <w:rsid w:val="00A23B6C"/>
    <w:rsid w:val="00A25B59"/>
    <w:rsid w:val="00A40890"/>
    <w:rsid w:val="00A43405"/>
    <w:rsid w:val="00A44992"/>
    <w:rsid w:val="00A44D74"/>
    <w:rsid w:val="00A450B1"/>
    <w:rsid w:val="00A5572C"/>
    <w:rsid w:val="00A62507"/>
    <w:rsid w:val="00A64AB4"/>
    <w:rsid w:val="00A67422"/>
    <w:rsid w:val="00A75EDC"/>
    <w:rsid w:val="00A970D4"/>
    <w:rsid w:val="00AA423E"/>
    <w:rsid w:val="00AA5223"/>
    <w:rsid w:val="00AB13C5"/>
    <w:rsid w:val="00AC7A73"/>
    <w:rsid w:val="00AD41FF"/>
    <w:rsid w:val="00AD517E"/>
    <w:rsid w:val="00B00B12"/>
    <w:rsid w:val="00B078C8"/>
    <w:rsid w:val="00B11639"/>
    <w:rsid w:val="00B135C3"/>
    <w:rsid w:val="00B20144"/>
    <w:rsid w:val="00B3082D"/>
    <w:rsid w:val="00B33BA2"/>
    <w:rsid w:val="00B4303C"/>
    <w:rsid w:val="00B450EC"/>
    <w:rsid w:val="00B508F1"/>
    <w:rsid w:val="00B5525E"/>
    <w:rsid w:val="00B60F38"/>
    <w:rsid w:val="00B65184"/>
    <w:rsid w:val="00B74EAA"/>
    <w:rsid w:val="00B763AC"/>
    <w:rsid w:val="00B77318"/>
    <w:rsid w:val="00B80713"/>
    <w:rsid w:val="00B86725"/>
    <w:rsid w:val="00B97344"/>
    <w:rsid w:val="00BA07E1"/>
    <w:rsid w:val="00BA188B"/>
    <w:rsid w:val="00BA7FB9"/>
    <w:rsid w:val="00BB0BB2"/>
    <w:rsid w:val="00BB6B06"/>
    <w:rsid w:val="00BD0866"/>
    <w:rsid w:val="00BD32EF"/>
    <w:rsid w:val="00BD3C47"/>
    <w:rsid w:val="00BE5761"/>
    <w:rsid w:val="00BE632D"/>
    <w:rsid w:val="00BE7943"/>
    <w:rsid w:val="00BF3B14"/>
    <w:rsid w:val="00BF7104"/>
    <w:rsid w:val="00C012DD"/>
    <w:rsid w:val="00C04DFE"/>
    <w:rsid w:val="00C1087D"/>
    <w:rsid w:val="00C114F2"/>
    <w:rsid w:val="00C132A0"/>
    <w:rsid w:val="00C13907"/>
    <w:rsid w:val="00C13B4C"/>
    <w:rsid w:val="00C13FDE"/>
    <w:rsid w:val="00C2655F"/>
    <w:rsid w:val="00C361B3"/>
    <w:rsid w:val="00C366B3"/>
    <w:rsid w:val="00C36CE5"/>
    <w:rsid w:val="00C4094B"/>
    <w:rsid w:val="00C43CE5"/>
    <w:rsid w:val="00C64135"/>
    <w:rsid w:val="00C7798D"/>
    <w:rsid w:val="00C80B09"/>
    <w:rsid w:val="00C80D48"/>
    <w:rsid w:val="00C84A06"/>
    <w:rsid w:val="00C863F3"/>
    <w:rsid w:val="00CA70EB"/>
    <w:rsid w:val="00CB57F2"/>
    <w:rsid w:val="00CB64A9"/>
    <w:rsid w:val="00CB700F"/>
    <w:rsid w:val="00CC12EC"/>
    <w:rsid w:val="00CD2927"/>
    <w:rsid w:val="00D01D08"/>
    <w:rsid w:val="00D053B2"/>
    <w:rsid w:val="00D068F6"/>
    <w:rsid w:val="00D06BC2"/>
    <w:rsid w:val="00D22F9F"/>
    <w:rsid w:val="00D24849"/>
    <w:rsid w:val="00D266CB"/>
    <w:rsid w:val="00D428ED"/>
    <w:rsid w:val="00D44F84"/>
    <w:rsid w:val="00D51074"/>
    <w:rsid w:val="00D51250"/>
    <w:rsid w:val="00D53011"/>
    <w:rsid w:val="00D60240"/>
    <w:rsid w:val="00D61840"/>
    <w:rsid w:val="00D67814"/>
    <w:rsid w:val="00D70E4E"/>
    <w:rsid w:val="00D77F05"/>
    <w:rsid w:val="00D83D0D"/>
    <w:rsid w:val="00D85D0A"/>
    <w:rsid w:val="00D93F77"/>
    <w:rsid w:val="00D97C37"/>
    <w:rsid w:val="00DA4446"/>
    <w:rsid w:val="00DB2D8C"/>
    <w:rsid w:val="00DB6775"/>
    <w:rsid w:val="00DC1C40"/>
    <w:rsid w:val="00DC20C2"/>
    <w:rsid w:val="00DC3FD7"/>
    <w:rsid w:val="00DC53A4"/>
    <w:rsid w:val="00DC5E0B"/>
    <w:rsid w:val="00DD4938"/>
    <w:rsid w:val="00DF6FA0"/>
    <w:rsid w:val="00DF70D1"/>
    <w:rsid w:val="00DF74EC"/>
    <w:rsid w:val="00E00DCC"/>
    <w:rsid w:val="00E02340"/>
    <w:rsid w:val="00E041B5"/>
    <w:rsid w:val="00E056C4"/>
    <w:rsid w:val="00E06409"/>
    <w:rsid w:val="00E101FF"/>
    <w:rsid w:val="00E11E75"/>
    <w:rsid w:val="00E12985"/>
    <w:rsid w:val="00E14719"/>
    <w:rsid w:val="00E25E9A"/>
    <w:rsid w:val="00E27103"/>
    <w:rsid w:val="00E341D6"/>
    <w:rsid w:val="00E35D48"/>
    <w:rsid w:val="00E40D2E"/>
    <w:rsid w:val="00E41CCE"/>
    <w:rsid w:val="00E43785"/>
    <w:rsid w:val="00E4583A"/>
    <w:rsid w:val="00E52E7C"/>
    <w:rsid w:val="00E55B51"/>
    <w:rsid w:val="00E5629E"/>
    <w:rsid w:val="00E56CE7"/>
    <w:rsid w:val="00E60755"/>
    <w:rsid w:val="00E61D1C"/>
    <w:rsid w:val="00E63339"/>
    <w:rsid w:val="00E63A83"/>
    <w:rsid w:val="00E70363"/>
    <w:rsid w:val="00E77D27"/>
    <w:rsid w:val="00E80752"/>
    <w:rsid w:val="00E83C23"/>
    <w:rsid w:val="00E85F2D"/>
    <w:rsid w:val="00EA1B9D"/>
    <w:rsid w:val="00EA447A"/>
    <w:rsid w:val="00EB0A9A"/>
    <w:rsid w:val="00EB5DC9"/>
    <w:rsid w:val="00EC2602"/>
    <w:rsid w:val="00EC3A3A"/>
    <w:rsid w:val="00EC574D"/>
    <w:rsid w:val="00ED2F65"/>
    <w:rsid w:val="00EE19D6"/>
    <w:rsid w:val="00EF1DD6"/>
    <w:rsid w:val="00EF359C"/>
    <w:rsid w:val="00EF438A"/>
    <w:rsid w:val="00F117C6"/>
    <w:rsid w:val="00F11AF0"/>
    <w:rsid w:val="00F16491"/>
    <w:rsid w:val="00F21D19"/>
    <w:rsid w:val="00F2382E"/>
    <w:rsid w:val="00F27A87"/>
    <w:rsid w:val="00F3004E"/>
    <w:rsid w:val="00F457FD"/>
    <w:rsid w:val="00F462D3"/>
    <w:rsid w:val="00F553B4"/>
    <w:rsid w:val="00F5771C"/>
    <w:rsid w:val="00F6302D"/>
    <w:rsid w:val="00F65504"/>
    <w:rsid w:val="00F65C2E"/>
    <w:rsid w:val="00F718E4"/>
    <w:rsid w:val="00F77C08"/>
    <w:rsid w:val="00F9267B"/>
    <w:rsid w:val="00F95AC4"/>
    <w:rsid w:val="00F95BB3"/>
    <w:rsid w:val="00FA2CC5"/>
    <w:rsid w:val="00FA2CF0"/>
    <w:rsid w:val="00FA2E73"/>
    <w:rsid w:val="00FA5C27"/>
    <w:rsid w:val="00FC1B0D"/>
    <w:rsid w:val="00FC7248"/>
    <w:rsid w:val="00FD1A12"/>
    <w:rsid w:val="00FE0B5C"/>
    <w:rsid w:val="00FE520B"/>
    <w:rsid w:val="00FE5302"/>
    <w:rsid w:val="00FF557D"/>
    <w:rsid w:val="00FF6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B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table" w:customStyle="1" w:styleId="TableGrid11">
    <w:name w:val="Table Grid11"/>
    <w:basedOn w:val="TableNormal"/>
    <w:next w:val="TableGrid"/>
    <w:rsid w:val="0095221A"/>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B0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D0058"/>
    <w:rPr>
      <w:rFonts w:ascii="Arial" w:eastAsia="Batang" w:hAnsi="Arial"/>
      <w:sz w:val="20"/>
      <w:szCs w:val="20"/>
    </w:rPr>
  </w:style>
  <w:style w:type="character" w:customStyle="1" w:styleId="EndnoteTextChar">
    <w:name w:val="Endnote Text Char"/>
    <w:basedOn w:val="DefaultParagraphFont"/>
    <w:link w:val="EndnoteText"/>
    <w:rsid w:val="005D0058"/>
    <w:rPr>
      <w:rFonts w:ascii="Arial" w:eastAsia="Batang" w:hAnsi="Arial" w:cs="Times New Roman"/>
      <w:sz w:val="20"/>
      <w:szCs w:val="20"/>
    </w:rPr>
  </w:style>
  <w:style w:type="character" w:styleId="UnresolvedMention">
    <w:name w:val="Unresolved Mention"/>
    <w:basedOn w:val="DefaultParagraphFont"/>
    <w:uiPriority w:val="99"/>
    <w:semiHidden/>
    <w:unhideWhenUsed/>
    <w:rsid w:val="000909DA"/>
    <w:rPr>
      <w:color w:val="808080"/>
      <w:shd w:val="clear" w:color="auto" w:fill="E6E6E6"/>
    </w:rPr>
  </w:style>
  <w:style w:type="paragraph" w:styleId="NoSpacing">
    <w:name w:val="No Spacing"/>
    <w:uiPriority w:val="1"/>
    <w:qFormat/>
    <w:rsid w:val="00FD1A12"/>
    <w:pPr>
      <w:spacing w:after="0" w:line="240" w:lineRule="auto"/>
    </w:pPr>
  </w:style>
  <w:style w:type="paragraph" w:customStyle="1" w:styleId="Reminder">
    <w:name w:val="Reminder"/>
    <w:basedOn w:val="Reminders"/>
    <w:link w:val="ReminderChar"/>
    <w:rsid w:val="00FF6330"/>
  </w:style>
  <w:style w:type="character" w:customStyle="1" w:styleId="ReminderChar">
    <w:name w:val="Reminder Char"/>
    <w:basedOn w:val="RemindersChar"/>
    <w:link w:val="Reminder"/>
    <w:rsid w:val="00FF6330"/>
    <w:rPr>
      <w:rFonts w:ascii="Trebuchet MS" w:eastAsia="Times New Roman" w:hAnsi="Trebuchet MS" w:cs="Times New Roman"/>
      <w:i/>
      <w:color w:val="FF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46498">
      <w:bodyDiv w:val="1"/>
      <w:marLeft w:val="0"/>
      <w:marRight w:val="0"/>
      <w:marTop w:val="0"/>
      <w:marBottom w:val="0"/>
      <w:divBdr>
        <w:top w:val="none" w:sz="0" w:space="0" w:color="auto"/>
        <w:left w:val="none" w:sz="0" w:space="0" w:color="auto"/>
        <w:bottom w:val="none" w:sz="0" w:space="0" w:color="auto"/>
        <w:right w:val="none" w:sz="0" w:space="0" w:color="auto"/>
      </w:divBdr>
    </w:div>
    <w:div w:id="586379749">
      <w:bodyDiv w:val="1"/>
      <w:marLeft w:val="0"/>
      <w:marRight w:val="0"/>
      <w:marTop w:val="0"/>
      <w:marBottom w:val="0"/>
      <w:divBdr>
        <w:top w:val="none" w:sz="0" w:space="0" w:color="auto"/>
        <w:left w:val="none" w:sz="0" w:space="0" w:color="auto"/>
        <w:bottom w:val="none" w:sz="0" w:space="0" w:color="auto"/>
        <w:right w:val="none" w:sz="0" w:space="0" w:color="auto"/>
      </w:divBdr>
    </w:div>
    <w:div w:id="148481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borregohealth.org/borrego-medical-clinic" TargetMode="External"/><Relationship Id="rId14" Type="http://schemas.openxmlformats.org/officeDocument/2006/relationships/image" Target="media/image5.png"/></Relationships>
</file>

<file path=word/_rels/endnotes.xml.rels><?xml version="1.0" encoding="UTF-8" standalone="yes"?>
<Relationships xmlns="http://schemas.openxmlformats.org/package/2006/relationships"><Relationship Id="rId1" Type="http://schemas.openxmlformats.org/officeDocument/2006/relationships/hyperlink" Target="http://www.energy.ca.gov/title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EC554-D95C-49F1-B628-ED56D4709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2479</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2018-12-18T04:41:00Z</dcterms:created>
  <dcterms:modified xsi:type="dcterms:W3CDTF">2018-12-18T06:04:00Z</dcterms:modified>
</cp:coreProperties>
</file>