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B668A" w14:textId="252F264F" w:rsidR="00F117C6" w:rsidRPr="005C0C56" w:rsidRDefault="009A0721" w:rsidP="005C0C56">
      <w:pPr>
        <w:jc w:val="right"/>
        <w:rPr>
          <w:b/>
          <w:sz w:val="48"/>
          <w:szCs w:val="48"/>
        </w:rPr>
      </w:pPr>
      <w:bookmarkStart w:id="0" w:name="_Toc153189647"/>
      <w:r w:rsidRPr="005C0C56">
        <w:rPr>
          <w:b/>
          <w:sz w:val="48"/>
          <w:szCs w:val="48"/>
        </w:rPr>
        <w:t xml:space="preserve">Short Form </w:t>
      </w:r>
      <w:r w:rsidR="00F117C6" w:rsidRPr="005C0C56">
        <w:rPr>
          <w:b/>
          <w:sz w:val="48"/>
          <w:szCs w:val="48"/>
        </w:rPr>
        <w:t xml:space="preserve">Work Paper </w:t>
      </w:r>
      <w:r w:rsidR="00A40890" w:rsidRPr="005C0C56">
        <w:rPr>
          <w:b/>
          <w:sz w:val="48"/>
          <w:szCs w:val="48"/>
        </w:rPr>
        <w:t>WPSDGENR</w:t>
      </w:r>
      <w:r w:rsidR="000374DA" w:rsidRPr="005C0C56">
        <w:rPr>
          <w:b/>
          <w:sz w:val="48"/>
          <w:szCs w:val="48"/>
        </w:rPr>
        <w:t>W</w:t>
      </w:r>
      <w:r w:rsidR="00A40890" w:rsidRPr="005C0C56">
        <w:rPr>
          <w:b/>
          <w:sz w:val="48"/>
          <w:szCs w:val="48"/>
        </w:rPr>
        <w:t>H1</w:t>
      </w:r>
      <w:r w:rsidR="000374DA" w:rsidRPr="005C0C56">
        <w:rPr>
          <w:b/>
          <w:sz w:val="48"/>
          <w:szCs w:val="48"/>
        </w:rPr>
        <w:t>20</w:t>
      </w:r>
      <w:r w:rsidR="006F0D4B" w:rsidRPr="005C0C56">
        <w:rPr>
          <w:b/>
          <w:sz w:val="48"/>
          <w:szCs w:val="48"/>
        </w:rPr>
        <w:t>5</w:t>
      </w:r>
      <w:r w:rsidR="001F6075" w:rsidRPr="005C0C56">
        <w:rPr>
          <w:b/>
          <w:sz w:val="48"/>
          <w:szCs w:val="48"/>
        </w:rPr>
        <w:t>A</w:t>
      </w:r>
    </w:p>
    <w:bookmarkEnd w:id="0"/>
    <w:p w14:paraId="269B668B" w14:textId="0E585EE6" w:rsidR="00F117C6" w:rsidRPr="00500C4E" w:rsidRDefault="0095221A" w:rsidP="00F117C6">
      <w:pPr>
        <w:pStyle w:val="Revnumber"/>
        <w:rPr>
          <w:rStyle w:val="CaptionChar"/>
          <w:b/>
          <w:bCs w:val="0"/>
        </w:rPr>
      </w:pPr>
      <w:r>
        <w:rPr>
          <w:rStyle w:val="CaptionChar"/>
          <w:b/>
          <w:bCs w:val="0"/>
        </w:rPr>
        <w:t xml:space="preserve">Revision </w:t>
      </w:r>
      <w:r w:rsidR="00C13907">
        <w:rPr>
          <w:rStyle w:val="CaptionChar"/>
          <w:b/>
          <w:bCs w:val="0"/>
        </w:rPr>
        <w:t>0</w:t>
      </w:r>
    </w:p>
    <w:p w14:paraId="269B668C" w14:textId="77777777" w:rsidR="00F117C6" w:rsidRPr="00500C4E" w:rsidRDefault="00F117C6" w:rsidP="00F117C6">
      <w:pPr>
        <w:jc w:val="right"/>
        <w:rPr>
          <w:rFonts w:cstheme="minorHAnsi"/>
          <w:b/>
          <w:sz w:val="48"/>
          <w:szCs w:val="48"/>
        </w:rPr>
      </w:pPr>
    </w:p>
    <w:p w14:paraId="269B668D" w14:textId="77777777" w:rsidR="00F117C6" w:rsidRPr="00500C4E" w:rsidRDefault="00861B74" w:rsidP="00F117C6">
      <w:pPr>
        <w:pBdr>
          <w:bottom w:val="single" w:sz="4" w:space="1" w:color="auto"/>
        </w:pBdr>
        <w:rPr>
          <w:rFonts w:cstheme="minorHAnsi"/>
          <w:b/>
          <w:sz w:val="36"/>
          <w:szCs w:val="36"/>
        </w:rPr>
      </w:pPr>
      <w:bookmarkStart w:id="1" w:name="SCE"/>
      <w:r>
        <w:rPr>
          <w:rFonts w:cstheme="minorHAnsi"/>
          <w:b/>
          <w:sz w:val="36"/>
          <w:szCs w:val="36"/>
        </w:rPr>
        <w:t>S</w:t>
      </w:r>
      <w:r w:rsidR="006049AE">
        <w:rPr>
          <w:rFonts w:cstheme="minorHAnsi"/>
          <w:b/>
          <w:sz w:val="36"/>
          <w:szCs w:val="36"/>
        </w:rPr>
        <w:t>an Diego Gas &amp; Electric</w:t>
      </w:r>
      <w:bookmarkEnd w:id="1"/>
    </w:p>
    <w:p w14:paraId="269B668E" w14:textId="77777777" w:rsidR="00F117C6" w:rsidRPr="006049AE" w:rsidRDefault="006049AE" w:rsidP="00F117C6">
      <w:pPr>
        <w:rPr>
          <w:rFonts w:cstheme="minorHAnsi"/>
          <w:b/>
        </w:rPr>
      </w:pPr>
      <w:r w:rsidRPr="006049AE">
        <w:rPr>
          <w:rFonts w:cstheme="minorHAnsi"/>
          <w:b/>
        </w:rPr>
        <w:t>Energy Efficiency Engineering</w:t>
      </w:r>
    </w:p>
    <w:p w14:paraId="269B668F" w14:textId="77777777" w:rsidR="00F117C6" w:rsidRPr="00500C4E" w:rsidRDefault="00F117C6" w:rsidP="00F117C6">
      <w:pPr>
        <w:rPr>
          <w:rFonts w:cstheme="minorHAnsi"/>
        </w:rPr>
      </w:pPr>
    </w:p>
    <w:p w14:paraId="269B6690" w14:textId="77777777" w:rsidR="00F117C6" w:rsidRPr="00500C4E" w:rsidRDefault="00F117C6" w:rsidP="00F117C6">
      <w:pPr>
        <w:tabs>
          <w:tab w:val="left" w:pos="8190"/>
        </w:tabs>
        <w:rPr>
          <w:rFonts w:cstheme="minorHAnsi"/>
        </w:rPr>
      </w:pPr>
      <w:r w:rsidRPr="00500C4E">
        <w:rPr>
          <w:rFonts w:cstheme="minorHAnsi"/>
        </w:rPr>
        <w:tab/>
      </w:r>
    </w:p>
    <w:p w14:paraId="269B6691" w14:textId="77777777" w:rsidR="00F117C6" w:rsidRPr="00500C4E" w:rsidRDefault="00F117C6" w:rsidP="00F117C6">
      <w:pPr>
        <w:rPr>
          <w:rFonts w:cstheme="minorHAnsi"/>
        </w:rPr>
      </w:pPr>
    </w:p>
    <w:p w14:paraId="269B6692" w14:textId="77777777" w:rsidR="00F117C6" w:rsidRPr="00500C4E" w:rsidRDefault="00F117C6" w:rsidP="00F117C6">
      <w:pPr>
        <w:rPr>
          <w:rFonts w:cstheme="minorHAnsi"/>
        </w:rPr>
      </w:pPr>
    </w:p>
    <w:p w14:paraId="269B6693" w14:textId="77777777" w:rsidR="00F117C6" w:rsidRPr="00500C4E" w:rsidRDefault="00F117C6" w:rsidP="00F117C6">
      <w:pPr>
        <w:rPr>
          <w:rFonts w:cstheme="minorHAnsi"/>
        </w:rPr>
      </w:pPr>
    </w:p>
    <w:p w14:paraId="269B6696" w14:textId="7F87C5A4" w:rsidR="00FE520B" w:rsidRPr="00761CDC" w:rsidRDefault="006F0D4B" w:rsidP="000F72EF">
      <w:pPr>
        <w:rPr>
          <w:rFonts w:cstheme="minorHAnsi"/>
          <w:b/>
          <w:sz w:val="52"/>
          <w:szCs w:val="52"/>
        </w:rPr>
      </w:pPr>
      <w:r w:rsidRPr="00761CDC">
        <w:rPr>
          <w:rFonts w:cstheme="minorHAnsi"/>
          <w:b/>
          <w:sz w:val="48"/>
          <w:szCs w:val="48"/>
        </w:rPr>
        <w:t xml:space="preserve">Storage Tank Water Heaters </w:t>
      </w:r>
      <w:r w:rsidR="000374DA" w:rsidRPr="00761CDC">
        <w:rPr>
          <w:rFonts w:cstheme="minorHAnsi"/>
          <w:b/>
          <w:sz w:val="48"/>
          <w:szCs w:val="48"/>
        </w:rPr>
        <w:t xml:space="preserve">for Commercial </w:t>
      </w:r>
      <w:r w:rsidRPr="00761CDC">
        <w:rPr>
          <w:rFonts w:cstheme="minorHAnsi"/>
          <w:b/>
          <w:sz w:val="48"/>
          <w:szCs w:val="48"/>
        </w:rPr>
        <w:t xml:space="preserve">and Industrial </w:t>
      </w:r>
      <w:r w:rsidR="000374DA" w:rsidRPr="00761CDC">
        <w:rPr>
          <w:rFonts w:cstheme="minorHAnsi"/>
          <w:b/>
          <w:sz w:val="48"/>
          <w:szCs w:val="48"/>
        </w:rPr>
        <w:t>Applications</w:t>
      </w:r>
      <w:r w:rsidR="007264C7" w:rsidRPr="00761CDC">
        <w:rPr>
          <w:rFonts w:cstheme="minorHAnsi"/>
          <w:b/>
          <w:sz w:val="48"/>
          <w:szCs w:val="48"/>
        </w:rPr>
        <w:t xml:space="preserve"> </w:t>
      </w:r>
      <w:r w:rsidR="005C0C56" w:rsidRPr="00761CDC">
        <w:rPr>
          <w:rFonts w:cstheme="minorHAnsi"/>
          <w:b/>
          <w:sz w:val="48"/>
          <w:szCs w:val="48"/>
        </w:rPr>
        <w:t>5</w:t>
      </w:r>
      <w:r w:rsidR="00C13907" w:rsidRPr="00761CDC">
        <w:rPr>
          <w:rFonts w:cstheme="minorHAnsi"/>
          <w:b/>
          <w:sz w:val="48"/>
          <w:szCs w:val="48"/>
        </w:rPr>
        <w:t xml:space="preserve">5 gallons </w:t>
      </w:r>
      <w:r w:rsidR="005C0C56" w:rsidRPr="00761CDC">
        <w:rPr>
          <w:rFonts w:cstheme="minorHAnsi"/>
          <w:b/>
          <w:sz w:val="48"/>
          <w:szCs w:val="48"/>
        </w:rPr>
        <w:t xml:space="preserve">and under </w:t>
      </w:r>
      <w:r w:rsidR="00C13907" w:rsidRPr="00761CDC">
        <w:rPr>
          <w:rFonts w:cstheme="minorHAnsi"/>
          <w:b/>
          <w:sz w:val="48"/>
          <w:szCs w:val="48"/>
        </w:rPr>
        <w:t>(&lt;</w:t>
      </w:r>
      <w:r w:rsidR="007264C7" w:rsidRPr="00761CDC">
        <w:rPr>
          <w:rFonts w:cstheme="minorHAnsi"/>
          <w:b/>
          <w:sz w:val="48"/>
          <w:szCs w:val="48"/>
        </w:rPr>
        <w:t>75kBtu</w:t>
      </w:r>
      <w:r w:rsidR="00C13907" w:rsidRPr="00761CDC">
        <w:rPr>
          <w:rFonts w:cstheme="minorHAnsi"/>
          <w:b/>
          <w:sz w:val="48"/>
          <w:szCs w:val="48"/>
        </w:rPr>
        <w:t>/</w:t>
      </w:r>
      <w:r w:rsidR="007264C7" w:rsidRPr="00761CDC">
        <w:rPr>
          <w:rFonts w:cstheme="minorHAnsi"/>
          <w:b/>
          <w:sz w:val="48"/>
          <w:szCs w:val="48"/>
        </w:rPr>
        <w:t>h</w:t>
      </w:r>
      <w:r w:rsidR="00C13907" w:rsidRPr="00761CDC">
        <w:rPr>
          <w:rFonts w:cstheme="minorHAnsi"/>
          <w:b/>
          <w:sz w:val="52"/>
          <w:szCs w:val="52"/>
        </w:rPr>
        <w:t>)</w:t>
      </w:r>
      <w:r w:rsidR="00F117C6" w:rsidRPr="00761CDC">
        <w:rPr>
          <w:rFonts w:cstheme="minorHAnsi"/>
          <w:b/>
          <w:sz w:val="52"/>
          <w:szCs w:val="52"/>
        </w:rPr>
        <w:t xml:space="preserve"> </w:t>
      </w:r>
    </w:p>
    <w:p w14:paraId="269B6697" w14:textId="77777777" w:rsidR="00861B74" w:rsidRPr="00C1087D" w:rsidRDefault="00861B74" w:rsidP="000F72EF">
      <w:pPr>
        <w:rPr>
          <w:rFonts w:cstheme="minorHAnsi"/>
          <w:b/>
          <w:sz w:val="28"/>
          <w:szCs w:val="28"/>
        </w:rPr>
      </w:pPr>
    </w:p>
    <w:p w14:paraId="269B669C" w14:textId="77777777" w:rsidR="009258E5" w:rsidRDefault="009258E5" w:rsidP="000F72EF">
      <w:pPr>
        <w:rPr>
          <w:rFonts w:cstheme="minorHAnsi"/>
          <w:b/>
          <w:sz w:val="28"/>
          <w:szCs w:val="28"/>
        </w:rPr>
      </w:pPr>
    </w:p>
    <w:p w14:paraId="269B669D" w14:textId="77777777" w:rsidR="009258E5" w:rsidRDefault="009258E5" w:rsidP="000F72EF">
      <w:pPr>
        <w:rPr>
          <w:rFonts w:cstheme="minorHAnsi"/>
          <w:b/>
          <w:sz w:val="28"/>
          <w:szCs w:val="28"/>
        </w:rPr>
      </w:pPr>
    </w:p>
    <w:p w14:paraId="269B669E" w14:textId="77777777" w:rsidR="009258E5" w:rsidRDefault="009258E5" w:rsidP="000F72EF">
      <w:pPr>
        <w:rPr>
          <w:rFonts w:cstheme="minorHAnsi"/>
          <w:b/>
          <w:sz w:val="28"/>
          <w:szCs w:val="28"/>
        </w:rPr>
      </w:pPr>
    </w:p>
    <w:p w14:paraId="269B669F" w14:textId="77777777" w:rsidR="009258E5" w:rsidRDefault="009258E5" w:rsidP="000F72EF">
      <w:pPr>
        <w:rPr>
          <w:rFonts w:cstheme="minorHAnsi"/>
          <w:b/>
          <w:sz w:val="28"/>
          <w:szCs w:val="28"/>
        </w:rPr>
      </w:pPr>
    </w:p>
    <w:p w14:paraId="269B66A0" w14:textId="77777777" w:rsidR="009258E5" w:rsidRDefault="009258E5" w:rsidP="000F72EF">
      <w:pPr>
        <w:rPr>
          <w:rFonts w:cstheme="minorHAnsi"/>
          <w:b/>
          <w:sz w:val="28"/>
          <w:szCs w:val="28"/>
        </w:rPr>
      </w:pPr>
    </w:p>
    <w:p w14:paraId="269B66A1" w14:textId="77777777" w:rsidR="009258E5" w:rsidRDefault="009258E5" w:rsidP="000F72EF">
      <w:pPr>
        <w:rPr>
          <w:rFonts w:cstheme="minorHAnsi"/>
          <w:b/>
          <w:sz w:val="28"/>
          <w:szCs w:val="28"/>
        </w:rPr>
      </w:pPr>
    </w:p>
    <w:p w14:paraId="269B66A2" w14:textId="77777777" w:rsidR="009258E5" w:rsidRDefault="009258E5" w:rsidP="000F72EF">
      <w:pPr>
        <w:rPr>
          <w:rFonts w:cstheme="minorHAnsi"/>
          <w:b/>
          <w:sz w:val="28"/>
          <w:szCs w:val="28"/>
        </w:rPr>
      </w:pPr>
    </w:p>
    <w:p w14:paraId="269B66A3" w14:textId="77777777" w:rsidR="009258E5" w:rsidRDefault="009258E5" w:rsidP="000F72EF">
      <w:pPr>
        <w:rPr>
          <w:rFonts w:cstheme="minorHAnsi"/>
          <w:b/>
          <w:sz w:val="28"/>
          <w:szCs w:val="28"/>
        </w:rPr>
      </w:pPr>
    </w:p>
    <w:p w14:paraId="269B66A4" w14:textId="77777777" w:rsidR="009258E5" w:rsidRDefault="009258E5" w:rsidP="000F72EF">
      <w:pPr>
        <w:rPr>
          <w:rFonts w:cstheme="minorHAnsi"/>
          <w:b/>
          <w:sz w:val="28"/>
          <w:szCs w:val="28"/>
        </w:rPr>
      </w:pPr>
    </w:p>
    <w:p w14:paraId="269B66A5" w14:textId="77777777" w:rsidR="009258E5" w:rsidRDefault="009258E5" w:rsidP="000F72EF">
      <w:pPr>
        <w:rPr>
          <w:rFonts w:cstheme="minorHAnsi"/>
          <w:b/>
          <w:sz w:val="28"/>
          <w:szCs w:val="28"/>
        </w:rPr>
      </w:pPr>
    </w:p>
    <w:p w14:paraId="269B66A6" w14:textId="77777777" w:rsidR="009258E5" w:rsidRDefault="009258E5" w:rsidP="000F72EF">
      <w:pPr>
        <w:rPr>
          <w:rFonts w:cstheme="minorHAnsi"/>
          <w:b/>
          <w:sz w:val="28"/>
          <w:szCs w:val="28"/>
        </w:rPr>
      </w:pPr>
    </w:p>
    <w:p w14:paraId="269B66A9" w14:textId="77777777" w:rsidR="00861B74" w:rsidRPr="00C1087D" w:rsidRDefault="00861B74" w:rsidP="000F72EF">
      <w:pPr>
        <w:rPr>
          <w:rFonts w:cstheme="minorHAnsi"/>
          <w:b/>
          <w:sz w:val="28"/>
          <w:szCs w:val="28"/>
        </w:rPr>
      </w:pPr>
    </w:p>
    <w:p w14:paraId="269B66AA" w14:textId="77777777" w:rsidR="00861B74" w:rsidRPr="00C1087D" w:rsidRDefault="00861B74" w:rsidP="000F72EF">
      <w:pPr>
        <w:rPr>
          <w:rFonts w:cstheme="minorHAnsi"/>
          <w:b/>
          <w:sz w:val="28"/>
          <w:szCs w:val="28"/>
        </w:rPr>
      </w:pPr>
    </w:p>
    <w:p w14:paraId="269B66AB" w14:textId="77777777" w:rsidR="00861B74" w:rsidRPr="00C1087D" w:rsidRDefault="00861B74" w:rsidP="000F72EF">
      <w:pPr>
        <w:rPr>
          <w:rFonts w:cstheme="minorHAnsi"/>
          <w:b/>
          <w:sz w:val="28"/>
          <w:szCs w:val="28"/>
        </w:rPr>
      </w:pPr>
    </w:p>
    <w:p w14:paraId="269B66AC" w14:textId="0A609B12" w:rsidR="00861B74" w:rsidRPr="00861B74" w:rsidRDefault="00F118E2" w:rsidP="00861B74">
      <w:pPr>
        <w:jc w:val="right"/>
        <w:rPr>
          <w:rFonts w:cstheme="minorHAnsi"/>
          <w:b/>
          <w:sz w:val="28"/>
          <w:szCs w:val="28"/>
        </w:rPr>
        <w:sectPr w:rsidR="00861B74" w:rsidRPr="00861B74" w:rsidSect="000D1CE9">
          <w:footerReference w:type="default" r:id="rId8"/>
          <w:pgSz w:w="12240" w:h="15840"/>
          <w:pgMar w:top="1440" w:right="1440" w:bottom="1440" w:left="1440" w:header="720" w:footer="720" w:gutter="0"/>
          <w:pgNumType w:start="0"/>
          <w:cols w:space="720"/>
          <w:docGrid w:linePitch="360"/>
        </w:sectPr>
      </w:pPr>
      <w:r>
        <w:rPr>
          <w:rFonts w:cstheme="minorHAnsi"/>
          <w:b/>
          <w:sz w:val="28"/>
          <w:szCs w:val="28"/>
        </w:rPr>
        <w:t>July</w:t>
      </w:r>
      <w:r w:rsidR="00500D21">
        <w:rPr>
          <w:rFonts w:cstheme="minorHAnsi"/>
          <w:b/>
          <w:sz w:val="28"/>
          <w:szCs w:val="28"/>
        </w:rPr>
        <w:t xml:space="preserve"> </w:t>
      </w:r>
      <w:r w:rsidR="00943B18">
        <w:rPr>
          <w:rFonts w:cstheme="minorHAnsi"/>
          <w:b/>
          <w:sz w:val="28"/>
          <w:szCs w:val="28"/>
        </w:rPr>
        <w:t>1</w:t>
      </w:r>
      <w:r>
        <w:rPr>
          <w:rFonts w:cstheme="minorHAnsi"/>
          <w:b/>
          <w:sz w:val="28"/>
          <w:szCs w:val="28"/>
        </w:rPr>
        <w:t>8</w:t>
      </w:r>
      <w:r w:rsidR="001D44E6">
        <w:rPr>
          <w:rFonts w:cstheme="minorHAnsi"/>
          <w:b/>
          <w:sz w:val="28"/>
          <w:szCs w:val="28"/>
        </w:rPr>
        <w:t>,</w:t>
      </w:r>
      <w:r w:rsidR="00500D21">
        <w:rPr>
          <w:rFonts w:cstheme="minorHAnsi"/>
          <w:b/>
          <w:sz w:val="28"/>
          <w:szCs w:val="28"/>
        </w:rPr>
        <w:t xml:space="preserve"> </w:t>
      </w:r>
      <w:r w:rsidR="009A0721">
        <w:rPr>
          <w:rFonts w:cstheme="minorHAnsi"/>
          <w:b/>
          <w:sz w:val="28"/>
          <w:szCs w:val="28"/>
        </w:rPr>
        <w:t>201</w:t>
      </w:r>
      <w:r>
        <w:rPr>
          <w:rFonts w:cstheme="minorHAnsi"/>
          <w:b/>
          <w:sz w:val="28"/>
          <w:szCs w:val="28"/>
        </w:rPr>
        <w:t>9</w:t>
      </w:r>
    </w:p>
    <w:p w14:paraId="269B66AD" w14:textId="6DEA13AE" w:rsidR="009258E5" w:rsidRPr="008828CF" w:rsidRDefault="008C6010" w:rsidP="009258E5">
      <w:pPr>
        <w:pStyle w:val="Heading1"/>
      </w:pPr>
      <w:r w:rsidRPr="008C6010">
        <w:lastRenderedPageBreak/>
        <w:t xml:space="preserve">Storage Tank Water Heaters for Commercial and Industrial Applications </w:t>
      </w:r>
      <w:r w:rsidR="009258E5" w:rsidRPr="008828CF">
        <w:t>Short Form WP</w:t>
      </w:r>
    </w:p>
    <w:p w14:paraId="269B66AE" w14:textId="77777777" w:rsidR="0095221A" w:rsidRDefault="0095221A" w:rsidP="0095221A">
      <w:pPr>
        <w:pStyle w:val="Heading2"/>
      </w:pPr>
      <w:r>
        <w:t>Introduction</w:t>
      </w:r>
    </w:p>
    <w:p w14:paraId="761E7FA4" w14:textId="6716A055" w:rsidR="004E74AB" w:rsidRDefault="0095221A" w:rsidP="0095221A">
      <w:r>
        <w:t>This short form workp</w:t>
      </w:r>
      <w:r w:rsidR="0022781C">
        <w:t>aper documents the Ex-ante data</w:t>
      </w:r>
      <w:r>
        <w:t xml:space="preserve"> by referencing the </w:t>
      </w:r>
      <w:r w:rsidR="00D053B2">
        <w:t xml:space="preserve">SCG </w:t>
      </w:r>
      <w:r w:rsidR="00111B31">
        <w:t>(WPSCG</w:t>
      </w:r>
      <w:r w:rsidR="00EF1DD6">
        <w:t>NRWH</w:t>
      </w:r>
      <w:r w:rsidR="006B6771">
        <w:t>120206A-Rev1</w:t>
      </w:r>
      <w:r w:rsidR="00B50F27">
        <w:t>1</w:t>
      </w:r>
      <w:r w:rsidR="006B6771">
        <w:t>)</w:t>
      </w:r>
      <w:r w:rsidR="00111B31">
        <w:t xml:space="preserve"> workpaper m</w:t>
      </w:r>
      <w:r>
        <w:t xml:space="preserve">easure </w:t>
      </w:r>
      <w:r w:rsidR="006B6771">
        <w:t>for Non</w:t>
      </w:r>
      <w:r w:rsidR="00E83C23">
        <w:t>-Residential Storage Water Heaters</w:t>
      </w:r>
      <w:r w:rsidR="009C209E">
        <w:t xml:space="preserve">, by </w:t>
      </w:r>
      <w:r w:rsidR="00B77318">
        <w:t>adopt</w:t>
      </w:r>
      <w:r w:rsidR="009C209E">
        <w:t xml:space="preserve">ing </w:t>
      </w:r>
      <w:r w:rsidR="004C05AE">
        <w:t xml:space="preserve">measure definitions, </w:t>
      </w:r>
      <w:r w:rsidR="009C209E">
        <w:t>c</w:t>
      </w:r>
      <w:r w:rsidR="00B77318">
        <w:t>ost and impacts</w:t>
      </w:r>
      <w:r w:rsidR="00E83C23">
        <w:t xml:space="preserve">. </w:t>
      </w:r>
      <w:r w:rsidR="000E1229">
        <w:t xml:space="preserve"> </w:t>
      </w:r>
      <w:r w:rsidR="004C05AE">
        <w:t xml:space="preserve">SDG&amp;E created new </w:t>
      </w:r>
      <w:r w:rsidR="000E1229">
        <w:t xml:space="preserve">Technology Cost </w:t>
      </w:r>
      <w:r w:rsidR="001803C3">
        <w:t xml:space="preserve">IDs </w:t>
      </w:r>
      <w:r w:rsidR="00761CDC">
        <w:t xml:space="preserve">which </w:t>
      </w:r>
      <w:r w:rsidR="004C05AE">
        <w:t xml:space="preserve">are documented in </w:t>
      </w:r>
      <w:r w:rsidR="000E1229">
        <w:t>Table</w:t>
      </w:r>
      <w:r w:rsidR="004C05AE">
        <w:t xml:space="preserve"> 1 below</w:t>
      </w:r>
      <w:r>
        <w:t xml:space="preserve">. The cost values </w:t>
      </w:r>
      <w:r w:rsidR="004E74AB">
        <w:t xml:space="preserve">for </w:t>
      </w:r>
      <w:r w:rsidR="002F225D">
        <w:t xml:space="preserve">storage tank </w:t>
      </w:r>
      <w:r w:rsidR="004E74AB">
        <w:t xml:space="preserve">water heaters rated </w:t>
      </w:r>
      <w:r w:rsidR="002F225D">
        <w:t>below 75</w:t>
      </w:r>
      <w:r w:rsidR="004E74AB">
        <w:t xml:space="preserve">kBtuh </w:t>
      </w:r>
      <w:r>
        <w:t xml:space="preserve">are adopted from </w:t>
      </w:r>
      <w:r w:rsidR="001803C3">
        <w:t>SC</w:t>
      </w:r>
      <w:r w:rsidR="00761CDC">
        <w:t>G</w:t>
      </w:r>
      <w:r w:rsidR="001803C3">
        <w:t xml:space="preserve"> workpaper</w:t>
      </w:r>
      <w:r w:rsidR="002F225D">
        <w:t xml:space="preserve">. </w:t>
      </w:r>
    </w:p>
    <w:p w14:paraId="3B024C37" w14:textId="15D555FB" w:rsidR="00311729" w:rsidRDefault="00311729" w:rsidP="0095221A"/>
    <w:p w14:paraId="34503495" w14:textId="5D7573CF" w:rsidR="00D85D0A" w:rsidRDefault="00D85D0A" w:rsidP="0095221A"/>
    <w:p w14:paraId="7DE8A80F" w14:textId="61843BD0" w:rsidR="00D85D0A" w:rsidRDefault="00D85D0A" w:rsidP="0095221A"/>
    <w:p w14:paraId="28F777DA" w14:textId="77777777" w:rsidR="00D85D0A" w:rsidRDefault="00D85D0A" w:rsidP="0095221A"/>
    <w:p w14:paraId="2668610B" w14:textId="6904AA1B" w:rsidR="004E74AB" w:rsidRDefault="00311729" w:rsidP="0095221A">
      <w:r>
        <w:t xml:space="preserve">Table 1: </w:t>
      </w:r>
      <w:r w:rsidR="001B7603">
        <w:t xml:space="preserve">Measure IDs </w:t>
      </w:r>
      <w:r w:rsidR="00BB0BB2">
        <w:t>with a</w:t>
      </w:r>
      <w:r w:rsidR="001B7603">
        <w:t xml:space="preserve">dopted </w:t>
      </w:r>
      <w:r w:rsidR="007F56D5">
        <w:t xml:space="preserve">SCG </w:t>
      </w:r>
      <w:r w:rsidR="002C3178">
        <w:t xml:space="preserve">Cost </w:t>
      </w:r>
      <w:r w:rsidR="00BB0BB2">
        <w:t xml:space="preserve">and </w:t>
      </w:r>
      <w:r w:rsidR="002C3178">
        <w:t xml:space="preserve">SDG&amp;E new UEF </w:t>
      </w:r>
      <w:r>
        <w:t>Technology Cost</w:t>
      </w:r>
      <w:r w:rsidR="006F0D4B">
        <w:t xml:space="preserve"> IDs</w:t>
      </w:r>
      <w:r>
        <w:t xml:space="preserve"> </w:t>
      </w:r>
    </w:p>
    <w:tbl>
      <w:tblPr>
        <w:tblStyle w:val="TableGrid"/>
        <w:tblW w:w="10795" w:type="dxa"/>
        <w:tblLook w:val="04A0" w:firstRow="1" w:lastRow="0" w:firstColumn="1" w:lastColumn="0" w:noHBand="0" w:noVBand="1"/>
      </w:tblPr>
      <w:tblGrid>
        <w:gridCol w:w="1435"/>
        <w:gridCol w:w="2250"/>
        <w:gridCol w:w="2700"/>
        <w:gridCol w:w="2340"/>
        <w:gridCol w:w="2070"/>
      </w:tblGrid>
      <w:tr w:rsidR="006F0D4B" w14:paraId="22197CCD" w14:textId="7A1DC4B2" w:rsidTr="00DD7BCF">
        <w:tc>
          <w:tcPr>
            <w:tcW w:w="1435" w:type="dxa"/>
          </w:tcPr>
          <w:p w14:paraId="388BC400" w14:textId="319BF7C5" w:rsidR="006F0D4B" w:rsidRPr="00FD36CF" w:rsidRDefault="006F0D4B" w:rsidP="0095221A">
            <w:pPr>
              <w:rPr>
                <w:rFonts w:cstheme="minorHAnsi"/>
                <w:szCs w:val="22"/>
              </w:rPr>
            </w:pPr>
            <w:r w:rsidRPr="00FD36CF">
              <w:rPr>
                <w:rFonts w:cstheme="minorHAnsi"/>
                <w:szCs w:val="22"/>
              </w:rPr>
              <w:t>SDGE Imp. ID</w:t>
            </w:r>
          </w:p>
        </w:tc>
        <w:tc>
          <w:tcPr>
            <w:tcW w:w="2250" w:type="dxa"/>
          </w:tcPr>
          <w:p w14:paraId="64EAFD94" w14:textId="33688878" w:rsidR="006F0D4B" w:rsidRPr="00FD36CF" w:rsidRDefault="006F0D4B" w:rsidP="0095221A">
            <w:pPr>
              <w:rPr>
                <w:rFonts w:cstheme="minorHAnsi"/>
                <w:szCs w:val="22"/>
              </w:rPr>
            </w:pPr>
            <w:proofErr w:type="spellStart"/>
            <w:r w:rsidRPr="00FD36CF">
              <w:rPr>
                <w:rFonts w:cstheme="minorHAnsi"/>
                <w:szCs w:val="22"/>
              </w:rPr>
              <w:t>Msr</w:t>
            </w:r>
            <w:proofErr w:type="spellEnd"/>
            <w:r w:rsidRPr="00FD36CF">
              <w:rPr>
                <w:rFonts w:cstheme="minorHAnsi"/>
                <w:szCs w:val="22"/>
              </w:rPr>
              <w:t xml:space="preserve"> ID </w:t>
            </w:r>
          </w:p>
        </w:tc>
        <w:tc>
          <w:tcPr>
            <w:tcW w:w="2700" w:type="dxa"/>
          </w:tcPr>
          <w:p w14:paraId="260EFED8" w14:textId="50A4B1BB" w:rsidR="006F0D4B" w:rsidRPr="00FD36CF" w:rsidRDefault="006F0D4B" w:rsidP="0095221A">
            <w:pPr>
              <w:rPr>
                <w:rFonts w:cstheme="minorHAnsi"/>
                <w:szCs w:val="22"/>
              </w:rPr>
            </w:pPr>
            <w:proofErr w:type="spellStart"/>
            <w:r w:rsidRPr="00FD36CF">
              <w:rPr>
                <w:rFonts w:cstheme="minorHAnsi"/>
                <w:szCs w:val="22"/>
              </w:rPr>
              <w:t>Msr</w:t>
            </w:r>
            <w:proofErr w:type="spellEnd"/>
            <w:r w:rsidRPr="00FD36CF">
              <w:rPr>
                <w:rFonts w:cstheme="minorHAnsi"/>
                <w:szCs w:val="22"/>
              </w:rPr>
              <w:t xml:space="preserve"> Cost ID / Value</w:t>
            </w:r>
          </w:p>
        </w:tc>
        <w:tc>
          <w:tcPr>
            <w:tcW w:w="2340" w:type="dxa"/>
          </w:tcPr>
          <w:p w14:paraId="28536369" w14:textId="57C11B20" w:rsidR="006F0D4B" w:rsidRPr="00FD36CF" w:rsidRDefault="006F0D4B" w:rsidP="0095221A">
            <w:pPr>
              <w:rPr>
                <w:rFonts w:cstheme="minorHAnsi"/>
                <w:szCs w:val="22"/>
              </w:rPr>
            </w:pPr>
            <w:r w:rsidRPr="00FD36CF">
              <w:rPr>
                <w:rFonts w:cstheme="minorHAnsi"/>
                <w:szCs w:val="22"/>
              </w:rPr>
              <w:t>Std Cost ID / Value</w:t>
            </w:r>
          </w:p>
        </w:tc>
        <w:tc>
          <w:tcPr>
            <w:tcW w:w="2070" w:type="dxa"/>
          </w:tcPr>
          <w:p w14:paraId="58FDEC66" w14:textId="77777777" w:rsidR="00E60755" w:rsidRPr="00FD36CF" w:rsidRDefault="006F0D4B" w:rsidP="001B7603">
            <w:pPr>
              <w:jc w:val="center"/>
              <w:rPr>
                <w:rFonts w:cstheme="minorHAnsi"/>
                <w:szCs w:val="22"/>
              </w:rPr>
            </w:pPr>
            <w:r w:rsidRPr="00FD36CF">
              <w:rPr>
                <w:rFonts w:cstheme="minorHAnsi"/>
                <w:szCs w:val="22"/>
              </w:rPr>
              <w:t>IMC</w:t>
            </w:r>
            <w:r w:rsidR="00E60755" w:rsidRPr="00FD36CF">
              <w:rPr>
                <w:rFonts w:cstheme="minorHAnsi"/>
                <w:szCs w:val="22"/>
              </w:rPr>
              <w:t xml:space="preserve"> </w:t>
            </w:r>
          </w:p>
          <w:p w14:paraId="630FD853" w14:textId="39F4CADF" w:rsidR="006F0D4B" w:rsidRPr="00FD36CF" w:rsidRDefault="00E60755" w:rsidP="001B7603">
            <w:pPr>
              <w:jc w:val="center"/>
              <w:rPr>
                <w:rFonts w:cstheme="minorHAnsi"/>
                <w:szCs w:val="22"/>
              </w:rPr>
            </w:pPr>
            <w:r w:rsidRPr="00FD36CF">
              <w:rPr>
                <w:rFonts w:cstheme="minorHAnsi"/>
                <w:szCs w:val="22"/>
              </w:rPr>
              <w:t xml:space="preserve">(Units = </w:t>
            </w:r>
            <w:r w:rsidR="00C64135" w:rsidRPr="00FD36CF">
              <w:rPr>
                <w:rFonts w:cstheme="minorHAnsi"/>
                <w:szCs w:val="22"/>
              </w:rPr>
              <w:t>Cap-</w:t>
            </w:r>
            <w:proofErr w:type="spellStart"/>
            <w:r w:rsidR="00C64135" w:rsidRPr="00FD36CF">
              <w:rPr>
                <w:rFonts w:cstheme="minorHAnsi"/>
                <w:szCs w:val="22"/>
              </w:rPr>
              <w:t>kBTUh</w:t>
            </w:r>
            <w:proofErr w:type="spellEnd"/>
            <w:r w:rsidRPr="00FD36CF">
              <w:rPr>
                <w:rFonts w:cstheme="minorHAnsi"/>
                <w:szCs w:val="22"/>
              </w:rPr>
              <w:t>)</w:t>
            </w:r>
          </w:p>
        </w:tc>
      </w:tr>
      <w:tr w:rsidR="006F0D4B" w14:paraId="78486B7D" w14:textId="626EC2B6" w:rsidTr="00DD7BCF">
        <w:tc>
          <w:tcPr>
            <w:tcW w:w="1435" w:type="dxa"/>
          </w:tcPr>
          <w:p w14:paraId="63EFC5A5" w14:textId="77777777" w:rsidR="00991F7A" w:rsidRPr="00FD36CF" w:rsidRDefault="002D21B6" w:rsidP="001B7603">
            <w:pPr>
              <w:rPr>
                <w:rFonts w:cstheme="minorHAnsi"/>
                <w:szCs w:val="22"/>
              </w:rPr>
            </w:pPr>
            <w:r w:rsidRPr="00FD36CF">
              <w:rPr>
                <w:rFonts w:cstheme="minorHAnsi"/>
                <w:szCs w:val="22"/>
              </w:rPr>
              <w:t>465438</w:t>
            </w:r>
          </w:p>
          <w:p w14:paraId="018671A8" w14:textId="751FE70D" w:rsidR="006F0D4B" w:rsidRPr="00FD36CF" w:rsidRDefault="00D44F84" w:rsidP="001B7603">
            <w:pPr>
              <w:rPr>
                <w:rFonts w:cstheme="minorHAnsi"/>
                <w:szCs w:val="22"/>
              </w:rPr>
            </w:pPr>
            <w:r w:rsidRPr="00FD36CF">
              <w:rPr>
                <w:rFonts w:cstheme="minorHAnsi"/>
                <w:szCs w:val="22"/>
              </w:rPr>
              <w:t>465444</w:t>
            </w:r>
          </w:p>
          <w:p w14:paraId="3AE8050B" w14:textId="77777777" w:rsidR="00D44F84" w:rsidRPr="00FD36CF" w:rsidRDefault="00D44F84" w:rsidP="001B7603">
            <w:pPr>
              <w:rPr>
                <w:rFonts w:cstheme="minorHAnsi"/>
                <w:szCs w:val="22"/>
              </w:rPr>
            </w:pPr>
            <w:r w:rsidRPr="00FD36CF">
              <w:rPr>
                <w:rFonts w:cstheme="minorHAnsi"/>
                <w:szCs w:val="22"/>
              </w:rPr>
              <w:t>465450</w:t>
            </w:r>
          </w:p>
          <w:p w14:paraId="651E9D19" w14:textId="77777777" w:rsidR="00D44F84" w:rsidRPr="00FD36CF" w:rsidRDefault="00D44F84" w:rsidP="001B7603">
            <w:pPr>
              <w:rPr>
                <w:rFonts w:cstheme="minorHAnsi"/>
                <w:szCs w:val="22"/>
              </w:rPr>
            </w:pPr>
            <w:r w:rsidRPr="00FD36CF">
              <w:rPr>
                <w:rFonts w:cstheme="minorHAnsi"/>
                <w:szCs w:val="22"/>
              </w:rPr>
              <w:t>465456</w:t>
            </w:r>
          </w:p>
          <w:p w14:paraId="434E5208" w14:textId="77777777" w:rsidR="00D44F84" w:rsidRPr="00FD36CF" w:rsidRDefault="00991F7A" w:rsidP="001B7603">
            <w:pPr>
              <w:rPr>
                <w:rFonts w:cstheme="minorHAnsi"/>
                <w:szCs w:val="22"/>
              </w:rPr>
            </w:pPr>
            <w:r w:rsidRPr="00FD36CF">
              <w:rPr>
                <w:rFonts w:cstheme="minorHAnsi"/>
                <w:szCs w:val="22"/>
              </w:rPr>
              <w:t>465462</w:t>
            </w:r>
          </w:p>
          <w:p w14:paraId="0994F25B" w14:textId="3BB6993E" w:rsidR="00991F7A" w:rsidRPr="00FD36CF" w:rsidRDefault="00991F7A" w:rsidP="001B7603">
            <w:pPr>
              <w:rPr>
                <w:rFonts w:cstheme="minorHAnsi"/>
                <w:szCs w:val="22"/>
              </w:rPr>
            </w:pPr>
            <w:r w:rsidRPr="00FD36CF">
              <w:rPr>
                <w:rFonts w:cstheme="minorHAnsi"/>
                <w:szCs w:val="22"/>
              </w:rPr>
              <w:t>465468</w:t>
            </w:r>
          </w:p>
        </w:tc>
        <w:tc>
          <w:tcPr>
            <w:tcW w:w="2250" w:type="dxa"/>
          </w:tcPr>
          <w:p w14:paraId="322230BA" w14:textId="17535E2D" w:rsidR="006F0D4B" w:rsidRPr="00FD36CF" w:rsidRDefault="00EC2602" w:rsidP="001B7603">
            <w:pPr>
              <w:rPr>
                <w:rFonts w:cstheme="minorHAnsi"/>
                <w:szCs w:val="22"/>
              </w:rPr>
            </w:pPr>
            <w:r w:rsidRPr="00FD36CF">
              <w:rPr>
                <w:rFonts w:cstheme="minorHAnsi"/>
                <w:szCs w:val="22"/>
              </w:rPr>
              <w:t>WPSDGENRWH1205A-Rev00-Msr001</w:t>
            </w:r>
          </w:p>
        </w:tc>
        <w:tc>
          <w:tcPr>
            <w:tcW w:w="2700" w:type="dxa"/>
          </w:tcPr>
          <w:p w14:paraId="64B414BA" w14:textId="17685122" w:rsidR="006F0D4B" w:rsidRPr="00FD36CF" w:rsidRDefault="00485F27" w:rsidP="001B7603">
            <w:pPr>
              <w:rPr>
                <w:rFonts w:cstheme="minorHAnsi"/>
                <w:szCs w:val="22"/>
              </w:rPr>
            </w:pPr>
            <w:r w:rsidRPr="00FD36CF">
              <w:rPr>
                <w:rFonts w:cstheme="minorHAnsi"/>
                <w:szCs w:val="22"/>
              </w:rPr>
              <w:t>SDG_Stor_UEF-Gas-030gal-0p64UEF</w:t>
            </w:r>
          </w:p>
        </w:tc>
        <w:tc>
          <w:tcPr>
            <w:tcW w:w="2340" w:type="dxa"/>
          </w:tcPr>
          <w:p w14:paraId="6B8C1682" w14:textId="2C4F3136" w:rsidR="006F0D4B" w:rsidRPr="00FD36CF" w:rsidRDefault="001014C5" w:rsidP="001B7603">
            <w:pPr>
              <w:rPr>
                <w:rFonts w:cstheme="minorHAnsi"/>
                <w:szCs w:val="22"/>
              </w:rPr>
            </w:pPr>
            <w:r w:rsidRPr="00FD36CF">
              <w:rPr>
                <w:rFonts w:cstheme="minorHAnsi"/>
                <w:szCs w:val="22"/>
              </w:rPr>
              <w:t>SDG_Stor_UEF-Gas-030gal-UEF_BASE</w:t>
            </w:r>
          </w:p>
        </w:tc>
        <w:tc>
          <w:tcPr>
            <w:tcW w:w="2070" w:type="dxa"/>
          </w:tcPr>
          <w:p w14:paraId="4E309E14" w14:textId="79F82811" w:rsidR="006F0D4B" w:rsidRPr="00FD36CF" w:rsidRDefault="00C132A0" w:rsidP="00047060">
            <w:pPr>
              <w:jc w:val="center"/>
              <w:rPr>
                <w:rFonts w:cstheme="minorHAnsi"/>
                <w:szCs w:val="22"/>
              </w:rPr>
            </w:pPr>
            <w:r w:rsidRPr="00FD36CF">
              <w:rPr>
                <w:rFonts w:cstheme="minorHAnsi"/>
                <w:szCs w:val="22"/>
              </w:rPr>
              <w:t>$2.86</w:t>
            </w:r>
            <w:r w:rsidR="004B112A" w:rsidRPr="00FD36CF">
              <w:rPr>
                <w:rFonts w:cstheme="minorHAnsi"/>
                <w:szCs w:val="22"/>
              </w:rPr>
              <w:t>/unit</w:t>
            </w:r>
          </w:p>
        </w:tc>
      </w:tr>
      <w:tr w:rsidR="006F0D4B" w14:paraId="6DA9C188" w14:textId="6BBBE089" w:rsidTr="00DD7BCF">
        <w:tc>
          <w:tcPr>
            <w:tcW w:w="1435" w:type="dxa"/>
          </w:tcPr>
          <w:p w14:paraId="7469DB48" w14:textId="77777777" w:rsidR="006F0D4B" w:rsidRPr="00FD36CF" w:rsidRDefault="00991F7A" w:rsidP="001B7603">
            <w:pPr>
              <w:rPr>
                <w:rFonts w:cstheme="minorHAnsi"/>
                <w:szCs w:val="22"/>
              </w:rPr>
            </w:pPr>
            <w:r w:rsidRPr="00FD36CF">
              <w:rPr>
                <w:rFonts w:cstheme="minorHAnsi"/>
                <w:szCs w:val="22"/>
              </w:rPr>
              <w:t>465440</w:t>
            </w:r>
          </w:p>
          <w:p w14:paraId="003F39B5" w14:textId="77777777" w:rsidR="00991F7A" w:rsidRPr="00FD36CF" w:rsidRDefault="00E40D2E" w:rsidP="001B7603">
            <w:pPr>
              <w:rPr>
                <w:rFonts w:cstheme="minorHAnsi"/>
                <w:szCs w:val="22"/>
              </w:rPr>
            </w:pPr>
            <w:r w:rsidRPr="00FD36CF">
              <w:rPr>
                <w:rFonts w:cstheme="minorHAnsi"/>
                <w:szCs w:val="22"/>
              </w:rPr>
              <w:t>465446</w:t>
            </w:r>
          </w:p>
          <w:p w14:paraId="61953D8B" w14:textId="77777777" w:rsidR="00E40D2E" w:rsidRPr="00FD36CF" w:rsidRDefault="00E40D2E" w:rsidP="001B7603">
            <w:pPr>
              <w:rPr>
                <w:rFonts w:cstheme="minorHAnsi"/>
                <w:szCs w:val="22"/>
              </w:rPr>
            </w:pPr>
            <w:r w:rsidRPr="00FD36CF">
              <w:rPr>
                <w:rFonts w:cstheme="minorHAnsi"/>
                <w:szCs w:val="22"/>
              </w:rPr>
              <w:t>465452</w:t>
            </w:r>
          </w:p>
          <w:p w14:paraId="1357D651" w14:textId="77777777" w:rsidR="00E40D2E" w:rsidRPr="00FD36CF" w:rsidRDefault="00E40D2E" w:rsidP="001B7603">
            <w:pPr>
              <w:rPr>
                <w:rFonts w:cstheme="minorHAnsi"/>
                <w:szCs w:val="22"/>
              </w:rPr>
            </w:pPr>
            <w:r w:rsidRPr="00FD36CF">
              <w:rPr>
                <w:rFonts w:cstheme="minorHAnsi"/>
                <w:szCs w:val="22"/>
              </w:rPr>
              <w:t>465458</w:t>
            </w:r>
          </w:p>
          <w:p w14:paraId="140FC54F" w14:textId="77777777" w:rsidR="00E40D2E" w:rsidRPr="00FD36CF" w:rsidRDefault="00E40D2E" w:rsidP="001B7603">
            <w:pPr>
              <w:rPr>
                <w:rFonts w:cstheme="minorHAnsi"/>
                <w:szCs w:val="22"/>
              </w:rPr>
            </w:pPr>
            <w:r w:rsidRPr="00FD36CF">
              <w:rPr>
                <w:rFonts w:cstheme="minorHAnsi"/>
                <w:szCs w:val="22"/>
              </w:rPr>
              <w:t>465464</w:t>
            </w:r>
          </w:p>
          <w:p w14:paraId="684E0A85" w14:textId="76846697" w:rsidR="00E40D2E" w:rsidRPr="00FD36CF" w:rsidRDefault="00E40D2E" w:rsidP="001B7603">
            <w:pPr>
              <w:rPr>
                <w:rFonts w:cstheme="minorHAnsi"/>
                <w:szCs w:val="22"/>
              </w:rPr>
            </w:pPr>
            <w:r w:rsidRPr="00FD36CF">
              <w:rPr>
                <w:rFonts w:cstheme="minorHAnsi"/>
                <w:szCs w:val="22"/>
              </w:rPr>
              <w:t>465470</w:t>
            </w:r>
          </w:p>
        </w:tc>
        <w:tc>
          <w:tcPr>
            <w:tcW w:w="2250" w:type="dxa"/>
          </w:tcPr>
          <w:p w14:paraId="14F68ECC" w14:textId="51B81884" w:rsidR="006F0D4B" w:rsidRPr="00FD36CF" w:rsidRDefault="00EC2602" w:rsidP="001B7603">
            <w:pPr>
              <w:rPr>
                <w:rFonts w:cstheme="minorHAnsi"/>
                <w:szCs w:val="22"/>
              </w:rPr>
            </w:pPr>
            <w:r w:rsidRPr="00FD36CF">
              <w:rPr>
                <w:rFonts w:cstheme="minorHAnsi"/>
                <w:szCs w:val="22"/>
              </w:rPr>
              <w:t>WPSDGENRWH1205A-Rev00-Msr002</w:t>
            </w:r>
          </w:p>
        </w:tc>
        <w:tc>
          <w:tcPr>
            <w:tcW w:w="2700" w:type="dxa"/>
          </w:tcPr>
          <w:p w14:paraId="51D0F2F6" w14:textId="7B8B3FDE" w:rsidR="006F0D4B" w:rsidRPr="00FD36CF" w:rsidRDefault="007F56D5" w:rsidP="001B7603">
            <w:pPr>
              <w:rPr>
                <w:rFonts w:cstheme="minorHAnsi"/>
                <w:szCs w:val="22"/>
              </w:rPr>
            </w:pPr>
            <w:r w:rsidRPr="00FD36CF">
              <w:rPr>
                <w:rFonts w:cstheme="minorHAnsi"/>
                <w:szCs w:val="22"/>
              </w:rPr>
              <w:t>SDG_Stor_UEF-Gas-040gal-0p64UEF</w:t>
            </w:r>
          </w:p>
        </w:tc>
        <w:tc>
          <w:tcPr>
            <w:tcW w:w="2340" w:type="dxa"/>
          </w:tcPr>
          <w:p w14:paraId="5805B2D0" w14:textId="5963B201" w:rsidR="006F0D4B" w:rsidRPr="00FD36CF" w:rsidRDefault="001014C5" w:rsidP="001B7603">
            <w:pPr>
              <w:rPr>
                <w:rFonts w:cstheme="minorHAnsi"/>
                <w:szCs w:val="22"/>
              </w:rPr>
            </w:pPr>
            <w:r w:rsidRPr="00FD36CF">
              <w:rPr>
                <w:rFonts w:cstheme="minorHAnsi"/>
                <w:szCs w:val="22"/>
              </w:rPr>
              <w:t>SDG_Stor_UEF-Gas-040gal-UEF_BASE</w:t>
            </w:r>
          </w:p>
        </w:tc>
        <w:tc>
          <w:tcPr>
            <w:tcW w:w="2070" w:type="dxa"/>
          </w:tcPr>
          <w:p w14:paraId="21A1D817" w14:textId="74DE438C" w:rsidR="006F0D4B" w:rsidRPr="00FD36CF" w:rsidRDefault="00047060" w:rsidP="001B7603">
            <w:pPr>
              <w:jc w:val="center"/>
              <w:rPr>
                <w:rFonts w:cstheme="minorHAnsi"/>
                <w:szCs w:val="22"/>
              </w:rPr>
            </w:pPr>
            <w:r w:rsidRPr="00FD36CF">
              <w:rPr>
                <w:rFonts w:cstheme="minorHAnsi"/>
                <w:szCs w:val="22"/>
              </w:rPr>
              <w:t>$4.78</w:t>
            </w:r>
            <w:r w:rsidR="004B112A" w:rsidRPr="00FD36CF">
              <w:rPr>
                <w:rFonts w:cstheme="minorHAnsi"/>
                <w:szCs w:val="22"/>
              </w:rPr>
              <w:t>/unit</w:t>
            </w:r>
          </w:p>
        </w:tc>
      </w:tr>
      <w:tr w:rsidR="006F0D4B" w14:paraId="4E097EAF" w14:textId="0CE04A5F" w:rsidTr="00DD7BCF">
        <w:tc>
          <w:tcPr>
            <w:tcW w:w="1435" w:type="dxa"/>
          </w:tcPr>
          <w:p w14:paraId="607F454F" w14:textId="77777777" w:rsidR="006F0D4B" w:rsidRPr="00FD36CF" w:rsidRDefault="003A0D5E" w:rsidP="001B7603">
            <w:pPr>
              <w:rPr>
                <w:rFonts w:cstheme="minorHAnsi"/>
                <w:szCs w:val="22"/>
              </w:rPr>
            </w:pPr>
            <w:r w:rsidRPr="00FD36CF">
              <w:rPr>
                <w:rFonts w:cstheme="minorHAnsi"/>
                <w:szCs w:val="22"/>
              </w:rPr>
              <w:t>465442</w:t>
            </w:r>
          </w:p>
          <w:p w14:paraId="00128AA6" w14:textId="77777777" w:rsidR="003A0D5E" w:rsidRPr="00FD36CF" w:rsidRDefault="003A0D5E" w:rsidP="001B7603">
            <w:pPr>
              <w:rPr>
                <w:rFonts w:cstheme="minorHAnsi"/>
                <w:szCs w:val="22"/>
              </w:rPr>
            </w:pPr>
            <w:r w:rsidRPr="00FD36CF">
              <w:rPr>
                <w:rFonts w:cstheme="minorHAnsi"/>
                <w:szCs w:val="22"/>
              </w:rPr>
              <w:t>465448</w:t>
            </w:r>
          </w:p>
          <w:p w14:paraId="6387A7C3" w14:textId="77777777" w:rsidR="003A0D5E" w:rsidRPr="00FD36CF" w:rsidRDefault="003A0D5E" w:rsidP="001B7603">
            <w:pPr>
              <w:rPr>
                <w:rFonts w:cstheme="minorHAnsi"/>
                <w:szCs w:val="22"/>
              </w:rPr>
            </w:pPr>
            <w:r w:rsidRPr="00FD36CF">
              <w:rPr>
                <w:rFonts w:cstheme="minorHAnsi"/>
                <w:szCs w:val="22"/>
              </w:rPr>
              <w:t>465454</w:t>
            </w:r>
          </w:p>
          <w:p w14:paraId="267171D0" w14:textId="77777777" w:rsidR="003A0D5E" w:rsidRPr="00FD36CF" w:rsidRDefault="00674A59" w:rsidP="001B7603">
            <w:pPr>
              <w:rPr>
                <w:rFonts w:cstheme="minorHAnsi"/>
                <w:szCs w:val="22"/>
              </w:rPr>
            </w:pPr>
            <w:r w:rsidRPr="00FD36CF">
              <w:rPr>
                <w:rFonts w:cstheme="minorHAnsi"/>
                <w:szCs w:val="22"/>
              </w:rPr>
              <w:t>465460</w:t>
            </w:r>
          </w:p>
          <w:p w14:paraId="019A6017" w14:textId="77777777" w:rsidR="00674A59" w:rsidRPr="00FD36CF" w:rsidRDefault="00674A59" w:rsidP="001B7603">
            <w:pPr>
              <w:rPr>
                <w:rFonts w:cstheme="minorHAnsi"/>
                <w:szCs w:val="22"/>
              </w:rPr>
            </w:pPr>
            <w:r w:rsidRPr="00FD36CF">
              <w:rPr>
                <w:rFonts w:cstheme="minorHAnsi"/>
                <w:szCs w:val="22"/>
              </w:rPr>
              <w:t>465466</w:t>
            </w:r>
          </w:p>
          <w:p w14:paraId="55F76949" w14:textId="09A0ED97" w:rsidR="00674A59" w:rsidRPr="00FD36CF" w:rsidRDefault="00674A59" w:rsidP="001B7603">
            <w:pPr>
              <w:rPr>
                <w:rFonts w:cstheme="minorHAnsi"/>
                <w:szCs w:val="22"/>
              </w:rPr>
            </w:pPr>
            <w:r w:rsidRPr="00FD36CF">
              <w:rPr>
                <w:rFonts w:cstheme="minorHAnsi"/>
                <w:szCs w:val="22"/>
              </w:rPr>
              <w:t>465472</w:t>
            </w:r>
          </w:p>
        </w:tc>
        <w:tc>
          <w:tcPr>
            <w:tcW w:w="2250" w:type="dxa"/>
          </w:tcPr>
          <w:p w14:paraId="0F8EF1AF" w14:textId="48DE160A" w:rsidR="006F0D4B" w:rsidRPr="00FD36CF" w:rsidRDefault="00EC2602" w:rsidP="001B7603">
            <w:pPr>
              <w:rPr>
                <w:rFonts w:cstheme="minorHAnsi"/>
                <w:szCs w:val="22"/>
              </w:rPr>
            </w:pPr>
            <w:r w:rsidRPr="00FD36CF">
              <w:rPr>
                <w:rFonts w:cstheme="minorHAnsi"/>
                <w:szCs w:val="22"/>
              </w:rPr>
              <w:t>WPSDGENRWH1205A-Rev00-Msr003</w:t>
            </w:r>
          </w:p>
        </w:tc>
        <w:tc>
          <w:tcPr>
            <w:tcW w:w="2700" w:type="dxa"/>
          </w:tcPr>
          <w:p w14:paraId="79DA8A15" w14:textId="59D13632" w:rsidR="006F0D4B" w:rsidRPr="00FD36CF" w:rsidRDefault="007F56D5" w:rsidP="001B7603">
            <w:pPr>
              <w:rPr>
                <w:rFonts w:cstheme="minorHAnsi"/>
                <w:szCs w:val="22"/>
              </w:rPr>
            </w:pPr>
            <w:r w:rsidRPr="00FD36CF">
              <w:rPr>
                <w:rFonts w:cstheme="minorHAnsi"/>
                <w:szCs w:val="22"/>
              </w:rPr>
              <w:t>SDG_Stor_UEF-Gas-050gal-0p64UEF</w:t>
            </w:r>
          </w:p>
        </w:tc>
        <w:tc>
          <w:tcPr>
            <w:tcW w:w="2340" w:type="dxa"/>
          </w:tcPr>
          <w:p w14:paraId="4FF03AB8" w14:textId="28B9CC2D" w:rsidR="006F0D4B" w:rsidRPr="00FD36CF" w:rsidRDefault="005D2A2D" w:rsidP="001B7603">
            <w:pPr>
              <w:rPr>
                <w:rFonts w:cstheme="minorHAnsi"/>
                <w:szCs w:val="22"/>
              </w:rPr>
            </w:pPr>
            <w:r w:rsidRPr="00FD36CF">
              <w:rPr>
                <w:rFonts w:cstheme="minorHAnsi"/>
                <w:szCs w:val="22"/>
              </w:rPr>
              <w:t>SDG_Stor_UEF-Gas-050gal-UEF_BASE</w:t>
            </w:r>
          </w:p>
        </w:tc>
        <w:tc>
          <w:tcPr>
            <w:tcW w:w="2070" w:type="dxa"/>
          </w:tcPr>
          <w:p w14:paraId="1391D5F6" w14:textId="5D9A1DEB" w:rsidR="006F0D4B" w:rsidRPr="00FD36CF" w:rsidRDefault="00047060" w:rsidP="001B7603">
            <w:pPr>
              <w:jc w:val="center"/>
              <w:rPr>
                <w:rFonts w:cstheme="minorHAnsi"/>
                <w:szCs w:val="22"/>
              </w:rPr>
            </w:pPr>
            <w:r w:rsidRPr="00FD36CF">
              <w:rPr>
                <w:rFonts w:cstheme="minorHAnsi"/>
                <w:szCs w:val="22"/>
              </w:rPr>
              <w:t>$2.67</w:t>
            </w:r>
            <w:r w:rsidR="004B112A" w:rsidRPr="00FD36CF">
              <w:rPr>
                <w:rFonts w:cstheme="minorHAnsi"/>
                <w:szCs w:val="22"/>
              </w:rPr>
              <w:t>/unit</w:t>
            </w:r>
          </w:p>
        </w:tc>
      </w:tr>
      <w:tr w:rsidR="006F0D4B" w14:paraId="46999756" w14:textId="4267984A" w:rsidTr="00DD7BCF">
        <w:tc>
          <w:tcPr>
            <w:tcW w:w="1435" w:type="dxa"/>
          </w:tcPr>
          <w:p w14:paraId="4801F7C4" w14:textId="77777777" w:rsidR="006F0D4B" w:rsidRPr="00FD36CF" w:rsidRDefault="00B74EAA" w:rsidP="001B7603">
            <w:pPr>
              <w:rPr>
                <w:rFonts w:cstheme="minorHAnsi"/>
                <w:szCs w:val="22"/>
              </w:rPr>
            </w:pPr>
            <w:r w:rsidRPr="00FD36CF">
              <w:rPr>
                <w:rFonts w:cstheme="minorHAnsi"/>
                <w:szCs w:val="22"/>
              </w:rPr>
              <w:t>465439</w:t>
            </w:r>
          </w:p>
          <w:p w14:paraId="2C9A6C6B" w14:textId="77777777" w:rsidR="00B74EAA" w:rsidRPr="00FD36CF" w:rsidRDefault="00B74EAA" w:rsidP="001B7603">
            <w:pPr>
              <w:rPr>
                <w:rFonts w:cstheme="minorHAnsi"/>
                <w:szCs w:val="22"/>
              </w:rPr>
            </w:pPr>
            <w:r w:rsidRPr="00FD36CF">
              <w:rPr>
                <w:rFonts w:cstheme="minorHAnsi"/>
                <w:szCs w:val="22"/>
              </w:rPr>
              <w:t>465445</w:t>
            </w:r>
          </w:p>
          <w:p w14:paraId="300355BE" w14:textId="77777777" w:rsidR="00B74EAA" w:rsidRPr="00FD36CF" w:rsidRDefault="00B74EAA" w:rsidP="001B7603">
            <w:pPr>
              <w:rPr>
                <w:rFonts w:cstheme="minorHAnsi"/>
                <w:szCs w:val="22"/>
              </w:rPr>
            </w:pPr>
            <w:r w:rsidRPr="00FD36CF">
              <w:rPr>
                <w:rFonts w:cstheme="minorHAnsi"/>
                <w:szCs w:val="22"/>
              </w:rPr>
              <w:t>465451</w:t>
            </w:r>
          </w:p>
          <w:p w14:paraId="6409244A" w14:textId="77777777" w:rsidR="00B74EAA" w:rsidRPr="00FD36CF" w:rsidRDefault="002F4E1A" w:rsidP="001B7603">
            <w:pPr>
              <w:rPr>
                <w:rFonts w:cstheme="minorHAnsi"/>
                <w:szCs w:val="22"/>
              </w:rPr>
            </w:pPr>
            <w:r w:rsidRPr="00FD36CF">
              <w:rPr>
                <w:rFonts w:cstheme="minorHAnsi"/>
                <w:szCs w:val="22"/>
              </w:rPr>
              <w:t>465457</w:t>
            </w:r>
          </w:p>
          <w:p w14:paraId="2D99B5E4" w14:textId="77777777" w:rsidR="002F4E1A" w:rsidRPr="00FD36CF" w:rsidRDefault="002F4E1A" w:rsidP="001B7603">
            <w:pPr>
              <w:rPr>
                <w:rFonts w:cstheme="minorHAnsi"/>
                <w:szCs w:val="22"/>
              </w:rPr>
            </w:pPr>
            <w:r w:rsidRPr="00FD36CF">
              <w:rPr>
                <w:rFonts w:cstheme="minorHAnsi"/>
                <w:szCs w:val="22"/>
              </w:rPr>
              <w:t>465463</w:t>
            </w:r>
          </w:p>
          <w:p w14:paraId="0D613748" w14:textId="74F497A9" w:rsidR="002F4E1A" w:rsidRPr="00FD36CF" w:rsidRDefault="002F4E1A" w:rsidP="001B7603">
            <w:pPr>
              <w:rPr>
                <w:rFonts w:cstheme="minorHAnsi"/>
                <w:szCs w:val="22"/>
              </w:rPr>
            </w:pPr>
            <w:r w:rsidRPr="00FD36CF">
              <w:rPr>
                <w:rFonts w:cstheme="minorHAnsi"/>
                <w:szCs w:val="22"/>
              </w:rPr>
              <w:t>465469</w:t>
            </w:r>
          </w:p>
        </w:tc>
        <w:tc>
          <w:tcPr>
            <w:tcW w:w="2250" w:type="dxa"/>
          </w:tcPr>
          <w:p w14:paraId="65926D04" w14:textId="2722CEE4" w:rsidR="006F0D4B" w:rsidRPr="00FD36CF" w:rsidRDefault="00EC2602" w:rsidP="000909DA">
            <w:pPr>
              <w:rPr>
                <w:rFonts w:cstheme="minorHAnsi"/>
                <w:szCs w:val="22"/>
              </w:rPr>
            </w:pPr>
            <w:r w:rsidRPr="00FD36CF">
              <w:rPr>
                <w:rFonts w:cstheme="minorHAnsi"/>
                <w:szCs w:val="22"/>
              </w:rPr>
              <w:t>WPSDGENRWH1205A-Rev00-Msr004</w:t>
            </w:r>
          </w:p>
        </w:tc>
        <w:tc>
          <w:tcPr>
            <w:tcW w:w="2700" w:type="dxa"/>
          </w:tcPr>
          <w:p w14:paraId="3D6D2492" w14:textId="43A5C6C1" w:rsidR="006F0D4B" w:rsidRPr="00FD36CF" w:rsidRDefault="007F56D5" w:rsidP="001B7603">
            <w:pPr>
              <w:rPr>
                <w:rFonts w:cstheme="minorHAnsi"/>
                <w:szCs w:val="22"/>
              </w:rPr>
            </w:pPr>
            <w:r w:rsidRPr="00FD36CF">
              <w:rPr>
                <w:rFonts w:cstheme="minorHAnsi"/>
                <w:szCs w:val="22"/>
              </w:rPr>
              <w:t>SDG_Stor_UEF-Gas-030gal-0p68UEF</w:t>
            </w:r>
          </w:p>
        </w:tc>
        <w:tc>
          <w:tcPr>
            <w:tcW w:w="2340" w:type="dxa"/>
          </w:tcPr>
          <w:p w14:paraId="1F20C105" w14:textId="5625C954" w:rsidR="006F0D4B" w:rsidRPr="00FD36CF" w:rsidRDefault="005D2A2D" w:rsidP="001B7603">
            <w:pPr>
              <w:rPr>
                <w:rFonts w:cstheme="minorHAnsi"/>
                <w:szCs w:val="22"/>
              </w:rPr>
            </w:pPr>
            <w:r w:rsidRPr="00FD36CF">
              <w:rPr>
                <w:rFonts w:cstheme="minorHAnsi"/>
                <w:szCs w:val="22"/>
              </w:rPr>
              <w:t>SDG_Stor_UEF-Gas-030gal-UEF_BASE</w:t>
            </w:r>
          </w:p>
        </w:tc>
        <w:tc>
          <w:tcPr>
            <w:tcW w:w="2070" w:type="dxa"/>
          </w:tcPr>
          <w:p w14:paraId="1B4A1FCF" w14:textId="40E2EBF0" w:rsidR="006F0D4B" w:rsidRPr="00FD36CF" w:rsidRDefault="00047060" w:rsidP="001B7603">
            <w:pPr>
              <w:jc w:val="center"/>
              <w:rPr>
                <w:rFonts w:cstheme="minorHAnsi"/>
                <w:szCs w:val="22"/>
              </w:rPr>
            </w:pPr>
            <w:r w:rsidRPr="00FD36CF">
              <w:rPr>
                <w:rFonts w:cstheme="minorHAnsi"/>
                <w:szCs w:val="22"/>
              </w:rPr>
              <w:t>$4.36</w:t>
            </w:r>
            <w:r w:rsidR="004B112A" w:rsidRPr="00FD36CF">
              <w:rPr>
                <w:rFonts w:cstheme="minorHAnsi"/>
                <w:szCs w:val="22"/>
              </w:rPr>
              <w:t>/unit</w:t>
            </w:r>
          </w:p>
        </w:tc>
      </w:tr>
      <w:tr w:rsidR="006F0D4B" w14:paraId="42A49E17" w14:textId="02724717" w:rsidTr="00DD7BCF">
        <w:tc>
          <w:tcPr>
            <w:tcW w:w="1435" w:type="dxa"/>
          </w:tcPr>
          <w:p w14:paraId="52D8D153" w14:textId="77777777" w:rsidR="006F0D4B" w:rsidRPr="00FD36CF" w:rsidRDefault="00D97C37" w:rsidP="001B7603">
            <w:pPr>
              <w:rPr>
                <w:rFonts w:cstheme="minorHAnsi"/>
                <w:szCs w:val="22"/>
              </w:rPr>
            </w:pPr>
            <w:r w:rsidRPr="00FD36CF">
              <w:rPr>
                <w:rFonts w:cstheme="minorHAnsi"/>
                <w:szCs w:val="22"/>
              </w:rPr>
              <w:t>465441</w:t>
            </w:r>
          </w:p>
          <w:p w14:paraId="65A5118D" w14:textId="77777777" w:rsidR="00D97C37" w:rsidRPr="00FD36CF" w:rsidRDefault="00D97C37" w:rsidP="001B7603">
            <w:pPr>
              <w:rPr>
                <w:rFonts w:cstheme="minorHAnsi"/>
                <w:szCs w:val="22"/>
              </w:rPr>
            </w:pPr>
            <w:r w:rsidRPr="00FD36CF">
              <w:rPr>
                <w:rFonts w:cstheme="minorHAnsi"/>
                <w:szCs w:val="22"/>
              </w:rPr>
              <w:t>465447</w:t>
            </w:r>
          </w:p>
          <w:p w14:paraId="736EBA88" w14:textId="77777777" w:rsidR="00D97C37" w:rsidRPr="00FD36CF" w:rsidRDefault="00D97C37" w:rsidP="001B7603">
            <w:pPr>
              <w:rPr>
                <w:rFonts w:cstheme="minorHAnsi"/>
                <w:szCs w:val="22"/>
              </w:rPr>
            </w:pPr>
            <w:r w:rsidRPr="00FD36CF">
              <w:rPr>
                <w:rFonts w:cstheme="minorHAnsi"/>
                <w:szCs w:val="22"/>
              </w:rPr>
              <w:t>465453</w:t>
            </w:r>
          </w:p>
          <w:p w14:paraId="50A5F86F" w14:textId="77777777" w:rsidR="00D97C37" w:rsidRPr="00FD36CF" w:rsidRDefault="00D97C37" w:rsidP="001B7603">
            <w:pPr>
              <w:rPr>
                <w:rFonts w:cstheme="minorHAnsi"/>
                <w:szCs w:val="22"/>
              </w:rPr>
            </w:pPr>
            <w:r w:rsidRPr="00FD36CF">
              <w:rPr>
                <w:rFonts w:cstheme="minorHAnsi"/>
                <w:szCs w:val="22"/>
              </w:rPr>
              <w:t>465459</w:t>
            </w:r>
          </w:p>
          <w:p w14:paraId="49E5A9F1" w14:textId="77777777" w:rsidR="00D97C37" w:rsidRPr="00FD36CF" w:rsidRDefault="009C4A8A" w:rsidP="001B7603">
            <w:pPr>
              <w:rPr>
                <w:rFonts w:cstheme="minorHAnsi"/>
                <w:szCs w:val="22"/>
              </w:rPr>
            </w:pPr>
            <w:r w:rsidRPr="00FD36CF">
              <w:rPr>
                <w:rFonts w:cstheme="minorHAnsi"/>
                <w:szCs w:val="22"/>
              </w:rPr>
              <w:t>465465</w:t>
            </w:r>
          </w:p>
          <w:p w14:paraId="40BE187C" w14:textId="42799551" w:rsidR="002A6E43" w:rsidRPr="00FD36CF" w:rsidRDefault="009C4A8A" w:rsidP="001B7603">
            <w:pPr>
              <w:rPr>
                <w:rFonts w:cstheme="minorHAnsi"/>
                <w:szCs w:val="22"/>
              </w:rPr>
            </w:pPr>
            <w:r w:rsidRPr="00FD36CF">
              <w:rPr>
                <w:rFonts w:cstheme="minorHAnsi"/>
                <w:szCs w:val="22"/>
              </w:rPr>
              <w:t>465471</w:t>
            </w:r>
          </w:p>
        </w:tc>
        <w:tc>
          <w:tcPr>
            <w:tcW w:w="2250" w:type="dxa"/>
          </w:tcPr>
          <w:p w14:paraId="57BE1820" w14:textId="0FA7D890" w:rsidR="006F0D4B" w:rsidRPr="00FD36CF" w:rsidRDefault="00EC2602" w:rsidP="001B7603">
            <w:pPr>
              <w:rPr>
                <w:rFonts w:cstheme="minorHAnsi"/>
                <w:szCs w:val="22"/>
              </w:rPr>
            </w:pPr>
            <w:r w:rsidRPr="00FD36CF">
              <w:rPr>
                <w:rFonts w:cstheme="minorHAnsi"/>
                <w:szCs w:val="22"/>
              </w:rPr>
              <w:t>WPSDGENRWH1205A-Rev00-Msr005</w:t>
            </w:r>
          </w:p>
        </w:tc>
        <w:tc>
          <w:tcPr>
            <w:tcW w:w="2700" w:type="dxa"/>
          </w:tcPr>
          <w:p w14:paraId="32B05D9D" w14:textId="4982CDBB" w:rsidR="006F0D4B" w:rsidRPr="00FD36CF" w:rsidRDefault="008A4F57" w:rsidP="001B7603">
            <w:pPr>
              <w:rPr>
                <w:rFonts w:cstheme="minorHAnsi"/>
                <w:szCs w:val="22"/>
              </w:rPr>
            </w:pPr>
            <w:r w:rsidRPr="00FD36CF">
              <w:rPr>
                <w:rFonts w:cstheme="minorHAnsi"/>
                <w:szCs w:val="22"/>
              </w:rPr>
              <w:t>SDG_Stor_UEF-Gas-040gal-0p68UEF</w:t>
            </w:r>
          </w:p>
        </w:tc>
        <w:tc>
          <w:tcPr>
            <w:tcW w:w="2340" w:type="dxa"/>
          </w:tcPr>
          <w:p w14:paraId="33042FA5" w14:textId="7743F68D" w:rsidR="006F0D4B" w:rsidRPr="00FD36CF" w:rsidRDefault="00B5525E" w:rsidP="001B7603">
            <w:pPr>
              <w:rPr>
                <w:rFonts w:cstheme="minorHAnsi"/>
                <w:szCs w:val="22"/>
              </w:rPr>
            </w:pPr>
            <w:r w:rsidRPr="00FD36CF">
              <w:rPr>
                <w:rFonts w:cstheme="minorHAnsi"/>
                <w:szCs w:val="22"/>
              </w:rPr>
              <w:t>SDG_Stor_UEF-Gas-04</w:t>
            </w:r>
            <w:r w:rsidR="005D2A2D" w:rsidRPr="00FD36CF">
              <w:rPr>
                <w:rFonts w:cstheme="minorHAnsi"/>
                <w:szCs w:val="22"/>
              </w:rPr>
              <w:t>0gal-UEF_BASE</w:t>
            </w:r>
          </w:p>
        </w:tc>
        <w:tc>
          <w:tcPr>
            <w:tcW w:w="2070" w:type="dxa"/>
          </w:tcPr>
          <w:p w14:paraId="751DDFD2" w14:textId="7BE73443" w:rsidR="006F0D4B" w:rsidRPr="00FD36CF" w:rsidRDefault="00047060" w:rsidP="001B7603">
            <w:pPr>
              <w:jc w:val="center"/>
              <w:rPr>
                <w:rFonts w:cstheme="minorHAnsi"/>
                <w:szCs w:val="22"/>
              </w:rPr>
            </w:pPr>
            <w:r w:rsidRPr="00FD36CF">
              <w:rPr>
                <w:rFonts w:cstheme="minorHAnsi"/>
                <w:szCs w:val="22"/>
              </w:rPr>
              <w:t>$</w:t>
            </w:r>
            <w:r w:rsidR="004B112A" w:rsidRPr="00FD36CF">
              <w:rPr>
                <w:rFonts w:cstheme="minorHAnsi"/>
                <w:szCs w:val="22"/>
              </w:rPr>
              <w:t>7.81/unit</w:t>
            </w:r>
          </w:p>
        </w:tc>
      </w:tr>
      <w:tr w:rsidR="002A6E43" w14:paraId="0A64BC4E" w14:textId="77777777" w:rsidTr="00DD7BCF">
        <w:tc>
          <w:tcPr>
            <w:tcW w:w="1435" w:type="dxa"/>
          </w:tcPr>
          <w:p w14:paraId="6B21EF3C" w14:textId="0060C950" w:rsidR="002A6E43" w:rsidRPr="00DC20C2" w:rsidRDefault="002A6E43" w:rsidP="002A6E43">
            <w:pPr>
              <w:rPr>
                <w:szCs w:val="22"/>
              </w:rPr>
            </w:pPr>
            <w:r w:rsidRPr="001B7603">
              <w:rPr>
                <w:szCs w:val="22"/>
              </w:rPr>
              <w:lastRenderedPageBreak/>
              <w:t>SDGE Imp. ID</w:t>
            </w:r>
          </w:p>
        </w:tc>
        <w:tc>
          <w:tcPr>
            <w:tcW w:w="2250" w:type="dxa"/>
          </w:tcPr>
          <w:p w14:paraId="0FE3B308" w14:textId="1C17BDDC" w:rsidR="002A6E43" w:rsidRPr="00EC2602" w:rsidRDefault="002A6E43" w:rsidP="002A6E43">
            <w:pPr>
              <w:rPr>
                <w:szCs w:val="22"/>
              </w:rPr>
            </w:pPr>
            <w:proofErr w:type="spellStart"/>
            <w:r w:rsidRPr="001B7603">
              <w:rPr>
                <w:szCs w:val="22"/>
              </w:rPr>
              <w:t>Msr</w:t>
            </w:r>
            <w:proofErr w:type="spellEnd"/>
            <w:r w:rsidRPr="001B7603">
              <w:rPr>
                <w:szCs w:val="22"/>
              </w:rPr>
              <w:t xml:space="preserve"> ID </w:t>
            </w:r>
          </w:p>
        </w:tc>
        <w:tc>
          <w:tcPr>
            <w:tcW w:w="2700" w:type="dxa"/>
          </w:tcPr>
          <w:p w14:paraId="2D57F27B" w14:textId="55DB5273" w:rsidR="002A6E43" w:rsidRPr="001014C5" w:rsidRDefault="002A6E43" w:rsidP="002A6E43">
            <w:pPr>
              <w:rPr>
                <w:szCs w:val="22"/>
              </w:rPr>
            </w:pPr>
            <w:proofErr w:type="spellStart"/>
            <w:r w:rsidRPr="001B7603">
              <w:rPr>
                <w:szCs w:val="22"/>
              </w:rPr>
              <w:t>Msr</w:t>
            </w:r>
            <w:proofErr w:type="spellEnd"/>
            <w:r w:rsidRPr="001B7603">
              <w:rPr>
                <w:szCs w:val="22"/>
              </w:rPr>
              <w:t xml:space="preserve"> Cost ID / Value</w:t>
            </w:r>
          </w:p>
        </w:tc>
        <w:tc>
          <w:tcPr>
            <w:tcW w:w="2340" w:type="dxa"/>
          </w:tcPr>
          <w:p w14:paraId="21FE117B" w14:textId="59F6F079" w:rsidR="002A6E43" w:rsidRPr="005D2A2D" w:rsidRDefault="002A6E43" w:rsidP="002A6E43">
            <w:pPr>
              <w:rPr>
                <w:szCs w:val="22"/>
              </w:rPr>
            </w:pPr>
            <w:r w:rsidRPr="001B7603">
              <w:rPr>
                <w:szCs w:val="22"/>
              </w:rPr>
              <w:t>Std Cost ID / Value</w:t>
            </w:r>
          </w:p>
        </w:tc>
        <w:tc>
          <w:tcPr>
            <w:tcW w:w="2070" w:type="dxa"/>
          </w:tcPr>
          <w:p w14:paraId="717444F8" w14:textId="77777777" w:rsidR="002A6E43" w:rsidRDefault="002A6E43" w:rsidP="002A6E43">
            <w:pPr>
              <w:jc w:val="center"/>
              <w:rPr>
                <w:szCs w:val="22"/>
              </w:rPr>
            </w:pPr>
            <w:r w:rsidRPr="001B7603">
              <w:rPr>
                <w:szCs w:val="22"/>
              </w:rPr>
              <w:t>IMC</w:t>
            </w:r>
            <w:r>
              <w:rPr>
                <w:szCs w:val="22"/>
              </w:rPr>
              <w:t xml:space="preserve"> </w:t>
            </w:r>
          </w:p>
          <w:p w14:paraId="2AF16963" w14:textId="1486D755" w:rsidR="002A6E43" w:rsidRDefault="002A6E43" w:rsidP="002A6E43">
            <w:pPr>
              <w:jc w:val="center"/>
              <w:rPr>
                <w:szCs w:val="22"/>
              </w:rPr>
            </w:pPr>
            <w:r>
              <w:rPr>
                <w:szCs w:val="22"/>
              </w:rPr>
              <w:t>(Units = Cap-</w:t>
            </w:r>
            <w:proofErr w:type="spellStart"/>
            <w:r>
              <w:rPr>
                <w:szCs w:val="22"/>
              </w:rPr>
              <w:t>kBTUh</w:t>
            </w:r>
            <w:proofErr w:type="spellEnd"/>
            <w:r>
              <w:rPr>
                <w:szCs w:val="22"/>
              </w:rPr>
              <w:t>)</w:t>
            </w:r>
          </w:p>
        </w:tc>
      </w:tr>
      <w:tr w:rsidR="002A6E43" w14:paraId="62617B40" w14:textId="77777777" w:rsidTr="00DD7BCF">
        <w:tc>
          <w:tcPr>
            <w:tcW w:w="1435" w:type="dxa"/>
          </w:tcPr>
          <w:p w14:paraId="426BDC04" w14:textId="77777777" w:rsidR="002A6E43" w:rsidRDefault="002A6E43" w:rsidP="002A6E43">
            <w:pPr>
              <w:rPr>
                <w:szCs w:val="22"/>
              </w:rPr>
            </w:pPr>
            <w:r w:rsidRPr="00DC20C2">
              <w:rPr>
                <w:szCs w:val="22"/>
              </w:rPr>
              <w:t>465443</w:t>
            </w:r>
          </w:p>
          <w:p w14:paraId="37F4EE32" w14:textId="77777777" w:rsidR="002A6E43" w:rsidRDefault="002A6E43" w:rsidP="002A6E43">
            <w:pPr>
              <w:rPr>
                <w:szCs w:val="22"/>
              </w:rPr>
            </w:pPr>
            <w:r w:rsidRPr="00DC20C2">
              <w:rPr>
                <w:szCs w:val="22"/>
              </w:rPr>
              <w:t>465449</w:t>
            </w:r>
          </w:p>
          <w:p w14:paraId="3A788AC8" w14:textId="77777777" w:rsidR="002A6E43" w:rsidRDefault="002A6E43" w:rsidP="002A6E43">
            <w:pPr>
              <w:rPr>
                <w:szCs w:val="22"/>
              </w:rPr>
            </w:pPr>
            <w:r w:rsidRPr="00DC20C2">
              <w:rPr>
                <w:szCs w:val="22"/>
              </w:rPr>
              <w:t>465455</w:t>
            </w:r>
          </w:p>
          <w:p w14:paraId="32A1D248" w14:textId="77777777" w:rsidR="002A6E43" w:rsidRDefault="002A6E43" w:rsidP="002A6E43">
            <w:pPr>
              <w:rPr>
                <w:szCs w:val="22"/>
              </w:rPr>
            </w:pPr>
            <w:r w:rsidRPr="00DC20C2">
              <w:rPr>
                <w:szCs w:val="22"/>
              </w:rPr>
              <w:t>465461</w:t>
            </w:r>
          </w:p>
          <w:p w14:paraId="10ADAD85" w14:textId="77777777" w:rsidR="002A6E43" w:rsidRDefault="002A6E43" w:rsidP="002A6E43">
            <w:pPr>
              <w:rPr>
                <w:szCs w:val="22"/>
              </w:rPr>
            </w:pPr>
            <w:r w:rsidRPr="002A6E43">
              <w:rPr>
                <w:szCs w:val="22"/>
              </w:rPr>
              <w:t>465467</w:t>
            </w:r>
          </w:p>
          <w:p w14:paraId="46BD1531" w14:textId="358894A5" w:rsidR="002A6E43" w:rsidRPr="001B7603" w:rsidRDefault="002A6E43" w:rsidP="002A6E43">
            <w:pPr>
              <w:rPr>
                <w:szCs w:val="22"/>
              </w:rPr>
            </w:pPr>
            <w:r w:rsidRPr="002A6E43">
              <w:rPr>
                <w:szCs w:val="22"/>
              </w:rPr>
              <w:t>465473</w:t>
            </w:r>
          </w:p>
        </w:tc>
        <w:tc>
          <w:tcPr>
            <w:tcW w:w="2250" w:type="dxa"/>
          </w:tcPr>
          <w:p w14:paraId="5EE2CCDE" w14:textId="696105F3" w:rsidR="002A6E43" w:rsidRPr="001B7603" w:rsidRDefault="002A6E43" w:rsidP="002A6E43">
            <w:pPr>
              <w:rPr>
                <w:szCs w:val="22"/>
              </w:rPr>
            </w:pPr>
            <w:r w:rsidRPr="00EC2602">
              <w:rPr>
                <w:szCs w:val="22"/>
              </w:rPr>
              <w:t>WPSDGENRWH1205A-Rev00-Msr00</w:t>
            </w:r>
            <w:r>
              <w:rPr>
                <w:szCs w:val="22"/>
              </w:rPr>
              <w:t>6</w:t>
            </w:r>
          </w:p>
        </w:tc>
        <w:tc>
          <w:tcPr>
            <w:tcW w:w="2700" w:type="dxa"/>
          </w:tcPr>
          <w:p w14:paraId="3DDA5935" w14:textId="6E6DE6F2" w:rsidR="002A6E43" w:rsidRPr="001B7603" w:rsidRDefault="002A6E43" w:rsidP="002A6E43">
            <w:pPr>
              <w:rPr>
                <w:szCs w:val="22"/>
              </w:rPr>
            </w:pPr>
            <w:r w:rsidRPr="001014C5">
              <w:rPr>
                <w:szCs w:val="22"/>
              </w:rPr>
              <w:t>SDG_Stor_UEF-Gas-050gal-0p68UEF</w:t>
            </w:r>
          </w:p>
        </w:tc>
        <w:tc>
          <w:tcPr>
            <w:tcW w:w="2340" w:type="dxa"/>
          </w:tcPr>
          <w:p w14:paraId="7C9D2A0E" w14:textId="7353EDB9" w:rsidR="002A6E43" w:rsidRPr="001B7603" w:rsidRDefault="002A6E43" w:rsidP="002A6E43">
            <w:pPr>
              <w:rPr>
                <w:szCs w:val="22"/>
              </w:rPr>
            </w:pPr>
            <w:r w:rsidRPr="005D2A2D">
              <w:rPr>
                <w:szCs w:val="22"/>
              </w:rPr>
              <w:t>SDG_Stor_UEF-Gas-050gal-UEF_BASE</w:t>
            </w:r>
          </w:p>
        </w:tc>
        <w:tc>
          <w:tcPr>
            <w:tcW w:w="2070" w:type="dxa"/>
          </w:tcPr>
          <w:p w14:paraId="34635931" w14:textId="676078D8" w:rsidR="002A6E43" w:rsidRPr="001B7603" w:rsidRDefault="002A6E43" w:rsidP="002A6E43">
            <w:pPr>
              <w:jc w:val="center"/>
              <w:rPr>
                <w:szCs w:val="22"/>
              </w:rPr>
            </w:pPr>
            <w:r>
              <w:rPr>
                <w:szCs w:val="22"/>
              </w:rPr>
              <w:t>$6.11/unit</w:t>
            </w:r>
          </w:p>
        </w:tc>
      </w:tr>
    </w:tbl>
    <w:p w14:paraId="12667149" w14:textId="15D8ECB0" w:rsidR="008B1591" w:rsidRDefault="008B1591" w:rsidP="008B1591">
      <w:pPr>
        <w:pStyle w:val="ListParagraph"/>
      </w:pPr>
    </w:p>
    <w:p w14:paraId="53245D43" w14:textId="3454A96F" w:rsidR="00F27A87" w:rsidRDefault="00F27A87" w:rsidP="00F27A87">
      <w:pPr>
        <w:ind w:left="360"/>
      </w:pPr>
    </w:p>
    <w:p w14:paraId="269B66AF" w14:textId="46CF6FAF" w:rsidR="0095221A" w:rsidRDefault="00311729" w:rsidP="00F27A87">
      <w:pPr>
        <w:ind w:left="360"/>
      </w:pPr>
      <w:r>
        <w:t xml:space="preserve"> </w:t>
      </w:r>
    </w:p>
    <w:p w14:paraId="4B314857" w14:textId="77777777" w:rsidR="00311729" w:rsidRDefault="00311729" w:rsidP="0095221A"/>
    <w:p w14:paraId="269B66B0" w14:textId="77777777" w:rsidR="0095221A" w:rsidRDefault="0095221A" w:rsidP="0095221A"/>
    <w:p w14:paraId="6EA2DE01" w14:textId="77777777" w:rsidR="00311729" w:rsidRDefault="00311729">
      <w:pPr>
        <w:spacing w:after="200" w:line="276" w:lineRule="auto"/>
        <w:rPr>
          <w:rFonts w:ascii="Arial Narrow" w:hAnsi="Arial Narrow" w:cs="Arial"/>
          <w:b/>
          <w:bCs/>
          <w:iCs/>
          <w:smallCaps/>
          <w:sz w:val="28"/>
          <w:szCs w:val="28"/>
        </w:rPr>
      </w:pPr>
      <w:r>
        <w:rPr>
          <w:rFonts w:ascii="Arial Narrow" w:hAnsi="Arial Narrow" w:cs="Arial"/>
          <w:b/>
          <w:bCs/>
          <w:iCs/>
          <w:smallCaps/>
          <w:sz w:val="28"/>
          <w:szCs w:val="28"/>
        </w:rPr>
        <w:br w:type="page"/>
      </w:r>
    </w:p>
    <w:p w14:paraId="269B66B1" w14:textId="50913B75" w:rsidR="0095221A" w:rsidRPr="009B0E7F" w:rsidRDefault="009B0E7F" w:rsidP="009B0E7F">
      <w:pPr>
        <w:keepNext/>
        <w:spacing w:before="240" w:after="60"/>
        <w:outlineLvl w:val="1"/>
        <w:rPr>
          <w:rFonts w:ascii="Arial Narrow" w:hAnsi="Arial Narrow" w:cs="Arial"/>
          <w:b/>
          <w:bCs/>
          <w:iCs/>
          <w:smallCaps/>
          <w:sz w:val="28"/>
          <w:szCs w:val="28"/>
        </w:rPr>
      </w:pPr>
      <w:r w:rsidRPr="009B0E7F">
        <w:rPr>
          <w:rFonts w:ascii="Arial Narrow" w:hAnsi="Arial Narrow" w:cs="Arial"/>
          <w:b/>
          <w:bCs/>
          <w:iCs/>
          <w:smallCaps/>
          <w:sz w:val="28"/>
          <w:szCs w:val="28"/>
        </w:rPr>
        <w:lastRenderedPageBreak/>
        <w:t xml:space="preserve">Document Revision History </w:t>
      </w:r>
    </w:p>
    <w:tbl>
      <w:tblPr>
        <w:tblStyle w:val="TableGrid11"/>
        <w:tblW w:w="5000" w:type="pct"/>
        <w:tblLook w:val="01E0" w:firstRow="1" w:lastRow="1" w:firstColumn="1" w:lastColumn="1" w:noHBand="0" w:noVBand="0"/>
      </w:tblPr>
      <w:tblGrid>
        <w:gridCol w:w="591"/>
        <w:gridCol w:w="1476"/>
        <w:gridCol w:w="1908"/>
        <w:gridCol w:w="6815"/>
      </w:tblGrid>
      <w:tr w:rsidR="0095221A" w:rsidRPr="00DC3FD7" w14:paraId="269B66B6" w14:textId="77777777" w:rsidTr="004E74AB">
        <w:trPr>
          <w:trHeight w:val="20"/>
        </w:trPr>
        <w:tc>
          <w:tcPr>
            <w:tcW w:w="274" w:type="pct"/>
            <w:shd w:val="clear" w:color="auto" w:fill="D9D9D9" w:themeFill="background1" w:themeFillShade="D9"/>
          </w:tcPr>
          <w:p w14:paraId="269B66B2" w14:textId="77777777" w:rsidR="0095221A" w:rsidRPr="00DC3FD7" w:rsidRDefault="0095221A" w:rsidP="0095221A">
            <w:pPr>
              <w:rPr>
                <w:rFonts w:cstheme="minorHAnsi"/>
                <w:b/>
                <w:sz w:val="22"/>
                <w:szCs w:val="22"/>
              </w:rPr>
            </w:pPr>
            <w:r w:rsidRPr="00DC3FD7">
              <w:rPr>
                <w:rFonts w:cstheme="minorHAnsi"/>
                <w:b/>
                <w:bCs/>
                <w:sz w:val="22"/>
                <w:szCs w:val="22"/>
              </w:rPr>
              <w:t>Rev</w:t>
            </w:r>
          </w:p>
        </w:tc>
        <w:tc>
          <w:tcPr>
            <w:tcW w:w="684" w:type="pct"/>
            <w:shd w:val="clear" w:color="auto" w:fill="D9D9D9" w:themeFill="background1" w:themeFillShade="D9"/>
          </w:tcPr>
          <w:p w14:paraId="269B66B3" w14:textId="77777777" w:rsidR="0095221A" w:rsidRPr="00DC3FD7" w:rsidRDefault="0095221A" w:rsidP="0095221A">
            <w:pPr>
              <w:rPr>
                <w:rFonts w:cstheme="minorHAnsi"/>
                <w:b/>
                <w:sz w:val="22"/>
                <w:szCs w:val="22"/>
              </w:rPr>
            </w:pPr>
            <w:r w:rsidRPr="00DC3FD7">
              <w:rPr>
                <w:rFonts w:cstheme="minorHAnsi"/>
                <w:b/>
                <w:bCs/>
                <w:sz w:val="22"/>
                <w:szCs w:val="22"/>
              </w:rPr>
              <w:t>Date</w:t>
            </w:r>
          </w:p>
        </w:tc>
        <w:tc>
          <w:tcPr>
            <w:tcW w:w="884" w:type="pct"/>
            <w:shd w:val="clear" w:color="auto" w:fill="D9D9D9" w:themeFill="background1" w:themeFillShade="D9"/>
          </w:tcPr>
          <w:p w14:paraId="269B66B4" w14:textId="77777777" w:rsidR="0095221A" w:rsidRPr="00DC3FD7" w:rsidRDefault="0095221A" w:rsidP="0095221A">
            <w:pPr>
              <w:rPr>
                <w:rFonts w:cstheme="minorHAnsi"/>
                <w:b/>
                <w:sz w:val="22"/>
                <w:szCs w:val="22"/>
              </w:rPr>
            </w:pPr>
            <w:r w:rsidRPr="00DC3FD7">
              <w:rPr>
                <w:rFonts w:cstheme="minorHAnsi"/>
                <w:b/>
                <w:bCs/>
                <w:sz w:val="22"/>
                <w:szCs w:val="22"/>
              </w:rPr>
              <w:t>Author</w:t>
            </w:r>
          </w:p>
        </w:tc>
        <w:tc>
          <w:tcPr>
            <w:tcW w:w="3158" w:type="pct"/>
            <w:shd w:val="clear" w:color="auto" w:fill="D9D9D9" w:themeFill="background1" w:themeFillShade="D9"/>
          </w:tcPr>
          <w:p w14:paraId="269B66B5" w14:textId="77777777" w:rsidR="0095221A" w:rsidRPr="00DC3FD7" w:rsidRDefault="0095221A" w:rsidP="0095221A">
            <w:pPr>
              <w:rPr>
                <w:rFonts w:cstheme="minorHAnsi"/>
                <w:b/>
                <w:sz w:val="22"/>
                <w:szCs w:val="22"/>
              </w:rPr>
            </w:pPr>
            <w:r w:rsidRPr="00DC3FD7">
              <w:rPr>
                <w:rFonts w:cstheme="minorHAnsi"/>
                <w:b/>
                <w:bCs/>
                <w:sz w:val="22"/>
                <w:szCs w:val="22"/>
              </w:rPr>
              <w:t>Summary of Changes</w:t>
            </w:r>
          </w:p>
        </w:tc>
      </w:tr>
      <w:tr w:rsidR="0095221A" w:rsidRPr="00DC3FD7" w14:paraId="269B66BB" w14:textId="77777777" w:rsidTr="004E74AB">
        <w:trPr>
          <w:trHeight w:val="20"/>
        </w:trPr>
        <w:tc>
          <w:tcPr>
            <w:tcW w:w="274" w:type="pct"/>
            <w:vAlign w:val="center"/>
          </w:tcPr>
          <w:p w14:paraId="269B66B7" w14:textId="0B128AD5" w:rsidR="0095221A" w:rsidRPr="00BA47BD" w:rsidRDefault="001F0059" w:rsidP="0095221A">
            <w:pPr>
              <w:jc w:val="center"/>
              <w:rPr>
                <w:rFonts w:cstheme="minorHAnsi"/>
                <w:sz w:val="22"/>
                <w:szCs w:val="22"/>
              </w:rPr>
            </w:pPr>
            <w:r>
              <w:rPr>
                <w:rFonts w:cstheme="minorHAnsi"/>
                <w:sz w:val="22"/>
                <w:szCs w:val="22"/>
              </w:rPr>
              <w:t>0</w:t>
            </w:r>
          </w:p>
        </w:tc>
        <w:tc>
          <w:tcPr>
            <w:tcW w:w="684" w:type="pct"/>
            <w:vAlign w:val="center"/>
          </w:tcPr>
          <w:p w14:paraId="269B66B8" w14:textId="77777777" w:rsidR="0095221A" w:rsidRPr="00BA47BD" w:rsidRDefault="0095221A" w:rsidP="0095221A">
            <w:pPr>
              <w:jc w:val="center"/>
              <w:rPr>
                <w:rFonts w:cstheme="minorHAnsi"/>
                <w:sz w:val="22"/>
                <w:szCs w:val="22"/>
              </w:rPr>
            </w:pPr>
            <w:r w:rsidRPr="00BA47BD">
              <w:rPr>
                <w:rFonts w:cstheme="minorHAnsi"/>
                <w:bCs/>
                <w:sz w:val="22"/>
                <w:szCs w:val="22"/>
              </w:rPr>
              <w:t>06/15/2012</w:t>
            </w:r>
          </w:p>
        </w:tc>
        <w:tc>
          <w:tcPr>
            <w:tcW w:w="884" w:type="pct"/>
            <w:vAlign w:val="center"/>
          </w:tcPr>
          <w:p w14:paraId="269B66B9" w14:textId="77777777" w:rsidR="0095221A" w:rsidRPr="00BA47BD" w:rsidRDefault="0095221A" w:rsidP="0095221A">
            <w:pPr>
              <w:rPr>
                <w:rFonts w:cstheme="minorHAnsi"/>
                <w:sz w:val="22"/>
                <w:szCs w:val="22"/>
              </w:rPr>
            </w:pPr>
            <w:r w:rsidRPr="00BA47BD">
              <w:rPr>
                <w:rFonts w:cstheme="minorHAnsi"/>
                <w:bCs/>
                <w:sz w:val="22"/>
                <w:szCs w:val="22"/>
              </w:rPr>
              <w:t>Kelvin Valenzuela / SDG&amp;E</w:t>
            </w:r>
          </w:p>
        </w:tc>
        <w:tc>
          <w:tcPr>
            <w:tcW w:w="3158" w:type="pct"/>
          </w:tcPr>
          <w:p w14:paraId="269B66BA" w14:textId="653C8743" w:rsidR="0095221A" w:rsidRPr="00BA47BD" w:rsidRDefault="006F0D4B" w:rsidP="0095221A">
            <w:pPr>
              <w:rPr>
                <w:rFonts w:cstheme="minorHAnsi"/>
                <w:sz w:val="22"/>
                <w:szCs w:val="22"/>
              </w:rPr>
            </w:pPr>
            <w:r w:rsidRPr="00BA47BD">
              <w:rPr>
                <w:rFonts w:cstheme="minorHAnsi"/>
                <w:bCs/>
                <w:sz w:val="22"/>
                <w:szCs w:val="22"/>
              </w:rPr>
              <w:t>Adopted WPSCGNRW120026A_Rev5_StorageWH_NonResr-May22.docx, updated May 18, 2012</w:t>
            </w:r>
            <w:r w:rsidR="00D1269E">
              <w:rPr>
                <w:rFonts w:cstheme="minorHAnsi"/>
                <w:bCs/>
                <w:sz w:val="22"/>
                <w:szCs w:val="22"/>
              </w:rPr>
              <w:t>.</w:t>
            </w:r>
            <w:r w:rsidR="00F622BE">
              <w:rPr>
                <w:rFonts w:cstheme="minorHAnsi"/>
                <w:bCs/>
                <w:sz w:val="22"/>
                <w:szCs w:val="22"/>
              </w:rPr>
              <w:t xml:space="preserve"> Source Description set to “WPSDGENRWH1205-0”</w:t>
            </w:r>
            <w:bookmarkStart w:id="2" w:name="_GoBack"/>
            <w:bookmarkEnd w:id="2"/>
          </w:p>
        </w:tc>
      </w:tr>
      <w:tr w:rsidR="0095221A" w:rsidRPr="00DC3FD7" w14:paraId="269B66C1" w14:textId="77777777" w:rsidTr="004E74AB">
        <w:trPr>
          <w:trHeight w:val="20"/>
        </w:trPr>
        <w:tc>
          <w:tcPr>
            <w:tcW w:w="274" w:type="pct"/>
            <w:vAlign w:val="center"/>
          </w:tcPr>
          <w:p w14:paraId="269B66BC" w14:textId="75A60544" w:rsidR="0095221A" w:rsidRPr="00BA47BD" w:rsidRDefault="00030BCF" w:rsidP="0095221A">
            <w:pPr>
              <w:jc w:val="center"/>
              <w:rPr>
                <w:rFonts w:cstheme="minorHAnsi"/>
                <w:bCs/>
                <w:sz w:val="22"/>
                <w:szCs w:val="22"/>
              </w:rPr>
            </w:pPr>
            <w:r>
              <w:rPr>
                <w:rFonts w:cstheme="minorHAnsi"/>
                <w:bCs/>
                <w:sz w:val="22"/>
                <w:szCs w:val="22"/>
              </w:rPr>
              <w:t>0</w:t>
            </w:r>
          </w:p>
        </w:tc>
        <w:tc>
          <w:tcPr>
            <w:tcW w:w="684" w:type="pct"/>
            <w:vAlign w:val="center"/>
          </w:tcPr>
          <w:p w14:paraId="269B66BD" w14:textId="1E8C8CCE" w:rsidR="0095221A" w:rsidRPr="00BA47BD" w:rsidRDefault="00867B4E" w:rsidP="0095221A">
            <w:pPr>
              <w:jc w:val="center"/>
              <w:rPr>
                <w:rFonts w:cstheme="minorHAnsi"/>
                <w:bCs/>
                <w:sz w:val="22"/>
                <w:szCs w:val="22"/>
              </w:rPr>
            </w:pPr>
            <w:r w:rsidRPr="00BA47BD">
              <w:rPr>
                <w:rFonts w:cstheme="minorHAnsi"/>
                <w:sz w:val="22"/>
                <w:szCs w:val="22"/>
              </w:rPr>
              <w:t>12</w:t>
            </w:r>
            <w:r w:rsidR="0095221A" w:rsidRPr="00BA47BD">
              <w:rPr>
                <w:rFonts w:cstheme="minorHAnsi"/>
                <w:sz w:val="22"/>
                <w:szCs w:val="22"/>
              </w:rPr>
              <w:t>/</w:t>
            </w:r>
            <w:r w:rsidR="00BE7943" w:rsidRPr="00BA47BD">
              <w:rPr>
                <w:rFonts w:cstheme="minorHAnsi"/>
                <w:sz w:val="22"/>
                <w:szCs w:val="22"/>
              </w:rPr>
              <w:t>1</w:t>
            </w:r>
            <w:r w:rsidR="007D29DE" w:rsidRPr="00BA47BD">
              <w:rPr>
                <w:rFonts w:cstheme="minorHAnsi"/>
                <w:sz w:val="22"/>
                <w:szCs w:val="22"/>
              </w:rPr>
              <w:t>7</w:t>
            </w:r>
            <w:r w:rsidR="0095221A" w:rsidRPr="00BA47BD">
              <w:rPr>
                <w:rFonts w:cstheme="minorHAnsi"/>
                <w:sz w:val="22"/>
                <w:szCs w:val="22"/>
              </w:rPr>
              <w:t>/201</w:t>
            </w:r>
            <w:r w:rsidR="00BE7943" w:rsidRPr="00BA47BD">
              <w:rPr>
                <w:rFonts w:cstheme="minorHAnsi"/>
                <w:sz w:val="22"/>
                <w:szCs w:val="22"/>
              </w:rPr>
              <w:t>8</w:t>
            </w:r>
          </w:p>
        </w:tc>
        <w:tc>
          <w:tcPr>
            <w:tcW w:w="884" w:type="pct"/>
            <w:vAlign w:val="center"/>
          </w:tcPr>
          <w:p w14:paraId="269B66BE" w14:textId="77777777" w:rsidR="0095221A" w:rsidRPr="00BA47BD" w:rsidRDefault="0095221A" w:rsidP="0095221A">
            <w:pPr>
              <w:rPr>
                <w:rFonts w:cstheme="minorHAnsi"/>
                <w:bCs/>
                <w:sz w:val="22"/>
                <w:szCs w:val="22"/>
              </w:rPr>
            </w:pPr>
            <w:r w:rsidRPr="00BA47BD">
              <w:rPr>
                <w:rFonts w:cstheme="minorHAnsi"/>
                <w:sz w:val="22"/>
                <w:szCs w:val="22"/>
              </w:rPr>
              <w:t>Eduardo Reynoso / SDG&amp;E</w:t>
            </w:r>
          </w:p>
        </w:tc>
        <w:tc>
          <w:tcPr>
            <w:tcW w:w="3158" w:type="pct"/>
          </w:tcPr>
          <w:p w14:paraId="092E7DA5" w14:textId="2E145C87" w:rsidR="002807EC" w:rsidRPr="00BA47BD" w:rsidRDefault="0095221A" w:rsidP="0095221A">
            <w:pPr>
              <w:rPr>
                <w:rFonts w:cstheme="minorHAnsi"/>
                <w:bCs/>
                <w:sz w:val="22"/>
                <w:szCs w:val="22"/>
              </w:rPr>
            </w:pPr>
            <w:r w:rsidRPr="00BA47BD">
              <w:rPr>
                <w:rFonts w:cstheme="minorHAnsi"/>
                <w:bCs/>
                <w:sz w:val="22"/>
                <w:szCs w:val="22"/>
              </w:rPr>
              <w:t xml:space="preserve">1. Proposed abridge short form workpaper for EAR team review. </w:t>
            </w:r>
          </w:p>
          <w:p w14:paraId="3425488C" w14:textId="416B7422" w:rsidR="002807EC" w:rsidRDefault="0095221A" w:rsidP="0095221A">
            <w:pPr>
              <w:rPr>
                <w:rFonts w:cstheme="minorHAnsi"/>
                <w:bCs/>
                <w:sz w:val="22"/>
                <w:szCs w:val="22"/>
              </w:rPr>
            </w:pPr>
            <w:r w:rsidRPr="00BA47BD">
              <w:rPr>
                <w:rFonts w:cstheme="minorHAnsi"/>
                <w:bCs/>
                <w:sz w:val="22"/>
                <w:szCs w:val="22"/>
              </w:rPr>
              <w:t>2.</w:t>
            </w:r>
            <w:r w:rsidR="002807EC">
              <w:rPr>
                <w:rFonts w:cstheme="minorHAnsi"/>
                <w:bCs/>
                <w:sz w:val="22"/>
                <w:szCs w:val="22"/>
              </w:rPr>
              <w:t xml:space="preserve"> Changed SDG&amp;E workpaper ID </w:t>
            </w:r>
            <w:r w:rsidR="008E14E9">
              <w:rPr>
                <w:rFonts w:cstheme="minorHAnsi"/>
                <w:bCs/>
                <w:sz w:val="22"/>
                <w:szCs w:val="22"/>
              </w:rPr>
              <w:t>from WPSDGENRWH1205</w:t>
            </w:r>
            <w:r w:rsidR="008F093B">
              <w:rPr>
                <w:rFonts w:cstheme="minorHAnsi"/>
                <w:bCs/>
                <w:sz w:val="22"/>
                <w:szCs w:val="22"/>
              </w:rPr>
              <w:t>-Rev0</w:t>
            </w:r>
            <w:r w:rsidR="008E14E9">
              <w:rPr>
                <w:rFonts w:cstheme="minorHAnsi"/>
                <w:bCs/>
                <w:sz w:val="22"/>
                <w:szCs w:val="22"/>
              </w:rPr>
              <w:t xml:space="preserve"> to WPSDGENRWH1205A</w:t>
            </w:r>
            <w:r w:rsidR="008F093B">
              <w:rPr>
                <w:rFonts w:cstheme="minorHAnsi"/>
                <w:bCs/>
                <w:sz w:val="22"/>
                <w:szCs w:val="22"/>
              </w:rPr>
              <w:t>-Rev0 and restarted revision history.</w:t>
            </w:r>
            <w:r w:rsidR="00426BCE">
              <w:rPr>
                <w:rFonts w:cstheme="minorHAnsi"/>
                <w:bCs/>
                <w:sz w:val="22"/>
                <w:szCs w:val="22"/>
              </w:rPr>
              <w:t xml:space="preserve"> The Source Description = “WPSDGENRWH1205</w:t>
            </w:r>
            <w:r w:rsidR="00F622BE">
              <w:rPr>
                <w:rFonts w:cstheme="minorHAnsi"/>
                <w:bCs/>
                <w:sz w:val="22"/>
                <w:szCs w:val="22"/>
              </w:rPr>
              <w:t>A</w:t>
            </w:r>
            <w:r w:rsidR="00426BCE">
              <w:rPr>
                <w:rFonts w:cstheme="minorHAnsi"/>
                <w:bCs/>
                <w:sz w:val="22"/>
                <w:szCs w:val="22"/>
              </w:rPr>
              <w:t>-0”</w:t>
            </w:r>
            <w:r w:rsidR="00F622BE">
              <w:rPr>
                <w:rFonts w:cstheme="minorHAnsi"/>
                <w:bCs/>
                <w:sz w:val="22"/>
                <w:szCs w:val="22"/>
              </w:rPr>
              <w:t xml:space="preserve">. </w:t>
            </w:r>
            <w:r w:rsidR="008F093B">
              <w:rPr>
                <w:rFonts w:cstheme="minorHAnsi"/>
                <w:bCs/>
                <w:sz w:val="22"/>
                <w:szCs w:val="22"/>
              </w:rPr>
              <w:t xml:space="preserve"> </w:t>
            </w:r>
            <w:r w:rsidR="002807EC">
              <w:rPr>
                <w:rFonts w:cstheme="minorHAnsi"/>
                <w:bCs/>
                <w:sz w:val="22"/>
                <w:szCs w:val="22"/>
              </w:rPr>
              <w:t xml:space="preserve"> </w:t>
            </w:r>
            <w:r w:rsidRPr="00BA47BD">
              <w:rPr>
                <w:rFonts w:cstheme="minorHAnsi"/>
                <w:bCs/>
                <w:sz w:val="22"/>
                <w:szCs w:val="22"/>
              </w:rPr>
              <w:t xml:space="preserve"> </w:t>
            </w:r>
          </w:p>
          <w:p w14:paraId="61F18E5E" w14:textId="19952238" w:rsidR="00E41CCE" w:rsidRPr="00BA47BD" w:rsidRDefault="002807EC" w:rsidP="0095221A">
            <w:pPr>
              <w:rPr>
                <w:rFonts w:cstheme="minorHAnsi"/>
                <w:bCs/>
                <w:sz w:val="22"/>
                <w:szCs w:val="22"/>
              </w:rPr>
            </w:pPr>
            <w:r>
              <w:rPr>
                <w:rFonts w:cstheme="minorHAnsi"/>
                <w:bCs/>
                <w:sz w:val="22"/>
                <w:szCs w:val="22"/>
              </w:rPr>
              <w:t xml:space="preserve">3. </w:t>
            </w:r>
            <w:r w:rsidR="0095221A" w:rsidRPr="00BA47BD">
              <w:rPr>
                <w:rFonts w:cstheme="minorHAnsi"/>
                <w:bCs/>
                <w:sz w:val="22"/>
                <w:szCs w:val="22"/>
              </w:rPr>
              <w:t xml:space="preserve">Adopted </w:t>
            </w:r>
            <w:r w:rsidR="00BE7943" w:rsidRPr="00BA47BD">
              <w:rPr>
                <w:rFonts w:cstheme="minorHAnsi"/>
                <w:bCs/>
                <w:sz w:val="22"/>
                <w:szCs w:val="22"/>
              </w:rPr>
              <w:t xml:space="preserve">SCG workpaper </w:t>
            </w:r>
            <w:r w:rsidR="00350035" w:rsidRPr="00BA47BD">
              <w:rPr>
                <w:rFonts w:cstheme="minorHAnsi"/>
                <w:bCs/>
                <w:sz w:val="22"/>
                <w:szCs w:val="22"/>
              </w:rPr>
              <w:t>(WPSCGNRWH120206A-Rev1</w:t>
            </w:r>
            <w:r w:rsidR="00B933AC" w:rsidRPr="00BA47BD">
              <w:rPr>
                <w:rFonts w:cstheme="minorHAnsi"/>
                <w:bCs/>
                <w:sz w:val="22"/>
                <w:szCs w:val="22"/>
              </w:rPr>
              <w:t>1</w:t>
            </w:r>
            <w:r w:rsidR="00350035" w:rsidRPr="00BA47BD">
              <w:rPr>
                <w:rFonts w:cstheme="minorHAnsi"/>
                <w:bCs/>
                <w:sz w:val="22"/>
                <w:szCs w:val="22"/>
              </w:rPr>
              <w:t xml:space="preserve">) </w:t>
            </w:r>
            <w:r w:rsidR="00BE7943" w:rsidRPr="00BA47BD">
              <w:rPr>
                <w:rFonts w:cstheme="minorHAnsi"/>
                <w:bCs/>
                <w:sz w:val="22"/>
                <w:szCs w:val="22"/>
              </w:rPr>
              <w:t>measure definitions</w:t>
            </w:r>
            <w:r w:rsidR="005B6210" w:rsidRPr="00BA47BD">
              <w:rPr>
                <w:rFonts w:cstheme="minorHAnsi"/>
                <w:bCs/>
                <w:sz w:val="22"/>
                <w:szCs w:val="22"/>
              </w:rPr>
              <w:t>, savings impacts, and t</w:t>
            </w:r>
            <w:r w:rsidR="006F0D4B" w:rsidRPr="00BA47BD">
              <w:rPr>
                <w:rFonts w:cstheme="minorHAnsi"/>
                <w:bCs/>
                <w:sz w:val="22"/>
                <w:szCs w:val="22"/>
              </w:rPr>
              <w:t xml:space="preserve">echnology </w:t>
            </w:r>
            <w:r w:rsidR="005B6210" w:rsidRPr="00BA47BD">
              <w:rPr>
                <w:rFonts w:cstheme="minorHAnsi"/>
                <w:bCs/>
                <w:sz w:val="22"/>
                <w:szCs w:val="22"/>
              </w:rPr>
              <w:t>c</w:t>
            </w:r>
            <w:r w:rsidR="009406D7" w:rsidRPr="00BA47BD">
              <w:rPr>
                <w:rFonts w:cstheme="minorHAnsi"/>
                <w:bCs/>
                <w:sz w:val="22"/>
                <w:szCs w:val="22"/>
              </w:rPr>
              <w:t>ost</w:t>
            </w:r>
            <w:r w:rsidR="00E41CCE" w:rsidRPr="00BA47BD">
              <w:rPr>
                <w:rFonts w:cstheme="minorHAnsi"/>
                <w:bCs/>
                <w:sz w:val="22"/>
                <w:szCs w:val="22"/>
              </w:rPr>
              <w:t xml:space="preserve">, </w:t>
            </w:r>
            <w:r w:rsidR="00867B4E" w:rsidRPr="00BA47BD">
              <w:rPr>
                <w:rFonts w:cstheme="minorHAnsi"/>
                <w:bCs/>
                <w:sz w:val="22"/>
                <w:szCs w:val="22"/>
              </w:rPr>
              <w:t xml:space="preserve">in support of the </w:t>
            </w:r>
            <w:r w:rsidR="006F0D4B" w:rsidRPr="00BA47BD">
              <w:rPr>
                <w:rFonts w:cstheme="minorHAnsi"/>
                <w:bCs/>
                <w:sz w:val="22"/>
                <w:szCs w:val="22"/>
              </w:rPr>
              <w:t xml:space="preserve">storage </w:t>
            </w:r>
            <w:r w:rsidR="00867B4E" w:rsidRPr="00BA47BD">
              <w:rPr>
                <w:rFonts w:cstheme="minorHAnsi"/>
                <w:bCs/>
                <w:sz w:val="22"/>
                <w:szCs w:val="22"/>
              </w:rPr>
              <w:t xml:space="preserve">water heaters </w:t>
            </w:r>
            <w:r w:rsidR="00FC1B0D" w:rsidRPr="00BA47BD">
              <w:rPr>
                <w:rFonts w:cstheme="minorHAnsi"/>
                <w:bCs/>
                <w:sz w:val="22"/>
                <w:szCs w:val="22"/>
              </w:rPr>
              <w:t xml:space="preserve">rated </w:t>
            </w:r>
            <w:r w:rsidR="006F0D4B" w:rsidRPr="00BA47BD">
              <w:rPr>
                <w:rFonts w:cstheme="minorHAnsi"/>
                <w:bCs/>
                <w:sz w:val="22"/>
                <w:szCs w:val="22"/>
              </w:rPr>
              <w:t>&lt;75kBtuh</w:t>
            </w:r>
            <w:r w:rsidR="00367DF8" w:rsidRPr="00BA47BD">
              <w:rPr>
                <w:rFonts w:cstheme="minorHAnsi"/>
                <w:bCs/>
                <w:sz w:val="22"/>
                <w:szCs w:val="22"/>
              </w:rPr>
              <w:t xml:space="preserve"> </w:t>
            </w:r>
          </w:p>
          <w:p w14:paraId="4C1C5370" w14:textId="23E9BA83" w:rsidR="00627B0B" w:rsidRPr="00BA47BD" w:rsidRDefault="002807EC" w:rsidP="0095221A">
            <w:pPr>
              <w:rPr>
                <w:rFonts w:cstheme="minorHAnsi"/>
                <w:bCs/>
                <w:sz w:val="22"/>
                <w:szCs w:val="22"/>
              </w:rPr>
            </w:pPr>
            <w:r>
              <w:rPr>
                <w:rFonts w:cstheme="minorHAnsi"/>
                <w:bCs/>
                <w:sz w:val="22"/>
                <w:szCs w:val="22"/>
              </w:rPr>
              <w:t>4</w:t>
            </w:r>
            <w:r w:rsidR="00E41CCE" w:rsidRPr="00BA47BD">
              <w:rPr>
                <w:rFonts w:cstheme="minorHAnsi"/>
                <w:bCs/>
                <w:sz w:val="22"/>
                <w:szCs w:val="22"/>
              </w:rPr>
              <w:t xml:space="preserve">. </w:t>
            </w:r>
            <w:r w:rsidR="00867B4E" w:rsidRPr="00BA47BD">
              <w:rPr>
                <w:rFonts w:cstheme="minorHAnsi"/>
                <w:bCs/>
                <w:sz w:val="22"/>
                <w:szCs w:val="22"/>
              </w:rPr>
              <w:t xml:space="preserve"> </w:t>
            </w:r>
            <w:r w:rsidR="006D6FED" w:rsidRPr="00BA47BD">
              <w:rPr>
                <w:rFonts w:cstheme="minorHAnsi"/>
                <w:bCs/>
                <w:sz w:val="22"/>
                <w:szCs w:val="22"/>
              </w:rPr>
              <w:t>N</w:t>
            </w:r>
            <w:r w:rsidR="005743D2" w:rsidRPr="00BA47BD">
              <w:rPr>
                <w:rFonts w:cstheme="minorHAnsi"/>
                <w:bCs/>
                <w:sz w:val="22"/>
                <w:szCs w:val="22"/>
              </w:rPr>
              <w:t>ew 1/1/201</w:t>
            </w:r>
            <w:r w:rsidR="006D6FED" w:rsidRPr="00BA47BD">
              <w:rPr>
                <w:rFonts w:cstheme="minorHAnsi"/>
                <w:bCs/>
                <w:sz w:val="22"/>
                <w:szCs w:val="22"/>
              </w:rPr>
              <w:t>9</w:t>
            </w:r>
            <w:r w:rsidR="005743D2" w:rsidRPr="00BA47BD">
              <w:rPr>
                <w:rFonts w:cstheme="minorHAnsi"/>
                <w:bCs/>
                <w:sz w:val="22"/>
                <w:szCs w:val="22"/>
              </w:rPr>
              <w:t xml:space="preserve"> start dates to </w:t>
            </w:r>
            <w:r w:rsidR="008B239F" w:rsidRPr="00BA47BD">
              <w:rPr>
                <w:rFonts w:cstheme="minorHAnsi"/>
                <w:bCs/>
                <w:sz w:val="22"/>
                <w:szCs w:val="22"/>
              </w:rPr>
              <w:t xml:space="preserve">address Water Heating Disposition issued on 3/1/2018 due to EF to UEF Federal </w:t>
            </w:r>
            <w:r w:rsidR="00787183" w:rsidRPr="00BA47BD">
              <w:rPr>
                <w:rFonts w:cstheme="minorHAnsi"/>
                <w:bCs/>
                <w:sz w:val="22"/>
                <w:szCs w:val="22"/>
              </w:rPr>
              <w:t xml:space="preserve">Code changes. </w:t>
            </w:r>
          </w:p>
          <w:p w14:paraId="172997B3" w14:textId="4B4C714F" w:rsidR="00A031B3" w:rsidRPr="00BA47BD" w:rsidRDefault="002807EC" w:rsidP="00A031B3">
            <w:pPr>
              <w:rPr>
                <w:rFonts w:cstheme="minorHAnsi"/>
                <w:sz w:val="22"/>
                <w:szCs w:val="22"/>
              </w:rPr>
            </w:pPr>
            <w:r>
              <w:rPr>
                <w:rFonts w:cstheme="minorHAnsi"/>
                <w:sz w:val="22"/>
                <w:szCs w:val="22"/>
              </w:rPr>
              <w:t>5</w:t>
            </w:r>
            <w:r w:rsidR="00787183" w:rsidRPr="00BA47BD">
              <w:rPr>
                <w:rFonts w:cstheme="minorHAnsi"/>
                <w:sz w:val="22"/>
                <w:szCs w:val="22"/>
              </w:rPr>
              <w:t xml:space="preserve">. </w:t>
            </w:r>
            <w:r w:rsidR="002F6B1D">
              <w:rPr>
                <w:rFonts w:cstheme="minorHAnsi"/>
                <w:sz w:val="22"/>
                <w:szCs w:val="22"/>
              </w:rPr>
              <w:t>Generated new</w:t>
            </w:r>
            <w:r w:rsidR="00A031B3" w:rsidRPr="00BA47BD">
              <w:rPr>
                <w:rFonts w:cstheme="minorHAnsi"/>
                <w:bCs/>
                <w:sz w:val="22"/>
                <w:szCs w:val="22"/>
              </w:rPr>
              <w:t xml:space="preserve"> measures to account for UEF </w:t>
            </w:r>
            <w:r w:rsidR="002F6B1D">
              <w:rPr>
                <w:rFonts w:cstheme="minorHAnsi"/>
                <w:bCs/>
                <w:sz w:val="22"/>
                <w:szCs w:val="22"/>
              </w:rPr>
              <w:t xml:space="preserve">rating </w:t>
            </w:r>
            <w:r w:rsidR="00A031B3" w:rsidRPr="00BA47BD">
              <w:rPr>
                <w:rFonts w:cstheme="minorHAnsi"/>
                <w:bCs/>
                <w:sz w:val="22"/>
                <w:szCs w:val="22"/>
              </w:rPr>
              <w:t xml:space="preserve">change and adoption of Medium and High Draw </w:t>
            </w:r>
            <w:r w:rsidR="002F6B1D">
              <w:rPr>
                <w:rFonts w:cstheme="minorHAnsi"/>
                <w:bCs/>
                <w:sz w:val="22"/>
                <w:szCs w:val="22"/>
              </w:rPr>
              <w:t>s</w:t>
            </w:r>
            <w:r w:rsidR="00A031B3" w:rsidRPr="00BA47BD">
              <w:rPr>
                <w:rFonts w:cstheme="minorHAnsi"/>
                <w:bCs/>
                <w:sz w:val="22"/>
                <w:szCs w:val="22"/>
              </w:rPr>
              <w:t xml:space="preserve">torage </w:t>
            </w:r>
            <w:r w:rsidR="002F6B1D">
              <w:rPr>
                <w:rFonts w:cstheme="minorHAnsi"/>
                <w:bCs/>
                <w:sz w:val="22"/>
                <w:szCs w:val="22"/>
              </w:rPr>
              <w:t>t</w:t>
            </w:r>
            <w:r w:rsidR="00A031B3" w:rsidRPr="00BA47BD">
              <w:rPr>
                <w:rFonts w:cstheme="minorHAnsi"/>
                <w:bCs/>
                <w:sz w:val="22"/>
                <w:szCs w:val="22"/>
              </w:rPr>
              <w:t xml:space="preserve">ank </w:t>
            </w:r>
            <w:r w:rsidR="002F6B1D">
              <w:rPr>
                <w:rFonts w:cstheme="minorHAnsi"/>
                <w:bCs/>
                <w:sz w:val="22"/>
                <w:szCs w:val="22"/>
              </w:rPr>
              <w:t>w</w:t>
            </w:r>
            <w:r w:rsidR="00A031B3" w:rsidRPr="00BA47BD">
              <w:rPr>
                <w:rFonts w:cstheme="minorHAnsi"/>
                <w:bCs/>
                <w:sz w:val="22"/>
                <w:szCs w:val="22"/>
              </w:rPr>
              <w:t xml:space="preserve">ater </w:t>
            </w:r>
            <w:r w:rsidR="002F6B1D">
              <w:rPr>
                <w:rFonts w:cstheme="minorHAnsi"/>
                <w:bCs/>
                <w:sz w:val="22"/>
                <w:szCs w:val="22"/>
              </w:rPr>
              <w:t>h</w:t>
            </w:r>
            <w:r w:rsidR="00A031B3" w:rsidRPr="00BA47BD">
              <w:rPr>
                <w:rFonts w:cstheme="minorHAnsi"/>
                <w:bCs/>
                <w:sz w:val="22"/>
                <w:szCs w:val="22"/>
              </w:rPr>
              <w:t>eaters.</w:t>
            </w:r>
          </w:p>
          <w:p w14:paraId="5BF09708" w14:textId="7D2F0BD5" w:rsidR="00AB29D6" w:rsidRPr="00BA47BD" w:rsidRDefault="002807EC" w:rsidP="00A031B3">
            <w:pPr>
              <w:rPr>
                <w:rFonts w:cstheme="minorHAnsi"/>
                <w:sz w:val="22"/>
                <w:szCs w:val="22"/>
              </w:rPr>
            </w:pPr>
            <w:r>
              <w:rPr>
                <w:rFonts w:cstheme="minorHAnsi"/>
                <w:sz w:val="22"/>
                <w:szCs w:val="22"/>
              </w:rPr>
              <w:t>6</w:t>
            </w:r>
            <w:r w:rsidR="0098351C" w:rsidRPr="00BA47BD">
              <w:rPr>
                <w:rFonts w:cstheme="minorHAnsi"/>
                <w:sz w:val="22"/>
                <w:szCs w:val="22"/>
              </w:rPr>
              <w:t xml:space="preserve">. </w:t>
            </w:r>
            <w:r w:rsidR="00787183" w:rsidRPr="00BA47BD">
              <w:rPr>
                <w:rFonts w:cstheme="minorHAnsi"/>
                <w:sz w:val="22"/>
                <w:szCs w:val="22"/>
              </w:rPr>
              <w:t>Created new 1/1/2019 start dates to address Resolution</w:t>
            </w:r>
            <w:r w:rsidR="00500EA5" w:rsidRPr="00BA47BD">
              <w:rPr>
                <w:rFonts w:cstheme="minorHAnsi"/>
                <w:sz w:val="22"/>
                <w:szCs w:val="22"/>
              </w:rPr>
              <w:t>s</w:t>
            </w:r>
            <w:r w:rsidR="00787183" w:rsidRPr="00BA47BD">
              <w:rPr>
                <w:rFonts w:cstheme="minorHAnsi"/>
                <w:sz w:val="22"/>
                <w:szCs w:val="22"/>
              </w:rPr>
              <w:t xml:space="preserve"> E-4952</w:t>
            </w:r>
            <w:r w:rsidR="00500EA5" w:rsidRPr="00BA47BD">
              <w:rPr>
                <w:rFonts w:cstheme="minorHAnsi"/>
                <w:sz w:val="22"/>
                <w:szCs w:val="22"/>
              </w:rPr>
              <w:t>/4818</w:t>
            </w:r>
            <w:r w:rsidR="00787183" w:rsidRPr="00BA47BD">
              <w:rPr>
                <w:rFonts w:cstheme="minorHAnsi"/>
                <w:sz w:val="22"/>
                <w:szCs w:val="22"/>
              </w:rPr>
              <w:t xml:space="preserve"> </w:t>
            </w:r>
            <w:r w:rsidR="00500EA5" w:rsidRPr="00BA47BD">
              <w:rPr>
                <w:rFonts w:cstheme="minorHAnsi"/>
                <w:sz w:val="22"/>
                <w:szCs w:val="22"/>
              </w:rPr>
              <w:t>new Measure Application Type</w:t>
            </w:r>
            <w:r w:rsidR="000B3776" w:rsidRPr="00BA47BD">
              <w:rPr>
                <w:rFonts w:cstheme="minorHAnsi"/>
                <w:sz w:val="22"/>
                <w:szCs w:val="22"/>
              </w:rPr>
              <w:t>s.</w:t>
            </w:r>
          </w:p>
          <w:p w14:paraId="269B66C0" w14:textId="5EF7ECCA" w:rsidR="00787183" w:rsidRPr="00BA47BD" w:rsidRDefault="002807EC" w:rsidP="00A031B3">
            <w:pPr>
              <w:rPr>
                <w:rFonts w:cstheme="minorHAnsi"/>
                <w:sz w:val="22"/>
                <w:szCs w:val="22"/>
              </w:rPr>
            </w:pPr>
            <w:r>
              <w:rPr>
                <w:rFonts w:cstheme="minorHAnsi"/>
                <w:sz w:val="22"/>
                <w:szCs w:val="22"/>
              </w:rPr>
              <w:t>7</w:t>
            </w:r>
            <w:r w:rsidR="00AB29D6" w:rsidRPr="00BA47BD">
              <w:rPr>
                <w:rFonts w:cstheme="minorHAnsi"/>
                <w:sz w:val="22"/>
                <w:szCs w:val="22"/>
              </w:rPr>
              <w:t xml:space="preserve">. Updated Energy Savings Impacts </w:t>
            </w:r>
            <w:r w:rsidR="00FC0998" w:rsidRPr="00BA47BD">
              <w:rPr>
                <w:rFonts w:cstheme="minorHAnsi"/>
                <w:sz w:val="22"/>
                <w:szCs w:val="22"/>
              </w:rPr>
              <w:t xml:space="preserve">ex-ante database </w:t>
            </w:r>
            <w:r w:rsidR="008244FE" w:rsidRPr="00BA47BD">
              <w:rPr>
                <w:rFonts w:cstheme="minorHAnsi"/>
                <w:sz w:val="22"/>
                <w:szCs w:val="22"/>
              </w:rPr>
              <w:t xml:space="preserve">records per CPUC staff disposition dated </w:t>
            </w:r>
            <w:r w:rsidR="00684BF2" w:rsidRPr="00BA47BD">
              <w:rPr>
                <w:rFonts w:cstheme="minorHAnsi"/>
                <w:sz w:val="22"/>
                <w:szCs w:val="22"/>
              </w:rPr>
              <w:t>2</w:t>
            </w:r>
            <w:r w:rsidR="008244FE" w:rsidRPr="00BA47BD">
              <w:rPr>
                <w:rFonts w:cstheme="minorHAnsi"/>
                <w:sz w:val="22"/>
                <w:szCs w:val="22"/>
              </w:rPr>
              <w:t>/</w:t>
            </w:r>
            <w:r w:rsidR="00684BF2" w:rsidRPr="00BA47BD">
              <w:rPr>
                <w:rFonts w:cstheme="minorHAnsi"/>
                <w:sz w:val="22"/>
                <w:szCs w:val="22"/>
              </w:rPr>
              <w:t>6</w:t>
            </w:r>
            <w:r w:rsidR="008244FE" w:rsidRPr="00BA47BD">
              <w:rPr>
                <w:rFonts w:cstheme="minorHAnsi"/>
                <w:sz w:val="22"/>
                <w:szCs w:val="22"/>
              </w:rPr>
              <w:t xml:space="preserve">/2019, </w:t>
            </w:r>
            <w:r w:rsidR="00A74DF7" w:rsidRPr="00BA47BD">
              <w:rPr>
                <w:rFonts w:cstheme="minorHAnsi"/>
                <w:sz w:val="22"/>
                <w:szCs w:val="22"/>
              </w:rPr>
              <w:t xml:space="preserve">for </w:t>
            </w:r>
            <w:r w:rsidR="008244FE" w:rsidRPr="00BA47BD">
              <w:rPr>
                <w:rFonts w:cstheme="minorHAnsi"/>
                <w:sz w:val="22"/>
                <w:szCs w:val="22"/>
              </w:rPr>
              <w:t xml:space="preserve">using the latest version of the </w:t>
            </w:r>
            <w:r w:rsidR="00AB2087" w:rsidRPr="00BA47BD">
              <w:rPr>
                <w:rFonts w:cstheme="minorHAnsi"/>
                <w:sz w:val="22"/>
                <w:szCs w:val="22"/>
              </w:rPr>
              <w:t>Water Heating calculator</w:t>
            </w:r>
            <w:r w:rsidR="00A74DF7" w:rsidRPr="00BA47BD">
              <w:rPr>
                <w:rFonts w:cstheme="minorHAnsi"/>
                <w:sz w:val="22"/>
                <w:szCs w:val="22"/>
              </w:rPr>
              <w:t xml:space="preserve"> </w:t>
            </w:r>
            <w:r w:rsidR="00EF22DB" w:rsidRPr="00BA47BD">
              <w:rPr>
                <w:rFonts w:cstheme="minorHAnsi"/>
                <w:sz w:val="22"/>
                <w:szCs w:val="22"/>
              </w:rPr>
              <w:t xml:space="preserve">workbook </w:t>
            </w:r>
            <w:r w:rsidR="00A74DF7" w:rsidRPr="00BA47BD">
              <w:rPr>
                <w:rFonts w:cstheme="minorHAnsi"/>
                <w:sz w:val="22"/>
                <w:szCs w:val="22"/>
              </w:rPr>
              <w:t>“</w:t>
            </w:r>
            <w:r w:rsidR="00827852" w:rsidRPr="00BA47BD">
              <w:rPr>
                <w:sz w:val="22"/>
                <w:szCs w:val="22"/>
              </w:rPr>
              <w:t>workbook DEER-WaterHeater-Calculatorv3.2_rev25Sep2018.xlsm”</w:t>
            </w:r>
            <w:r w:rsidR="008244FE" w:rsidRPr="00BA47BD">
              <w:rPr>
                <w:rFonts w:cstheme="minorHAnsi"/>
                <w:sz w:val="22"/>
                <w:szCs w:val="22"/>
              </w:rPr>
              <w:t xml:space="preserve">. </w:t>
            </w:r>
            <w:r w:rsidR="00367DF8" w:rsidRPr="00BA47BD">
              <w:rPr>
                <w:rFonts w:cstheme="minorHAnsi"/>
                <w:sz w:val="22"/>
                <w:szCs w:val="22"/>
              </w:rPr>
              <w:t xml:space="preserve"> </w:t>
            </w:r>
            <w:r w:rsidR="000B3776" w:rsidRPr="00BA47BD">
              <w:rPr>
                <w:rFonts w:cstheme="minorHAnsi"/>
                <w:sz w:val="22"/>
                <w:szCs w:val="22"/>
              </w:rPr>
              <w:t xml:space="preserve"> </w:t>
            </w:r>
          </w:p>
        </w:tc>
      </w:tr>
    </w:tbl>
    <w:p w14:paraId="269B66C2" w14:textId="45F0FC22" w:rsidR="0095221A" w:rsidRDefault="0095221A" w:rsidP="0095221A">
      <w:pPr>
        <w:rPr>
          <w:rFonts w:cstheme="minorHAnsi"/>
          <w:szCs w:val="22"/>
        </w:rPr>
      </w:pPr>
    </w:p>
    <w:p w14:paraId="5C80DDD0" w14:textId="42065256" w:rsidR="00C4094B" w:rsidRPr="00E43785" w:rsidRDefault="000909DA" w:rsidP="00E43785">
      <w:pPr>
        <w:pStyle w:val="WPPR1"/>
        <w:rPr>
          <w:rFonts w:asciiTheme="minorHAnsi" w:hAnsiTheme="minorHAnsi" w:cstheme="minorHAnsi"/>
          <w:sz w:val="22"/>
          <w:szCs w:val="22"/>
        </w:rPr>
      </w:pPr>
      <w:r>
        <w:rPr>
          <w:rFonts w:asciiTheme="minorHAnsi" w:hAnsiTheme="minorHAnsi" w:cstheme="minorHAnsi"/>
          <w:sz w:val="22"/>
          <w:szCs w:val="22"/>
        </w:rPr>
        <w:t>Eligibility Requirem</w:t>
      </w:r>
      <w:r w:rsidR="00E43785">
        <w:rPr>
          <w:rFonts w:asciiTheme="minorHAnsi" w:hAnsiTheme="minorHAnsi" w:cstheme="minorHAnsi"/>
          <w:sz w:val="22"/>
          <w:szCs w:val="22"/>
        </w:rPr>
        <w:t>ents</w:t>
      </w:r>
    </w:p>
    <w:p w14:paraId="1692DD25" w14:textId="0768A65E" w:rsidR="00D53011" w:rsidRDefault="00D53011" w:rsidP="00785670">
      <w:pPr>
        <w:pStyle w:val="WPPR2"/>
        <w:numPr>
          <w:ilvl w:val="0"/>
          <w:numId w:val="17"/>
        </w:numPr>
        <w:rPr>
          <w:rFonts w:asciiTheme="minorHAnsi" w:hAnsiTheme="minorHAnsi" w:cstheme="minorHAnsi"/>
          <w:sz w:val="22"/>
          <w:szCs w:val="22"/>
        </w:rPr>
      </w:pPr>
      <w:r>
        <w:rPr>
          <w:rFonts w:asciiTheme="minorHAnsi" w:hAnsiTheme="minorHAnsi" w:cstheme="minorHAnsi"/>
          <w:sz w:val="22"/>
          <w:szCs w:val="22"/>
        </w:rPr>
        <w:t xml:space="preserve">Must be </w:t>
      </w:r>
      <w:r w:rsidR="00E43785">
        <w:rPr>
          <w:rFonts w:asciiTheme="minorHAnsi" w:hAnsiTheme="minorHAnsi" w:cstheme="minorHAnsi"/>
          <w:sz w:val="22"/>
          <w:szCs w:val="22"/>
        </w:rPr>
        <w:t xml:space="preserve">meet </w:t>
      </w:r>
      <w:r>
        <w:rPr>
          <w:rFonts w:asciiTheme="minorHAnsi" w:hAnsiTheme="minorHAnsi" w:cstheme="minorHAnsi"/>
          <w:sz w:val="22"/>
          <w:szCs w:val="22"/>
        </w:rPr>
        <w:t xml:space="preserve">Energy Star </w:t>
      </w:r>
      <w:r w:rsidR="000909DA">
        <w:rPr>
          <w:rFonts w:asciiTheme="minorHAnsi" w:hAnsiTheme="minorHAnsi" w:cstheme="minorHAnsi"/>
          <w:sz w:val="22"/>
          <w:szCs w:val="22"/>
        </w:rPr>
        <w:t>Certified</w:t>
      </w:r>
      <w:r w:rsidR="00E43785">
        <w:rPr>
          <w:rFonts w:asciiTheme="minorHAnsi" w:hAnsiTheme="minorHAnsi" w:cstheme="minorHAnsi"/>
          <w:sz w:val="22"/>
          <w:szCs w:val="22"/>
        </w:rPr>
        <w:t xml:space="preserve"> Criteria for Certified Gas-fired Storage Water Heaters below </w:t>
      </w:r>
      <w:proofErr w:type="gramStart"/>
      <w:r w:rsidR="00E43785">
        <w:rPr>
          <w:rFonts w:asciiTheme="minorHAnsi" w:hAnsiTheme="minorHAnsi" w:cstheme="minorHAnsi"/>
          <w:sz w:val="22"/>
          <w:szCs w:val="22"/>
        </w:rPr>
        <w:t>and  l</w:t>
      </w:r>
      <w:r w:rsidR="000909DA">
        <w:rPr>
          <w:rFonts w:asciiTheme="minorHAnsi" w:hAnsiTheme="minorHAnsi" w:cstheme="minorHAnsi"/>
          <w:sz w:val="22"/>
          <w:szCs w:val="22"/>
        </w:rPr>
        <w:t>isted</w:t>
      </w:r>
      <w:proofErr w:type="gramEnd"/>
      <w:r w:rsidR="000909DA">
        <w:rPr>
          <w:rFonts w:asciiTheme="minorHAnsi" w:hAnsiTheme="minorHAnsi" w:cstheme="minorHAnsi"/>
          <w:sz w:val="22"/>
          <w:szCs w:val="22"/>
        </w:rPr>
        <w:t xml:space="preserve"> on Energy Star website</w:t>
      </w:r>
      <w:r w:rsidR="00E43785">
        <w:rPr>
          <w:rFonts w:asciiTheme="minorHAnsi" w:hAnsiTheme="minorHAnsi" w:cstheme="minorHAnsi"/>
          <w:sz w:val="22"/>
          <w:szCs w:val="22"/>
        </w:rPr>
        <w:t>.</w:t>
      </w:r>
      <w:r w:rsidR="000909DA">
        <w:rPr>
          <w:rFonts w:asciiTheme="minorHAnsi" w:hAnsiTheme="minorHAnsi" w:cstheme="minorHAnsi"/>
          <w:sz w:val="22"/>
          <w:szCs w:val="22"/>
        </w:rPr>
        <w:t xml:space="preserve"> </w:t>
      </w:r>
    </w:p>
    <w:p w14:paraId="31612D6D" w14:textId="31343FC0" w:rsidR="00181290" w:rsidRDefault="000909DA" w:rsidP="000909DA">
      <w:pPr>
        <w:pStyle w:val="WPPR2"/>
        <w:numPr>
          <w:ilvl w:val="0"/>
          <w:numId w:val="0"/>
        </w:numPr>
        <w:ind w:left="1584"/>
        <w:rPr>
          <w:rFonts w:asciiTheme="minorHAnsi" w:hAnsiTheme="minorHAnsi" w:cstheme="minorHAnsi"/>
          <w:sz w:val="22"/>
          <w:szCs w:val="22"/>
        </w:rPr>
      </w:pPr>
      <w:r>
        <w:rPr>
          <w:rFonts w:asciiTheme="minorHAnsi" w:hAnsiTheme="minorHAnsi" w:cstheme="minorHAnsi"/>
          <w:sz w:val="22"/>
          <w:szCs w:val="22"/>
        </w:rPr>
        <w:t>(</w:t>
      </w:r>
      <w:hyperlink r:id="rId9" w:history="1">
        <w:r w:rsidRPr="00893C0A">
          <w:rPr>
            <w:rStyle w:val="Hyperlink"/>
            <w:rFonts w:asciiTheme="minorHAnsi" w:hAnsiTheme="minorHAnsi" w:cstheme="minorHAnsi"/>
            <w:sz w:val="22"/>
            <w:szCs w:val="22"/>
          </w:rPr>
          <w:t>https://www.energystar.gov/productfinder/advanced</w:t>
        </w:r>
      </w:hyperlink>
      <w:r>
        <w:rPr>
          <w:rFonts w:asciiTheme="minorHAnsi" w:hAnsiTheme="minorHAnsi" w:cstheme="minorHAnsi"/>
          <w:sz w:val="22"/>
          <w:szCs w:val="22"/>
        </w:rPr>
        <w:t xml:space="preserve"> ) </w:t>
      </w:r>
    </w:p>
    <w:p w14:paraId="7F8658EE" w14:textId="77777777" w:rsidR="00E43785" w:rsidRDefault="00E43785" w:rsidP="006C3A18">
      <w:pPr>
        <w:pStyle w:val="WPPR2"/>
        <w:numPr>
          <w:ilvl w:val="0"/>
          <w:numId w:val="0"/>
        </w:numPr>
        <w:ind w:left="1944"/>
        <w:rPr>
          <w:rFonts w:asciiTheme="minorHAnsi" w:hAnsiTheme="minorHAnsi" w:cstheme="minorHAnsi"/>
          <w:sz w:val="22"/>
          <w:szCs w:val="22"/>
        </w:rPr>
      </w:pPr>
    </w:p>
    <w:p w14:paraId="5D27FCC0" w14:textId="4D75A3B7" w:rsidR="00181290" w:rsidRDefault="00181290" w:rsidP="00432C09">
      <w:pPr>
        <w:spacing w:after="200" w:line="276" w:lineRule="auto"/>
        <w:rPr>
          <w:rFonts w:cstheme="minorHAnsi"/>
          <w:szCs w:val="22"/>
        </w:rPr>
      </w:pPr>
      <w:r>
        <w:rPr>
          <w:noProof/>
        </w:rPr>
        <w:drawing>
          <wp:inline distT="0" distB="0" distL="0" distR="0" wp14:anchorId="6684D1FF" wp14:editId="70A5F977">
            <wp:extent cx="6432550" cy="234907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69696" cy="2362637"/>
                    </a:xfrm>
                    <a:prstGeom prst="rect">
                      <a:avLst/>
                    </a:prstGeom>
                  </pic:spPr>
                </pic:pic>
              </a:graphicData>
            </a:graphic>
          </wp:inline>
        </w:drawing>
      </w:r>
    </w:p>
    <w:p w14:paraId="3431CD08" w14:textId="43FA822E" w:rsidR="00E43785" w:rsidRDefault="00E43785" w:rsidP="00E43785">
      <w:pPr>
        <w:pStyle w:val="WPPR2"/>
        <w:numPr>
          <w:ilvl w:val="0"/>
          <w:numId w:val="17"/>
        </w:numPr>
        <w:rPr>
          <w:rFonts w:asciiTheme="minorHAnsi" w:hAnsiTheme="minorHAnsi" w:cstheme="minorHAnsi"/>
          <w:sz w:val="22"/>
          <w:szCs w:val="22"/>
        </w:rPr>
      </w:pPr>
      <w:r w:rsidRPr="00785670">
        <w:rPr>
          <w:rFonts w:asciiTheme="minorHAnsi" w:hAnsiTheme="minorHAnsi" w:cstheme="minorHAnsi"/>
          <w:sz w:val="22"/>
          <w:szCs w:val="22"/>
        </w:rPr>
        <w:t xml:space="preserve">All storage water heating units must </w:t>
      </w:r>
      <w:r>
        <w:rPr>
          <w:rFonts w:asciiTheme="minorHAnsi" w:hAnsiTheme="minorHAnsi" w:cstheme="minorHAnsi"/>
          <w:sz w:val="22"/>
          <w:szCs w:val="22"/>
        </w:rPr>
        <w:t xml:space="preserve">meet or </w:t>
      </w:r>
      <w:r w:rsidRPr="00785670">
        <w:rPr>
          <w:rFonts w:asciiTheme="minorHAnsi" w:hAnsiTheme="minorHAnsi" w:cstheme="minorHAnsi"/>
          <w:sz w:val="22"/>
          <w:szCs w:val="22"/>
        </w:rPr>
        <w:t xml:space="preserve">exceed the </w:t>
      </w:r>
      <w:r>
        <w:rPr>
          <w:rFonts w:asciiTheme="minorHAnsi" w:hAnsiTheme="minorHAnsi" w:cstheme="minorHAnsi"/>
          <w:sz w:val="22"/>
          <w:szCs w:val="22"/>
        </w:rPr>
        <w:t>Unified Energy Factor (</w:t>
      </w:r>
      <w:r w:rsidRPr="00785670">
        <w:rPr>
          <w:rFonts w:asciiTheme="minorHAnsi" w:hAnsiTheme="minorHAnsi" w:cstheme="minorHAnsi"/>
          <w:sz w:val="22"/>
          <w:szCs w:val="22"/>
        </w:rPr>
        <w:t>UEF</w:t>
      </w:r>
      <w:r>
        <w:rPr>
          <w:rFonts w:asciiTheme="minorHAnsi" w:hAnsiTheme="minorHAnsi" w:cstheme="minorHAnsi"/>
          <w:sz w:val="22"/>
          <w:szCs w:val="22"/>
        </w:rPr>
        <w:t>)</w:t>
      </w:r>
      <w:r w:rsidRPr="00785670">
        <w:rPr>
          <w:rFonts w:asciiTheme="minorHAnsi" w:hAnsiTheme="minorHAnsi" w:cstheme="minorHAnsi"/>
          <w:sz w:val="22"/>
          <w:szCs w:val="22"/>
        </w:rPr>
        <w:t xml:space="preserve"> values described in the following measure summary table to participate in the EE program.</w:t>
      </w:r>
    </w:p>
    <w:p w14:paraId="7C610429" w14:textId="30E996DA" w:rsidR="00FD1A12" w:rsidRDefault="00FD1A12" w:rsidP="00FD1A12">
      <w:pPr>
        <w:pStyle w:val="WPPR2"/>
        <w:numPr>
          <w:ilvl w:val="0"/>
          <w:numId w:val="0"/>
        </w:numPr>
        <w:ind w:left="2880" w:hanging="360"/>
        <w:rPr>
          <w:rFonts w:asciiTheme="minorHAnsi" w:hAnsiTheme="minorHAnsi" w:cstheme="minorHAnsi"/>
          <w:sz w:val="22"/>
          <w:szCs w:val="22"/>
        </w:rPr>
      </w:pPr>
    </w:p>
    <w:p w14:paraId="0C4CE9B6" w14:textId="7F4273D9" w:rsidR="00FD1A12" w:rsidRDefault="00FD1A12" w:rsidP="004B1EF8">
      <w:pPr>
        <w:pStyle w:val="WPPR2"/>
        <w:numPr>
          <w:ilvl w:val="0"/>
          <w:numId w:val="0"/>
        </w:numPr>
        <w:rPr>
          <w:rFonts w:asciiTheme="minorHAnsi" w:hAnsiTheme="minorHAnsi" w:cstheme="minorHAnsi"/>
          <w:sz w:val="22"/>
          <w:szCs w:val="22"/>
        </w:rPr>
      </w:pPr>
    </w:p>
    <w:p w14:paraId="3363401F" w14:textId="019FBB82" w:rsidR="00FD1A12" w:rsidRDefault="00FD1A12" w:rsidP="00FD1A12">
      <w:pPr>
        <w:pStyle w:val="WPPR2"/>
        <w:numPr>
          <w:ilvl w:val="0"/>
          <w:numId w:val="0"/>
        </w:numPr>
        <w:ind w:left="2880" w:hanging="360"/>
        <w:rPr>
          <w:rFonts w:asciiTheme="minorHAnsi" w:hAnsiTheme="minorHAnsi" w:cstheme="minorHAnsi"/>
          <w:sz w:val="22"/>
          <w:szCs w:val="22"/>
        </w:rPr>
      </w:pPr>
    </w:p>
    <w:p w14:paraId="67E92053" w14:textId="7589EF89" w:rsidR="00FD1A12" w:rsidRDefault="00FD1A12" w:rsidP="00FD1A12">
      <w:pPr>
        <w:pStyle w:val="WPPR2"/>
        <w:numPr>
          <w:ilvl w:val="0"/>
          <w:numId w:val="0"/>
        </w:numPr>
        <w:ind w:left="2880" w:hanging="360"/>
        <w:rPr>
          <w:rFonts w:asciiTheme="minorHAnsi" w:hAnsiTheme="minorHAnsi" w:cstheme="minorHAnsi"/>
          <w:sz w:val="22"/>
          <w:szCs w:val="22"/>
        </w:rPr>
      </w:pPr>
    </w:p>
    <w:p w14:paraId="47B748D7" w14:textId="5D723380" w:rsidR="00FD1A12" w:rsidRDefault="00FD1A12" w:rsidP="00FD1A12">
      <w:pPr>
        <w:pStyle w:val="WPPR2"/>
        <w:numPr>
          <w:ilvl w:val="0"/>
          <w:numId w:val="0"/>
        </w:numPr>
        <w:ind w:left="2880" w:hanging="360"/>
        <w:rPr>
          <w:rFonts w:asciiTheme="minorHAnsi" w:hAnsiTheme="minorHAnsi" w:cstheme="minorHAnsi"/>
          <w:sz w:val="22"/>
          <w:szCs w:val="22"/>
        </w:rPr>
      </w:pPr>
    </w:p>
    <w:p w14:paraId="012E95B6" w14:textId="77777777" w:rsidR="00FD1A12" w:rsidRDefault="00FD1A12" w:rsidP="00FD1A12">
      <w:pPr>
        <w:pStyle w:val="WPPR2"/>
        <w:numPr>
          <w:ilvl w:val="0"/>
          <w:numId w:val="0"/>
        </w:numPr>
        <w:ind w:left="2880" w:hanging="360"/>
        <w:rPr>
          <w:rFonts w:asciiTheme="minorHAnsi" w:hAnsiTheme="minorHAnsi" w:cstheme="minorHAnsi"/>
          <w:sz w:val="22"/>
          <w:szCs w:val="22"/>
        </w:rPr>
      </w:pPr>
    </w:p>
    <w:p w14:paraId="38AC4654" w14:textId="77777777" w:rsidR="00FD1A12" w:rsidRPr="00155158" w:rsidRDefault="00FD1A12" w:rsidP="00FD1A12">
      <w:pPr>
        <w:pStyle w:val="NoSpacing"/>
        <w:ind w:left="1944"/>
        <w:rPr>
          <w:b/>
        </w:rPr>
      </w:pPr>
      <w:r>
        <w:rPr>
          <w:b/>
        </w:rPr>
        <w:t>Measure Summary Table</w:t>
      </w:r>
    </w:p>
    <w:tbl>
      <w:tblPr>
        <w:tblpPr w:leftFromText="180" w:rightFromText="180" w:vertAnchor="text" w:horzAnchor="margin" w:tblpXSpec="center" w:tblpY="117"/>
        <w:tblW w:w="9360" w:type="dxa"/>
        <w:tblLook w:val="04A0" w:firstRow="1" w:lastRow="0" w:firstColumn="1" w:lastColumn="0" w:noHBand="0" w:noVBand="1"/>
      </w:tblPr>
      <w:tblGrid>
        <w:gridCol w:w="2730"/>
        <w:gridCol w:w="3315"/>
        <w:gridCol w:w="3315"/>
      </w:tblGrid>
      <w:tr w:rsidR="00FD1A12" w:rsidRPr="0036322C" w14:paraId="19CE170C" w14:textId="77777777" w:rsidTr="00E341D6">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D0CECE"/>
            <w:vAlign w:val="center"/>
          </w:tcPr>
          <w:p w14:paraId="4412C51B"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Measure ID</w:t>
            </w:r>
          </w:p>
        </w:tc>
        <w:tc>
          <w:tcPr>
            <w:tcW w:w="331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F206651"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Measure Description</w:t>
            </w:r>
          </w:p>
        </w:tc>
        <w:tc>
          <w:tcPr>
            <w:tcW w:w="331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901EC2C" w14:textId="77777777" w:rsidR="00FD1A12" w:rsidRPr="0036322C" w:rsidRDefault="00FD1A12" w:rsidP="00A231F6">
            <w:pPr>
              <w:jc w:val="center"/>
              <w:rPr>
                <w:rFonts w:ascii="Calibri" w:hAnsi="Calibri" w:cs="Calibri"/>
                <w:b/>
                <w:bCs/>
                <w:i/>
                <w:iCs/>
                <w:sz w:val="20"/>
                <w:szCs w:val="20"/>
              </w:rPr>
            </w:pPr>
            <w:r w:rsidRPr="0036322C">
              <w:rPr>
                <w:rFonts w:ascii="Calibri" w:hAnsi="Calibri" w:cs="Calibri"/>
                <w:b/>
                <w:bCs/>
                <w:i/>
                <w:iCs/>
                <w:sz w:val="20"/>
                <w:szCs w:val="20"/>
              </w:rPr>
              <w:t>Baseline Description</w:t>
            </w:r>
          </w:p>
        </w:tc>
      </w:tr>
      <w:tr w:rsidR="0049749E" w:rsidRPr="0036322C" w14:paraId="03191770" w14:textId="77777777" w:rsidTr="003C0C2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703475CF" w14:textId="76C5F739" w:rsidR="0049749E" w:rsidRPr="0036322C" w:rsidRDefault="0049749E" w:rsidP="0049749E">
            <w:pPr>
              <w:jc w:val="center"/>
              <w:rPr>
                <w:rFonts w:ascii="Calibri" w:hAnsi="Calibri" w:cs="Calibri"/>
                <w:bCs/>
                <w:iCs/>
                <w:sz w:val="20"/>
                <w:szCs w:val="20"/>
              </w:rPr>
            </w:pPr>
            <w:r w:rsidRPr="0036322C">
              <w:rPr>
                <w:sz w:val="20"/>
                <w:szCs w:val="20"/>
              </w:rPr>
              <w:t>WPSDGENRWH1205A-Rev00-Msr001</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27987E59" w14:textId="78717CE4" w:rsidR="0049749E" w:rsidRPr="0036322C" w:rsidRDefault="0049749E" w:rsidP="0049749E">
            <w:pPr>
              <w:rPr>
                <w:rFonts w:ascii="Calibri" w:hAnsi="Calibri" w:cs="Calibri"/>
                <w:bCs/>
                <w:iCs/>
                <w:sz w:val="20"/>
                <w:szCs w:val="20"/>
              </w:rPr>
            </w:pPr>
            <w:r w:rsidRPr="0036322C">
              <w:rPr>
                <w:rFonts w:ascii="Calibri" w:hAnsi="Calibri" w:cs="Calibri"/>
                <w:sz w:val="20"/>
                <w:szCs w:val="20"/>
              </w:rPr>
              <w:t>30 Gallon Medium Draw water heater with a rating of ≥0.64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3ED08" w14:textId="58F35360"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Medium Draw 30 Gallon Gas Storage Water heater with a rating ≥ 0.60 UEF</w:t>
            </w:r>
          </w:p>
        </w:tc>
      </w:tr>
      <w:tr w:rsidR="0049749E" w:rsidRPr="0036322C" w14:paraId="5043A09E" w14:textId="77777777" w:rsidTr="00C13CDA">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56E0A165" w14:textId="30F84292" w:rsidR="0049749E" w:rsidRPr="0036322C" w:rsidRDefault="0049749E" w:rsidP="0049749E">
            <w:pPr>
              <w:jc w:val="center"/>
              <w:rPr>
                <w:rFonts w:ascii="Calibri" w:hAnsi="Calibri" w:cs="Calibri"/>
                <w:bCs/>
                <w:iCs/>
                <w:sz w:val="20"/>
                <w:szCs w:val="20"/>
              </w:rPr>
            </w:pPr>
            <w:r w:rsidRPr="0036322C">
              <w:rPr>
                <w:sz w:val="20"/>
                <w:szCs w:val="20"/>
              </w:rPr>
              <w:t>WPSDGENRWH1205A-Rev00-Msr002</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029C85E6" w14:textId="39C117FF" w:rsidR="0049749E" w:rsidRPr="0036322C" w:rsidRDefault="0049749E" w:rsidP="0049749E">
            <w:pPr>
              <w:rPr>
                <w:rFonts w:ascii="Calibri" w:hAnsi="Calibri" w:cs="Calibri"/>
                <w:bCs/>
                <w:iCs/>
                <w:sz w:val="20"/>
                <w:szCs w:val="20"/>
              </w:rPr>
            </w:pPr>
            <w:r w:rsidRPr="0036322C">
              <w:rPr>
                <w:rFonts w:ascii="Calibri" w:hAnsi="Calibri" w:cs="Calibri"/>
                <w:sz w:val="20"/>
                <w:szCs w:val="20"/>
              </w:rPr>
              <w:t>40 Gallon Medium Draw water heater with a rating of ≥0.64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972BD" w14:textId="09D2740D"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Medium Draw 40 Gallon Gas Storage Water heater with a rating ≥ 0.58 UEF</w:t>
            </w:r>
          </w:p>
        </w:tc>
      </w:tr>
      <w:tr w:rsidR="0049749E" w:rsidRPr="0036322C" w14:paraId="5473C1D5" w14:textId="77777777" w:rsidTr="00366B7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4685842C" w14:textId="12EA85B3" w:rsidR="0049749E" w:rsidRPr="0036322C" w:rsidRDefault="0049749E" w:rsidP="0049749E">
            <w:pPr>
              <w:jc w:val="center"/>
              <w:rPr>
                <w:rFonts w:ascii="Calibri" w:hAnsi="Calibri" w:cs="Calibri"/>
                <w:bCs/>
                <w:iCs/>
                <w:sz w:val="20"/>
                <w:szCs w:val="20"/>
              </w:rPr>
            </w:pPr>
            <w:r w:rsidRPr="0036322C">
              <w:rPr>
                <w:sz w:val="20"/>
                <w:szCs w:val="20"/>
              </w:rPr>
              <w:t>WPSDGENRWH1205A-Rev00-Msr003</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0B2C76C3" w14:textId="042178A3" w:rsidR="0049749E" w:rsidRPr="0036322C" w:rsidRDefault="0049749E" w:rsidP="0049749E">
            <w:pPr>
              <w:rPr>
                <w:rFonts w:ascii="Calibri" w:hAnsi="Calibri" w:cs="Calibri"/>
                <w:bCs/>
                <w:iCs/>
                <w:sz w:val="20"/>
                <w:szCs w:val="20"/>
              </w:rPr>
            </w:pPr>
            <w:r w:rsidRPr="0036322C">
              <w:rPr>
                <w:rFonts w:ascii="Calibri" w:hAnsi="Calibri" w:cs="Calibri"/>
                <w:sz w:val="20"/>
                <w:szCs w:val="20"/>
              </w:rPr>
              <w:t>50 Gallon Medium Draw water heater with a rating of ≥0.64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4C419" w14:textId="69BAD8F5"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Medium Draw 50 Gallon Gas Storage Water heater with a rating ≥ 0.56 UEF</w:t>
            </w:r>
          </w:p>
        </w:tc>
      </w:tr>
      <w:tr w:rsidR="0049749E" w:rsidRPr="0036322C" w14:paraId="08D7ECA2" w14:textId="77777777" w:rsidTr="004D50F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77DFDE8B" w14:textId="0B5D3401" w:rsidR="0049749E" w:rsidRPr="0036322C" w:rsidRDefault="0049749E" w:rsidP="0049749E">
            <w:pPr>
              <w:jc w:val="center"/>
              <w:rPr>
                <w:rFonts w:ascii="Calibri" w:hAnsi="Calibri" w:cs="Calibri"/>
                <w:bCs/>
                <w:iCs/>
                <w:sz w:val="20"/>
                <w:szCs w:val="20"/>
              </w:rPr>
            </w:pPr>
            <w:r w:rsidRPr="0036322C">
              <w:rPr>
                <w:sz w:val="20"/>
                <w:szCs w:val="20"/>
              </w:rPr>
              <w:t>WPSDGENRWH1205A-Rev00-Msr004</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6269765A" w14:textId="473747C0" w:rsidR="0049749E" w:rsidRPr="0036322C" w:rsidRDefault="0049749E" w:rsidP="0049749E">
            <w:pPr>
              <w:rPr>
                <w:rFonts w:ascii="Calibri" w:hAnsi="Calibri" w:cs="Calibri"/>
                <w:bCs/>
                <w:iCs/>
                <w:sz w:val="20"/>
                <w:szCs w:val="20"/>
              </w:rPr>
            </w:pPr>
            <w:r w:rsidRPr="0036322C">
              <w:rPr>
                <w:rFonts w:ascii="Calibri" w:hAnsi="Calibri" w:cs="Calibri"/>
                <w:sz w:val="20"/>
                <w:szCs w:val="20"/>
              </w:rPr>
              <w:t>30 Gallon High Draw water heater with a rating of ≥0.68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E3E47" w14:textId="40221EB9"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High Draw 30 Gallon Gas Storage Water heater with a rating ≥ 0.65 UEF</w:t>
            </w:r>
          </w:p>
        </w:tc>
      </w:tr>
      <w:tr w:rsidR="0049749E" w:rsidRPr="0036322C" w14:paraId="0319FB46" w14:textId="77777777" w:rsidTr="00B67391">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752A48EB" w14:textId="2FE1051B" w:rsidR="0049749E" w:rsidRPr="0036322C" w:rsidRDefault="0049749E" w:rsidP="0049749E">
            <w:pPr>
              <w:jc w:val="center"/>
              <w:rPr>
                <w:rFonts w:ascii="Calibri" w:hAnsi="Calibri" w:cs="Calibri"/>
                <w:bCs/>
                <w:iCs/>
                <w:sz w:val="20"/>
                <w:szCs w:val="20"/>
              </w:rPr>
            </w:pPr>
            <w:r w:rsidRPr="0036322C">
              <w:rPr>
                <w:sz w:val="20"/>
                <w:szCs w:val="20"/>
              </w:rPr>
              <w:t>WPSDGENRWH1205A-Rev00-Msr005</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723C4A37" w14:textId="7FA3D45D" w:rsidR="0049749E" w:rsidRPr="0036322C" w:rsidRDefault="0049749E" w:rsidP="0049749E">
            <w:pPr>
              <w:rPr>
                <w:rFonts w:ascii="Calibri" w:hAnsi="Calibri" w:cs="Calibri"/>
                <w:bCs/>
                <w:iCs/>
                <w:sz w:val="20"/>
                <w:szCs w:val="20"/>
              </w:rPr>
            </w:pPr>
            <w:r w:rsidRPr="0036322C">
              <w:rPr>
                <w:rFonts w:ascii="Calibri" w:hAnsi="Calibri" w:cs="Calibri"/>
                <w:sz w:val="20"/>
                <w:szCs w:val="20"/>
              </w:rPr>
              <w:t>40 Gallon High Draw water heater with a rating of ≥0.68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82116" w14:textId="78017260"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High Draw 40 Gallon Gas Storage Water heater with a rating ≥ 0.64 UEF</w:t>
            </w:r>
          </w:p>
        </w:tc>
      </w:tr>
      <w:tr w:rsidR="0049749E" w:rsidRPr="0036322C" w14:paraId="4184B70F" w14:textId="77777777" w:rsidTr="00D104BC">
        <w:trPr>
          <w:trHeight w:val="534"/>
        </w:trPr>
        <w:tc>
          <w:tcPr>
            <w:tcW w:w="2730" w:type="dxa"/>
            <w:tcBorders>
              <w:top w:val="single" w:sz="4" w:space="0" w:color="auto"/>
              <w:left w:val="single" w:sz="4" w:space="0" w:color="auto"/>
              <w:bottom w:val="single" w:sz="4" w:space="0" w:color="auto"/>
              <w:right w:val="single" w:sz="4" w:space="0" w:color="auto"/>
            </w:tcBorders>
            <w:shd w:val="clear" w:color="000000" w:fill="FFFFFF" w:themeFill="background1"/>
          </w:tcPr>
          <w:p w14:paraId="16C95B56" w14:textId="758FB372" w:rsidR="0049749E" w:rsidRPr="0036322C" w:rsidRDefault="0049749E" w:rsidP="0049749E">
            <w:pPr>
              <w:jc w:val="center"/>
              <w:rPr>
                <w:rFonts w:ascii="Calibri" w:hAnsi="Calibri" w:cs="Calibri"/>
                <w:bCs/>
                <w:iCs/>
                <w:sz w:val="20"/>
                <w:szCs w:val="20"/>
              </w:rPr>
            </w:pPr>
            <w:r w:rsidRPr="0036322C">
              <w:rPr>
                <w:sz w:val="20"/>
                <w:szCs w:val="20"/>
              </w:rPr>
              <w:t>WPSDGENRWH1205A-Rev00-Msr006</w:t>
            </w:r>
          </w:p>
        </w:tc>
        <w:tc>
          <w:tcPr>
            <w:tcW w:w="3315"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45C1C0D8" w14:textId="4BBB2237" w:rsidR="0049749E" w:rsidRPr="0036322C" w:rsidRDefault="0049749E" w:rsidP="0049749E">
            <w:pPr>
              <w:rPr>
                <w:rFonts w:ascii="Calibri" w:hAnsi="Calibri" w:cs="Calibri"/>
                <w:bCs/>
                <w:iCs/>
                <w:sz w:val="20"/>
                <w:szCs w:val="20"/>
              </w:rPr>
            </w:pPr>
            <w:r w:rsidRPr="0036322C">
              <w:rPr>
                <w:rFonts w:ascii="Calibri" w:hAnsi="Calibri" w:cs="Calibri"/>
                <w:sz w:val="20"/>
                <w:szCs w:val="20"/>
              </w:rPr>
              <w:t>50 Gallon High Draw water heater with a rating of ≥0.68 UEF; Savings Converted into Cap-</w:t>
            </w:r>
            <w:proofErr w:type="spellStart"/>
            <w:r w:rsidRPr="0036322C">
              <w:rPr>
                <w:rFonts w:ascii="Calibri" w:hAnsi="Calibri" w:cs="Calibri"/>
                <w:sz w:val="20"/>
                <w:szCs w:val="20"/>
              </w:rPr>
              <w:t>kBTUh</w:t>
            </w:r>
            <w:proofErr w:type="spellEnd"/>
          </w:p>
        </w:tc>
        <w:tc>
          <w:tcPr>
            <w:tcW w:w="3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FFDB4" w14:textId="6A8DBE8A" w:rsidR="0049749E" w:rsidRPr="0036322C" w:rsidRDefault="0049749E" w:rsidP="0049749E">
            <w:pPr>
              <w:jc w:val="center"/>
              <w:rPr>
                <w:rFonts w:ascii="Calibri" w:hAnsi="Calibri" w:cs="Calibri"/>
                <w:bCs/>
                <w:iCs/>
                <w:sz w:val="20"/>
                <w:szCs w:val="20"/>
              </w:rPr>
            </w:pPr>
            <w:r w:rsidRPr="0036322C">
              <w:rPr>
                <w:rFonts w:ascii="Calibri" w:hAnsi="Calibri" w:cs="Calibri"/>
                <w:sz w:val="20"/>
                <w:szCs w:val="20"/>
              </w:rPr>
              <w:t>High Draw 50 Gallon Gas Storage Water heater with a rating ≥ 0.63 UEF</w:t>
            </w:r>
          </w:p>
        </w:tc>
      </w:tr>
    </w:tbl>
    <w:p w14:paraId="0E4B2B8A" w14:textId="51744B51" w:rsidR="00C4094B" w:rsidRDefault="00C4094B" w:rsidP="00C4094B">
      <w:pPr>
        <w:pStyle w:val="WPPR2"/>
        <w:numPr>
          <w:ilvl w:val="0"/>
          <w:numId w:val="0"/>
        </w:numPr>
        <w:rPr>
          <w:rFonts w:asciiTheme="minorHAnsi" w:hAnsiTheme="minorHAnsi" w:cstheme="minorHAnsi"/>
          <w:sz w:val="22"/>
          <w:szCs w:val="22"/>
        </w:rPr>
      </w:pPr>
    </w:p>
    <w:p w14:paraId="757A4734" w14:textId="77777777" w:rsidR="00E43785" w:rsidRDefault="00E43785" w:rsidP="00C4094B">
      <w:pPr>
        <w:pStyle w:val="WPPR2"/>
        <w:numPr>
          <w:ilvl w:val="0"/>
          <w:numId w:val="0"/>
        </w:numPr>
        <w:rPr>
          <w:rFonts w:asciiTheme="minorHAnsi" w:hAnsiTheme="minorHAnsi" w:cstheme="minorHAnsi"/>
          <w:sz w:val="22"/>
          <w:szCs w:val="22"/>
        </w:rPr>
      </w:pPr>
    </w:p>
    <w:p w14:paraId="2ED6434F" w14:textId="6D3E3654" w:rsidR="00432C09" w:rsidRDefault="00432C09" w:rsidP="00C4094B">
      <w:pPr>
        <w:pStyle w:val="WPPR2"/>
        <w:numPr>
          <w:ilvl w:val="0"/>
          <w:numId w:val="0"/>
        </w:numPr>
        <w:rPr>
          <w:rFonts w:asciiTheme="minorHAnsi" w:hAnsiTheme="minorHAnsi" w:cstheme="minorHAnsi"/>
          <w:sz w:val="22"/>
          <w:szCs w:val="22"/>
        </w:rPr>
      </w:pPr>
    </w:p>
    <w:p w14:paraId="06B72BCE" w14:textId="3C1837E8" w:rsidR="00432C09" w:rsidRDefault="00432C09" w:rsidP="00C4094B">
      <w:pPr>
        <w:pStyle w:val="WPPR2"/>
        <w:numPr>
          <w:ilvl w:val="0"/>
          <w:numId w:val="0"/>
        </w:numPr>
        <w:rPr>
          <w:rFonts w:asciiTheme="minorHAnsi" w:hAnsiTheme="minorHAnsi" w:cstheme="minorHAnsi"/>
          <w:sz w:val="22"/>
          <w:szCs w:val="22"/>
        </w:rPr>
      </w:pPr>
    </w:p>
    <w:p w14:paraId="0825905B" w14:textId="241FBB11" w:rsidR="00432C09" w:rsidRDefault="00432C09" w:rsidP="00C4094B">
      <w:pPr>
        <w:pStyle w:val="WPPR2"/>
        <w:numPr>
          <w:ilvl w:val="0"/>
          <w:numId w:val="0"/>
        </w:numPr>
        <w:rPr>
          <w:rFonts w:asciiTheme="minorHAnsi" w:hAnsiTheme="minorHAnsi" w:cstheme="minorHAnsi"/>
          <w:sz w:val="22"/>
          <w:szCs w:val="22"/>
        </w:rPr>
      </w:pPr>
    </w:p>
    <w:p w14:paraId="70584401" w14:textId="0535C97C" w:rsidR="00432C09" w:rsidRDefault="00432C09" w:rsidP="00C4094B">
      <w:pPr>
        <w:pStyle w:val="WPPR2"/>
        <w:numPr>
          <w:ilvl w:val="0"/>
          <w:numId w:val="0"/>
        </w:numPr>
        <w:rPr>
          <w:rFonts w:asciiTheme="minorHAnsi" w:hAnsiTheme="minorHAnsi" w:cstheme="minorHAnsi"/>
          <w:sz w:val="22"/>
          <w:szCs w:val="22"/>
        </w:rPr>
      </w:pPr>
    </w:p>
    <w:p w14:paraId="7B7F5BE8" w14:textId="5FF5C685" w:rsidR="00432C09" w:rsidRDefault="00432C09" w:rsidP="00C4094B">
      <w:pPr>
        <w:pStyle w:val="WPPR2"/>
        <w:numPr>
          <w:ilvl w:val="0"/>
          <w:numId w:val="0"/>
        </w:numPr>
        <w:rPr>
          <w:rFonts w:asciiTheme="minorHAnsi" w:hAnsiTheme="minorHAnsi" w:cstheme="minorHAnsi"/>
          <w:sz w:val="22"/>
          <w:szCs w:val="22"/>
        </w:rPr>
      </w:pPr>
    </w:p>
    <w:p w14:paraId="72CDC43D" w14:textId="77777777" w:rsidR="00432C09" w:rsidRPr="00DC3FD7" w:rsidRDefault="00432C09" w:rsidP="00C4094B">
      <w:pPr>
        <w:pStyle w:val="WPPR2"/>
        <w:numPr>
          <w:ilvl w:val="0"/>
          <w:numId w:val="0"/>
        </w:numPr>
        <w:rPr>
          <w:rFonts w:asciiTheme="minorHAnsi" w:hAnsiTheme="minorHAnsi" w:cstheme="minorHAnsi"/>
          <w:sz w:val="22"/>
          <w:szCs w:val="22"/>
        </w:rPr>
      </w:pPr>
    </w:p>
    <w:p w14:paraId="74D1FE82"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Implementation Requirements</w:t>
      </w:r>
    </w:p>
    <w:p w14:paraId="371DB5F7" w14:textId="6E0E7159"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The rebate applies to gas-for-gas equipment replacements on </w:t>
      </w:r>
      <w:r w:rsidR="00C366B3" w:rsidRPr="0036322C">
        <w:rPr>
          <w:rFonts w:asciiTheme="minorHAnsi" w:hAnsiTheme="minorHAnsi" w:cstheme="minorHAnsi"/>
        </w:rPr>
        <w:t xml:space="preserve">normal replacement (or </w:t>
      </w:r>
      <w:r w:rsidRPr="0036322C">
        <w:rPr>
          <w:rFonts w:asciiTheme="minorHAnsi" w:hAnsiTheme="minorHAnsi" w:cstheme="minorHAnsi"/>
        </w:rPr>
        <w:t>burnout</w:t>
      </w:r>
      <w:r w:rsidR="00C366B3" w:rsidRPr="0036322C">
        <w:rPr>
          <w:rFonts w:asciiTheme="minorHAnsi" w:hAnsiTheme="minorHAnsi" w:cstheme="minorHAnsi"/>
        </w:rPr>
        <w:t>)</w:t>
      </w:r>
      <w:r w:rsidRPr="0036322C">
        <w:rPr>
          <w:rFonts w:asciiTheme="minorHAnsi" w:hAnsiTheme="minorHAnsi" w:cstheme="minorHAnsi"/>
        </w:rPr>
        <w:t xml:space="preserve"> to new installations.  </w:t>
      </w:r>
    </w:p>
    <w:p w14:paraId="09DA9E93" w14:textId="461C3ED4"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measure is applicable to any commercial domestic (or “service”) hot water application. </w:t>
      </w:r>
    </w:p>
    <w:p w14:paraId="230218B7"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Workpaper does not cover water heaters used for space conditioning, process end-use applications, pools, or spas.  </w:t>
      </w:r>
    </w:p>
    <w:p w14:paraId="227AD782"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Applicable commercial building/business types include (but are not limited to) offices, restaurants, retail stores, schools, colleges, hotels, motels, and recreational facilities. </w:t>
      </w:r>
    </w:p>
    <w:p w14:paraId="5DAA6473"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This measure is not limited to specific NAICS codes.</w:t>
      </w:r>
    </w:p>
    <w:p w14:paraId="4E1F1833" w14:textId="77777777" w:rsidR="00830E91" w:rsidRPr="0036322C" w:rsidRDefault="00C4094B" w:rsidP="00830E91">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This measure includes replacing a storage water heater with a storage water heater.</w:t>
      </w:r>
    </w:p>
    <w:p w14:paraId="735ACA49" w14:textId="1B6A054A" w:rsidR="00830E91" w:rsidRPr="0036322C" w:rsidRDefault="00830E91" w:rsidP="00830E91">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This workpaper has savings values for many commercial and industrial building types. Non-Residential building types and or locations (climate zones) that are not explicitly included within the ex-ante submission impact table shall use </w:t>
      </w:r>
      <w:r w:rsidR="0036322C" w:rsidRPr="0036322C">
        <w:rPr>
          <w:rFonts w:asciiTheme="minorHAnsi" w:hAnsiTheme="minorHAnsi" w:cstheme="minorHAnsi"/>
        </w:rPr>
        <w:t xml:space="preserve">a </w:t>
      </w:r>
      <w:r w:rsidRPr="0036322C">
        <w:rPr>
          <w:rFonts w:asciiTheme="minorHAnsi" w:hAnsiTheme="minorHAnsi" w:cstheme="minorHAnsi"/>
        </w:rPr>
        <w:t>best available Building type and Location designation.</w:t>
      </w:r>
    </w:p>
    <w:p w14:paraId="03814CBA"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Documentation Requirements</w:t>
      </w:r>
    </w:p>
    <w:p w14:paraId="12692CE0"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 xml:space="preserve">The manufacturer’s name and equipment model number must be provided.  </w:t>
      </w:r>
    </w:p>
    <w:p w14:paraId="67EB54C8" w14:textId="77777777" w:rsidR="00C4094B" w:rsidRPr="0036322C" w:rsidRDefault="00C4094B" w:rsidP="00C4094B">
      <w:pPr>
        <w:pStyle w:val="WPPR2"/>
        <w:numPr>
          <w:ilvl w:val="3"/>
          <w:numId w:val="6"/>
        </w:numPr>
        <w:tabs>
          <w:tab w:val="num" w:pos="1782"/>
        </w:tabs>
        <w:rPr>
          <w:rFonts w:asciiTheme="minorHAnsi" w:hAnsiTheme="minorHAnsi" w:cstheme="minorHAnsi"/>
        </w:rPr>
      </w:pPr>
      <w:r w:rsidRPr="0036322C">
        <w:rPr>
          <w:rFonts w:asciiTheme="minorHAnsi" w:hAnsiTheme="minorHAnsi" w:cstheme="minorHAnsi"/>
        </w:rPr>
        <w:t>If necessary, customer must provide proof of unit efficiency (e.g., manufacturer’s equipment specification sheet).</w:t>
      </w:r>
    </w:p>
    <w:p w14:paraId="4A205A77" w14:textId="77777777" w:rsidR="00C4094B" w:rsidRPr="0036322C" w:rsidRDefault="00C4094B" w:rsidP="00C4094B">
      <w:pPr>
        <w:pStyle w:val="WPPR1"/>
        <w:rPr>
          <w:rFonts w:asciiTheme="minorHAnsi" w:hAnsiTheme="minorHAnsi" w:cstheme="minorHAnsi"/>
        </w:rPr>
      </w:pPr>
      <w:r w:rsidRPr="0036322C">
        <w:rPr>
          <w:rFonts w:asciiTheme="minorHAnsi" w:hAnsiTheme="minorHAnsi" w:cstheme="minorHAnsi"/>
        </w:rPr>
        <w:t>Terms and Conditions</w:t>
      </w:r>
    </w:p>
    <w:p w14:paraId="563B70F4" w14:textId="77777777" w:rsidR="00C4094B" w:rsidRPr="0036322C" w:rsidRDefault="00C4094B" w:rsidP="00C4094B">
      <w:pPr>
        <w:pStyle w:val="PR2"/>
        <w:tabs>
          <w:tab w:val="num" w:pos="1782"/>
        </w:tabs>
        <w:rPr>
          <w:rFonts w:asciiTheme="minorHAnsi" w:hAnsiTheme="minorHAnsi" w:cstheme="minorHAnsi"/>
        </w:rPr>
      </w:pPr>
      <w:r w:rsidRPr="0036322C">
        <w:rPr>
          <w:rFonts w:asciiTheme="minorHAnsi" w:hAnsiTheme="minorHAnsi" w:cstheme="minorHAnsi"/>
        </w:rPr>
        <w:t>Only storage water heaters as defined by the California Energy Commission qualify, and they must:</w:t>
      </w:r>
    </w:p>
    <w:p w14:paraId="416925CB" w14:textId="77777777"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Be used primarily for domestic hot water</w:t>
      </w:r>
    </w:p>
    <w:p w14:paraId="79DBBED3" w14:textId="60F1A9D0"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 xml:space="preserve">Have an input rating of less than </w:t>
      </w:r>
      <w:r w:rsidR="00F718E4" w:rsidRPr="0036322C">
        <w:rPr>
          <w:rFonts w:asciiTheme="minorHAnsi" w:hAnsiTheme="minorHAnsi" w:cstheme="minorHAnsi"/>
        </w:rPr>
        <w:t>75</w:t>
      </w:r>
      <w:r w:rsidRPr="0036322C">
        <w:rPr>
          <w:rFonts w:asciiTheme="minorHAnsi" w:hAnsiTheme="minorHAnsi" w:cstheme="minorHAnsi"/>
        </w:rPr>
        <w:t xml:space="preserve">,000 </w:t>
      </w:r>
      <w:proofErr w:type="spellStart"/>
      <w:r w:rsidR="00F718E4" w:rsidRPr="0036322C">
        <w:rPr>
          <w:rFonts w:asciiTheme="minorHAnsi" w:hAnsiTheme="minorHAnsi" w:cstheme="minorHAnsi"/>
        </w:rPr>
        <w:t>k</w:t>
      </w:r>
      <w:r w:rsidRPr="0036322C">
        <w:rPr>
          <w:rFonts w:asciiTheme="minorHAnsi" w:hAnsiTheme="minorHAnsi" w:cstheme="minorHAnsi"/>
        </w:rPr>
        <w:t>B</w:t>
      </w:r>
      <w:r w:rsidR="00F718E4" w:rsidRPr="0036322C">
        <w:rPr>
          <w:rFonts w:asciiTheme="minorHAnsi" w:hAnsiTheme="minorHAnsi" w:cstheme="minorHAnsi"/>
        </w:rPr>
        <w:t>TU</w:t>
      </w:r>
      <w:proofErr w:type="spellEnd"/>
      <w:r w:rsidR="00F718E4" w:rsidRPr="0036322C">
        <w:rPr>
          <w:rFonts w:asciiTheme="minorHAnsi" w:hAnsiTheme="minorHAnsi" w:cstheme="minorHAnsi"/>
        </w:rPr>
        <w:t>/hour</w:t>
      </w:r>
      <w:r w:rsidRPr="0036322C">
        <w:rPr>
          <w:rFonts w:asciiTheme="minorHAnsi" w:hAnsiTheme="minorHAnsi" w:cstheme="minorHAnsi"/>
        </w:rPr>
        <w:t>.</w:t>
      </w:r>
    </w:p>
    <w:p w14:paraId="7E349BEF" w14:textId="77777777" w:rsidR="00C4094B" w:rsidRPr="0036322C" w:rsidRDefault="00C4094B" w:rsidP="00C4094B">
      <w:pPr>
        <w:pStyle w:val="WPPR3"/>
        <w:numPr>
          <w:ilvl w:val="4"/>
          <w:numId w:val="6"/>
        </w:numPr>
        <w:rPr>
          <w:rFonts w:asciiTheme="minorHAnsi" w:hAnsiTheme="minorHAnsi" w:cstheme="minorHAnsi"/>
        </w:rPr>
      </w:pPr>
      <w:r w:rsidRPr="0036322C">
        <w:rPr>
          <w:rFonts w:asciiTheme="minorHAnsi" w:hAnsiTheme="minorHAnsi" w:cstheme="minorHAnsi"/>
        </w:rPr>
        <w:t>Never be used for process end-use.</w:t>
      </w:r>
    </w:p>
    <w:p w14:paraId="714EBD0F" w14:textId="3D28F931" w:rsidR="008A739C" w:rsidRDefault="008A739C" w:rsidP="0022781C">
      <w:pPr>
        <w:spacing w:after="200" w:line="276" w:lineRule="auto"/>
        <w:rPr>
          <w:rFonts w:ascii="Arial Narrow" w:hAnsi="Arial Narrow" w:cs="Arial"/>
          <w:b/>
          <w:bCs/>
          <w:iCs/>
          <w:smallCaps/>
          <w:sz w:val="28"/>
          <w:szCs w:val="28"/>
        </w:rPr>
      </w:pPr>
    </w:p>
    <w:p w14:paraId="67ECB4A6" w14:textId="53E40709" w:rsidR="00DC3FD7" w:rsidRDefault="00DC3FD7" w:rsidP="0022781C">
      <w:pPr>
        <w:spacing w:after="200" w:line="276" w:lineRule="auto"/>
        <w:rPr>
          <w:rFonts w:ascii="Arial Narrow" w:hAnsi="Arial Narrow" w:cs="Arial"/>
          <w:b/>
          <w:bCs/>
          <w:iCs/>
          <w:smallCaps/>
          <w:sz w:val="28"/>
          <w:szCs w:val="28"/>
        </w:rPr>
      </w:pPr>
    </w:p>
    <w:p w14:paraId="6DEEB9FD" w14:textId="1CC20D49" w:rsidR="00DC3FD7" w:rsidRDefault="00DC3FD7" w:rsidP="0022781C">
      <w:pPr>
        <w:spacing w:after="200" w:line="276" w:lineRule="auto"/>
        <w:rPr>
          <w:rFonts w:ascii="Arial Narrow" w:hAnsi="Arial Narrow" w:cs="Arial"/>
          <w:b/>
          <w:bCs/>
          <w:iCs/>
          <w:smallCaps/>
          <w:sz w:val="28"/>
          <w:szCs w:val="28"/>
        </w:rPr>
      </w:pPr>
    </w:p>
    <w:p w14:paraId="5B84672F" w14:textId="319F7DE8" w:rsidR="00DC3FD7" w:rsidRDefault="00DC3FD7" w:rsidP="0022781C">
      <w:pPr>
        <w:spacing w:after="200" w:line="276" w:lineRule="auto"/>
        <w:rPr>
          <w:rFonts w:ascii="Arial Narrow" w:hAnsi="Arial Narrow" w:cs="Arial"/>
          <w:b/>
          <w:bCs/>
          <w:iCs/>
          <w:smallCaps/>
          <w:sz w:val="28"/>
          <w:szCs w:val="28"/>
        </w:rPr>
      </w:pPr>
    </w:p>
    <w:p w14:paraId="4EADEEC5" w14:textId="263B08AF" w:rsidR="00DC3FD7" w:rsidRDefault="00DC3FD7" w:rsidP="0022781C">
      <w:pPr>
        <w:spacing w:after="200" w:line="276" w:lineRule="auto"/>
        <w:rPr>
          <w:rFonts w:ascii="Arial Narrow" w:hAnsi="Arial Narrow" w:cs="Arial"/>
          <w:b/>
          <w:bCs/>
          <w:iCs/>
          <w:smallCaps/>
          <w:sz w:val="28"/>
          <w:szCs w:val="28"/>
        </w:rPr>
      </w:pPr>
    </w:p>
    <w:p w14:paraId="41C8DC65" w14:textId="77777777" w:rsidR="00DC3FD7" w:rsidRDefault="00DC3FD7" w:rsidP="0022781C">
      <w:pPr>
        <w:spacing w:after="200" w:line="276" w:lineRule="auto"/>
        <w:rPr>
          <w:rFonts w:ascii="Arial Narrow" w:hAnsi="Arial Narrow" w:cs="Arial"/>
          <w:b/>
          <w:bCs/>
          <w:iCs/>
          <w:smallCaps/>
          <w:sz w:val="28"/>
          <w:szCs w:val="28"/>
        </w:rPr>
      </w:pPr>
    </w:p>
    <w:p w14:paraId="269B66C4" w14:textId="77777777" w:rsidR="009B0E7F" w:rsidRPr="00DC3FD7" w:rsidRDefault="009B0E7F" w:rsidP="009B0E7F">
      <w:pPr>
        <w:keepNext/>
        <w:spacing w:before="240" w:after="60"/>
        <w:outlineLvl w:val="1"/>
        <w:rPr>
          <w:rFonts w:cstheme="minorHAnsi"/>
          <w:b/>
          <w:bCs/>
          <w:iCs/>
          <w:smallCaps/>
          <w:sz w:val="28"/>
          <w:szCs w:val="28"/>
        </w:rPr>
      </w:pPr>
      <w:r w:rsidRPr="00DC3FD7">
        <w:rPr>
          <w:rFonts w:cstheme="minorHAnsi"/>
          <w:b/>
          <w:bCs/>
          <w:iCs/>
          <w:smallCaps/>
          <w:sz w:val="28"/>
          <w:szCs w:val="28"/>
        </w:rPr>
        <w:t xml:space="preserve">Measure Summary </w:t>
      </w:r>
    </w:p>
    <w:p w14:paraId="269B66C5" w14:textId="77777777" w:rsidR="009B0E7F" w:rsidRPr="00DC3FD7" w:rsidRDefault="009B0E7F" w:rsidP="009B0E7F">
      <w:pPr>
        <w:keepNext/>
        <w:jc w:val="center"/>
        <w:rPr>
          <w:b/>
          <w:bCs/>
          <w:szCs w:val="22"/>
        </w:rPr>
      </w:pPr>
      <w:r w:rsidRPr="00DC3FD7">
        <w:rPr>
          <w:b/>
          <w:bCs/>
          <w:szCs w:val="22"/>
        </w:rPr>
        <w:t xml:space="preserve">Table </w:t>
      </w:r>
      <w:r w:rsidRPr="00DC3FD7">
        <w:rPr>
          <w:b/>
          <w:bCs/>
          <w:szCs w:val="22"/>
        </w:rPr>
        <w:fldChar w:fldCharType="begin"/>
      </w:r>
      <w:r w:rsidRPr="00DC3FD7">
        <w:rPr>
          <w:b/>
          <w:bCs/>
          <w:szCs w:val="22"/>
        </w:rPr>
        <w:instrText xml:space="preserve"> SEQ Table \* ARABIC </w:instrText>
      </w:r>
      <w:r w:rsidRPr="00DC3FD7">
        <w:rPr>
          <w:b/>
          <w:bCs/>
          <w:szCs w:val="22"/>
        </w:rPr>
        <w:fldChar w:fldCharType="separate"/>
      </w:r>
      <w:r w:rsidRPr="00DC3FD7">
        <w:rPr>
          <w:b/>
          <w:bCs/>
          <w:noProof/>
          <w:szCs w:val="22"/>
        </w:rPr>
        <w:t>1</w:t>
      </w:r>
      <w:r w:rsidRPr="00DC3FD7">
        <w:rPr>
          <w:b/>
          <w:bCs/>
          <w:noProof/>
          <w:szCs w:val="22"/>
        </w:rPr>
        <w:fldChar w:fldCharType="end"/>
      </w:r>
      <w:r w:rsidRPr="00DC3FD7">
        <w:rPr>
          <w:b/>
          <w:bCs/>
          <w:szCs w:val="22"/>
        </w:rPr>
        <w:t>: Measure Summary Table</w:t>
      </w:r>
    </w:p>
    <w:tbl>
      <w:tblPr>
        <w:tblStyle w:val="TableGrid2"/>
        <w:tblW w:w="0" w:type="auto"/>
        <w:tblInd w:w="108" w:type="dxa"/>
        <w:tblLayout w:type="fixed"/>
        <w:tblLook w:val="04A0" w:firstRow="1" w:lastRow="0" w:firstColumn="1" w:lastColumn="0" w:noHBand="0" w:noVBand="1"/>
      </w:tblPr>
      <w:tblGrid>
        <w:gridCol w:w="1507"/>
        <w:gridCol w:w="9175"/>
      </w:tblGrid>
      <w:tr w:rsidR="00C80D48" w:rsidRPr="00DC3FD7" w14:paraId="269B66C8" w14:textId="77777777" w:rsidTr="006527FC">
        <w:trPr>
          <w:cantSplit/>
          <w:tblHeader/>
        </w:trPr>
        <w:tc>
          <w:tcPr>
            <w:tcW w:w="1507" w:type="dxa"/>
          </w:tcPr>
          <w:p w14:paraId="269B66C6" w14:textId="77777777" w:rsidR="009B0E7F" w:rsidRPr="00DC3FD7" w:rsidRDefault="009B0E7F" w:rsidP="009B0E7F">
            <w:pPr>
              <w:jc w:val="center"/>
              <w:rPr>
                <w:b/>
                <w:sz w:val="20"/>
                <w:szCs w:val="20"/>
              </w:rPr>
            </w:pPr>
            <w:r w:rsidRPr="00DC3FD7">
              <w:rPr>
                <w:b/>
                <w:sz w:val="20"/>
                <w:szCs w:val="20"/>
              </w:rPr>
              <w:t>Section</w:t>
            </w:r>
          </w:p>
        </w:tc>
        <w:tc>
          <w:tcPr>
            <w:tcW w:w="9175" w:type="dxa"/>
          </w:tcPr>
          <w:p w14:paraId="269B66C7" w14:textId="77777777" w:rsidR="009B0E7F" w:rsidRPr="00DC3FD7" w:rsidRDefault="009B0E7F" w:rsidP="009B0E7F">
            <w:pPr>
              <w:jc w:val="center"/>
              <w:rPr>
                <w:b/>
                <w:sz w:val="20"/>
                <w:szCs w:val="20"/>
              </w:rPr>
            </w:pPr>
            <w:r w:rsidRPr="00DC3FD7">
              <w:rPr>
                <w:b/>
                <w:sz w:val="20"/>
                <w:szCs w:val="20"/>
              </w:rPr>
              <w:t>Value</w:t>
            </w:r>
          </w:p>
        </w:tc>
      </w:tr>
      <w:tr w:rsidR="00C80D48" w:rsidRPr="00DC3FD7" w14:paraId="269B66CB" w14:textId="77777777" w:rsidTr="006527FC">
        <w:trPr>
          <w:cantSplit/>
        </w:trPr>
        <w:tc>
          <w:tcPr>
            <w:tcW w:w="1507" w:type="dxa"/>
            <w:vAlign w:val="center"/>
          </w:tcPr>
          <w:p w14:paraId="269B66C9" w14:textId="77777777" w:rsidR="009B0E7F" w:rsidRPr="00DC3FD7" w:rsidRDefault="009B0E7F" w:rsidP="009B0E7F">
            <w:pPr>
              <w:rPr>
                <w:b/>
                <w:sz w:val="20"/>
                <w:szCs w:val="20"/>
              </w:rPr>
            </w:pPr>
            <w:r w:rsidRPr="00DC3FD7">
              <w:rPr>
                <w:b/>
                <w:sz w:val="20"/>
                <w:szCs w:val="20"/>
              </w:rPr>
              <w:t>Summary &amp; Purpose</w:t>
            </w:r>
          </w:p>
        </w:tc>
        <w:tc>
          <w:tcPr>
            <w:tcW w:w="9175" w:type="dxa"/>
          </w:tcPr>
          <w:p w14:paraId="269B66CA" w14:textId="4869F6AD" w:rsidR="009B0E7F" w:rsidRPr="00DC3FD7" w:rsidRDefault="009B0E7F" w:rsidP="003D547E">
            <w:pPr>
              <w:rPr>
                <w:rFonts w:cs="Arial"/>
                <w:sz w:val="20"/>
                <w:szCs w:val="20"/>
              </w:rPr>
            </w:pPr>
            <w:r w:rsidRPr="00DC3FD7">
              <w:rPr>
                <w:rFonts w:cs="Arial"/>
                <w:sz w:val="20"/>
                <w:szCs w:val="20"/>
              </w:rPr>
              <w:t>This short form workpaper documents ex-ante load impact</w:t>
            </w:r>
            <w:r w:rsidR="00F2382E">
              <w:rPr>
                <w:rFonts w:cs="Arial"/>
                <w:sz w:val="20"/>
                <w:szCs w:val="20"/>
              </w:rPr>
              <w:t xml:space="preserve">s cost-effectiveness values for </w:t>
            </w:r>
            <w:r w:rsidR="00F718E4">
              <w:rPr>
                <w:rFonts w:cs="Arial"/>
                <w:sz w:val="20"/>
                <w:szCs w:val="20"/>
              </w:rPr>
              <w:t xml:space="preserve">storage </w:t>
            </w:r>
            <w:r w:rsidR="00B3082D" w:rsidRPr="00DC3FD7">
              <w:rPr>
                <w:rFonts w:cs="Arial"/>
                <w:sz w:val="20"/>
                <w:szCs w:val="20"/>
              </w:rPr>
              <w:t xml:space="preserve">water heaters for commercial </w:t>
            </w:r>
            <w:r w:rsidR="00F2382E">
              <w:rPr>
                <w:rFonts w:cs="Arial"/>
                <w:sz w:val="20"/>
                <w:szCs w:val="20"/>
              </w:rPr>
              <w:t xml:space="preserve">and indusial </w:t>
            </w:r>
            <w:r w:rsidR="00B3082D" w:rsidRPr="00DC3FD7">
              <w:rPr>
                <w:rFonts w:cs="Arial"/>
                <w:sz w:val="20"/>
                <w:szCs w:val="20"/>
              </w:rPr>
              <w:t>applications.</w:t>
            </w:r>
            <w:r w:rsidRPr="00DC3FD7">
              <w:rPr>
                <w:rFonts w:cs="Arial"/>
                <w:sz w:val="20"/>
                <w:szCs w:val="20"/>
              </w:rPr>
              <w:t xml:space="preserve"> The cost values are adopted from SCG’s workpaper</w:t>
            </w:r>
            <w:r w:rsidR="00F2382E">
              <w:rPr>
                <w:rFonts w:cs="Arial"/>
                <w:sz w:val="20"/>
                <w:szCs w:val="20"/>
              </w:rPr>
              <w:t xml:space="preserve"> </w:t>
            </w:r>
            <w:r w:rsidR="00B3082D" w:rsidRPr="00DC3FD7">
              <w:rPr>
                <w:rFonts w:cs="Arial"/>
                <w:sz w:val="20"/>
                <w:szCs w:val="20"/>
              </w:rPr>
              <w:t>as described in the revision history above herein</w:t>
            </w:r>
            <w:r w:rsidR="00044D10">
              <w:rPr>
                <w:rFonts w:cs="Arial"/>
                <w:sz w:val="20"/>
                <w:szCs w:val="20"/>
              </w:rPr>
              <w:t xml:space="preserve">.  All savings </w:t>
            </w:r>
            <w:r w:rsidRPr="00DC3FD7">
              <w:rPr>
                <w:rFonts w:cs="Arial"/>
                <w:sz w:val="20"/>
                <w:szCs w:val="20"/>
              </w:rPr>
              <w:t xml:space="preserve">parameters </w:t>
            </w:r>
            <w:r w:rsidR="00044D10">
              <w:rPr>
                <w:rFonts w:cs="Arial"/>
                <w:sz w:val="20"/>
                <w:szCs w:val="20"/>
              </w:rPr>
              <w:t xml:space="preserve">and cost </w:t>
            </w:r>
            <w:r w:rsidRPr="00DC3FD7">
              <w:rPr>
                <w:rFonts w:cs="Arial"/>
                <w:sz w:val="20"/>
                <w:szCs w:val="20"/>
              </w:rPr>
              <w:t xml:space="preserve">are per </w:t>
            </w:r>
            <w:r w:rsidR="00044D10">
              <w:rPr>
                <w:rFonts w:cs="Arial"/>
                <w:sz w:val="20"/>
                <w:szCs w:val="20"/>
              </w:rPr>
              <w:t>SCG workpaper (WPSCGNRWH120206A-Rev1</w:t>
            </w:r>
            <w:r w:rsidR="00B50F27">
              <w:rPr>
                <w:rFonts w:cs="Arial"/>
                <w:sz w:val="20"/>
                <w:szCs w:val="20"/>
              </w:rPr>
              <w:t>1</w:t>
            </w:r>
            <w:r w:rsidR="00044D10">
              <w:rPr>
                <w:rFonts w:cs="Arial"/>
                <w:sz w:val="20"/>
                <w:szCs w:val="20"/>
              </w:rPr>
              <w:t xml:space="preserve">). All measure definitions have been adopted from </w:t>
            </w:r>
            <w:r w:rsidRPr="00DC3FD7">
              <w:rPr>
                <w:rFonts w:cs="Arial"/>
                <w:sz w:val="20"/>
                <w:szCs w:val="20"/>
              </w:rPr>
              <w:t>DEER/READI</w:t>
            </w:r>
            <w:r w:rsidR="002D3A18">
              <w:rPr>
                <w:rFonts w:cs="Arial"/>
                <w:sz w:val="20"/>
                <w:szCs w:val="20"/>
              </w:rPr>
              <w:t xml:space="preserve"> and savings impacts have been modified by SCG, unit = “Cap-</w:t>
            </w:r>
            <w:proofErr w:type="spellStart"/>
            <w:r w:rsidR="002D3A18">
              <w:rPr>
                <w:rFonts w:cs="Arial"/>
                <w:sz w:val="20"/>
                <w:szCs w:val="20"/>
              </w:rPr>
              <w:t>kBTUh</w:t>
            </w:r>
            <w:proofErr w:type="spellEnd"/>
            <w:r w:rsidR="002D3A18">
              <w:rPr>
                <w:rFonts w:cs="Arial"/>
                <w:sz w:val="20"/>
                <w:szCs w:val="20"/>
              </w:rPr>
              <w:t>” versus “Each”</w:t>
            </w:r>
            <w:r w:rsidR="00044D10">
              <w:rPr>
                <w:rFonts w:cs="Arial"/>
                <w:sz w:val="20"/>
                <w:szCs w:val="20"/>
              </w:rPr>
              <w:t xml:space="preserve">. </w:t>
            </w:r>
          </w:p>
        </w:tc>
      </w:tr>
      <w:tr w:rsidR="00C80D48" w:rsidRPr="009B0E7F" w14:paraId="269B66CF" w14:textId="77777777" w:rsidTr="006527FC">
        <w:trPr>
          <w:cantSplit/>
        </w:trPr>
        <w:tc>
          <w:tcPr>
            <w:tcW w:w="1507" w:type="dxa"/>
            <w:vAlign w:val="center"/>
          </w:tcPr>
          <w:p w14:paraId="269B66CC" w14:textId="77777777" w:rsidR="009B0E7F" w:rsidRPr="009B0E7F" w:rsidRDefault="009B0E7F" w:rsidP="009B0E7F">
            <w:pPr>
              <w:rPr>
                <w:b/>
              </w:rPr>
            </w:pPr>
            <w:r w:rsidRPr="009B0E7F">
              <w:rPr>
                <w:b/>
              </w:rPr>
              <w:t>1.1 Measure &amp; Baseline Data</w:t>
            </w:r>
          </w:p>
        </w:tc>
        <w:tc>
          <w:tcPr>
            <w:tcW w:w="9175" w:type="dxa"/>
          </w:tcPr>
          <w:p w14:paraId="139BE136" w14:textId="77777777" w:rsidR="0036322C" w:rsidRPr="0036322C" w:rsidRDefault="0036322C" w:rsidP="009B0E7F">
            <w:pPr>
              <w:rPr>
                <w:rFonts w:cs="Arial"/>
                <w:sz w:val="20"/>
                <w:szCs w:val="20"/>
              </w:rPr>
            </w:pPr>
          </w:p>
          <w:p w14:paraId="269B66CD" w14:textId="21D56BF9" w:rsidR="008A739C" w:rsidRPr="0036322C" w:rsidRDefault="0036322C" w:rsidP="009B0E7F">
            <w:pPr>
              <w:rPr>
                <w:rFonts w:cs="Arial"/>
                <w:sz w:val="20"/>
                <w:szCs w:val="20"/>
              </w:rPr>
            </w:pPr>
            <w:r w:rsidRPr="0036322C">
              <w:rPr>
                <w:rFonts w:cs="Arial"/>
                <w:sz w:val="20"/>
                <w:szCs w:val="20"/>
              </w:rPr>
              <w:t>DEER m</w:t>
            </w:r>
            <w:r w:rsidR="009258E5" w:rsidRPr="0036322C">
              <w:rPr>
                <w:rFonts w:cs="Arial"/>
                <w:sz w:val="20"/>
                <w:szCs w:val="20"/>
              </w:rPr>
              <w:t>easure</w:t>
            </w:r>
            <w:r w:rsidR="00EB0A9A" w:rsidRPr="0036322C">
              <w:rPr>
                <w:rFonts w:cs="Arial"/>
                <w:sz w:val="20"/>
                <w:szCs w:val="20"/>
              </w:rPr>
              <w:t xml:space="preserve"> </w:t>
            </w:r>
            <w:r w:rsidRPr="0036322C">
              <w:rPr>
                <w:rFonts w:cs="Arial"/>
                <w:sz w:val="20"/>
                <w:szCs w:val="20"/>
              </w:rPr>
              <w:t>d</w:t>
            </w:r>
            <w:r w:rsidR="00EB0A9A" w:rsidRPr="0036322C">
              <w:rPr>
                <w:rFonts w:cs="Arial"/>
                <w:sz w:val="20"/>
                <w:szCs w:val="20"/>
              </w:rPr>
              <w:t xml:space="preserve">efinitions have been modified by </w:t>
            </w:r>
            <w:r w:rsidRPr="0036322C">
              <w:rPr>
                <w:rFonts w:cs="Arial"/>
                <w:sz w:val="20"/>
                <w:szCs w:val="20"/>
              </w:rPr>
              <w:t xml:space="preserve">the </w:t>
            </w:r>
            <w:r w:rsidR="00EB0A9A" w:rsidRPr="0036322C">
              <w:rPr>
                <w:rFonts w:cs="Arial"/>
                <w:sz w:val="20"/>
                <w:szCs w:val="20"/>
              </w:rPr>
              <w:t>SCG workpaper a</w:t>
            </w:r>
            <w:r w:rsidR="009258E5" w:rsidRPr="0036322C">
              <w:rPr>
                <w:rFonts w:cs="Arial"/>
                <w:sz w:val="20"/>
                <w:szCs w:val="20"/>
              </w:rPr>
              <w:t>s noted herein.</w:t>
            </w:r>
          </w:p>
          <w:p w14:paraId="25DADA95" w14:textId="163246DE" w:rsidR="00B3082D" w:rsidRPr="0036322C" w:rsidRDefault="0036322C" w:rsidP="009B0E7F">
            <w:pPr>
              <w:rPr>
                <w:rFonts w:cs="Arial"/>
                <w:sz w:val="20"/>
                <w:szCs w:val="20"/>
              </w:rPr>
            </w:pPr>
            <w:r w:rsidRPr="0036322C">
              <w:rPr>
                <w:rFonts w:cs="Arial"/>
                <w:sz w:val="20"/>
                <w:szCs w:val="20"/>
              </w:rPr>
              <w:t xml:space="preserve"> </w:t>
            </w:r>
          </w:p>
          <w:tbl>
            <w:tblPr>
              <w:tblStyle w:val="TableGrid"/>
              <w:tblW w:w="6644" w:type="dxa"/>
              <w:tblLayout w:type="fixed"/>
              <w:tblLook w:val="04A0" w:firstRow="1" w:lastRow="0" w:firstColumn="1" w:lastColumn="0" w:noHBand="0" w:noVBand="1"/>
            </w:tblPr>
            <w:tblGrid>
              <w:gridCol w:w="1180"/>
              <w:gridCol w:w="1504"/>
              <w:gridCol w:w="3960"/>
            </w:tblGrid>
            <w:tr w:rsidR="00B3082D" w:rsidRPr="0036322C" w14:paraId="75489BA5" w14:textId="77777777" w:rsidTr="006527FC">
              <w:tc>
                <w:tcPr>
                  <w:tcW w:w="1180" w:type="dxa"/>
                </w:tcPr>
                <w:p w14:paraId="5384691F" w14:textId="1DFFEFC0" w:rsidR="00B3082D" w:rsidRPr="0036322C" w:rsidRDefault="00B3082D" w:rsidP="00B3082D">
                  <w:pPr>
                    <w:rPr>
                      <w:rFonts w:cs="Arial"/>
                      <w:sz w:val="20"/>
                      <w:szCs w:val="20"/>
                    </w:rPr>
                  </w:pPr>
                  <w:r w:rsidRPr="0036322C">
                    <w:rPr>
                      <w:sz w:val="20"/>
                      <w:szCs w:val="20"/>
                    </w:rPr>
                    <w:t>SDGE Imp. ID</w:t>
                  </w:r>
                </w:p>
              </w:tc>
              <w:tc>
                <w:tcPr>
                  <w:tcW w:w="1504" w:type="dxa"/>
                </w:tcPr>
                <w:p w14:paraId="6CB2FAD4" w14:textId="472117F1" w:rsidR="00B3082D" w:rsidRPr="0036322C" w:rsidRDefault="00B3082D" w:rsidP="00B3082D">
                  <w:pPr>
                    <w:rPr>
                      <w:rFonts w:cs="Arial"/>
                      <w:sz w:val="20"/>
                      <w:szCs w:val="20"/>
                    </w:rPr>
                  </w:pPr>
                  <w:r w:rsidRPr="0036322C">
                    <w:rPr>
                      <w:rFonts w:cs="Arial"/>
                      <w:sz w:val="20"/>
                      <w:szCs w:val="20"/>
                    </w:rPr>
                    <w:t>M</w:t>
                  </w:r>
                  <w:r w:rsidR="00EB0A9A" w:rsidRPr="0036322C">
                    <w:rPr>
                      <w:rFonts w:cs="Arial"/>
                      <w:sz w:val="20"/>
                      <w:szCs w:val="20"/>
                    </w:rPr>
                    <w:t xml:space="preserve">easure </w:t>
                  </w:r>
                  <w:r w:rsidRPr="0036322C">
                    <w:rPr>
                      <w:rFonts w:cs="Arial"/>
                      <w:sz w:val="20"/>
                      <w:szCs w:val="20"/>
                    </w:rPr>
                    <w:t>ID</w:t>
                  </w:r>
                </w:p>
              </w:tc>
              <w:tc>
                <w:tcPr>
                  <w:tcW w:w="3960" w:type="dxa"/>
                </w:tcPr>
                <w:p w14:paraId="294D9486" w14:textId="202B713C" w:rsidR="00B3082D" w:rsidRPr="0036322C" w:rsidRDefault="00EB0A9A" w:rsidP="00B3082D">
                  <w:pPr>
                    <w:rPr>
                      <w:rFonts w:cs="Arial"/>
                      <w:sz w:val="20"/>
                      <w:szCs w:val="20"/>
                    </w:rPr>
                  </w:pPr>
                  <w:r w:rsidRPr="0036322C">
                    <w:rPr>
                      <w:rFonts w:cs="Arial"/>
                      <w:sz w:val="20"/>
                      <w:szCs w:val="20"/>
                    </w:rPr>
                    <w:t xml:space="preserve">Modified DEER </w:t>
                  </w:r>
                  <w:r w:rsidR="002D3A18" w:rsidRPr="0036322C">
                    <w:rPr>
                      <w:rFonts w:cs="Arial"/>
                      <w:sz w:val="20"/>
                      <w:szCs w:val="20"/>
                    </w:rPr>
                    <w:t xml:space="preserve">Measures </w:t>
                  </w:r>
                  <w:r w:rsidR="00B3082D" w:rsidRPr="0036322C">
                    <w:rPr>
                      <w:rFonts w:cs="Arial"/>
                      <w:sz w:val="20"/>
                      <w:szCs w:val="20"/>
                    </w:rPr>
                    <w:t>Description</w:t>
                  </w:r>
                </w:p>
              </w:tc>
            </w:tr>
            <w:tr w:rsidR="002D3A18" w:rsidRPr="0036322C" w14:paraId="216B0605" w14:textId="77777777" w:rsidTr="006527FC">
              <w:tc>
                <w:tcPr>
                  <w:tcW w:w="1180" w:type="dxa"/>
                </w:tcPr>
                <w:p w14:paraId="49450294" w14:textId="57BED49A" w:rsidR="002D3A18" w:rsidRPr="0036322C" w:rsidRDefault="002D3A18" w:rsidP="002D3A18">
                  <w:pPr>
                    <w:rPr>
                      <w:rFonts w:cs="Arial"/>
                      <w:sz w:val="20"/>
                      <w:szCs w:val="20"/>
                    </w:rPr>
                  </w:pPr>
                  <w:bookmarkStart w:id="3" w:name="_Hlk502243077"/>
                  <w:r w:rsidRPr="0036322C">
                    <w:rPr>
                      <w:rFonts w:cs="Arial"/>
                      <w:sz w:val="20"/>
                      <w:szCs w:val="20"/>
                    </w:rPr>
                    <w:t>Refer to ex-ante table</w:t>
                  </w:r>
                </w:p>
              </w:tc>
              <w:tc>
                <w:tcPr>
                  <w:tcW w:w="1504" w:type="dxa"/>
                </w:tcPr>
                <w:p w14:paraId="68325269" w14:textId="09BC1E1D" w:rsidR="002D3A18" w:rsidRPr="0036322C" w:rsidRDefault="0036322C" w:rsidP="002D3A18">
                  <w:pPr>
                    <w:rPr>
                      <w:rFonts w:cs="Arial"/>
                      <w:sz w:val="20"/>
                      <w:szCs w:val="20"/>
                    </w:rPr>
                  </w:pPr>
                  <w:r w:rsidRPr="0036322C">
                    <w:rPr>
                      <w:sz w:val="20"/>
                      <w:szCs w:val="20"/>
                    </w:rPr>
                    <w:t>WPSDGENRWH1205A-Rev00-Msr001</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6D906287" w14:textId="655CDB5A" w:rsidR="002D3A18" w:rsidRPr="0036322C" w:rsidRDefault="002D3A18" w:rsidP="002D3A18">
                  <w:pPr>
                    <w:rPr>
                      <w:rFonts w:cs="Arial"/>
                      <w:sz w:val="20"/>
                      <w:szCs w:val="20"/>
                    </w:rPr>
                  </w:pPr>
                  <w:r w:rsidRPr="0036322C">
                    <w:rPr>
                      <w:rFonts w:ascii="Calibri" w:hAnsi="Calibri" w:cs="Calibri"/>
                      <w:sz w:val="20"/>
                      <w:szCs w:val="20"/>
                    </w:rPr>
                    <w:t>30 Gallon Medium Draw water heater with a rating of ≥0.64 UEF; Savings Converted into Cap-</w:t>
                  </w:r>
                  <w:proofErr w:type="spellStart"/>
                  <w:r w:rsidRPr="0036322C">
                    <w:rPr>
                      <w:rFonts w:ascii="Calibri" w:hAnsi="Calibri" w:cs="Calibri"/>
                      <w:sz w:val="20"/>
                      <w:szCs w:val="20"/>
                    </w:rPr>
                    <w:t>kBTUh</w:t>
                  </w:r>
                  <w:proofErr w:type="spellEnd"/>
                </w:p>
              </w:tc>
            </w:tr>
            <w:tr w:rsidR="002D3A18" w:rsidRPr="0036322C" w14:paraId="367BC877" w14:textId="77777777" w:rsidTr="006527FC">
              <w:tc>
                <w:tcPr>
                  <w:tcW w:w="1180" w:type="dxa"/>
                </w:tcPr>
                <w:p w14:paraId="47DF7E77" w14:textId="6E43D059" w:rsidR="002D3A18" w:rsidRPr="0036322C" w:rsidRDefault="002D3A18" w:rsidP="002D3A18">
                  <w:pPr>
                    <w:rPr>
                      <w:rFonts w:cs="Arial"/>
                      <w:sz w:val="20"/>
                      <w:szCs w:val="20"/>
                    </w:rPr>
                  </w:pPr>
                  <w:r w:rsidRPr="0036322C">
                    <w:rPr>
                      <w:rFonts w:cs="Arial"/>
                      <w:sz w:val="20"/>
                      <w:szCs w:val="20"/>
                    </w:rPr>
                    <w:t>Refer to ex-ante table</w:t>
                  </w:r>
                </w:p>
              </w:tc>
              <w:tc>
                <w:tcPr>
                  <w:tcW w:w="1504" w:type="dxa"/>
                </w:tcPr>
                <w:p w14:paraId="28ADA9FB" w14:textId="35F2923B" w:rsidR="002D3A18" w:rsidRPr="0036322C" w:rsidRDefault="0036322C" w:rsidP="002D3A18">
                  <w:pPr>
                    <w:rPr>
                      <w:rFonts w:cs="Arial"/>
                      <w:sz w:val="20"/>
                      <w:szCs w:val="20"/>
                    </w:rPr>
                  </w:pPr>
                  <w:r w:rsidRPr="0036322C">
                    <w:rPr>
                      <w:sz w:val="20"/>
                      <w:szCs w:val="20"/>
                    </w:rPr>
                    <w:t>WPSDGENRWH1205A-Rev00-Msr002</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295EC41F" w14:textId="3657F652" w:rsidR="002D3A18" w:rsidRPr="0036322C" w:rsidRDefault="002D3A18" w:rsidP="002D3A18">
                  <w:pPr>
                    <w:rPr>
                      <w:rFonts w:cs="Arial"/>
                      <w:sz w:val="20"/>
                      <w:szCs w:val="20"/>
                    </w:rPr>
                  </w:pPr>
                  <w:r w:rsidRPr="0036322C">
                    <w:rPr>
                      <w:rFonts w:ascii="Calibri" w:hAnsi="Calibri" w:cs="Calibri"/>
                      <w:sz w:val="20"/>
                      <w:szCs w:val="20"/>
                    </w:rPr>
                    <w:t>40 Gallon Medium Draw water heater with a rating of ≥0.64 UEF; Savings Converted into Cap-</w:t>
                  </w:r>
                  <w:proofErr w:type="spellStart"/>
                  <w:r w:rsidRPr="0036322C">
                    <w:rPr>
                      <w:rFonts w:ascii="Calibri" w:hAnsi="Calibri" w:cs="Calibri"/>
                      <w:sz w:val="20"/>
                      <w:szCs w:val="20"/>
                    </w:rPr>
                    <w:t>kBTUh</w:t>
                  </w:r>
                  <w:proofErr w:type="spellEnd"/>
                </w:p>
              </w:tc>
            </w:tr>
            <w:tr w:rsidR="002D3A18" w:rsidRPr="0036322C" w14:paraId="7515996D" w14:textId="77777777" w:rsidTr="006527FC">
              <w:tc>
                <w:tcPr>
                  <w:tcW w:w="1180" w:type="dxa"/>
                </w:tcPr>
                <w:p w14:paraId="1E9A591F" w14:textId="3A9CE317" w:rsidR="002D3A18" w:rsidRPr="0036322C" w:rsidRDefault="002D3A18" w:rsidP="002D3A18">
                  <w:pPr>
                    <w:rPr>
                      <w:rFonts w:cs="Arial"/>
                      <w:sz w:val="20"/>
                      <w:szCs w:val="20"/>
                    </w:rPr>
                  </w:pPr>
                  <w:r w:rsidRPr="0036322C">
                    <w:rPr>
                      <w:rFonts w:cs="Arial"/>
                      <w:sz w:val="20"/>
                      <w:szCs w:val="20"/>
                    </w:rPr>
                    <w:t>Refer to ex-ante table</w:t>
                  </w:r>
                </w:p>
              </w:tc>
              <w:tc>
                <w:tcPr>
                  <w:tcW w:w="1504" w:type="dxa"/>
                </w:tcPr>
                <w:p w14:paraId="629FFAE3" w14:textId="6FD5BCB8" w:rsidR="002D3A18" w:rsidRPr="0036322C" w:rsidRDefault="0036322C" w:rsidP="002D3A18">
                  <w:pPr>
                    <w:rPr>
                      <w:rFonts w:cs="Arial"/>
                      <w:sz w:val="20"/>
                      <w:szCs w:val="20"/>
                    </w:rPr>
                  </w:pPr>
                  <w:r w:rsidRPr="0036322C">
                    <w:rPr>
                      <w:sz w:val="20"/>
                      <w:szCs w:val="20"/>
                    </w:rPr>
                    <w:t>WPSDGENRWH1205A-Rev00-Msr003</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2E68AF68" w14:textId="67916D78" w:rsidR="002D3A18" w:rsidRPr="0036322C" w:rsidRDefault="002D3A18" w:rsidP="002D3A18">
                  <w:pPr>
                    <w:rPr>
                      <w:rFonts w:cs="Arial"/>
                      <w:sz w:val="20"/>
                      <w:szCs w:val="20"/>
                    </w:rPr>
                  </w:pPr>
                  <w:r w:rsidRPr="0036322C">
                    <w:rPr>
                      <w:rFonts w:ascii="Calibri" w:hAnsi="Calibri" w:cs="Calibri"/>
                      <w:sz w:val="20"/>
                      <w:szCs w:val="20"/>
                    </w:rPr>
                    <w:t>50 Gallon Medium Draw water heater with a rating of ≥0.64 UEF; Savings Converted into Cap-</w:t>
                  </w:r>
                  <w:proofErr w:type="spellStart"/>
                  <w:r w:rsidRPr="0036322C">
                    <w:rPr>
                      <w:rFonts w:ascii="Calibri" w:hAnsi="Calibri" w:cs="Calibri"/>
                      <w:sz w:val="20"/>
                      <w:szCs w:val="20"/>
                    </w:rPr>
                    <w:t>kBTUh</w:t>
                  </w:r>
                  <w:proofErr w:type="spellEnd"/>
                </w:p>
              </w:tc>
            </w:tr>
            <w:tr w:rsidR="002D3A18" w:rsidRPr="0036322C" w14:paraId="131ADA08" w14:textId="77777777" w:rsidTr="006527FC">
              <w:tc>
                <w:tcPr>
                  <w:tcW w:w="1180" w:type="dxa"/>
                </w:tcPr>
                <w:p w14:paraId="41E06990" w14:textId="2FC0AD77" w:rsidR="002D3A18" w:rsidRPr="0036322C" w:rsidRDefault="002D3A18" w:rsidP="002D3A18">
                  <w:pPr>
                    <w:rPr>
                      <w:rFonts w:cs="Arial"/>
                      <w:sz w:val="20"/>
                      <w:szCs w:val="20"/>
                    </w:rPr>
                  </w:pPr>
                  <w:r w:rsidRPr="0036322C">
                    <w:rPr>
                      <w:rFonts w:cs="Arial"/>
                      <w:sz w:val="20"/>
                      <w:szCs w:val="20"/>
                    </w:rPr>
                    <w:t>Refer to ex-ante table</w:t>
                  </w:r>
                </w:p>
              </w:tc>
              <w:tc>
                <w:tcPr>
                  <w:tcW w:w="1504" w:type="dxa"/>
                </w:tcPr>
                <w:p w14:paraId="53F1937D" w14:textId="3D5F1C32" w:rsidR="002D3A18" w:rsidRPr="0036322C" w:rsidRDefault="0036322C" w:rsidP="002D3A18">
                  <w:pPr>
                    <w:rPr>
                      <w:rFonts w:cs="Arial"/>
                      <w:sz w:val="20"/>
                      <w:szCs w:val="20"/>
                    </w:rPr>
                  </w:pPr>
                  <w:r w:rsidRPr="0036322C">
                    <w:rPr>
                      <w:sz w:val="20"/>
                      <w:szCs w:val="20"/>
                    </w:rPr>
                    <w:t>WPSDGENRWH1205A-Rev00-Msr004</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75B3FE6B" w14:textId="512191F3" w:rsidR="002D3A18" w:rsidRPr="0036322C" w:rsidRDefault="002D3A18" w:rsidP="002D3A18">
                  <w:pPr>
                    <w:rPr>
                      <w:rFonts w:cs="Arial"/>
                      <w:sz w:val="20"/>
                      <w:szCs w:val="20"/>
                    </w:rPr>
                  </w:pPr>
                  <w:r w:rsidRPr="0036322C">
                    <w:rPr>
                      <w:rFonts w:ascii="Calibri" w:hAnsi="Calibri" w:cs="Calibri"/>
                      <w:sz w:val="20"/>
                      <w:szCs w:val="20"/>
                    </w:rPr>
                    <w:t>30 Gallon High Draw water heater with a rating of ≥0.68 UEF; Savings Converted into Cap-</w:t>
                  </w:r>
                  <w:proofErr w:type="spellStart"/>
                  <w:r w:rsidRPr="0036322C">
                    <w:rPr>
                      <w:rFonts w:ascii="Calibri" w:hAnsi="Calibri" w:cs="Calibri"/>
                      <w:sz w:val="20"/>
                      <w:szCs w:val="20"/>
                    </w:rPr>
                    <w:t>kBTUh</w:t>
                  </w:r>
                  <w:proofErr w:type="spellEnd"/>
                </w:p>
              </w:tc>
            </w:tr>
            <w:tr w:rsidR="002D3A18" w:rsidRPr="0036322C" w14:paraId="35B87868" w14:textId="77777777" w:rsidTr="006527FC">
              <w:tc>
                <w:tcPr>
                  <w:tcW w:w="1180" w:type="dxa"/>
                </w:tcPr>
                <w:p w14:paraId="235F2E7F" w14:textId="0DCB8C58" w:rsidR="002D3A18" w:rsidRPr="0036322C" w:rsidRDefault="002D3A18" w:rsidP="002D3A18">
                  <w:pPr>
                    <w:rPr>
                      <w:rFonts w:cs="Arial"/>
                      <w:sz w:val="20"/>
                      <w:szCs w:val="20"/>
                    </w:rPr>
                  </w:pPr>
                  <w:r w:rsidRPr="0036322C">
                    <w:rPr>
                      <w:rFonts w:cs="Arial"/>
                      <w:sz w:val="20"/>
                      <w:szCs w:val="20"/>
                    </w:rPr>
                    <w:t>Refer to ex-ante table</w:t>
                  </w:r>
                </w:p>
              </w:tc>
              <w:tc>
                <w:tcPr>
                  <w:tcW w:w="1504" w:type="dxa"/>
                </w:tcPr>
                <w:p w14:paraId="7941CE89" w14:textId="7D82FA41" w:rsidR="002D3A18" w:rsidRPr="0036322C" w:rsidRDefault="0036322C" w:rsidP="002D3A18">
                  <w:pPr>
                    <w:rPr>
                      <w:rFonts w:cs="Arial"/>
                      <w:sz w:val="20"/>
                      <w:szCs w:val="20"/>
                    </w:rPr>
                  </w:pPr>
                  <w:r w:rsidRPr="0036322C">
                    <w:rPr>
                      <w:sz w:val="20"/>
                      <w:szCs w:val="20"/>
                    </w:rPr>
                    <w:t>WPSDGENRWH1205A-Rev00-Msr005</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6C9D60BE" w14:textId="0FE8ECB3" w:rsidR="002D3A18" w:rsidRPr="0036322C" w:rsidRDefault="002D3A18" w:rsidP="002D3A18">
                  <w:pPr>
                    <w:rPr>
                      <w:rFonts w:cs="Arial"/>
                      <w:sz w:val="20"/>
                      <w:szCs w:val="20"/>
                    </w:rPr>
                  </w:pPr>
                  <w:r w:rsidRPr="0036322C">
                    <w:rPr>
                      <w:rFonts w:ascii="Calibri" w:hAnsi="Calibri" w:cs="Calibri"/>
                      <w:sz w:val="20"/>
                      <w:szCs w:val="20"/>
                    </w:rPr>
                    <w:t>40 Gallon High Draw water heater with a rating of ≥0.68 UEF; Savings Converted into Cap-</w:t>
                  </w:r>
                  <w:proofErr w:type="spellStart"/>
                  <w:r w:rsidRPr="0036322C">
                    <w:rPr>
                      <w:rFonts w:ascii="Calibri" w:hAnsi="Calibri" w:cs="Calibri"/>
                      <w:sz w:val="20"/>
                      <w:szCs w:val="20"/>
                    </w:rPr>
                    <w:t>kBTUh</w:t>
                  </w:r>
                  <w:proofErr w:type="spellEnd"/>
                </w:p>
              </w:tc>
            </w:tr>
            <w:tr w:rsidR="002D3A18" w:rsidRPr="0036322C" w14:paraId="3F51C095" w14:textId="77777777" w:rsidTr="006527FC">
              <w:tc>
                <w:tcPr>
                  <w:tcW w:w="1180" w:type="dxa"/>
                </w:tcPr>
                <w:p w14:paraId="76B843D9" w14:textId="54D3C4D7" w:rsidR="002D3A18" w:rsidRPr="0036322C" w:rsidRDefault="002D3A18" w:rsidP="002D3A18">
                  <w:pPr>
                    <w:rPr>
                      <w:rFonts w:cs="Arial"/>
                      <w:sz w:val="20"/>
                      <w:szCs w:val="20"/>
                    </w:rPr>
                  </w:pPr>
                  <w:r w:rsidRPr="0036322C">
                    <w:rPr>
                      <w:rFonts w:cs="Arial"/>
                      <w:sz w:val="20"/>
                      <w:szCs w:val="20"/>
                    </w:rPr>
                    <w:t>Refer to ex-ante table</w:t>
                  </w:r>
                </w:p>
              </w:tc>
              <w:tc>
                <w:tcPr>
                  <w:tcW w:w="1504" w:type="dxa"/>
                </w:tcPr>
                <w:p w14:paraId="160FDAEA" w14:textId="078CDFA1" w:rsidR="002D3A18" w:rsidRPr="0036322C" w:rsidRDefault="0036322C" w:rsidP="002D3A18">
                  <w:pPr>
                    <w:rPr>
                      <w:rFonts w:cs="Arial"/>
                      <w:sz w:val="20"/>
                      <w:szCs w:val="20"/>
                    </w:rPr>
                  </w:pPr>
                  <w:r w:rsidRPr="0036322C">
                    <w:rPr>
                      <w:sz w:val="20"/>
                      <w:szCs w:val="20"/>
                    </w:rPr>
                    <w:t>WPSDGENRWH1205A-Rev00-Msr006</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14:paraId="794DF8E1" w14:textId="75CD4533" w:rsidR="002D3A18" w:rsidRPr="0036322C" w:rsidRDefault="002D3A18" w:rsidP="002D3A18">
                  <w:pPr>
                    <w:rPr>
                      <w:rFonts w:cs="Arial"/>
                      <w:sz w:val="20"/>
                      <w:szCs w:val="20"/>
                    </w:rPr>
                  </w:pPr>
                  <w:r w:rsidRPr="0036322C">
                    <w:rPr>
                      <w:rFonts w:ascii="Calibri" w:hAnsi="Calibri" w:cs="Calibri"/>
                      <w:sz w:val="20"/>
                      <w:szCs w:val="20"/>
                    </w:rPr>
                    <w:t>50 Gallon High Draw water heater with a rating of ≥0.68 UEF; Savings Converted into Cap-</w:t>
                  </w:r>
                  <w:proofErr w:type="spellStart"/>
                  <w:r w:rsidRPr="0036322C">
                    <w:rPr>
                      <w:rFonts w:ascii="Calibri" w:hAnsi="Calibri" w:cs="Calibri"/>
                      <w:sz w:val="20"/>
                      <w:szCs w:val="20"/>
                    </w:rPr>
                    <w:t>kBTUh</w:t>
                  </w:r>
                  <w:proofErr w:type="spellEnd"/>
                </w:p>
              </w:tc>
            </w:tr>
            <w:bookmarkEnd w:id="3"/>
          </w:tbl>
          <w:p w14:paraId="2AE65155" w14:textId="77777777" w:rsidR="007264C7" w:rsidRDefault="007264C7" w:rsidP="007264C7">
            <w:pPr>
              <w:pStyle w:val="WPPR2"/>
              <w:numPr>
                <w:ilvl w:val="0"/>
                <w:numId w:val="0"/>
              </w:numPr>
              <w:rPr>
                <w:rFonts w:cs="Arial"/>
              </w:rPr>
            </w:pPr>
          </w:p>
          <w:p w14:paraId="281AD8B4" w14:textId="77777777" w:rsidR="00FF6330" w:rsidRDefault="00FF6330" w:rsidP="007264C7">
            <w:pPr>
              <w:pStyle w:val="WPPR2"/>
              <w:numPr>
                <w:ilvl w:val="0"/>
                <w:numId w:val="0"/>
              </w:numPr>
              <w:rPr>
                <w:rFonts w:cs="Arial"/>
              </w:rPr>
            </w:pPr>
          </w:p>
          <w:p w14:paraId="54C79202" w14:textId="77777777" w:rsidR="00FF6330" w:rsidRDefault="00FF6330" w:rsidP="007264C7">
            <w:pPr>
              <w:pStyle w:val="WPPR2"/>
              <w:numPr>
                <w:ilvl w:val="0"/>
                <w:numId w:val="0"/>
              </w:numPr>
              <w:rPr>
                <w:rFonts w:cs="Arial"/>
              </w:rPr>
            </w:pPr>
          </w:p>
          <w:p w14:paraId="36D84A0F" w14:textId="77777777" w:rsidR="00FF6330" w:rsidRDefault="00FF6330" w:rsidP="007264C7">
            <w:pPr>
              <w:pStyle w:val="WPPR2"/>
              <w:numPr>
                <w:ilvl w:val="0"/>
                <w:numId w:val="0"/>
              </w:numPr>
              <w:rPr>
                <w:rFonts w:cs="Arial"/>
              </w:rPr>
            </w:pPr>
          </w:p>
          <w:p w14:paraId="269B66CE" w14:textId="073928A1" w:rsidR="00FF6330" w:rsidRPr="0036322C" w:rsidRDefault="00FF6330" w:rsidP="007264C7">
            <w:pPr>
              <w:pStyle w:val="WPPR2"/>
              <w:numPr>
                <w:ilvl w:val="0"/>
                <w:numId w:val="0"/>
              </w:numPr>
              <w:rPr>
                <w:rFonts w:cs="Arial"/>
              </w:rPr>
            </w:pPr>
          </w:p>
        </w:tc>
      </w:tr>
      <w:tr w:rsidR="00C80D48" w:rsidRPr="009B0E7F" w14:paraId="269B66D5" w14:textId="77777777" w:rsidTr="006527FC">
        <w:trPr>
          <w:cantSplit/>
        </w:trPr>
        <w:tc>
          <w:tcPr>
            <w:tcW w:w="1507" w:type="dxa"/>
            <w:vAlign w:val="center"/>
          </w:tcPr>
          <w:p w14:paraId="269B66D0" w14:textId="77777777" w:rsidR="009B0E7F" w:rsidRPr="009B0E7F" w:rsidRDefault="009B0E7F" w:rsidP="009B0E7F">
            <w:pPr>
              <w:rPr>
                <w:b/>
              </w:rPr>
            </w:pPr>
            <w:r w:rsidRPr="009B0E7F">
              <w:rPr>
                <w:b/>
              </w:rPr>
              <w:lastRenderedPageBreak/>
              <w:t xml:space="preserve">1.2 Technical Description </w:t>
            </w:r>
          </w:p>
        </w:tc>
        <w:tc>
          <w:tcPr>
            <w:tcW w:w="9175" w:type="dxa"/>
          </w:tcPr>
          <w:p w14:paraId="138C1D33" w14:textId="77777777" w:rsidR="00FF6330" w:rsidRDefault="00FF6330" w:rsidP="00FF6330">
            <w:pPr>
              <w:pStyle w:val="Reminder"/>
              <w:rPr>
                <w:rFonts w:asciiTheme="minorHAnsi" w:hAnsiTheme="minorHAnsi" w:cstheme="minorHAnsi"/>
                <w:i w:val="0"/>
                <w:color w:val="auto"/>
                <w:szCs w:val="22"/>
              </w:rPr>
            </w:pPr>
            <w:r w:rsidRPr="00E26DBD">
              <w:rPr>
                <w:rFonts w:asciiTheme="minorHAnsi" w:hAnsiTheme="minorHAnsi" w:cstheme="minorHAnsi"/>
                <w:i w:val="0"/>
                <w:color w:val="auto"/>
                <w:szCs w:val="22"/>
              </w:rPr>
              <w:t>The measures</w:t>
            </w:r>
            <w:r>
              <w:rPr>
                <w:rFonts w:asciiTheme="minorHAnsi" w:hAnsiTheme="minorHAnsi" w:cstheme="minorHAnsi"/>
                <w:i w:val="0"/>
                <w:color w:val="auto"/>
                <w:szCs w:val="22"/>
              </w:rPr>
              <w:t xml:space="preserve"> within DEER and the DEER-WaterH</w:t>
            </w:r>
            <w:r w:rsidRPr="00E26DBD">
              <w:rPr>
                <w:rFonts w:asciiTheme="minorHAnsi" w:hAnsiTheme="minorHAnsi" w:cstheme="minorHAnsi"/>
                <w:i w:val="0"/>
                <w:color w:val="auto"/>
                <w:szCs w:val="22"/>
              </w:rPr>
              <w:t>eater-Calculator-v3.1 generated by both SCG and Commission Staff</w:t>
            </w:r>
            <w:r>
              <w:rPr>
                <w:rFonts w:asciiTheme="minorHAnsi" w:hAnsiTheme="minorHAnsi" w:cstheme="minorHAnsi"/>
                <w:i w:val="0"/>
                <w:color w:val="auto"/>
                <w:szCs w:val="22"/>
              </w:rPr>
              <w:t>. DEER measures for all small storage water heaters were provided by the approved water heater calculator and given in a Per Unit savings basis. This workpaper uses some assumptions to convert savings into a per Cap-</w:t>
            </w:r>
            <w:proofErr w:type="spellStart"/>
            <w:r>
              <w:rPr>
                <w:rFonts w:asciiTheme="minorHAnsi" w:hAnsiTheme="minorHAnsi" w:cstheme="minorHAnsi"/>
                <w:i w:val="0"/>
                <w:color w:val="auto"/>
                <w:szCs w:val="22"/>
              </w:rPr>
              <w:t>kBTUh</w:t>
            </w:r>
            <w:proofErr w:type="spellEnd"/>
            <w:r>
              <w:rPr>
                <w:rFonts w:asciiTheme="minorHAnsi" w:hAnsiTheme="minorHAnsi" w:cstheme="minorHAnsi"/>
                <w:i w:val="0"/>
                <w:color w:val="auto"/>
                <w:szCs w:val="22"/>
              </w:rPr>
              <w:t xml:space="preserve"> savings basis.</w:t>
            </w:r>
          </w:p>
          <w:p w14:paraId="0148E068" w14:textId="77777777" w:rsidR="00FF6330" w:rsidRPr="00E26DBD" w:rsidRDefault="00FF6330" w:rsidP="00FF6330">
            <w:pPr>
              <w:pStyle w:val="Reminder"/>
              <w:rPr>
                <w:rFonts w:cstheme="minorHAnsi"/>
                <w:color w:val="auto"/>
                <w:szCs w:val="22"/>
              </w:rPr>
            </w:pPr>
          </w:p>
          <w:p w14:paraId="63D5B611" w14:textId="77777777" w:rsidR="00FF6330" w:rsidRPr="00920905" w:rsidRDefault="00FF6330" w:rsidP="00FF6330">
            <w:pPr>
              <w:pStyle w:val="Caption"/>
              <w:keepNext/>
              <w:jc w:val="center"/>
              <w:rPr>
                <w:rFonts w:cs="Arial"/>
                <w:szCs w:val="22"/>
              </w:rPr>
            </w:pPr>
            <w:bookmarkStart w:id="4" w:name="_Toc385592671"/>
            <w:r w:rsidRPr="00920905">
              <w:rPr>
                <w:rFonts w:cs="Arial"/>
                <w:szCs w:val="22"/>
              </w:rPr>
              <w:t>DEER Difference Summary</w:t>
            </w:r>
            <w:bookmarkEnd w:id="4"/>
          </w:p>
          <w:tbl>
            <w:tblPr>
              <w:tblStyle w:val="TableGrid1"/>
              <w:tblW w:w="5000" w:type="pct"/>
              <w:tblLayout w:type="fixed"/>
              <w:tblCellMar>
                <w:left w:w="115" w:type="dxa"/>
                <w:right w:w="115" w:type="dxa"/>
              </w:tblCellMar>
              <w:tblLook w:val="04A0" w:firstRow="1" w:lastRow="0" w:firstColumn="1" w:lastColumn="0" w:noHBand="0" w:noVBand="1"/>
            </w:tblPr>
            <w:tblGrid>
              <w:gridCol w:w="2771"/>
              <w:gridCol w:w="6178"/>
            </w:tblGrid>
            <w:tr w:rsidR="00FF6330" w:rsidRPr="00500C4E" w14:paraId="04AC78C8" w14:textId="77777777" w:rsidTr="006527FC">
              <w:trPr>
                <w:trHeight w:val="20"/>
              </w:trPr>
              <w:tc>
                <w:tcPr>
                  <w:tcW w:w="1548" w:type="pct"/>
                  <w:shd w:val="clear" w:color="auto" w:fill="D9D9D9" w:themeFill="background1" w:themeFillShade="D9"/>
                </w:tcPr>
                <w:p w14:paraId="18B6A48A" w14:textId="77777777" w:rsidR="00FF6330" w:rsidRPr="00920905" w:rsidRDefault="00FF6330" w:rsidP="00FF6330">
                  <w:pPr>
                    <w:tabs>
                      <w:tab w:val="right" w:pos="2957"/>
                    </w:tabs>
                    <w:rPr>
                      <w:rFonts w:cs="Arial"/>
                      <w:b/>
                      <w:szCs w:val="20"/>
                    </w:rPr>
                  </w:pPr>
                  <w:r w:rsidRPr="00920905">
                    <w:rPr>
                      <w:rFonts w:cs="Arial"/>
                      <w:b/>
                      <w:szCs w:val="20"/>
                    </w:rPr>
                    <w:t>DEER</w:t>
                  </w:r>
                  <w:r w:rsidRPr="00500C4E">
                    <w:rPr>
                      <w:rFonts w:cs="Arial"/>
                      <w:b/>
                      <w:szCs w:val="20"/>
                    </w:rPr>
                    <w:t xml:space="preserve"> </w:t>
                  </w:r>
                  <w:r>
                    <w:rPr>
                      <w:rFonts w:cs="Arial"/>
                      <w:b/>
                      <w:szCs w:val="20"/>
                    </w:rPr>
                    <w:t>Item</w:t>
                  </w:r>
                </w:p>
              </w:tc>
              <w:tc>
                <w:tcPr>
                  <w:tcW w:w="3452" w:type="pct"/>
                  <w:shd w:val="clear" w:color="auto" w:fill="D9D9D9" w:themeFill="background1" w:themeFillShade="D9"/>
                </w:tcPr>
                <w:p w14:paraId="31D2F276" w14:textId="77777777" w:rsidR="00FF6330" w:rsidRPr="00920905" w:rsidRDefault="00FF6330" w:rsidP="00FF6330">
                  <w:pPr>
                    <w:rPr>
                      <w:rFonts w:cs="Arial"/>
                      <w:b/>
                      <w:szCs w:val="20"/>
                    </w:rPr>
                  </w:pPr>
                  <w:r w:rsidRPr="00920905">
                    <w:rPr>
                      <w:rFonts w:cs="Arial"/>
                      <w:b/>
                      <w:szCs w:val="20"/>
                    </w:rPr>
                    <w:t xml:space="preserve">Used </w:t>
                  </w:r>
                  <w:r>
                    <w:rPr>
                      <w:rFonts w:cs="Arial"/>
                      <w:b/>
                      <w:szCs w:val="20"/>
                    </w:rPr>
                    <w:t>for</w:t>
                  </w:r>
                  <w:r w:rsidRPr="00920905">
                    <w:rPr>
                      <w:rFonts w:cs="Arial"/>
                      <w:b/>
                      <w:szCs w:val="20"/>
                    </w:rPr>
                    <w:t xml:space="preserve"> Workpaper?</w:t>
                  </w:r>
                </w:p>
              </w:tc>
            </w:tr>
            <w:tr w:rsidR="00FF6330" w:rsidRPr="00500C4E" w14:paraId="397D418F" w14:textId="77777777" w:rsidTr="006527FC">
              <w:trPr>
                <w:trHeight w:val="20"/>
              </w:trPr>
              <w:tc>
                <w:tcPr>
                  <w:tcW w:w="1548" w:type="pct"/>
                </w:tcPr>
                <w:p w14:paraId="67A230F3" w14:textId="77777777" w:rsidR="00FF6330" w:rsidRPr="00920905" w:rsidRDefault="00FF6330" w:rsidP="00FF6330">
                  <w:pPr>
                    <w:rPr>
                      <w:rFonts w:cs="Arial"/>
                      <w:szCs w:val="20"/>
                    </w:rPr>
                  </w:pPr>
                  <w:r w:rsidRPr="00920905">
                    <w:rPr>
                      <w:rFonts w:cs="Arial"/>
                      <w:szCs w:val="20"/>
                    </w:rPr>
                    <w:t>Modified DEER methodology</w:t>
                  </w:r>
                </w:p>
              </w:tc>
              <w:tc>
                <w:tcPr>
                  <w:tcW w:w="3452" w:type="pct"/>
                </w:tcPr>
                <w:p w14:paraId="543CBF21" w14:textId="77777777" w:rsidR="00FF6330" w:rsidRPr="00AB4CD7" w:rsidRDefault="00FF6330" w:rsidP="00FF6330">
                  <w:pPr>
                    <w:rPr>
                      <w:rFonts w:cs="Arial"/>
                      <w:szCs w:val="20"/>
                    </w:rPr>
                  </w:pPr>
                  <w:r w:rsidRPr="00AB4CD7">
                    <w:rPr>
                      <w:rFonts w:cs="Arial"/>
                      <w:szCs w:val="20"/>
                    </w:rPr>
                    <w:t>Yes</w:t>
                  </w:r>
                </w:p>
              </w:tc>
            </w:tr>
            <w:tr w:rsidR="00FF6330" w:rsidRPr="00500C4E" w14:paraId="03771870" w14:textId="77777777" w:rsidTr="006527FC">
              <w:trPr>
                <w:trHeight w:val="20"/>
              </w:trPr>
              <w:tc>
                <w:tcPr>
                  <w:tcW w:w="1548" w:type="pct"/>
                </w:tcPr>
                <w:p w14:paraId="1548EC5C" w14:textId="77777777" w:rsidR="00FF6330" w:rsidRPr="00920905" w:rsidRDefault="00FF6330" w:rsidP="00FF6330">
                  <w:pPr>
                    <w:rPr>
                      <w:rFonts w:cs="Arial"/>
                      <w:szCs w:val="20"/>
                    </w:rPr>
                  </w:pPr>
                  <w:r w:rsidRPr="00920905">
                    <w:rPr>
                      <w:rFonts w:cs="Arial"/>
                      <w:szCs w:val="20"/>
                    </w:rPr>
                    <w:t>Scaled DEER measure</w:t>
                  </w:r>
                </w:p>
              </w:tc>
              <w:tc>
                <w:tcPr>
                  <w:tcW w:w="3452" w:type="pct"/>
                </w:tcPr>
                <w:p w14:paraId="29A03DFF" w14:textId="77777777" w:rsidR="00FF6330" w:rsidRPr="00AB4CD7" w:rsidRDefault="00FF6330" w:rsidP="00FF6330">
                  <w:pPr>
                    <w:rPr>
                      <w:rFonts w:cs="Arial"/>
                      <w:szCs w:val="20"/>
                    </w:rPr>
                  </w:pPr>
                  <w:r w:rsidRPr="00AB4CD7">
                    <w:rPr>
                      <w:rFonts w:cs="Arial"/>
                      <w:szCs w:val="20"/>
                    </w:rPr>
                    <w:t>Yes</w:t>
                  </w:r>
                </w:p>
              </w:tc>
            </w:tr>
            <w:tr w:rsidR="00FF6330" w:rsidRPr="00500C4E" w14:paraId="7580818F" w14:textId="77777777" w:rsidTr="006527FC">
              <w:trPr>
                <w:trHeight w:val="20"/>
              </w:trPr>
              <w:tc>
                <w:tcPr>
                  <w:tcW w:w="1548" w:type="pct"/>
                </w:tcPr>
                <w:p w14:paraId="0AF12807"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609955E1" w14:textId="77777777" w:rsidR="00FF6330" w:rsidRPr="00AB4CD7" w:rsidRDefault="00FF6330" w:rsidP="00FF6330">
                  <w:pPr>
                    <w:rPr>
                      <w:rFonts w:cs="Arial"/>
                      <w:szCs w:val="20"/>
                    </w:rPr>
                  </w:pPr>
                  <w:r w:rsidRPr="00AB4CD7">
                    <w:rPr>
                      <w:rFonts w:cs="Arial"/>
                      <w:szCs w:val="20"/>
                    </w:rPr>
                    <w:t>Yes</w:t>
                  </w:r>
                </w:p>
              </w:tc>
            </w:tr>
            <w:tr w:rsidR="00FF6330" w:rsidRPr="00500C4E" w14:paraId="6ED380C8" w14:textId="77777777" w:rsidTr="006527FC">
              <w:trPr>
                <w:trHeight w:val="20"/>
              </w:trPr>
              <w:tc>
                <w:tcPr>
                  <w:tcW w:w="1548" w:type="pct"/>
                </w:tcPr>
                <w:p w14:paraId="5DF74F92"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73B4815B" w14:textId="77777777" w:rsidR="00FF6330" w:rsidRPr="00AB4CD7" w:rsidRDefault="00FF6330" w:rsidP="00FF6330">
                  <w:pPr>
                    <w:rPr>
                      <w:rFonts w:cs="Arial"/>
                      <w:szCs w:val="20"/>
                    </w:rPr>
                  </w:pPr>
                  <w:r w:rsidRPr="00AB4CD7">
                    <w:rPr>
                      <w:rFonts w:cs="Arial"/>
                      <w:szCs w:val="20"/>
                    </w:rPr>
                    <w:t>Yes</w:t>
                  </w:r>
                </w:p>
              </w:tc>
            </w:tr>
            <w:tr w:rsidR="00FF6330" w:rsidRPr="00500C4E" w14:paraId="0B61F9FC" w14:textId="77777777" w:rsidTr="006527FC">
              <w:trPr>
                <w:trHeight w:val="20"/>
              </w:trPr>
              <w:tc>
                <w:tcPr>
                  <w:tcW w:w="1548" w:type="pct"/>
                </w:tcPr>
                <w:p w14:paraId="43007B42"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04855D89" w14:textId="77777777" w:rsidR="00FF6330" w:rsidRPr="00AB4CD7" w:rsidRDefault="00FF6330" w:rsidP="00FF6330">
                  <w:pPr>
                    <w:rPr>
                      <w:rFonts w:cs="Arial"/>
                      <w:szCs w:val="20"/>
                    </w:rPr>
                  </w:pPr>
                  <w:r w:rsidRPr="00AB4CD7">
                    <w:rPr>
                      <w:rFonts w:cs="Arial"/>
                      <w:szCs w:val="20"/>
                    </w:rPr>
                    <w:t>Yes</w:t>
                  </w:r>
                </w:p>
              </w:tc>
            </w:tr>
            <w:tr w:rsidR="00FF6330" w:rsidRPr="00500C4E" w14:paraId="527E9D0D" w14:textId="77777777" w:rsidTr="006527FC">
              <w:trPr>
                <w:trHeight w:val="20"/>
              </w:trPr>
              <w:tc>
                <w:tcPr>
                  <w:tcW w:w="1548" w:type="pct"/>
                </w:tcPr>
                <w:p w14:paraId="48BFE847"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053EBA52" w14:textId="77777777" w:rsidR="00FF6330" w:rsidRPr="00AB4CD7" w:rsidRDefault="00FF6330" w:rsidP="00FF6330">
                  <w:pPr>
                    <w:rPr>
                      <w:rFonts w:cs="Arial"/>
                      <w:szCs w:val="20"/>
                    </w:rPr>
                  </w:pPr>
                  <w:r w:rsidRPr="00AB4CD7">
                    <w:rPr>
                      <w:rFonts w:cs="Arial"/>
                      <w:szCs w:val="20"/>
                    </w:rPr>
                    <w:t>Yes</w:t>
                  </w:r>
                </w:p>
              </w:tc>
            </w:tr>
            <w:tr w:rsidR="00FF6330" w:rsidRPr="00500C4E" w14:paraId="7678CD3C" w14:textId="77777777" w:rsidTr="006527FC">
              <w:trPr>
                <w:trHeight w:val="20"/>
              </w:trPr>
              <w:tc>
                <w:tcPr>
                  <w:tcW w:w="1548" w:type="pct"/>
                </w:tcPr>
                <w:p w14:paraId="5E5BDD94" w14:textId="77777777" w:rsidR="00FF6330" w:rsidRPr="00920905" w:rsidRDefault="00FF6330" w:rsidP="00FF6330">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05505926" w14:textId="77777777" w:rsidR="00FF6330" w:rsidRPr="00AB4CD7" w:rsidDel="00505CEC" w:rsidRDefault="00FF6330" w:rsidP="00FF6330">
                  <w:pPr>
                    <w:tabs>
                      <w:tab w:val="left" w:pos="810"/>
                    </w:tabs>
                    <w:rPr>
                      <w:rFonts w:cs="Arial"/>
                      <w:szCs w:val="20"/>
                    </w:rPr>
                  </w:pPr>
                  <w:r w:rsidRPr="00AB4CD7">
                    <w:rPr>
                      <w:rFonts w:cs="Arial"/>
                      <w:szCs w:val="20"/>
                    </w:rPr>
                    <w:t>N/A</w:t>
                  </w:r>
                </w:p>
              </w:tc>
            </w:tr>
            <w:tr w:rsidR="00FF6330" w:rsidRPr="00500C4E" w14:paraId="23D7422E" w14:textId="77777777" w:rsidTr="006527FC">
              <w:trPr>
                <w:trHeight w:val="20"/>
              </w:trPr>
              <w:tc>
                <w:tcPr>
                  <w:tcW w:w="1548" w:type="pct"/>
                </w:tcPr>
                <w:p w14:paraId="13666D1D" w14:textId="77777777" w:rsidR="00FF6330" w:rsidRPr="00500C4E" w:rsidRDefault="00FF6330" w:rsidP="00FF6330">
                  <w:pPr>
                    <w:rPr>
                      <w:rFonts w:cs="Arial"/>
                      <w:szCs w:val="20"/>
                    </w:rPr>
                  </w:pPr>
                  <w:r w:rsidRPr="00500C4E">
                    <w:rPr>
                      <w:rFonts w:cs="Arial"/>
                      <w:szCs w:val="20"/>
                    </w:rPr>
                    <w:t>DEER Version</w:t>
                  </w:r>
                </w:p>
              </w:tc>
              <w:tc>
                <w:tcPr>
                  <w:tcW w:w="3452" w:type="pct"/>
                </w:tcPr>
                <w:p w14:paraId="5B749DD1" w14:textId="32B30A3B" w:rsidR="00FF6330" w:rsidRPr="00AB4CD7" w:rsidRDefault="00FF6330" w:rsidP="00FF6330">
                  <w:pPr>
                    <w:rPr>
                      <w:rFonts w:cs="Arial"/>
                      <w:szCs w:val="20"/>
                    </w:rPr>
                  </w:pPr>
                  <w:r>
                    <w:rPr>
                      <w:rFonts w:cstheme="minorHAnsi"/>
                      <w:szCs w:val="20"/>
                    </w:rPr>
                    <w:t>DEER 201</w:t>
                  </w:r>
                  <w:r w:rsidR="00846363">
                    <w:rPr>
                      <w:rFonts w:cstheme="minorHAnsi"/>
                      <w:szCs w:val="20"/>
                    </w:rPr>
                    <w:t>9</w:t>
                  </w:r>
                </w:p>
              </w:tc>
            </w:tr>
            <w:tr w:rsidR="00FF6330" w:rsidRPr="00500C4E" w14:paraId="268277BA" w14:textId="77777777" w:rsidTr="006527FC">
              <w:trPr>
                <w:trHeight w:val="20"/>
              </w:trPr>
              <w:tc>
                <w:tcPr>
                  <w:tcW w:w="1548" w:type="pct"/>
                </w:tcPr>
                <w:p w14:paraId="14129DBB" w14:textId="77777777" w:rsidR="00FF6330" w:rsidRPr="00920905" w:rsidRDefault="00FF6330" w:rsidP="00FF6330">
                  <w:pPr>
                    <w:rPr>
                      <w:rFonts w:cs="Arial"/>
                      <w:szCs w:val="20"/>
                    </w:rPr>
                  </w:pPr>
                  <w:r w:rsidRPr="00920905">
                    <w:rPr>
                      <w:rFonts w:cs="Arial"/>
                      <w:szCs w:val="20"/>
                    </w:rPr>
                    <w:t>Reason for Deviation from DEER</w:t>
                  </w:r>
                </w:p>
              </w:tc>
              <w:tc>
                <w:tcPr>
                  <w:tcW w:w="3452" w:type="pct"/>
                </w:tcPr>
                <w:p w14:paraId="2939B932" w14:textId="77777777" w:rsidR="00FF6330" w:rsidRPr="00AB4CD7" w:rsidRDefault="00FF6330" w:rsidP="00FF6330">
                  <w:pPr>
                    <w:rPr>
                      <w:rFonts w:cs="Arial"/>
                      <w:szCs w:val="20"/>
                    </w:rPr>
                  </w:pPr>
                  <w:r w:rsidRPr="00AB4CD7">
                    <w:rPr>
                      <w:rFonts w:cs="Arial"/>
                      <w:szCs w:val="20"/>
                    </w:rPr>
                    <w:t>N/A</w:t>
                  </w:r>
                </w:p>
              </w:tc>
            </w:tr>
            <w:tr w:rsidR="00FF6330" w:rsidRPr="00500C4E" w14:paraId="5A8CE0DE" w14:textId="77777777" w:rsidTr="006527FC">
              <w:trPr>
                <w:trHeight w:val="20"/>
              </w:trPr>
              <w:tc>
                <w:tcPr>
                  <w:tcW w:w="1548" w:type="pct"/>
                </w:tcPr>
                <w:p w14:paraId="7637D5C3" w14:textId="77777777" w:rsidR="00FF6330" w:rsidRPr="00920905" w:rsidRDefault="00FF6330" w:rsidP="00FF6330">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tbl>
                  <w:tblPr>
                    <w:tblW w:w="5334" w:type="dxa"/>
                    <w:tblLayout w:type="fixed"/>
                    <w:tblLook w:val="04A0" w:firstRow="1" w:lastRow="0" w:firstColumn="1" w:lastColumn="0" w:noHBand="0" w:noVBand="1"/>
                  </w:tblPr>
                  <w:tblGrid>
                    <w:gridCol w:w="5334"/>
                  </w:tblGrid>
                  <w:tr w:rsidR="00FF6330" w:rsidRPr="00EA5BE1" w14:paraId="300CCB1C" w14:textId="77777777" w:rsidTr="006527FC">
                    <w:trPr>
                      <w:trHeight w:val="243"/>
                    </w:trPr>
                    <w:tc>
                      <w:tcPr>
                        <w:tcW w:w="5334" w:type="dxa"/>
                        <w:tcBorders>
                          <w:top w:val="nil"/>
                          <w:left w:val="nil"/>
                          <w:bottom w:val="nil"/>
                          <w:right w:val="nil"/>
                        </w:tcBorders>
                        <w:shd w:val="clear" w:color="auto" w:fill="auto"/>
                        <w:noWrap/>
                        <w:vAlign w:val="bottom"/>
                        <w:hideMark/>
                      </w:tcPr>
                      <w:p w14:paraId="571086B6" w14:textId="77777777"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NG-WtrHt-SmlStrg-Gas-Ite75kBtuh-30G-MD-0p64UEF</w:t>
                        </w:r>
                      </w:p>
                    </w:tc>
                  </w:tr>
                  <w:tr w:rsidR="00FF6330" w:rsidRPr="00EA5BE1" w14:paraId="18476B65" w14:textId="77777777" w:rsidTr="006527FC">
                    <w:trPr>
                      <w:trHeight w:val="243"/>
                    </w:trPr>
                    <w:tc>
                      <w:tcPr>
                        <w:tcW w:w="5334" w:type="dxa"/>
                        <w:tcBorders>
                          <w:top w:val="nil"/>
                          <w:left w:val="nil"/>
                          <w:bottom w:val="nil"/>
                          <w:right w:val="nil"/>
                        </w:tcBorders>
                        <w:shd w:val="clear" w:color="auto" w:fill="auto"/>
                        <w:noWrap/>
                        <w:vAlign w:val="bottom"/>
                        <w:hideMark/>
                      </w:tcPr>
                      <w:p w14:paraId="75D8C696" w14:textId="77777777"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NG-WtrHt-SmlStrg-Gas-Ite75kBtuh-40G-MD-0p64UEF</w:t>
                        </w:r>
                      </w:p>
                    </w:tc>
                  </w:tr>
                  <w:tr w:rsidR="00FF6330" w:rsidRPr="00EA5BE1" w14:paraId="36E8EE91" w14:textId="77777777" w:rsidTr="006527FC">
                    <w:trPr>
                      <w:trHeight w:val="243"/>
                    </w:trPr>
                    <w:tc>
                      <w:tcPr>
                        <w:tcW w:w="5334" w:type="dxa"/>
                        <w:tcBorders>
                          <w:top w:val="nil"/>
                          <w:left w:val="nil"/>
                          <w:bottom w:val="nil"/>
                          <w:right w:val="nil"/>
                        </w:tcBorders>
                        <w:shd w:val="clear" w:color="auto" w:fill="auto"/>
                        <w:noWrap/>
                        <w:vAlign w:val="bottom"/>
                        <w:hideMark/>
                      </w:tcPr>
                      <w:p w14:paraId="06EFC1C2" w14:textId="77777777"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NG-WtrHt-SmlStrg-Gas-Ite75kBtuh-50G-MD-0p64UEF</w:t>
                        </w:r>
                      </w:p>
                    </w:tc>
                  </w:tr>
                  <w:tr w:rsidR="00FF6330" w:rsidRPr="00EA5BE1" w14:paraId="3EEAFF81" w14:textId="77777777" w:rsidTr="006527FC">
                    <w:trPr>
                      <w:trHeight w:val="243"/>
                    </w:trPr>
                    <w:tc>
                      <w:tcPr>
                        <w:tcW w:w="5334" w:type="dxa"/>
                        <w:tcBorders>
                          <w:top w:val="nil"/>
                          <w:left w:val="nil"/>
                          <w:bottom w:val="nil"/>
                          <w:right w:val="nil"/>
                        </w:tcBorders>
                        <w:shd w:val="clear" w:color="auto" w:fill="auto"/>
                        <w:noWrap/>
                        <w:vAlign w:val="bottom"/>
                        <w:hideMark/>
                      </w:tcPr>
                      <w:p w14:paraId="21150845" w14:textId="7AF46264"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NG-WtrHt-SmlStrg-Gas-Ite75kBtuh-30G-H</w:t>
                        </w:r>
                        <w:r w:rsidR="00056332">
                          <w:rPr>
                            <w:rFonts w:ascii="Calibri" w:hAnsi="Calibri" w:cs="Calibri"/>
                            <w:color w:val="000000"/>
                            <w:sz w:val="20"/>
                            <w:szCs w:val="22"/>
                          </w:rPr>
                          <w:t>I</w:t>
                        </w:r>
                        <w:r w:rsidRPr="00EA5BE1">
                          <w:rPr>
                            <w:rFonts w:ascii="Calibri" w:hAnsi="Calibri" w:cs="Calibri"/>
                            <w:color w:val="000000"/>
                            <w:sz w:val="20"/>
                            <w:szCs w:val="22"/>
                          </w:rPr>
                          <w:t>-0p68UEF</w:t>
                        </w:r>
                      </w:p>
                    </w:tc>
                  </w:tr>
                  <w:tr w:rsidR="00FF6330" w:rsidRPr="00EA5BE1" w14:paraId="63A82A18" w14:textId="77777777" w:rsidTr="006527FC">
                    <w:trPr>
                      <w:trHeight w:val="243"/>
                    </w:trPr>
                    <w:tc>
                      <w:tcPr>
                        <w:tcW w:w="5334" w:type="dxa"/>
                        <w:tcBorders>
                          <w:top w:val="nil"/>
                          <w:left w:val="nil"/>
                          <w:bottom w:val="nil"/>
                          <w:right w:val="nil"/>
                        </w:tcBorders>
                        <w:shd w:val="clear" w:color="auto" w:fill="auto"/>
                        <w:noWrap/>
                        <w:vAlign w:val="bottom"/>
                        <w:hideMark/>
                      </w:tcPr>
                      <w:p w14:paraId="5858D9CB" w14:textId="310E2439"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NG-WtrHt-SmlStrg-Gas-Ite75kBtuh-40G-H</w:t>
                        </w:r>
                        <w:r w:rsidR="00056332">
                          <w:rPr>
                            <w:rFonts w:ascii="Calibri" w:hAnsi="Calibri" w:cs="Calibri"/>
                            <w:color w:val="000000"/>
                            <w:sz w:val="20"/>
                            <w:szCs w:val="22"/>
                          </w:rPr>
                          <w:t>I</w:t>
                        </w:r>
                        <w:r w:rsidRPr="00EA5BE1">
                          <w:rPr>
                            <w:rFonts w:ascii="Calibri" w:hAnsi="Calibri" w:cs="Calibri"/>
                            <w:color w:val="000000"/>
                            <w:sz w:val="20"/>
                            <w:szCs w:val="22"/>
                          </w:rPr>
                          <w:t>-0p68UEF</w:t>
                        </w:r>
                      </w:p>
                    </w:tc>
                  </w:tr>
                  <w:tr w:rsidR="00FF6330" w:rsidRPr="00EA5BE1" w14:paraId="2912828B" w14:textId="77777777" w:rsidTr="006527FC">
                    <w:trPr>
                      <w:trHeight w:val="243"/>
                    </w:trPr>
                    <w:tc>
                      <w:tcPr>
                        <w:tcW w:w="5334" w:type="dxa"/>
                        <w:tcBorders>
                          <w:top w:val="nil"/>
                          <w:left w:val="nil"/>
                          <w:bottom w:val="nil"/>
                          <w:right w:val="nil"/>
                        </w:tcBorders>
                        <w:shd w:val="clear" w:color="auto" w:fill="auto"/>
                        <w:noWrap/>
                        <w:vAlign w:val="bottom"/>
                        <w:hideMark/>
                      </w:tcPr>
                      <w:p w14:paraId="3991CA81" w14:textId="6C232A6C" w:rsidR="00FF6330" w:rsidRPr="00EA5BE1" w:rsidRDefault="00FF6330" w:rsidP="00FF6330">
                        <w:pPr>
                          <w:rPr>
                            <w:rFonts w:ascii="Calibri" w:hAnsi="Calibri" w:cs="Calibri"/>
                            <w:color w:val="000000"/>
                            <w:sz w:val="20"/>
                            <w:szCs w:val="22"/>
                          </w:rPr>
                        </w:pPr>
                        <w:r w:rsidRPr="00EA5BE1">
                          <w:rPr>
                            <w:rFonts w:ascii="Calibri" w:hAnsi="Calibri" w:cs="Calibri"/>
                            <w:color w:val="000000"/>
                            <w:sz w:val="20"/>
                            <w:szCs w:val="22"/>
                          </w:rPr>
                          <w:t>NG-WtrHt-SmlStrg-Gas-Ite75kBtuh-50G-H</w:t>
                        </w:r>
                        <w:r w:rsidR="00056332">
                          <w:rPr>
                            <w:rFonts w:ascii="Calibri" w:hAnsi="Calibri" w:cs="Calibri"/>
                            <w:color w:val="000000"/>
                            <w:sz w:val="20"/>
                            <w:szCs w:val="22"/>
                          </w:rPr>
                          <w:t>I</w:t>
                        </w:r>
                        <w:r w:rsidRPr="00EA5BE1">
                          <w:rPr>
                            <w:rFonts w:ascii="Calibri" w:hAnsi="Calibri" w:cs="Calibri"/>
                            <w:color w:val="000000"/>
                            <w:sz w:val="20"/>
                            <w:szCs w:val="22"/>
                          </w:rPr>
                          <w:t>-0p68UEF</w:t>
                        </w:r>
                      </w:p>
                    </w:tc>
                  </w:tr>
                </w:tbl>
                <w:p w14:paraId="4626D381" w14:textId="77777777" w:rsidR="00FF6330" w:rsidRPr="00920905" w:rsidRDefault="00FF6330" w:rsidP="00FF6330">
                  <w:pPr>
                    <w:rPr>
                      <w:rFonts w:cs="Arial"/>
                      <w:color w:val="FF0000"/>
                      <w:szCs w:val="20"/>
                    </w:rPr>
                  </w:pPr>
                </w:p>
              </w:tc>
            </w:tr>
          </w:tbl>
          <w:p w14:paraId="269B66D4" w14:textId="4C4D09A6" w:rsidR="00FF6330" w:rsidRPr="00B3082D" w:rsidRDefault="00FF6330" w:rsidP="00B3082D">
            <w:pPr>
              <w:rPr>
                <w:rFonts w:cs="Arial"/>
                <w:sz w:val="20"/>
                <w:szCs w:val="20"/>
              </w:rPr>
            </w:pPr>
          </w:p>
        </w:tc>
      </w:tr>
      <w:tr w:rsidR="00C80D48" w:rsidRPr="009B0E7F" w14:paraId="269B66D8" w14:textId="77777777" w:rsidTr="006527FC">
        <w:trPr>
          <w:cantSplit/>
        </w:trPr>
        <w:tc>
          <w:tcPr>
            <w:tcW w:w="1507" w:type="dxa"/>
          </w:tcPr>
          <w:p w14:paraId="269B66D6" w14:textId="77777777" w:rsidR="009B0E7F" w:rsidRPr="009B0E7F" w:rsidRDefault="009B0E7F" w:rsidP="009B0E7F">
            <w:pPr>
              <w:jc w:val="right"/>
              <w:rPr>
                <w:sz w:val="20"/>
                <w:szCs w:val="20"/>
              </w:rPr>
            </w:pPr>
            <w:r w:rsidRPr="009B0E7F">
              <w:rPr>
                <w:sz w:val="20"/>
                <w:szCs w:val="20"/>
              </w:rPr>
              <w:t>Measures</w:t>
            </w:r>
          </w:p>
        </w:tc>
        <w:tc>
          <w:tcPr>
            <w:tcW w:w="9175" w:type="dxa"/>
          </w:tcPr>
          <w:p w14:paraId="269B66D7" w14:textId="4BEFD62E" w:rsidR="009B0E7F" w:rsidRPr="003233BD" w:rsidRDefault="009B0E7F" w:rsidP="009B0E7F">
            <w:pPr>
              <w:rPr>
                <w:rFonts w:cs="Arial"/>
                <w:sz w:val="20"/>
                <w:szCs w:val="20"/>
              </w:rPr>
            </w:pPr>
            <w:r w:rsidRPr="003233BD">
              <w:rPr>
                <w:rFonts w:cs="Arial"/>
                <w:sz w:val="20"/>
                <w:szCs w:val="20"/>
              </w:rPr>
              <w:t xml:space="preserve">Per DEER/READI </w:t>
            </w:r>
            <w:r w:rsidR="000E7445" w:rsidRPr="003233BD">
              <w:rPr>
                <w:rFonts w:cs="Arial"/>
                <w:sz w:val="20"/>
                <w:szCs w:val="20"/>
              </w:rPr>
              <w:t xml:space="preserve">Measures IDs </w:t>
            </w:r>
            <w:r w:rsidRPr="003233BD">
              <w:rPr>
                <w:rFonts w:cs="Arial"/>
                <w:sz w:val="20"/>
                <w:szCs w:val="20"/>
              </w:rPr>
              <w:t xml:space="preserve">as </w:t>
            </w:r>
            <w:r w:rsidR="000E7445" w:rsidRPr="003233BD">
              <w:rPr>
                <w:rFonts w:cs="Arial"/>
                <w:sz w:val="20"/>
                <w:szCs w:val="20"/>
              </w:rPr>
              <w:t>noted herein above per Revision History</w:t>
            </w:r>
          </w:p>
        </w:tc>
      </w:tr>
      <w:tr w:rsidR="00C80D48" w:rsidRPr="009B0E7F" w14:paraId="269B66DB" w14:textId="77777777" w:rsidTr="006527FC">
        <w:trPr>
          <w:cantSplit/>
        </w:trPr>
        <w:tc>
          <w:tcPr>
            <w:tcW w:w="1507" w:type="dxa"/>
          </w:tcPr>
          <w:p w14:paraId="269B66D9" w14:textId="77777777" w:rsidR="009B0E7F" w:rsidRPr="009B0E7F" w:rsidRDefault="009B0E7F" w:rsidP="009B0E7F">
            <w:pPr>
              <w:jc w:val="right"/>
              <w:rPr>
                <w:sz w:val="20"/>
                <w:szCs w:val="20"/>
              </w:rPr>
            </w:pPr>
            <w:r w:rsidRPr="009B0E7F">
              <w:rPr>
                <w:sz w:val="20"/>
                <w:szCs w:val="20"/>
              </w:rPr>
              <w:lastRenderedPageBreak/>
              <w:t>Code for All Measures</w:t>
            </w:r>
          </w:p>
        </w:tc>
        <w:tc>
          <w:tcPr>
            <w:tcW w:w="9175" w:type="dxa"/>
          </w:tcPr>
          <w:p w14:paraId="4F24E409" w14:textId="77777777" w:rsidR="009B0E7F" w:rsidRPr="003233BD" w:rsidRDefault="009B0E7F" w:rsidP="003D547E">
            <w:pPr>
              <w:rPr>
                <w:rFonts w:cs="Arial"/>
                <w:sz w:val="20"/>
                <w:szCs w:val="20"/>
              </w:rPr>
            </w:pPr>
            <w:r w:rsidRPr="003233BD">
              <w:rPr>
                <w:rFonts w:cs="Arial"/>
                <w:sz w:val="20"/>
                <w:szCs w:val="20"/>
              </w:rPr>
              <w:t xml:space="preserve">Title 20 </w:t>
            </w:r>
            <w:r w:rsidR="00C80D48" w:rsidRPr="003233BD">
              <w:rPr>
                <w:rFonts w:cs="Arial"/>
                <w:sz w:val="20"/>
                <w:szCs w:val="20"/>
              </w:rPr>
              <w:t xml:space="preserve">and Title 24 as reflected and referenced in DEER </w:t>
            </w:r>
          </w:p>
          <w:p w14:paraId="5FA632E4" w14:textId="77777777" w:rsidR="00697D77" w:rsidRPr="003233BD" w:rsidRDefault="00697D77" w:rsidP="003D547E">
            <w:pPr>
              <w:rPr>
                <w:rFonts w:cs="Arial"/>
                <w:sz w:val="20"/>
                <w:szCs w:val="20"/>
              </w:rPr>
            </w:pPr>
          </w:p>
          <w:p w14:paraId="39960034" w14:textId="77777777" w:rsidR="00697D77" w:rsidRPr="003233BD" w:rsidRDefault="00697D77" w:rsidP="003D547E">
            <w:pPr>
              <w:rPr>
                <w:rFonts w:cs="Arial"/>
                <w:sz w:val="20"/>
                <w:szCs w:val="20"/>
              </w:rPr>
            </w:pPr>
            <w:r w:rsidRPr="003233BD">
              <w:rPr>
                <w:noProof/>
                <w:sz w:val="20"/>
                <w:szCs w:val="20"/>
              </w:rPr>
              <w:drawing>
                <wp:inline distT="0" distB="0" distL="0" distR="0" wp14:anchorId="43657C73" wp14:editId="355895E2">
                  <wp:extent cx="5010150" cy="3675109"/>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4075" cy="3692659"/>
                          </a:xfrm>
                          <a:prstGeom prst="rect">
                            <a:avLst/>
                          </a:prstGeom>
                        </pic:spPr>
                      </pic:pic>
                    </a:graphicData>
                  </a:graphic>
                </wp:inline>
              </w:drawing>
            </w:r>
          </w:p>
          <w:p w14:paraId="0C67B4A6" w14:textId="77777777" w:rsidR="0027399B" w:rsidRPr="003233BD" w:rsidRDefault="0027399B" w:rsidP="003D547E">
            <w:pPr>
              <w:rPr>
                <w:rFonts w:cs="Arial"/>
                <w:sz w:val="20"/>
                <w:szCs w:val="20"/>
              </w:rPr>
            </w:pPr>
          </w:p>
          <w:p w14:paraId="563E12B3" w14:textId="77777777" w:rsidR="0027399B" w:rsidRDefault="007E648E" w:rsidP="003D547E">
            <w:pPr>
              <w:rPr>
                <w:rFonts w:cs="Arial"/>
                <w:sz w:val="20"/>
                <w:szCs w:val="20"/>
              </w:rPr>
            </w:pPr>
            <w:r>
              <w:rPr>
                <w:noProof/>
              </w:rPr>
              <w:drawing>
                <wp:inline distT="0" distB="0" distL="0" distR="0" wp14:anchorId="2213CEE2" wp14:editId="6CF46733">
                  <wp:extent cx="5181600" cy="16408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83539" cy="1641454"/>
                          </a:xfrm>
                          <a:prstGeom prst="rect">
                            <a:avLst/>
                          </a:prstGeom>
                        </pic:spPr>
                      </pic:pic>
                    </a:graphicData>
                  </a:graphic>
                </wp:inline>
              </w:drawing>
            </w:r>
          </w:p>
          <w:p w14:paraId="36010606" w14:textId="77777777" w:rsidR="007E648E" w:rsidRDefault="007E648E" w:rsidP="007E648E"/>
          <w:p w14:paraId="67A693B6" w14:textId="5A3FF829" w:rsidR="007E648E" w:rsidRPr="007E648E" w:rsidRDefault="007E648E" w:rsidP="007E648E">
            <w:pPr>
              <w:rPr>
                <w:sz w:val="20"/>
                <w:szCs w:val="20"/>
              </w:rPr>
            </w:pPr>
            <w:r w:rsidRPr="007E648E">
              <w:rPr>
                <w:sz w:val="20"/>
                <w:szCs w:val="20"/>
              </w:rPr>
              <w:t>As of December 29, 2016, the Department of Energy developed a final ruling within the Federal Register</w:t>
            </w:r>
            <w:r w:rsidRPr="007E648E">
              <w:rPr>
                <w:sz w:val="20"/>
                <w:szCs w:val="20"/>
                <w:vertAlign w:val="superscript"/>
              </w:rPr>
              <w:t xml:space="preserve"> </w:t>
            </w:r>
            <w:r w:rsidRPr="007E648E">
              <w:rPr>
                <w:sz w:val="20"/>
                <w:szCs w:val="20"/>
              </w:rPr>
              <w:t>which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w:t>
            </w:r>
            <w:r w:rsidRPr="007E648E">
              <w:rPr>
                <w:rStyle w:val="EndnoteReference"/>
                <w:sz w:val="20"/>
                <w:szCs w:val="20"/>
              </w:rPr>
              <w:endnoteReference w:id="1"/>
            </w:r>
            <w:r w:rsidRPr="007E648E">
              <w:rPr>
                <w:sz w:val="20"/>
                <w:szCs w:val="20"/>
              </w:rPr>
              <w:t xml:space="preserve">. These categories are based on draw pattern and differ by the labels </w:t>
            </w:r>
            <w:r w:rsidRPr="007E648E">
              <w:rPr>
                <w:i/>
                <w:sz w:val="20"/>
                <w:szCs w:val="20"/>
              </w:rPr>
              <w:t xml:space="preserve">very small, low, medium, </w:t>
            </w:r>
            <w:r w:rsidRPr="007E648E">
              <w:rPr>
                <w:sz w:val="20"/>
                <w:szCs w:val="20"/>
              </w:rPr>
              <w:t xml:space="preserve">and </w:t>
            </w:r>
            <w:r w:rsidRPr="007E648E">
              <w:rPr>
                <w:i/>
                <w:sz w:val="20"/>
                <w:szCs w:val="20"/>
              </w:rPr>
              <w:t>high</w:t>
            </w:r>
            <w:r w:rsidRPr="007E648E">
              <w:rPr>
                <w:sz w:val="20"/>
                <w:szCs w:val="20"/>
              </w:rPr>
              <w:t xml:space="preserve">. This allows water heaters to be compared more easily between different types (i.e. Storage and Tankless), so long as they are being compared within those same bins. The final ruling from the Federal Register dated on December 29, 2016 can be found in </w:t>
            </w:r>
            <w:r w:rsidRPr="007E648E">
              <w:rPr>
                <w:i/>
                <w:sz w:val="20"/>
                <w:szCs w:val="20"/>
              </w:rPr>
              <w:t>Attachment B</w:t>
            </w:r>
            <w:r w:rsidRPr="007E648E">
              <w:rPr>
                <w:sz w:val="20"/>
                <w:szCs w:val="20"/>
              </w:rPr>
              <w:t>. The attachment contains the following table that can be referenced when evaluating the UEF of units that coincide with the current code standards of Title 20 for water heaters.</w:t>
            </w:r>
          </w:p>
          <w:p w14:paraId="7C7DA0CE" w14:textId="77777777" w:rsidR="007E648E" w:rsidRDefault="007E648E" w:rsidP="007E648E"/>
          <w:p w14:paraId="7A8EEA0E" w14:textId="77777777" w:rsidR="007E648E" w:rsidRPr="00D9290B" w:rsidRDefault="007E648E" w:rsidP="007E648E">
            <w:pPr>
              <w:jc w:val="center"/>
              <w:rPr>
                <w:b/>
              </w:rPr>
            </w:pPr>
            <w:r w:rsidRPr="00D9290B">
              <w:rPr>
                <w:b/>
              </w:rPr>
              <w:lastRenderedPageBreak/>
              <w:t xml:space="preserve">Table </w:t>
            </w:r>
            <w:r>
              <w:rPr>
                <w:b/>
              </w:rPr>
              <w:t>3</w:t>
            </w:r>
            <w:r w:rsidRPr="00D9290B">
              <w:rPr>
                <w:b/>
              </w:rPr>
              <w:t>: Equations to Convert Current Title 20 Code to UEF</w:t>
            </w:r>
          </w:p>
          <w:p w14:paraId="07F54C27" w14:textId="77777777" w:rsidR="007E648E" w:rsidRDefault="007E648E" w:rsidP="003D547E">
            <w:pPr>
              <w:rPr>
                <w:rFonts w:cs="Arial"/>
                <w:sz w:val="20"/>
                <w:szCs w:val="20"/>
              </w:rPr>
            </w:pPr>
            <w:r>
              <w:rPr>
                <w:noProof/>
              </w:rPr>
              <w:drawing>
                <wp:inline distT="0" distB="0" distL="0" distR="0" wp14:anchorId="57859F39" wp14:editId="3C3A3A94">
                  <wp:extent cx="5229225" cy="2586679"/>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31348" cy="2587729"/>
                          </a:xfrm>
                          <a:prstGeom prst="rect">
                            <a:avLst/>
                          </a:prstGeom>
                        </pic:spPr>
                      </pic:pic>
                    </a:graphicData>
                  </a:graphic>
                </wp:inline>
              </w:drawing>
            </w:r>
          </w:p>
          <w:p w14:paraId="09AF4849" w14:textId="77777777" w:rsidR="007E648E" w:rsidRDefault="007E648E" w:rsidP="007E648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2474E03A" w14:textId="77777777" w:rsidR="007E648E" w:rsidRDefault="007E648E" w:rsidP="007E648E">
            <w:pPr>
              <w:pStyle w:val="Reminders"/>
              <w:rPr>
                <w:rFonts w:asciiTheme="minorHAnsi" w:hAnsiTheme="minorHAnsi" w:cstheme="minorHAnsi"/>
                <w:i w:val="0"/>
                <w:color w:val="auto"/>
                <w:szCs w:val="22"/>
              </w:rPr>
            </w:pPr>
          </w:p>
          <w:p w14:paraId="32CAE464" w14:textId="77777777" w:rsidR="007E648E" w:rsidRDefault="007E648E" w:rsidP="007E648E">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2CA8A992" w14:textId="77777777" w:rsidR="007E648E" w:rsidRDefault="007E648E" w:rsidP="007E648E">
            <w:pPr>
              <w:pStyle w:val="Reminders"/>
              <w:rPr>
                <w:rFonts w:asciiTheme="minorHAnsi" w:hAnsiTheme="minorHAnsi" w:cstheme="minorHAnsi"/>
                <w:color w:val="auto"/>
                <w:szCs w:val="22"/>
              </w:rPr>
            </w:pPr>
          </w:p>
          <w:p w14:paraId="5D7E0653" w14:textId="77777777" w:rsidR="007E648E" w:rsidRDefault="007E648E" w:rsidP="007E648E">
            <w:pPr>
              <w:pStyle w:val="Reminders"/>
              <w:rPr>
                <w:rFonts w:asciiTheme="minorHAnsi" w:hAnsiTheme="minorHAnsi" w:cstheme="minorHAnsi"/>
                <w:color w:val="auto"/>
                <w:szCs w:val="22"/>
              </w:rPr>
            </w:pPr>
            <w:r>
              <w:rPr>
                <w:rFonts w:asciiTheme="minorHAnsi" w:hAnsiTheme="minorHAnsi" w:cstheme="minorHAnsi"/>
                <w:color w:val="auto"/>
                <w:szCs w:val="22"/>
              </w:rPr>
              <w:t>(1) For consumer gas-fired water heaters, consumer oil-fired water heaters, consumer electric water heaters, tabletop water heaters, grid enabled water heaters, residential-duty commercial gas water heaters, residential-duty commercial oil filed water heaters: Use the New FHR (First Hour Rating) to select the applicable draw pattern from the table in this paragraph:</w:t>
            </w:r>
          </w:p>
          <w:p w14:paraId="46C59883" w14:textId="77777777" w:rsidR="007E648E" w:rsidRDefault="007E648E" w:rsidP="007E648E">
            <w:pPr>
              <w:pStyle w:val="Reminders"/>
              <w:rPr>
                <w:rFonts w:asciiTheme="minorHAnsi" w:hAnsiTheme="minorHAnsi" w:cstheme="minorHAnsi"/>
                <w:color w:val="auto"/>
                <w:szCs w:val="22"/>
              </w:rPr>
            </w:pPr>
          </w:p>
          <w:p w14:paraId="2578A4D2" w14:textId="77777777" w:rsidR="007E648E" w:rsidRPr="00D9290B" w:rsidRDefault="007E648E" w:rsidP="007E648E">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3B3F90DA" w14:textId="77777777" w:rsidR="007E648E" w:rsidRDefault="007E648E" w:rsidP="003D547E">
            <w:pPr>
              <w:rPr>
                <w:rFonts w:cs="Arial"/>
                <w:sz w:val="20"/>
                <w:szCs w:val="20"/>
              </w:rPr>
            </w:pPr>
            <w:r>
              <w:rPr>
                <w:noProof/>
              </w:rPr>
              <w:drawing>
                <wp:inline distT="0" distB="0" distL="0" distR="0" wp14:anchorId="76F15476" wp14:editId="17EA5F8F">
                  <wp:extent cx="5064711" cy="642829"/>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39938" cy="652377"/>
                          </a:xfrm>
                          <a:prstGeom prst="rect">
                            <a:avLst/>
                          </a:prstGeom>
                        </pic:spPr>
                      </pic:pic>
                    </a:graphicData>
                  </a:graphic>
                </wp:inline>
              </w:drawing>
            </w:r>
          </w:p>
          <w:p w14:paraId="52AFF33A" w14:textId="77777777" w:rsidR="007E648E" w:rsidRDefault="007E648E" w:rsidP="007E648E">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4312D9B4" w14:textId="77777777" w:rsidR="007E648E" w:rsidRPr="00D9290B" w:rsidRDefault="007E648E" w:rsidP="007E648E">
            <w:pPr>
              <w:pStyle w:val="Reminders"/>
              <w:jc w:val="center"/>
              <w:rPr>
                <w:rFonts w:asciiTheme="minorHAnsi" w:hAnsiTheme="minorHAnsi" w:cstheme="minorHAnsi"/>
                <w:b/>
                <w:color w:val="auto"/>
                <w:szCs w:val="22"/>
              </w:rPr>
            </w:pPr>
            <w:r>
              <w:rPr>
                <w:rFonts w:asciiTheme="minorHAnsi" w:hAnsiTheme="minorHAnsi" w:cstheme="minorHAnsi"/>
                <w:b/>
                <w:i w:val="0"/>
                <w:color w:val="auto"/>
                <w:szCs w:val="22"/>
              </w:rPr>
              <w:t>Table 5</w:t>
            </w:r>
            <w:r w:rsidRPr="00D9290B">
              <w:rPr>
                <w:rFonts w:asciiTheme="minorHAnsi" w:hAnsiTheme="minorHAnsi" w:cstheme="minorHAnsi"/>
                <w:b/>
                <w:i w:val="0"/>
                <w:color w:val="auto"/>
                <w:szCs w:val="22"/>
              </w:rPr>
              <w:t>: Instantaneous Water Heater Draw Patterns</w:t>
            </w:r>
          </w:p>
          <w:p w14:paraId="269B66DA" w14:textId="14BBBAF0" w:rsidR="007E648E" w:rsidRPr="007E648E" w:rsidRDefault="007E648E" w:rsidP="003D547E">
            <w:pPr>
              <w:rPr>
                <w:rFonts w:cs="Arial"/>
                <w:b/>
                <w:sz w:val="20"/>
                <w:szCs w:val="20"/>
              </w:rPr>
            </w:pPr>
            <w:r>
              <w:rPr>
                <w:noProof/>
              </w:rPr>
              <w:drawing>
                <wp:inline distT="0" distB="0" distL="0" distR="0" wp14:anchorId="00FF3CF8" wp14:editId="5AD296E9">
                  <wp:extent cx="5943600" cy="788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788670"/>
                          </a:xfrm>
                          <a:prstGeom prst="rect">
                            <a:avLst/>
                          </a:prstGeom>
                        </pic:spPr>
                      </pic:pic>
                    </a:graphicData>
                  </a:graphic>
                </wp:inline>
              </w:drawing>
            </w:r>
          </w:p>
        </w:tc>
      </w:tr>
      <w:tr w:rsidR="00C80D48" w:rsidRPr="009B0E7F" w14:paraId="269B66DE" w14:textId="77777777" w:rsidTr="006527FC">
        <w:trPr>
          <w:cantSplit/>
        </w:trPr>
        <w:tc>
          <w:tcPr>
            <w:tcW w:w="1507" w:type="dxa"/>
          </w:tcPr>
          <w:p w14:paraId="269B66DC" w14:textId="77777777" w:rsidR="009B0E7F" w:rsidRPr="009B0E7F" w:rsidRDefault="009B0E7F" w:rsidP="009B0E7F">
            <w:pPr>
              <w:rPr>
                <w:b/>
              </w:rPr>
            </w:pPr>
            <w:r w:rsidRPr="009B0E7F">
              <w:rPr>
                <w:b/>
              </w:rPr>
              <w:lastRenderedPageBreak/>
              <w:t>1.3 Installation Type and Delivery Mechanisms</w:t>
            </w:r>
          </w:p>
        </w:tc>
        <w:tc>
          <w:tcPr>
            <w:tcW w:w="9175" w:type="dxa"/>
          </w:tcPr>
          <w:p w14:paraId="47D4ACFB" w14:textId="77777777" w:rsidR="00FF6330" w:rsidRPr="00500C4E" w:rsidRDefault="00FF6330" w:rsidP="00FF6330">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321"/>
              <w:gridCol w:w="6628"/>
            </w:tblGrid>
            <w:tr w:rsidR="00FF6330" w:rsidRPr="00A3164A" w14:paraId="62B9C5F4" w14:textId="77777777" w:rsidTr="006527FC">
              <w:tc>
                <w:tcPr>
                  <w:tcW w:w="1297" w:type="pct"/>
                  <w:shd w:val="clear" w:color="auto" w:fill="D9D9D9" w:themeFill="background1" w:themeFillShade="D9"/>
                </w:tcPr>
                <w:p w14:paraId="44FCEB3B" w14:textId="77777777" w:rsidR="00FF6330" w:rsidRPr="00920905" w:rsidRDefault="00FF6330" w:rsidP="00FF6330">
                  <w:pPr>
                    <w:rPr>
                      <w:b/>
                      <w:sz w:val="18"/>
                      <w:szCs w:val="18"/>
                    </w:rPr>
                  </w:pPr>
                  <w:r w:rsidRPr="00920905">
                    <w:rPr>
                      <w:b/>
                      <w:sz w:val="18"/>
                      <w:szCs w:val="18"/>
                    </w:rPr>
                    <w:t>Delivery Method</w:t>
                  </w:r>
                </w:p>
              </w:tc>
              <w:tc>
                <w:tcPr>
                  <w:tcW w:w="3703" w:type="pct"/>
                  <w:shd w:val="clear" w:color="auto" w:fill="D9D9D9" w:themeFill="background1" w:themeFillShade="D9"/>
                </w:tcPr>
                <w:p w14:paraId="35D90C4D" w14:textId="77777777" w:rsidR="00FF6330" w:rsidRPr="00920905" w:rsidRDefault="00FF6330" w:rsidP="00FF6330">
                  <w:pPr>
                    <w:rPr>
                      <w:b/>
                      <w:sz w:val="18"/>
                      <w:szCs w:val="18"/>
                    </w:rPr>
                  </w:pPr>
                  <w:r w:rsidRPr="00920905">
                    <w:rPr>
                      <w:b/>
                      <w:sz w:val="18"/>
                      <w:szCs w:val="18"/>
                    </w:rPr>
                    <w:t>Description</w:t>
                  </w:r>
                </w:p>
              </w:tc>
            </w:tr>
            <w:tr w:rsidR="00FF6330" w:rsidRPr="00A3164A" w14:paraId="488A2B4A" w14:textId="77777777" w:rsidTr="006527FC">
              <w:tc>
                <w:tcPr>
                  <w:tcW w:w="1297" w:type="pct"/>
                </w:tcPr>
                <w:p w14:paraId="0BEC15A2" w14:textId="77777777" w:rsidR="00FF6330" w:rsidRPr="00920905" w:rsidRDefault="00FF6330" w:rsidP="00FF6330">
                  <w:pPr>
                    <w:pStyle w:val="NoSpacing"/>
                    <w:rPr>
                      <w:sz w:val="18"/>
                      <w:szCs w:val="18"/>
                    </w:rPr>
                  </w:pPr>
                  <w:r w:rsidRPr="00920905">
                    <w:rPr>
                      <w:rFonts w:eastAsiaTheme="minorHAnsi" w:cs="BookAntiqua"/>
                      <w:sz w:val="18"/>
                      <w:szCs w:val="18"/>
                    </w:rPr>
                    <w:t>Financial Support</w:t>
                  </w:r>
                </w:p>
              </w:tc>
              <w:tc>
                <w:tcPr>
                  <w:tcW w:w="3703" w:type="pct"/>
                </w:tcPr>
                <w:p w14:paraId="7B06A238" w14:textId="77777777" w:rsidR="00FF6330" w:rsidRPr="00920905" w:rsidRDefault="00FF6330" w:rsidP="00FF6330">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 projects.</w:t>
                  </w:r>
                </w:p>
              </w:tc>
            </w:tr>
            <w:tr w:rsidR="00FF6330" w:rsidRPr="00A3164A" w14:paraId="6C122427" w14:textId="77777777" w:rsidTr="006527FC">
              <w:tc>
                <w:tcPr>
                  <w:tcW w:w="1297" w:type="pct"/>
                </w:tcPr>
                <w:p w14:paraId="77AB93EA" w14:textId="77777777" w:rsidR="00FF6330" w:rsidRPr="00920905" w:rsidRDefault="00FF6330" w:rsidP="00FF6330">
                  <w:pPr>
                    <w:pStyle w:val="NoSpacing"/>
                    <w:rPr>
                      <w:sz w:val="18"/>
                      <w:szCs w:val="18"/>
                    </w:rPr>
                  </w:pPr>
                  <w:r w:rsidRPr="00920905">
                    <w:rPr>
                      <w:rFonts w:eastAsiaTheme="minorHAnsi" w:cstheme="minorBidi"/>
                      <w:sz w:val="18"/>
                      <w:szCs w:val="18"/>
                    </w:rPr>
                    <w:t>New Construction</w:t>
                  </w:r>
                </w:p>
              </w:tc>
              <w:tc>
                <w:tcPr>
                  <w:tcW w:w="3703" w:type="pct"/>
                </w:tcPr>
                <w:p w14:paraId="0C5676A4" w14:textId="77777777" w:rsidR="00FF6330" w:rsidRPr="00920905" w:rsidRDefault="00FF6330" w:rsidP="00FF6330">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6C9F46B2" w14:textId="77777777" w:rsidR="00FF6330" w:rsidRPr="00500C4E" w:rsidRDefault="00FF6330" w:rsidP="00FF6330">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321"/>
              <w:gridCol w:w="6628"/>
            </w:tblGrid>
            <w:tr w:rsidR="00FF6330" w:rsidRPr="00A3164A" w14:paraId="72B34D8F" w14:textId="77777777" w:rsidTr="006527FC">
              <w:tc>
                <w:tcPr>
                  <w:tcW w:w="1297" w:type="pct"/>
                  <w:shd w:val="clear" w:color="auto" w:fill="D9D9D9" w:themeFill="background1" w:themeFillShade="D9"/>
                </w:tcPr>
                <w:p w14:paraId="35680A29" w14:textId="77777777" w:rsidR="00FF6330" w:rsidRPr="00920905" w:rsidRDefault="00FF6330" w:rsidP="00FF6330">
                  <w:pPr>
                    <w:rPr>
                      <w:b/>
                      <w:sz w:val="18"/>
                      <w:szCs w:val="18"/>
                    </w:rPr>
                  </w:pPr>
                  <w:r w:rsidRPr="00920905">
                    <w:rPr>
                      <w:b/>
                      <w:sz w:val="18"/>
                      <w:szCs w:val="18"/>
                    </w:rPr>
                    <w:t>Incentive Method</w:t>
                  </w:r>
                </w:p>
              </w:tc>
              <w:tc>
                <w:tcPr>
                  <w:tcW w:w="3703" w:type="pct"/>
                  <w:shd w:val="clear" w:color="auto" w:fill="D9D9D9" w:themeFill="background1" w:themeFillShade="D9"/>
                </w:tcPr>
                <w:p w14:paraId="735A8528" w14:textId="77777777" w:rsidR="00FF6330" w:rsidRPr="00920905" w:rsidRDefault="00FF6330" w:rsidP="00FF6330">
                  <w:pPr>
                    <w:rPr>
                      <w:b/>
                      <w:sz w:val="18"/>
                      <w:szCs w:val="18"/>
                    </w:rPr>
                  </w:pPr>
                  <w:r w:rsidRPr="00920905">
                    <w:rPr>
                      <w:b/>
                      <w:sz w:val="18"/>
                      <w:szCs w:val="18"/>
                    </w:rPr>
                    <w:t>Description</w:t>
                  </w:r>
                </w:p>
              </w:tc>
            </w:tr>
            <w:tr w:rsidR="00FF6330" w:rsidRPr="00A3164A" w14:paraId="2ED7480C" w14:textId="77777777" w:rsidTr="006527FC">
              <w:tc>
                <w:tcPr>
                  <w:tcW w:w="1297" w:type="pct"/>
                </w:tcPr>
                <w:p w14:paraId="63B354DE"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71CBB478"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F6330" w:rsidRPr="00A3164A" w14:paraId="4F6AFE17" w14:textId="77777777" w:rsidTr="006527FC">
              <w:tc>
                <w:tcPr>
                  <w:tcW w:w="1297" w:type="pct"/>
                </w:tcPr>
                <w:p w14:paraId="13F3AFEE"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06B10073"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FF6330" w:rsidRPr="00A3164A" w14:paraId="3DEB5CD3" w14:textId="77777777" w:rsidTr="006527FC">
              <w:tc>
                <w:tcPr>
                  <w:tcW w:w="1297" w:type="pct"/>
                </w:tcPr>
                <w:p w14:paraId="56A288AD" w14:textId="77777777" w:rsidR="00FF6330" w:rsidRPr="00920905" w:rsidRDefault="00FF6330" w:rsidP="00FF6330">
                  <w:pPr>
                    <w:autoSpaceDE w:val="0"/>
                    <w:autoSpaceDN w:val="0"/>
                    <w:adjustRightInd w:val="0"/>
                    <w:spacing w:line="240" w:lineRule="atLeast"/>
                    <w:rPr>
                      <w:rFonts w:cs="Helv"/>
                      <w:sz w:val="18"/>
                      <w:szCs w:val="18"/>
                    </w:rPr>
                  </w:pPr>
                  <w:r w:rsidRPr="00920905">
                    <w:rPr>
                      <w:rFonts w:cs="Helv"/>
                      <w:sz w:val="18"/>
                      <w:szCs w:val="18"/>
                    </w:rPr>
                    <w:t>Up-Stream Incentive</w:t>
                  </w:r>
                </w:p>
                <w:p w14:paraId="34624A43" w14:textId="77777777" w:rsidR="00FF6330" w:rsidRPr="00920905" w:rsidRDefault="00FF6330" w:rsidP="00FF6330">
                  <w:pPr>
                    <w:rPr>
                      <w:sz w:val="18"/>
                      <w:szCs w:val="18"/>
                    </w:rPr>
                  </w:pPr>
                </w:p>
              </w:tc>
              <w:tc>
                <w:tcPr>
                  <w:tcW w:w="3703" w:type="pct"/>
                </w:tcPr>
                <w:p w14:paraId="39C7B805" w14:textId="77777777" w:rsidR="00FF6330" w:rsidRPr="00920905" w:rsidRDefault="00FF6330" w:rsidP="00FF6330">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4138A9" w:rsidRPr="00A3164A" w14:paraId="7757A7B3" w14:textId="77777777" w:rsidTr="006527FC">
              <w:tc>
                <w:tcPr>
                  <w:tcW w:w="1297" w:type="pct"/>
                </w:tcPr>
                <w:p w14:paraId="74616742" w14:textId="4C3C1349" w:rsidR="004138A9" w:rsidRPr="00920905" w:rsidRDefault="004138A9" w:rsidP="004138A9">
                  <w:pPr>
                    <w:autoSpaceDE w:val="0"/>
                    <w:autoSpaceDN w:val="0"/>
                    <w:adjustRightInd w:val="0"/>
                    <w:spacing w:line="240" w:lineRule="atLeast"/>
                    <w:rPr>
                      <w:rFonts w:cs="Helv"/>
                      <w:sz w:val="18"/>
                      <w:szCs w:val="18"/>
                    </w:rPr>
                  </w:pPr>
                  <w:r w:rsidRPr="00AC74B3">
                    <w:rPr>
                      <w:rFonts w:cs="Helv"/>
                      <w:sz w:val="18"/>
                      <w:szCs w:val="18"/>
                    </w:rPr>
                    <w:t>Direct Install</w:t>
                  </w:r>
                  <w:r>
                    <w:rPr>
                      <w:rFonts w:cs="Helv"/>
                      <w:sz w:val="18"/>
                      <w:szCs w:val="18"/>
                    </w:rPr>
                    <w:t xml:space="preserve"> (</w:t>
                  </w:r>
                  <w:proofErr w:type="spellStart"/>
                  <w:r>
                    <w:rPr>
                      <w:rFonts w:cs="Helv"/>
                      <w:sz w:val="18"/>
                      <w:szCs w:val="18"/>
                    </w:rPr>
                    <w:t>DirInstall</w:t>
                  </w:r>
                  <w:proofErr w:type="spellEnd"/>
                  <w:r w:rsidRPr="00AC74B3">
                    <w:rPr>
                      <w:rFonts w:cs="Helv"/>
                      <w:sz w:val="18"/>
                      <w:szCs w:val="18"/>
                    </w:rPr>
                    <w:t>)</w:t>
                  </w:r>
                </w:p>
              </w:tc>
              <w:tc>
                <w:tcPr>
                  <w:tcW w:w="3703" w:type="pct"/>
                </w:tcPr>
                <w:p w14:paraId="57C33867" w14:textId="37BCC5F7" w:rsidR="004138A9" w:rsidRPr="00920905" w:rsidRDefault="004138A9" w:rsidP="004138A9">
                  <w:pPr>
                    <w:autoSpaceDE w:val="0"/>
                    <w:autoSpaceDN w:val="0"/>
                    <w:adjustRightInd w:val="0"/>
                    <w:spacing w:line="240" w:lineRule="atLeast"/>
                    <w:rPr>
                      <w:rFonts w:cs="Helv"/>
                      <w:sz w:val="18"/>
                      <w:szCs w:val="18"/>
                    </w:rPr>
                  </w:pPr>
                  <w:r w:rsidRPr="00AC74B3">
                    <w:rPr>
                      <w:rFonts w:cs="Helv"/>
                      <w:sz w:val="18"/>
                      <w:szCs w:val="18"/>
                    </w:rPr>
                    <w:t xml:space="preserve">The program </w:t>
                  </w:r>
                  <w:r w:rsidRPr="00AC74B3">
                    <w:rPr>
                      <w:sz w:val="18"/>
                      <w:szCs w:val="18"/>
                    </w:rPr>
                    <w:t>implements energy efficiency measures for qualifying customers, at no cost to the customer.</w:t>
                  </w:r>
                </w:p>
              </w:tc>
            </w:tr>
          </w:tbl>
          <w:p w14:paraId="269B66DD" w14:textId="0F01DD50" w:rsidR="00FF6330" w:rsidRPr="009B0E7F" w:rsidRDefault="00FF6330" w:rsidP="009B0E7F">
            <w:pPr>
              <w:rPr>
                <w:rFonts w:cs="Arial"/>
                <w:sz w:val="20"/>
                <w:szCs w:val="20"/>
              </w:rPr>
            </w:pPr>
          </w:p>
        </w:tc>
      </w:tr>
      <w:tr w:rsidR="00C80D48" w:rsidRPr="009B0E7F" w14:paraId="269B66E1" w14:textId="77777777" w:rsidTr="006527FC">
        <w:trPr>
          <w:cantSplit/>
        </w:trPr>
        <w:tc>
          <w:tcPr>
            <w:tcW w:w="1507" w:type="dxa"/>
            <w:vAlign w:val="center"/>
          </w:tcPr>
          <w:p w14:paraId="269B66DF" w14:textId="77777777" w:rsidR="009B0E7F" w:rsidRPr="009B0E7F" w:rsidRDefault="009B0E7F" w:rsidP="009B0E7F">
            <w:pPr>
              <w:jc w:val="right"/>
              <w:rPr>
                <w:sz w:val="20"/>
                <w:szCs w:val="20"/>
              </w:rPr>
            </w:pPr>
            <w:r w:rsidRPr="009B0E7F">
              <w:rPr>
                <w:sz w:val="20"/>
                <w:szCs w:val="20"/>
              </w:rPr>
              <w:t>Installation Type</w:t>
            </w:r>
          </w:p>
        </w:tc>
        <w:tc>
          <w:tcPr>
            <w:tcW w:w="9175" w:type="dxa"/>
          </w:tcPr>
          <w:p w14:paraId="52625EDA" w14:textId="77777777" w:rsidR="00FF6330" w:rsidRDefault="00FF6330" w:rsidP="00FF6330">
            <w:pPr>
              <w:pStyle w:val="Reminders"/>
              <w:tabs>
                <w:tab w:val="num" w:pos="360"/>
              </w:tabs>
              <w:rPr>
                <w:rFonts w:asciiTheme="minorHAnsi" w:hAnsiTheme="minorHAnsi" w:cstheme="minorHAnsi"/>
                <w:i w:val="0"/>
                <w:color w:val="auto"/>
                <w:szCs w:val="22"/>
              </w:rPr>
            </w:pPr>
          </w:p>
          <w:p w14:paraId="22DDA02C" w14:textId="77777777" w:rsidR="00FF6330" w:rsidRPr="00920905" w:rsidRDefault="00FF6330" w:rsidP="00FF6330">
            <w:pPr>
              <w:pStyle w:val="NoSpacing"/>
              <w:rPr>
                <w:rFonts w:cstheme="minorHAnsi"/>
                <w:b/>
                <w:i/>
              </w:rPr>
            </w:pPr>
            <w:r w:rsidRPr="00920905">
              <w:rPr>
                <w:b/>
              </w:rPr>
              <w:t>Installation Type Descriptions</w:t>
            </w:r>
          </w:p>
          <w:tbl>
            <w:tblPr>
              <w:tblStyle w:val="TableGrid1"/>
              <w:tblW w:w="5000" w:type="pct"/>
              <w:tblLayout w:type="fixed"/>
              <w:tblLook w:val="04A0" w:firstRow="1" w:lastRow="0" w:firstColumn="1" w:lastColumn="0" w:noHBand="0" w:noVBand="1"/>
            </w:tblPr>
            <w:tblGrid>
              <w:gridCol w:w="3183"/>
              <w:gridCol w:w="1981"/>
              <w:gridCol w:w="1983"/>
              <w:gridCol w:w="861"/>
              <w:gridCol w:w="941"/>
            </w:tblGrid>
            <w:tr w:rsidR="007E648E" w:rsidRPr="00500C4E" w14:paraId="43A3938B" w14:textId="77777777" w:rsidTr="006527FC">
              <w:trPr>
                <w:trHeight w:val="20"/>
              </w:trPr>
              <w:tc>
                <w:tcPr>
                  <w:tcW w:w="1778" w:type="pct"/>
                  <w:vMerge w:val="restart"/>
                  <w:shd w:val="clear" w:color="auto" w:fill="D9D9D9" w:themeFill="background1" w:themeFillShade="D9"/>
                </w:tcPr>
                <w:p w14:paraId="2B567CB2" w14:textId="77777777" w:rsidR="00FF6330" w:rsidRPr="00920905" w:rsidRDefault="00FF6330" w:rsidP="00FF6330">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FFA81CC" w14:textId="77777777" w:rsidR="00FF6330" w:rsidRPr="00920905" w:rsidRDefault="00FF6330" w:rsidP="00FF6330">
                  <w:pPr>
                    <w:rPr>
                      <w:b/>
                      <w:sz w:val="18"/>
                      <w:szCs w:val="18"/>
                    </w:rPr>
                  </w:pPr>
                  <w:r w:rsidRPr="00920905">
                    <w:rPr>
                      <w:b/>
                      <w:sz w:val="18"/>
                      <w:szCs w:val="18"/>
                    </w:rPr>
                    <w:t>Savings</w:t>
                  </w:r>
                </w:p>
              </w:tc>
              <w:tc>
                <w:tcPr>
                  <w:tcW w:w="1007" w:type="pct"/>
                  <w:gridSpan w:val="2"/>
                  <w:shd w:val="clear" w:color="auto" w:fill="D9D9D9" w:themeFill="background1" w:themeFillShade="D9"/>
                </w:tcPr>
                <w:p w14:paraId="38522D60" w14:textId="77777777" w:rsidR="00FF6330" w:rsidRPr="00920905" w:rsidRDefault="00FF6330" w:rsidP="00FF6330">
                  <w:pPr>
                    <w:rPr>
                      <w:b/>
                      <w:sz w:val="18"/>
                      <w:szCs w:val="18"/>
                    </w:rPr>
                  </w:pPr>
                  <w:r w:rsidRPr="00920905">
                    <w:rPr>
                      <w:b/>
                      <w:sz w:val="18"/>
                      <w:szCs w:val="18"/>
                    </w:rPr>
                    <w:t>Life</w:t>
                  </w:r>
                </w:p>
              </w:tc>
            </w:tr>
            <w:tr w:rsidR="007E648E" w:rsidRPr="00500C4E" w14:paraId="4970FC87" w14:textId="77777777" w:rsidTr="006527FC">
              <w:trPr>
                <w:trHeight w:val="20"/>
              </w:trPr>
              <w:tc>
                <w:tcPr>
                  <w:tcW w:w="1778" w:type="pct"/>
                  <w:vMerge/>
                  <w:shd w:val="clear" w:color="auto" w:fill="D9D9D9" w:themeFill="background1" w:themeFillShade="D9"/>
                </w:tcPr>
                <w:p w14:paraId="756002E6" w14:textId="77777777" w:rsidR="00FF6330" w:rsidRPr="00500C4E" w:rsidRDefault="00FF6330" w:rsidP="00FF6330">
                  <w:pPr>
                    <w:rPr>
                      <w:sz w:val="18"/>
                      <w:szCs w:val="18"/>
                    </w:rPr>
                  </w:pPr>
                </w:p>
              </w:tc>
              <w:tc>
                <w:tcPr>
                  <w:tcW w:w="1107" w:type="pct"/>
                  <w:shd w:val="clear" w:color="auto" w:fill="F2F2F2" w:themeFill="background1" w:themeFillShade="F2"/>
                </w:tcPr>
                <w:p w14:paraId="7F5C35BA" w14:textId="77777777" w:rsidR="00FF6330" w:rsidRPr="00920905" w:rsidRDefault="00FF6330" w:rsidP="00FF6330">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0F860A4C" w14:textId="77777777" w:rsidR="00FF6330" w:rsidRPr="00920905" w:rsidRDefault="00FF6330" w:rsidP="00FF6330">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2445C47A" w14:textId="77777777" w:rsidR="00FF6330" w:rsidRPr="00920905" w:rsidRDefault="00FF6330" w:rsidP="00FF6330">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38F3F02" w14:textId="77777777" w:rsidR="00FF6330" w:rsidRPr="00920905" w:rsidRDefault="00FF6330" w:rsidP="00FF6330">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7E648E" w:rsidRPr="00500C4E" w14:paraId="686A004F" w14:textId="77777777" w:rsidTr="006527FC">
              <w:trPr>
                <w:trHeight w:val="20"/>
              </w:trPr>
              <w:tc>
                <w:tcPr>
                  <w:tcW w:w="1778" w:type="pct"/>
                </w:tcPr>
                <w:p w14:paraId="67075CC9" w14:textId="77777777" w:rsidR="00790109" w:rsidRDefault="00FF6330" w:rsidP="00FF6330">
                  <w:pPr>
                    <w:rPr>
                      <w:sz w:val="18"/>
                      <w:szCs w:val="18"/>
                    </w:rPr>
                  </w:pPr>
                  <w:r w:rsidRPr="00500C4E">
                    <w:rPr>
                      <w:sz w:val="18"/>
                      <w:szCs w:val="18"/>
                    </w:rPr>
                    <w:t>Replace on Burnout (ROB)</w:t>
                  </w:r>
                </w:p>
                <w:p w14:paraId="3E128E46" w14:textId="0E34BF9D" w:rsidR="00FF6330" w:rsidRDefault="00790109" w:rsidP="00FF6330">
                  <w:pPr>
                    <w:rPr>
                      <w:sz w:val="18"/>
                      <w:szCs w:val="18"/>
                    </w:rPr>
                  </w:pPr>
                  <w:r>
                    <w:rPr>
                      <w:sz w:val="18"/>
                      <w:szCs w:val="18"/>
                    </w:rPr>
                    <w:t>(expiry date = 12/31/2018)</w:t>
                  </w:r>
                </w:p>
                <w:p w14:paraId="4914768F" w14:textId="77777777" w:rsidR="00790109" w:rsidRDefault="00790109" w:rsidP="00FF6330">
                  <w:pPr>
                    <w:rPr>
                      <w:sz w:val="18"/>
                      <w:szCs w:val="18"/>
                    </w:rPr>
                  </w:pPr>
                </w:p>
                <w:p w14:paraId="713B7D4B" w14:textId="77777777" w:rsidR="00790109" w:rsidRDefault="00790109" w:rsidP="00FF6330">
                  <w:pPr>
                    <w:rPr>
                      <w:sz w:val="18"/>
                      <w:szCs w:val="18"/>
                    </w:rPr>
                  </w:pPr>
                  <w:r>
                    <w:rPr>
                      <w:sz w:val="18"/>
                      <w:szCs w:val="18"/>
                    </w:rPr>
                    <w:t xml:space="preserve">Normal Replacement (NR) </w:t>
                  </w:r>
                </w:p>
                <w:p w14:paraId="0E94A7DB" w14:textId="633673BE" w:rsidR="00790109" w:rsidRPr="00500C4E" w:rsidRDefault="00790109" w:rsidP="00FF6330">
                  <w:pPr>
                    <w:rPr>
                      <w:sz w:val="18"/>
                      <w:szCs w:val="18"/>
                    </w:rPr>
                  </w:pPr>
                  <w:r>
                    <w:rPr>
                      <w:sz w:val="18"/>
                      <w:szCs w:val="18"/>
                    </w:rPr>
                    <w:t>(start date = 1/1/2019)</w:t>
                  </w:r>
                </w:p>
              </w:tc>
              <w:tc>
                <w:tcPr>
                  <w:tcW w:w="1107" w:type="pct"/>
                </w:tcPr>
                <w:p w14:paraId="77F823BE" w14:textId="77777777" w:rsidR="00FF6330" w:rsidRPr="00500C4E" w:rsidRDefault="00FF6330" w:rsidP="00FF6330">
                  <w:pPr>
                    <w:rPr>
                      <w:sz w:val="18"/>
                      <w:szCs w:val="18"/>
                    </w:rPr>
                  </w:pPr>
                  <w:r w:rsidRPr="00500C4E">
                    <w:rPr>
                      <w:sz w:val="18"/>
                      <w:szCs w:val="18"/>
                    </w:rPr>
                    <w:t>Above Code or Standard</w:t>
                  </w:r>
                </w:p>
              </w:tc>
              <w:tc>
                <w:tcPr>
                  <w:tcW w:w="1108" w:type="pct"/>
                </w:tcPr>
                <w:p w14:paraId="05803028" w14:textId="77777777" w:rsidR="00FF6330" w:rsidRPr="00500C4E" w:rsidRDefault="00FF6330" w:rsidP="00FF6330">
                  <w:pPr>
                    <w:rPr>
                      <w:sz w:val="18"/>
                      <w:szCs w:val="18"/>
                    </w:rPr>
                  </w:pPr>
                  <w:r w:rsidRPr="00500C4E">
                    <w:rPr>
                      <w:sz w:val="18"/>
                      <w:szCs w:val="18"/>
                    </w:rPr>
                    <w:t>N/A</w:t>
                  </w:r>
                </w:p>
              </w:tc>
              <w:tc>
                <w:tcPr>
                  <w:tcW w:w="481" w:type="pct"/>
                </w:tcPr>
                <w:p w14:paraId="21C41306" w14:textId="77777777" w:rsidR="00FF6330" w:rsidRPr="00500C4E" w:rsidRDefault="00FF6330" w:rsidP="00FF6330">
                  <w:pPr>
                    <w:rPr>
                      <w:sz w:val="18"/>
                      <w:szCs w:val="18"/>
                    </w:rPr>
                  </w:pPr>
                  <w:r w:rsidRPr="00500C4E">
                    <w:rPr>
                      <w:sz w:val="18"/>
                      <w:szCs w:val="18"/>
                    </w:rPr>
                    <w:t>EUL</w:t>
                  </w:r>
                </w:p>
              </w:tc>
              <w:tc>
                <w:tcPr>
                  <w:tcW w:w="526" w:type="pct"/>
                </w:tcPr>
                <w:p w14:paraId="7A1A9243" w14:textId="77777777" w:rsidR="00FF6330" w:rsidRPr="00500C4E" w:rsidRDefault="00FF6330" w:rsidP="00FF6330">
                  <w:pPr>
                    <w:rPr>
                      <w:sz w:val="18"/>
                      <w:szCs w:val="18"/>
                    </w:rPr>
                  </w:pPr>
                  <w:r w:rsidRPr="00500C4E">
                    <w:rPr>
                      <w:sz w:val="18"/>
                      <w:szCs w:val="18"/>
                    </w:rPr>
                    <w:t>N/A</w:t>
                  </w:r>
                </w:p>
              </w:tc>
            </w:tr>
            <w:tr w:rsidR="007E648E" w:rsidRPr="00500C4E" w14:paraId="779A9318" w14:textId="77777777" w:rsidTr="006527FC">
              <w:trPr>
                <w:trHeight w:val="20"/>
              </w:trPr>
              <w:tc>
                <w:tcPr>
                  <w:tcW w:w="1778" w:type="pct"/>
                </w:tcPr>
                <w:p w14:paraId="459ACD29" w14:textId="77777777" w:rsidR="00FF6330" w:rsidRPr="00500C4E" w:rsidRDefault="00FF6330" w:rsidP="00FF6330">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5EBD7E67" w14:textId="77777777" w:rsidR="00FF6330" w:rsidRPr="00500C4E" w:rsidRDefault="00FF6330" w:rsidP="00FF6330">
                  <w:pPr>
                    <w:rPr>
                      <w:sz w:val="18"/>
                      <w:szCs w:val="18"/>
                    </w:rPr>
                  </w:pPr>
                  <w:r w:rsidRPr="00500C4E">
                    <w:rPr>
                      <w:sz w:val="18"/>
                      <w:szCs w:val="18"/>
                    </w:rPr>
                    <w:t>Above Code or Standard</w:t>
                  </w:r>
                </w:p>
              </w:tc>
              <w:tc>
                <w:tcPr>
                  <w:tcW w:w="1108" w:type="pct"/>
                </w:tcPr>
                <w:p w14:paraId="26A70D76" w14:textId="77777777" w:rsidR="00FF6330" w:rsidRPr="00500C4E" w:rsidRDefault="00FF6330" w:rsidP="00FF6330">
                  <w:pPr>
                    <w:rPr>
                      <w:sz w:val="18"/>
                      <w:szCs w:val="18"/>
                    </w:rPr>
                  </w:pPr>
                  <w:r w:rsidRPr="00500C4E">
                    <w:rPr>
                      <w:sz w:val="18"/>
                      <w:szCs w:val="18"/>
                    </w:rPr>
                    <w:t>N/A</w:t>
                  </w:r>
                </w:p>
              </w:tc>
              <w:tc>
                <w:tcPr>
                  <w:tcW w:w="481" w:type="pct"/>
                </w:tcPr>
                <w:p w14:paraId="71BC2BC0" w14:textId="77777777" w:rsidR="00FF6330" w:rsidRPr="00500C4E" w:rsidRDefault="00FF6330" w:rsidP="00FF6330">
                  <w:pPr>
                    <w:rPr>
                      <w:sz w:val="18"/>
                      <w:szCs w:val="18"/>
                    </w:rPr>
                  </w:pPr>
                  <w:r w:rsidRPr="00500C4E">
                    <w:rPr>
                      <w:sz w:val="18"/>
                      <w:szCs w:val="18"/>
                    </w:rPr>
                    <w:t>EUL</w:t>
                  </w:r>
                </w:p>
              </w:tc>
              <w:tc>
                <w:tcPr>
                  <w:tcW w:w="526" w:type="pct"/>
                </w:tcPr>
                <w:p w14:paraId="5AE75451" w14:textId="77777777" w:rsidR="00FF6330" w:rsidRPr="00500C4E" w:rsidRDefault="00FF6330" w:rsidP="00FF6330">
                  <w:pPr>
                    <w:rPr>
                      <w:sz w:val="18"/>
                      <w:szCs w:val="18"/>
                    </w:rPr>
                  </w:pPr>
                  <w:r w:rsidRPr="00500C4E">
                    <w:rPr>
                      <w:sz w:val="18"/>
                      <w:szCs w:val="18"/>
                    </w:rPr>
                    <w:t>N/A</w:t>
                  </w:r>
                </w:p>
              </w:tc>
            </w:tr>
          </w:tbl>
          <w:p w14:paraId="269B66E0" w14:textId="37690144" w:rsidR="00FF6330" w:rsidRPr="003233BD" w:rsidRDefault="00FF6330" w:rsidP="00FF6330">
            <w:pPr>
              <w:ind w:left="360"/>
              <w:contextualSpacing/>
              <w:rPr>
                <w:rFonts w:cs="Arial"/>
                <w:sz w:val="20"/>
                <w:szCs w:val="20"/>
              </w:rPr>
            </w:pPr>
          </w:p>
        </w:tc>
      </w:tr>
      <w:tr w:rsidR="00C80D48" w:rsidRPr="009B0E7F" w14:paraId="269B66E4" w14:textId="77777777" w:rsidTr="006527FC">
        <w:trPr>
          <w:cantSplit/>
        </w:trPr>
        <w:tc>
          <w:tcPr>
            <w:tcW w:w="1507" w:type="dxa"/>
            <w:vAlign w:val="center"/>
          </w:tcPr>
          <w:p w14:paraId="269B66E2" w14:textId="77777777" w:rsidR="009B0E7F" w:rsidRPr="009B0E7F" w:rsidRDefault="009B0E7F" w:rsidP="009B0E7F">
            <w:pPr>
              <w:jc w:val="right"/>
              <w:rPr>
                <w:sz w:val="20"/>
                <w:szCs w:val="20"/>
              </w:rPr>
            </w:pPr>
            <w:r w:rsidRPr="009B0E7F">
              <w:rPr>
                <w:sz w:val="20"/>
                <w:szCs w:val="20"/>
              </w:rPr>
              <w:t>Delivery Mechanisms</w:t>
            </w:r>
          </w:p>
        </w:tc>
        <w:tc>
          <w:tcPr>
            <w:tcW w:w="9175" w:type="dxa"/>
          </w:tcPr>
          <w:p w14:paraId="269B66E3" w14:textId="254E55EC" w:rsidR="00FF6330" w:rsidRPr="003233BD" w:rsidRDefault="00FF6330" w:rsidP="00FF6330">
            <w:pPr>
              <w:ind w:left="360"/>
              <w:contextualSpacing/>
              <w:rPr>
                <w:rFonts w:cs="Arial"/>
                <w:sz w:val="20"/>
                <w:szCs w:val="20"/>
              </w:rPr>
            </w:pPr>
          </w:p>
        </w:tc>
      </w:tr>
      <w:tr w:rsidR="00C80D48" w:rsidRPr="009B0E7F" w14:paraId="269B66E7" w14:textId="77777777" w:rsidTr="006527FC">
        <w:trPr>
          <w:cantSplit/>
        </w:trPr>
        <w:tc>
          <w:tcPr>
            <w:tcW w:w="1507" w:type="dxa"/>
          </w:tcPr>
          <w:p w14:paraId="269B66E5" w14:textId="77777777" w:rsidR="009B0E7F" w:rsidRPr="009B0E7F" w:rsidRDefault="009B0E7F" w:rsidP="009B0E7F">
            <w:pPr>
              <w:rPr>
                <w:b/>
              </w:rPr>
            </w:pPr>
            <w:r w:rsidRPr="009B0E7F">
              <w:rPr>
                <w:b/>
              </w:rPr>
              <w:t>1.4.1 DEER Data</w:t>
            </w:r>
          </w:p>
        </w:tc>
        <w:tc>
          <w:tcPr>
            <w:tcW w:w="9175" w:type="dxa"/>
          </w:tcPr>
          <w:p w14:paraId="269B66E6" w14:textId="77777777" w:rsidR="009B0E7F" w:rsidRPr="003233BD" w:rsidRDefault="009B0E7F" w:rsidP="009B0E7F">
            <w:pPr>
              <w:rPr>
                <w:sz w:val="20"/>
                <w:szCs w:val="20"/>
              </w:rPr>
            </w:pPr>
          </w:p>
        </w:tc>
      </w:tr>
      <w:tr w:rsidR="00C80D48" w:rsidRPr="009B0E7F" w14:paraId="269B66F3" w14:textId="77777777" w:rsidTr="006527FC">
        <w:trPr>
          <w:cantSplit/>
        </w:trPr>
        <w:tc>
          <w:tcPr>
            <w:tcW w:w="1507" w:type="dxa"/>
            <w:vAlign w:val="center"/>
          </w:tcPr>
          <w:p w14:paraId="269B66F1" w14:textId="77777777" w:rsidR="009B0E7F" w:rsidRPr="009B0E7F" w:rsidRDefault="009B0E7F" w:rsidP="009B0E7F">
            <w:pPr>
              <w:jc w:val="right"/>
              <w:rPr>
                <w:sz w:val="20"/>
                <w:szCs w:val="20"/>
              </w:rPr>
            </w:pPr>
            <w:r w:rsidRPr="009B0E7F">
              <w:rPr>
                <w:sz w:val="20"/>
                <w:szCs w:val="20"/>
              </w:rPr>
              <w:t>Net-to-Gross Ratio</w:t>
            </w:r>
          </w:p>
        </w:tc>
        <w:tc>
          <w:tcPr>
            <w:tcW w:w="9175" w:type="dxa"/>
          </w:tcPr>
          <w:p w14:paraId="6FD2242E" w14:textId="77777777" w:rsidR="00EF438A" w:rsidRDefault="00D83D0D" w:rsidP="00C1087D">
            <w:pPr>
              <w:tabs>
                <w:tab w:val="right" w:pos="8064"/>
              </w:tabs>
              <w:rPr>
                <w:rFonts w:cs="Arial"/>
                <w:sz w:val="20"/>
                <w:szCs w:val="20"/>
              </w:rPr>
            </w:pPr>
            <w:r w:rsidRPr="003233BD">
              <w:rPr>
                <w:rFonts w:cs="Arial"/>
                <w:sz w:val="20"/>
                <w:szCs w:val="20"/>
              </w:rPr>
              <w:t>Com – Default&gt;2yrs</w:t>
            </w:r>
            <w:r w:rsidR="009B0E7F" w:rsidRPr="003233BD">
              <w:rPr>
                <w:rFonts w:cs="Arial"/>
                <w:sz w:val="20"/>
                <w:szCs w:val="20"/>
              </w:rPr>
              <w:tab/>
            </w:r>
          </w:p>
          <w:p w14:paraId="269B66F2" w14:textId="36DA4D3E" w:rsidR="009B0E7F" w:rsidRPr="003233BD" w:rsidRDefault="00C80D48" w:rsidP="00C1087D">
            <w:pPr>
              <w:tabs>
                <w:tab w:val="right" w:pos="8064"/>
              </w:tabs>
              <w:rPr>
                <w:rFonts w:cs="Arial"/>
                <w:sz w:val="20"/>
                <w:szCs w:val="20"/>
              </w:rPr>
            </w:pPr>
            <w:r w:rsidRPr="003233BD">
              <w:rPr>
                <w:rFonts w:cs="Arial"/>
                <w:sz w:val="20"/>
                <w:szCs w:val="20"/>
              </w:rPr>
              <w:t>SDG&amp;E is using the default as ther</w:t>
            </w:r>
            <w:r w:rsidR="0022781C" w:rsidRPr="003233BD">
              <w:rPr>
                <w:rFonts w:cs="Arial"/>
                <w:sz w:val="20"/>
                <w:szCs w:val="20"/>
              </w:rPr>
              <w:t>e is no other applicable NTG</w:t>
            </w:r>
            <w:r w:rsidRPr="003233BD">
              <w:rPr>
                <w:rFonts w:cs="Arial"/>
                <w:sz w:val="20"/>
                <w:szCs w:val="20"/>
              </w:rPr>
              <w:t>D</w:t>
            </w:r>
            <w:r w:rsidR="00D83D0D" w:rsidRPr="003233BD">
              <w:rPr>
                <w:rFonts w:cs="Arial"/>
                <w:sz w:val="20"/>
                <w:szCs w:val="20"/>
              </w:rPr>
              <w:t xml:space="preserve"> </w:t>
            </w:r>
          </w:p>
        </w:tc>
      </w:tr>
      <w:tr w:rsidR="00EF438A" w:rsidRPr="009B0E7F" w14:paraId="7093F2AE" w14:textId="77777777" w:rsidTr="006527FC">
        <w:trPr>
          <w:cantSplit/>
        </w:trPr>
        <w:tc>
          <w:tcPr>
            <w:tcW w:w="1507" w:type="dxa"/>
            <w:vAlign w:val="center"/>
          </w:tcPr>
          <w:p w14:paraId="6802D8D0" w14:textId="05702CCA" w:rsidR="00EF438A" w:rsidRPr="009B0E7F" w:rsidRDefault="00EF438A" w:rsidP="009B0E7F">
            <w:pPr>
              <w:jc w:val="right"/>
              <w:rPr>
                <w:sz w:val="20"/>
                <w:szCs w:val="20"/>
              </w:rPr>
            </w:pPr>
            <w:r>
              <w:rPr>
                <w:sz w:val="20"/>
                <w:szCs w:val="20"/>
              </w:rPr>
              <w:t xml:space="preserve">Installation Rate </w:t>
            </w:r>
          </w:p>
        </w:tc>
        <w:tc>
          <w:tcPr>
            <w:tcW w:w="9175" w:type="dxa"/>
          </w:tcPr>
          <w:p w14:paraId="125F622A" w14:textId="77777777" w:rsidR="00EF438A" w:rsidRPr="00920905" w:rsidRDefault="00EF438A" w:rsidP="00EF438A">
            <w:pPr>
              <w:pStyle w:val="NoSpacing"/>
            </w:pPr>
            <w:r w:rsidRPr="00920905">
              <w:t>The IR values were obtained using the DEER READI tool. The relevant IR values for the measures in this work paper are in the table below.</w:t>
            </w:r>
          </w:p>
          <w:tbl>
            <w:tblPr>
              <w:tblStyle w:val="TableGrid1"/>
              <w:tblW w:w="5000" w:type="pct"/>
              <w:tblLayout w:type="fixed"/>
              <w:tblLook w:val="01E0" w:firstRow="1" w:lastRow="1" w:firstColumn="1" w:lastColumn="1" w:noHBand="0" w:noVBand="0"/>
            </w:tblPr>
            <w:tblGrid>
              <w:gridCol w:w="1293"/>
              <w:gridCol w:w="2514"/>
              <w:gridCol w:w="1231"/>
              <w:gridCol w:w="1536"/>
              <w:gridCol w:w="1240"/>
              <w:gridCol w:w="1135"/>
            </w:tblGrid>
            <w:tr w:rsidR="007E648E" w:rsidRPr="0087393E" w14:paraId="29A967C9" w14:textId="77777777" w:rsidTr="006527FC">
              <w:tc>
                <w:tcPr>
                  <w:tcW w:w="722" w:type="pct"/>
                  <w:shd w:val="clear" w:color="auto" w:fill="D9D9D9" w:themeFill="background1" w:themeFillShade="D9"/>
                </w:tcPr>
                <w:p w14:paraId="7045A731" w14:textId="77777777" w:rsidR="00EF438A" w:rsidRPr="00920905" w:rsidRDefault="00EF438A" w:rsidP="00EF438A">
                  <w:pPr>
                    <w:rPr>
                      <w:rFonts w:cstheme="minorHAnsi"/>
                      <w:b/>
                      <w:szCs w:val="20"/>
                    </w:rPr>
                  </w:pPr>
                  <w:r w:rsidRPr="00920905">
                    <w:rPr>
                      <w:rFonts w:cstheme="minorHAnsi"/>
                      <w:b/>
                      <w:szCs w:val="20"/>
                    </w:rPr>
                    <w:t>GSIA ID</w:t>
                  </w:r>
                </w:p>
              </w:tc>
              <w:tc>
                <w:tcPr>
                  <w:tcW w:w="1404" w:type="pct"/>
                  <w:shd w:val="clear" w:color="auto" w:fill="D9D9D9" w:themeFill="background1" w:themeFillShade="D9"/>
                </w:tcPr>
                <w:p w14:paraId="3B2BFD02" w14:textId="77777777" w:rsidR="00EF438A" w:rsidRPr="00920905" w:rsidRDefault="00EF438A" w:rsidP="00EF438A">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21961975" w14:textId="77777777" w:rsidR="00EF438A" w:rsidRPr="00920905" w:rsidRDefault="00EF438A" w:rsidP="00EF438A">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165B6E48" w14:textId="77777777" w:rsidR="00EF438A" w:rsidRPr="00920905" w:rsidRDefault="00EF438A" w:rsidP="00EF438A">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CA26C4A" w14:textId="77777777" w:rsidR="00EF438A" w:rsidRPr="00920905" w:rsidRDefault="00EF438A" w:rsidP="00EF438A">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0E212C33" w14:textId="77777777" w:rsidR="00EF438A" w:rsidRPr="00920905" w:rsidRDefault="00EF438A" w:rsidP="00EF438A">
                  <w:pPr>
                    <w:rPr>
                      <w:rFonts w:cstheme="minorHAnsi"/>
                      <w:b/>
                      <w:szCs w:val="20"/>
                    </w:rPr>
                  </w:pPr>
                  <w:proofErr w:type="spellStart"/>
                  <w:r w:rsidRPr="00920905">
                    <w:rPr>
                      <w:rFonts w:cstheme="minorHAnsi"/>
                      <w:b/>
                      <w:szCs w:val="20"/>
                    </w:rPr>
                    <w:t>GSIAValue</w:t>
                  </w:r>
                  <w:proofErr w:type="spellEnd"/>
                </w:p>
              </w:tc>
            </w:tr>
            <w:tr w:rsidR="007E648E" w:rsidRPr="004E161C" w14:paraId="176AB431" w14:textId="77777777" w:rsidTr="006527FC">
              <w:tc>
                <w:tcPr>
                  <w:tcW w:w="722" w:type="pct"/>
                </w:tcPr>
                <w:p w14:paraId="62FF59E4" w14:textId="77777777" w:rsidR="00EF438A" w:rsidRPr="004E161C" w:rsidRDefault="00EF438A" w:rsidP="00EF438A">
                  <w:pPr>
                    <w:rPr>
                      <w:szCs w:val="20"/>
                    </w:rPr>
                  </w:pPr>
                  <w:r w:rsidRPr="004E161C">
                    <w:rPr>
                      <w:szCs w:val="20"/>
                    </w:rPr>
                    <w:t>Def-GSIA</w:t>
                  </w:r>
                </w:p>
              </w:tc>
              <w:tc>
                <w:tcPr>
                  <w:tcW w:w="1404" w:type="pct"/>
                </w:tcPr>
                <w:p w14:paraId="792871CA" w14:textId="77777777" w:rsidR="00EF438A" w:rsidRPr="004E161C" w:rsidRDefault="00EF438A" w:rsidP="00EF438A">
                  <w:pPr>
                    <w:rPr>
                      <w:szCs w:val="20"/>
                    </w:rPr>
                  </w:pPr>
                  <w:r w:rsidRPr="004E161C">
                    <w:rPr>
                      <w:szCs w:val="20"/>
                    </w:rPr>
                    <w:t>Default GSIA values</w:t>
                  </w:r>
                </w:p>
              </w:tc>
              <w:tc>
                <w:tcPr>
                  <w:tcW w:w="688" w:type="pct"/>
                </w:tcPr>
                <w:p w14:paraId="1FA25D27" w14:textId="77777777" w:rsidR="00EF438A" w:rsidRPr="004E161C" w:rsidRDefault="00EF438A" w:rsidP="00EF438A">
                  <w:pPr>
                    <w:rPr>
                      <w:szCs w:val="20"/>
                    </w:rPr>
                  </w:pPr>
                  <w:r w:rsidRPr="004E161C">
                    <w:rPr>
                      <w:szCs w:val="20"/>
                    </w:rPr>
                    <w:t>Any</w:t>
                  </w:r>
                </w:p>
              </w:tc>
              <w:tc>
                <w:tcPr>
                  <w:tcW w:w="858" w:type="pct"/>
                </w:tcPr>
                <w:p w14:paraId="32DC63EE" w14:textId="77777777" w:rsidR="00EF438A" w:rsidRPr="004E161C" w:rsidRDefault="00EF438A" w:rsidP="00EF438A">
                  <w:pPr>
                    <w:rPr>
                      <w:szCs w:val="20"/>
                    </w:rPr>
                  </w:pPr>
                  <w:r w:rsidRPr="004E161C">
                    <w:rPr>
                      <w:szCs w:val="20"/>
                    </w:rPr>
                    <w:t>Any</w:t>
                  </w:r>
                </w:p>
              </w:tc>
              <w:tc>
                <w:tcPr>
                  <w:tcW w:w="693" w:type="pct"/>
                </w:tcPr>
                <w:p w14:paraId="4BF2753B" w14:textId="77777777" w:rsidR="00EF438A" w:rsidRPr="004E161C" w:rsidRDefault="00EF438A" w:rsidP="00EF438A">
                  <w:pPr>
                    <w:rPr>
                      <w:szCs w:val="20"/>
                    </w:rPr>
                  </w:pPr>
                  <w:r w:rsidRPr="004E161C">
                    <w:rPr>
                      <w:szCs w:val="20"/>
                    </w:rPr>
                    <w:t>Any</w:t>
                  </w:r>
                </w:p>
              </w:tc>
              <w:tc>
                <w:tcPr>
                  <w:tcW w:w="634" w:type="pct"/>
                </w:tcPr>
                <w:p w14:paraId="2F88351F" w14:textId="77777777" w:rsidR="00EF438A" w:rsidRPr="004E161C" w:rsidRDefault="00EF438A" w:rsidP="00EF438A">
                  <w:pPr>
                    <w:rPr>
                      <w:szCs w:val="20"/>
                    </w:rPr>
                  </w:pPr>
                  <w:r w:rsidRPr="004E161C">
                    <w:rPr>
                      <w:szCs w:val="20"/>
                    </w:rPr>
                    <w:t>1</w:t>
                  </w:r>
                </w:p>
              </w:tc>
            </w:tr>
          </w:tbl>
          <w:p w14:paraId="50448AF6" w14:textId="7974A178" w:rsidR="00EF438A" w:rsidRPr="003233BD" w:rsidRDefault="00EF438A" w:rsidP="00C1087D">
            <w:pPr>
              <w:tabs>
                <w:tab w:val="right" w:pos="8064"/>
              </w:tabs>
              <w:rPr>
                <w:rFonts w:cs="Arial"/>
                <w:sz w:val="20"/>
                <w:szCs w:val="20"/>
              </w:rPr>
            </w:pPr>
          </w:p>
        </w:tc>
      </w:tr>
      <w:tr w:rsidR="00C80D48" w:rsidRPr="009B0E7F" w14:paraId="269B66F6" w14:textId="77777777" w:rsidTr="006527FC">
        <w:trPr>
          <w:cantSplit/>
        </w:trPr>
        <w:tc>
          <w:tcPr>
            <w:tcW w:w="1507" w:type="dxa"/>
            <w:vAlign w:val="center"/>
          </w:tcPr>
          <w:p w14:paraId="269B66F4" w14:textId="77777777" w:rsidR="009B0E7F" w:rsidRPr="009B0E7F" w:rsidRDefault="009B0E7F" w:rsidP="009B0E7F">
            <w:pPr>
              <w:jc w:val="right"/>
              <w:rPr>
                <w:sz w:val="20"/>
                <w:szCs w:val="20"/>
              </w:rPr>
            </w:pPr>
            <w:r w:rsidRPr="009B0E7F">
              <w:rPr>
                <w:sz w:val="20"/>
                <w:szCs w:val="20"/>
              </w:rPr>
              <w:t>Effective and Remaining Useful Life</w:t>
            </w:r>
          </w:p>
        </w:tc>
        <w:tc>
          <w:tcPr>
            <w:tcW w:w="9175" w:type="dxa"/>
          </w:tcPr>
          <w:p w14:paraId="6DA63579" w14:textId="77777777" w:rsidR="00EF438A" w:rsidRPr="00920905" w:rsidRDefault="00EF438A" w:rsidP="00EF438A">
            <w:pPr>
              <w:pStyle w:val="NoSpacing"/>
            </w:pPr>
            <w:r w:rsidRPr="0087393E">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ayout w:type="fixed"/>
              <w:tblLook w:val="04A0" w:firstRow="1" w:lastRow="0" w:firstColumn="1" w:lastColumn="0" w:noHBand="0" w:noVBand="1"/>
            </w:tblPr>
            <w:tblGrid>
              <w:gridCol w:w="1475"/>
              <w:gridCol w:w="2570"/>
              <w:gridCol w:w="848"/>
              <w:gridCol w:w="1210"/>
              <w:gridCol w:w="1455"/>
              <w:gridCol w:w="1391"/>
            </w:tblGrid>
            <w:tr w:rsidR="007E648E" w:rsidRPr="00500C4E" w14:paraId="22A72BAD" w14:textId="77777777" w:rsidTr="006527FC">
              <w:tc>
                <w:tcPr>
                  <w:tcW w:w="824" w:type="pct"/>
                  <w:shd w:val="clear" w:color="auto" w:fill="D9D9D9" w:themeFill="background1" w:themeFillShade="D9"/>
                </w:tcPr>
                <w:p w14:paraId="1C5E5EF7" w14:textId="77777777" w:rsidR="00EF438A" w:rsidRPr="00920905" w:rsidRDefault="00EF438A" w:rsidP="00EF438A">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6B6DF4E2" w14:textId="77777777" w:rsidR="00EF438A" w:rsidRPr="00920905" w:rsidRDefault="00EF438A" w:rsidP="00EF438A">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7458630E" w14:textId="77777777" w:rsidR="00EF438A" w:rsidRPr="00920905" w:rsidRDefault="00EF438A" w:rsidP="00EF438A">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7DDD1215" w14:textId="77777777" w:rsidR="00EF438A" w:rsidRPr="00920905" w:rsidRDefault="00EF438A" w:rsidP="00EF438A">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250BB587" w14:textId="77777777" w:rsidR="00EF438A" w:rsidRPr="00920905" w:rsidRDefault="00EF438A" w:rsidP="00EF438A">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4D3FC64C" w14:textId="77777777" w:rsidR="00EF438A" w:rsidRPr="00920905" w:rsidRDefault="00EF438A" w:rsidP="00EF438A">
                  <w:pPr>
                    <w:rPr>
                      <w:rFonts w:cstheme="minorHAnsi"/>
                      <w:b/>
                      <w:szCs w:val="20"/>
                    </w:rPr>
                  </w:pPr>
                  <w:r w:rsidRPr="00920905">
                    <w:rPr>
                      <w:rFonts w:cstheme="minorHAnsi"/>
                      <w:b/>
                      <w:szCs w:val="20"/>
                    </w:rPr>
                    <w:t>RUL (Years)</w:t>
                  </w:r>
                </w:p>
              </w:tc>
            </w:tr>
            <w:tr w:rsidR="007E648E" w:rsidRPr="001616E4" w14:paraId="42426FDC" w14:textId="77777777" w:rsidTr="006527FC">
              <w:trPr>
                <w:trHeight w:val="243"/>
              </w:trPr>
              <w:tc>
                <w:tcPr>
                  <w:tcW w:w="824" w:type="pct"/>
                </w:tcPr>
                <w:p w14:paraId="02434C11" w14:textId="77777777" w:rsidR="00EF438A" w:rsidRPr="001616E4" w:rsidRDefault="00EF438A" w:rsidP="00EF438A">
                  <w:pPr>
                    <w:rPr>
                      <w:szCs w:val="20"/>
                    </w:rPr>
                  </w:pPr>
                  <w:proofErr w:type="spellStart"/>
                  <w:r w:rsidRPr="001616E4">
                    <w:rPr>
                      <w:szCs w:val="20"/>
                    </w:rPr>
                    <w:t>WtrHt</w:t>
                  </w:r>
                  <w:proofErr w:type="spellEnd"/>
                  <w:r w:rsidRPr="001616E4">
                    <w:rPr>
                      <w:szCs w:val="20"/>
                    </w:rPr>
                    <w:t>-Com</w:t>
                  </w:r>
                </w:p>
              </w:tc>
              <w:tc>
                <w:tcPr>
                  <w:tcW w:w="1436" w:type="pct"/>
                </w:tcPr>
                <w:p w14:paraId="6AC9CED6" w14:textId="77777777" w:rsidR="00EF438A" w:rsidRPr="001616E4" w:rsidRDefault="00EF438A" w:rsidP="00EF438A">
                  <w:pPr>
                    <w:rPr>
                      <w:szCs w:val="20"/>
                    </w:rPr>
                  </w:pPr>
                  <w:r w:rsidRPr="001616E4">
                    <w:rPr>
                      <w:szCs w:val="20"/>
                    </w:rPr>
                    <w:t>Commercial Water Heater</w:t>
                  </w:r>
                </w:p>
              </w:tc>
              <w:tc>
                <w:tcPr>
                  <w:tcW w:w="474" w:type="pct"/>
                </w:tcPr>
                <w:p w14:paraId="5B10DD75" w14:textId="77777777" w:rsidR="00EF438A" w:rsidRPr="001616E4" w:rsidRDefault="00EF438A" w:rsidP="00EF438A">
                  <w:pPr>
                    <w:rPr>
                      <w:szCs w:val="20"/>
                    </w:rPr>
                  </w:pPr>
                  <w:r w:rsidRPr="001616E4">
                    <w:rPr>
                      <w:szCs w:val="20"/>
                    </w:rPr>
                    <w:t>Com</w:t>
                  </w:r>
                </w:p>
              </w:tc>
              <w:tc>
                <w:tcPr>
                  <w:tcW w:w="676" w:type="pct"/>
                </w:tcPr>
                <w:p w14:paraId="310CA9B2" w14:textId="77777777" w:rsidR="00EF438A" w:rsidRPr="001616E4" w:rsidRDefault="00EF438A" w:rsidP="00EF438A">
                  <w:pPr>
                    <w:rPr>
                      <w:szCs w:val="20"/>
                    </w:rPr>
                  </w:pPr>
                  <w:r w:rsidRPr="001616E4">
                    <w:rPr>
                      <w:szCs w:val="20"/>
                    </w:rPr>
                    <w:t>SHW</w:t>
                  </w:r>
                </w:p>
              </w:tc>
              <w:tc>
                <w:tcPr>
                  <w:tcW w:w="813" w:type="pct"/>
                </w:tcPr>
                <w:p w14:paraId="4DD6E37C" w14:textId="77777777" w:rsidR="00EF438A" w:rsidRPr="001616E4" w:rsidRDefault="00EF438A" w:rsidP="00EF438A">
                  <w:pPr>
                    <w:rPr>
                      <w:szCs w:val="20"/>
                    </w:rPr>
                  </w:pPr>
                  <w:r w:rsidRPr="001616E4">
                    <w:rPr>
                      <w:szCs w:val="20"/>
                    </w:rPr>
                    <w:t>15</w:t>
                  </w:r>
                </w:p>
              </w:tc>
              <w:tc>
                <w:tcPr>
                  <w:tcW w:w="777" w:type="pct"/>
                </w:tcPr>
                <w:p w14:paraId="47E1F35F" w14:textId="77777777" w:rsidR="00EF438A" w:rsidRPr="001616E4" w:rsidRDefault="00EF438A" w:rsidP="00EF438A">
                  <w:pPr>
                    <w:rPr>
                      <w:szCs w:val="20"/>
                    </w:rPr>
                  </w:pPr>
                  <w:r>
                    <w:rPr>
                      <w:szCs w:val="20"/>
                    </w:rPr>
                    <w:t>0</w:t>
                  </w:r>
                </w:p>
              </w:tc>
            </w:tr>
          </w:tbl>
          <w:p w14:paraId="269B66F5" w14:textId="52119F37" w:rsidR="009B0E7F" w:rsidRPr="003233BD" w:rsidRDefault="009B0E7F" w:rsidP="0022781C">
            <w:pPr>
              <w:tabs>
                <w:tab w:val="right" w:pos="8064"/>
              </w:tabs>
              <w:rPr>
                <w:rFonts w:cs="Arial"/>
                <w:sz w:val="20"/>
                <w:szCs w:val="20"/>
              </w:rPr>
            </w:pPr>
            <w:r w:rsidRPr="003233BD">
              <w:rPr>
                <w:rFonts w:cs="Arial"/>
                <w:sz w:val="20"/>
                <w:szCs w:val="20"/>
              </w:rPr>
              <w:tab/>
            </w:r>
          </w:p>
        </w:tc>
      </w:tr>
      <w:tr w:rsidR="00C80D48" w:rsidRPr="009B0E7F" w14:paraId="269B66F9" w14:textId="77777777" w:rsidTr="006527FC">
        <w:trPr>
          <w:cantSplit/>
        </w:trPr>
        <w:tc>
          <w:tcPr>
            <w:tcW w:w="1507" w:type="dxa"/>
            <w:vAlign w:val="center"/>
          </w:tcPr>
          <w:p w14:paraId="269B66F7" w14:textId="77777777" w:rsidR="009B0E7F" w:rsidRPr="009B0E7F" w:rsidRDefault="009B0E7F" w:rsidP="009B0E7F">
            <w:pPr>
              <w:rPr>
                <w:b/>
              </w:rPr>
            </w:pPr>
            <w:r w:rsidRPr="009B0E7F">
              <w:rPr>
                <w:b/>
              </w:rPr>
              <w:lastRenderedPageBreak/>
              <w:t>Section 2. Calculation Methodology</w:t>
            </w:r>
          </w:p>
        </w:tc>
        <w:tc>
          <w:tcPr>
            <w:tcW w:w="9175" w:type="dxa"/>
            <w:vAlign w:val="center"/>
          </w:tcPr>
          <w:p w14:paraId="269B66F8" w14:textId="77777777" w:rsidR="009B0E7F" w:rsidRPr="003233BD" w:rsidRDefault="009B0E7F" w:rsidP="009B0E7F">
            <w:pPr>
              <w:rPr>
                <w:rFonts w:cs="Arial"/>
                <w:sz w:val="20"/>
                <w:szCs w:val="20"/>
              </w:rPr>
            </w:pPr>
            <w:r w:rsidRPr="003233BD">
              <w:rPr>
                <w:rFonts w:cs="Arial"/>
                <w:sz w:val="20"/>
                <w:szCs w:val="20"/>
              </w:rPr>
              <w:t>Measures will be processed using DEER Measure/Impact ID by building type and Building Location.  All will be processed and claimed using “Existing” vintage.</w:t>
            </w:r>
          </w:p>
        </w:tc>
      </w:tr>
      <w:tr w:rsidR="00C80D48" w:rsidRPr="009B0E7F" w14:paraId="269B66FC" w14:textId="77777777" w:rsidTr="006527FC">
        <w:trPr>
          <w:cantSplit/>
        </w:trPr>
        <w:tc>
          <w:tcPr>
            <w:tcW w:w="1507" w:type="dxa"/>
            <w:vAlign w:val="center"/>
          </w:tcPr>
          <w:p w14:paraId="269B66FA" w14:textId="77777777" w:rsidR="009B0E7F" w:rsidRPr="009B0E7F" w:rsidRDefault="009B0E7F" w:rsidP="009B0E7F">
            <w:pPr>
              <w:jc w:val="right"/>
            </w:pPr>
            <w:r w:rsidRPr="009B0E7F">
              <w:rPr>
                <w:rFonts w:cs="Arial"/>
                <w:sz w:val="20"/>
                <w:szCs w:val="20"/>
              </w:rPr>
              <w:t>Energy Savings/Peak Demand Reduction – All Measures</w:t>
            </w:r>
          </w:p>
        </w:tc>
        <w:tc>
          <w:tcPr>
            <w:tcW w:w="9175" w:type="dxa"/>
          </w:tcPr>
          <w:p w14:paraId="269B66FB" w14:textId="0FFAB79E" w:rsidR="009B0E7F" w:rsidRPr="003233BD" w:rsidRDefault="009B0E7F" w:rsidP="009B0E7F">
            <w:pPr>
              <w:tabs>
                <w:tab w:val="right" w:pos="6732"/>
              </w:tabs>
              <w:rPr>
                <w:rFonts w:cs="Arial"/>
                <w:sz w:val="20"/>
                <w:szCs w:val="20"/>
              </w:rPr>
            </w:pPr>
            <w:r w:rsidRPr="003233BD">
              <w:rPr>
                <w:rFonts w:cs="Arial"/>
                <w:sz w:val="20"/>
                <w:szCs w:val="20"/>
              </w:rPr>
              <w:t xml:space="preserve">All Energy Impacts per </w:t>
            </w:r>
            <w:r w:rsidR="00B5525E">
              <w:rPr>
                <w:rFonts w:cs="Arial"/>
                <w:sz w:val="20"/>
                <w:szCs w:val="20"/>
              </w:rPr>
              <w:t xml:space="preserve">SCG Modified </w:t>
            </w:r>
            <w:r w:rsidRPr="003233BD">
              <w:rPr>
                <w:rFonts w:cs="Arial"/>
                <w:sz w:val="20"/>
                <w:szCs w:val="20"/>
              </w:rPr>
              <w:t xml:space="preserve">DEER Measure IDs </w:t>
            </w:r>
            <w:r w:rsidR="00BC11FB">
              <w:rPr>
                <w:rFonts w:cs="Arial"/>
                <w:sz w:val="20"/>
                <w:szCs w:val="20"/>
              </w:rPr>
              <w:t xml:space="preserve">as </w:t>
            </w:r>
            <w:r w:rsidRPr="003233BD">
              <w:rPr>
                <w:rFonts w:cs="Arial"/>
                <w:sz w:val="20"/>
                <w:szCs w:val="20"/>
              </w:rPr>
              <w:t xml:space="preserve">noted </w:t>
            </w:r>
            <w:r w:rsidR="00BC11FB">
              <w:rPr>
                <w:rFonts w:cs="Arial"/>
                <w:sz w:val="20"/>
                <w:szCs w:val="20"/>
              </w:rPr>
              <w:t xml:space="preserve">herein </w:t>
            </w:r>
            <w:r w:rsidRPr="003233BD">
              <w:rPr>
                <w:rFonts w:cs="Arial"/>
                <w:sz w:val="20"/>
                <w:szCs w:val="20"/>
              </w:rPr>
              <w:t>above</w:t>
            </w:r>
            <w:r w:rsidR="00AB4F30">
              <w:rPr>
                <w:rFonts w:cs="Arial"/>
                <w:sz w:val="20"/>
                <w:szCs w:val="20"/>
              </w:rPr>
              <w:t xml:space="preserve">. </w:t>
            </w:r>
          </w:p>
        </w:tc>
      </w:tr>
      <w:tr w:rsidR="00C80D48" w:rsidRPr="009B0E7F" w14:paraId="269B66FF" w14:textId="77777777" w:rsidTr="006527FC">
        <w:trPr>
          <w:cantSplit/>
        </w:trPr>
        <w:tc>
          <w:tcPr>
            <w:tcW w:w="1507" w:type="dxa"/>
            <w:vAlign w:val="center"/>
          </w:tcPr>
          <w:p w14:paraId="269B66FD" w14:textId="77777777" w:rsidR="009B0E7F" w:rsidRPr="009B0E7F" w:rsidRDefault="009B0E7F" w:rsidP="009B0E7F">
            <w:pPr>
              <w:rPr>
                <w:b/>
              </w:rPr>
            </w:pPr>
            <w:r w:rsidRPr="009B0E7F">
              <w:rPr>
                <w:b/>
              </w:rPr>
              <w:t>Section 3. Load Shapes</w:t>
            </w:r>
          </w:p>
        </w:tc>
        <w:tc>
          <w:tcPr>
            <w:tcW w:w="9175" w:type="dxa"/>
          </w:tcPr>
          <w:p w14:paraId="3654E58A" w14:textId="6A763668" w:rsidR="00235D4A" w:rsidRPr="003233BD" w:rsidRDefault="00235D4A" w:rsidP="0022781C">
            <w:pPr>
              <w:tabs>
                <w:tab w:val="right" w:pos="8082"/>
              </w:tabs>
              <w:rPr>
                <w:rFonts w:cs="Arial"/>
                <w:sz w:val="20"/>
                <w:szCs w:val="20"/>
              </w:rPr>
            </w:pPr>
            <w:proofErr w:type="spellStart"/>
            <w:r w:rsidRPr="003233BD">
              <w:rPr>
                <w:rFonts w:cs="Arial"/>
                <w:sz w:val="20"/>
                <w:szCs w:val="20"/>
              </w:rPr>
              <w:t>ElecImpProfile</w:t>
            </w:r>
            <w:proofErr w:type="spellEnd"/>
            <w:r w:rsidR="009C28E4">
              <w:rPr>
                <w:rFonts w:cs="Arial"/>
                <w:sz w:val="20"/>
                <w:szCs w:val="20"/>
              </w:rPr>
              <w:t>:</w:t>
            </w:r>
            <w:r w:rsidRPr="003233BD">
              <w:rPr>
                <w:rFonts w:cs="Arial"/>
                <w:sz w:val="20"/>
                <w:szCs w:val="20"/>
              </w:rPr>
              <w:t xml:space="preserve"> </w:t>
            </w:r>
            <w:r w:rsidR="009C28E4">
              <w:rPr>
                <w:rFonts w:cs="Arial"/>
                <w:sz w:val="20"/>
                <w:szCs w:val="20"/>
              </w:rPr>
              <w:t xml:space="preserve"> </w:t>
            </w:r>
            <w:proofErr w:type="spellStart"/>
            <w:proofErr w:type="gramStart"/>
            <w:r w:rsidRPr="003233BD">
              <w:rPr>
                <w:rFonts w:cs="Arial"/>
                <w:sz w:val="20"/>
                <w:szCs w:val="20"/>
              </w:rPr>
              <w:t>SDGE:</w:t>
            </w:r>
            <w:r w:rsidR="004E36A9">
              <w:rPr>
                <w:rFonts w:cs="Arial"/>
                <w:sz w:val="20"/>
                <w:szCs w:val="20"/>
              </w:rPr>
              <w:t>DEER</w:t>
            </w:r>
            <w:proofErr w:type="gramEnd"/>
            <w:r w:rsidR="004E36A9">
              <w:rPr>
                <w:rFonts w:cs="Arial"/>
                <w:sz w:val="20"/>
                <w:szCs w:val="20"/>
              </w:rPr>
              <w:t>:Com</w:t>
            </w:r>
            <w:r w:rsidR="009C28E4">
              <w:rPr>
                <w:rFonts w:cs="Arial"/>
                <w:sz w:val="20"/>
                <w:szCs w:val="20"/>
              </w:rPr>
              <w:t>:Indoor_Non-CFL_Ltg</w:t>
            </w:r>
            <w:proofErr w:type="spellEnd"/>
          </w:p>
          <w:p w14:paraId="269B66FE" w14:textId="781D54E1" w:rsidR="009B0E7F" w:rsidRPr="003233BD" w:rsidRDefault="0022781C" w:rsidP="0022781C">
            <w:pPr>
              <w:tabs>
                <w:tab w:val="right" w:pos="8082"/>
              </w:tabs>
              <w:rPr>
                <w:rFonts w:cs="Arial"/>
                <w:sz w:val="20"/>
                <w:szCs w:val="20"/>
              </w:rPr>
            </w:pPr>
            <w:r w:rsidRPr="003233BD">
              <w:rPr>
                <w:rFonts w:cs="Arial"/>
                <w:sz w:val="20"/>
                <w:szCs w:val="20"/>
              </w:rPr>
              <w:t xml:space="preserve">Gas: </w:t>
            </w:r>
            <w:r w:rsidR="00235D4A" w:rsidRPr="003233BD">
              <w:rPr>
                <w:rFonts w:cs="Arial"/>
                <w:sz w:val="20"/>
                <w:szCs w:val="20"/>
              </w:rPr>
              <w:t>Annual</w:t>
            </w:r>
            <w:r w:rsidR="009B0E7F" w:rsidRPr="003233BD">
              <w:rPr>
                <w:rFonts w:cs="Arial"/>
                <w:sz w:val="20"/>
                <w:szCs w:val="20"/>
              </w:rPr>
              <w:tab/>
            </w:r>
          </w:p>
        </w:tc>
      </w:tr>
      <w:tr w:rsidR="00C80D48" w:rsidRPr="009B0E7F" w14:paraId="269B6702" w14:textId="77777777" w:rsidTr="006527FC">
        <w:trPr>
          <w:cantSplit/>
        </w:trPr>
        <w:tc>
          <w:tcPr>
            <w:tcW w:w="1507" w:type="dxa"/>
            <w:vAlign w:val="center"/>
          </w:tcPr>
          <w:p w14:paraId="269B6700" w14:textId="77777777" w:rsidR="009B0E7F" w:rsidRPr="009B0E7F" w:rsidRDefault="009B0E7F" w:rsidP="009B0E7F">
            <w:pPr>
              <w:rPr>
                <w:b/>
              </w:rPr>
            </w:pPr>
            <w:r w:rsidRPr="009B0E7F">
              <w:rPr>
                <w:b/>
              </w:rPr>
              <w:t>Section 4. Costs</w:t>
            </w:r>
          </w:p>
        </w:tc>
        <w:tc>
          <w:tcPr>
            <w:tcW w:w="9175" w:type="dxa"/>
          </w:tcPr>
          <w:p w14:paraId="269B6701" w14:textId="77777777" w:rsidR="009B0E7F" w:rsidRPr="009B0E7F" w:rsidRDefault="009B0E7F" w:rsidP="009B0E7F">
            <w:pPr>
              <w:rPr>
                <w:rFonts w:cs="Arial"/>
                <w:sz w:val="20"/>
                <w:szCs w:val="20"/>
              </w:rPr>
            </w:pPr>
          </w:p>
        </w:tc>
      </w:tr>
      <w:tr w:rsidR="003D547E" w:rsidRPr="00C1087D" w14:paraId="269B6705" w14:textId="77777777" w:rsidTr="006527FC">
        <w:trPr>
          <w:cantSplit/>
        </w:trPr>
        <w:tc>
          <w:tcPr>
            <w:tcW w:w="1507" w:type="dxa"/>
            <w:vAlign w:val="center"/>
          </w:tcPr>
          <w:p w14:paraId="269B6703" w14:textId="22B41A02" w:rsidR="003D547E" w:rsidRPr="00C1087D" w:rsidRDefault="00235D4A" w:rsidP="00C1087D">
            <w:pPr>
              <w:jc w:val="right"/>
              <w:rPr>
                <w:sz w:val="20"/>
                <w:szCs w:val="20"/>
              </w:rPr>
            </w:pPr>
            <w:r>
              <w:rPr>
                <w:sz w:val="20"/>
                <w:szCs w:val="20"/>
              </w:rPr>
              <w:t>Base Cost</w:t>
            </w:r>
          </w:p>
        </w:tc>
        <w:tc>
          <w:tcPr>
            <w:tcW w:w="9175" w:type="dxa"/>
          </w:tcPr>
          <w:tbl>
            <w:tblPr>
              <w:tblStyle w:val="TableGrid"/>
              <w:tblW w:w="0" w:type="auto"/>
              <w:tblLayout w:type="fixed"/>
              <w:tblLook w:val="04A0" w:firstRow="1" w:lastRow="0" w:firstColumn="1" w:lastColumn="0" w:noHBand="0" w:noVBand="1"/>
            </w:tblPr>
            <w:tblGrid>
              <w:gridCol w:w="1515"/>
              <w:gridCol w:w="4688"/>
              <w:gridCol w:w="1260"/>
              <w:gridCol w:w="1260"/>
            </w:tblGrid>
            <w:tr w:rsidR="007264C7" w:rsidRPr="00225EFB" w14:paraId="22AF8D57" w14:textId="68C9C9D8" w:rsidTr="006527FC">
              <w:trPr>
                <w:trHeight w:val="458"/>
              </w:trPr>
              <w:tc>
                <w:tcPr>
                  <w:tcW w:w="1515" w:type="dxa"/>
                </w:tcPr>
                <w:p w14:paraId="2376E157" w14:textId="4FC0E103" w:rsidR="007264C7" w:rsidRPr="003233BD" w:rsidRDefault="007264C7" w:rsidP="003D547E">
                  <w:pPr>
                    <w:rPr>
                      <w:sz w:val="20"/>
                      <w:szCs w:val="20"/>
                    </w:rPr>
                  </w:pPr>
                  <w:r w:rsidRPr="003233BD">
                    <w:rPr>
                      <w:sz w:val="20"/>
                      <w:szCs w:val="20"/>
                    </w:rPr>
                    <w:t xml:space="preserve">SDG&amp;E </w:t>
                  </w:r>
                  <w:proofErr w:type="spellStart"/>
                  <w:r w:rsidRPr="003233BD">
                    <w:rPr>
                      <w:sz w:val="20"/>
                      <w:szCs w:val="20"/>
                    </w:rPr>
                    <w:t>Impl</w:t>
                  </w:r>
                  <w:proofErr w:type="spellEnd"/>
                  <w:r w:rsidRPr="003233BD">
                    <w:rPr>
                      <w:sz w:val="20"/>
                      <w:szCs w:val="20"/>
                    </w:rPr>
                    <w:t>. ID</w:t>
                  </w:r>
                </w:p>
              </w:tc>
              <w:tc>
                <w:tcPr>
                  <w:tcW w:w="4688" w:type="dxa"/>
                </w:tcPr>
                <w:p w14:paraId="7A44B86D" w14:textId="34D1FB1A" w:rsidR="007264C7" w:rsidRPr="003233BD" w:rsidRDefault="007264C7" w:rsidP="003D547E">
                  <w:pPr>
                    <w:rPr>
                      <w:sz w:val="20"/>
                      <w:szCs w:val="20"/>
                    </w:rPr>
                  </w:pPr>
                  <w:r w:rsidRPr="003233BD">
                    <w:rPr>
                      <w:sz w:val="20"/>
                      <w:szCs w:val="20"/>
                    </w:rPr>
                    <w:t>Base Cost ID</w:t>
                  </w:r>
                </w:p>
              </w:tc>
              <w:tc>
                <w:tcPr>
                  <w:tcW w:w="1260" w:type="dxa"/>
                </w:tcPr>
                <w:p w14:paraId="23504842" w14:textId="62E0E8DB" w:rsidR="007264C7" w:rsidRPr="003233BD" w:rsidRDefault="007264C7" w:rsidP="003D547E">
                  <w:pPr>
                    <w:rPr>
                      <w:sz w:val="20"/>
                      <w:szCs w:val="20"/>
                    </w:rPr>
                  </w:pPr>
                  <w:r w:rsidRPr="003233BD">
                    <w:rPr>
                      <w:sz w:val="20"/>
                      <w:szCs w:val="20"/>
                    </w:rPr>
                    <w:t>Base Cost Value</w:t>
                  </w:r>
                </w:p>
              </w:tc>
              <w:tc>
                <w:tcPr>
                  <w:tcW w:w="1260" w:type="dxa"/>
                </w:tcPr>
                <w:p w14:paraId="20516373" w14:textId="01FE099A" w:rsidR="007264C7" w:rsidRPr="003233BD" w:rsidRDefault="007264C7" w:rsidP="003D547E">
                  <w:pPr>
                    <w:rPr>
                      <w:sz w:val="20"/>
                      <w:szCs w:val="20"/>
                    </w:rPr>
                  </w:pPr>
                  <w:r w:rsidRPr="003233BD">
                    <w:rPr>
                      <w:sz w:val="20"/>
                      <w:szCs w:val="20"/>
                    </w:rPr>
                    <w:t xml:space="preserve">Units </w:t>
                  </w:r>
                </w:p>
              </w:tc>
            </w:tr>
            <w:tr w:rsidR="00B5525E" w:rsidRPr="00225EFB" w14:paraId="05E68A20" w14:textId="3A819D80" w:rsidTr="006527FC">
              <w:tc>
                <w:tcPr>
                  <w:tcW w:w="1515" w:type="dxa"/>
                </w:tcPr>
                <w:p w14:paraId="52183643" w14:textId="653253DE" w:rsidR="00B5525E" w:rsidRPr="003233BD" w:rsidRDefault="00E63339" w:rsidP="00B5525E">
                  <w:pPr>
                    <w:rPr>
                      <w:sz w:val="20"/>
                      <w:szCs w:val="20"/>
                    </w:rPr>
                  </w:pPr>
                  <w:r>
                    <w:rPr>
                      <w:sz w:val="20"/>
                      <w:szCs w:val="20"/>
                    </w:rPr>
                    <w:t>Ex-ante submission</w:t>
                  </w:r>
                </w:p>
              </w:tc>
              <w:tc>
                <w:tcPr>
                  <w:tcW w:w="4688" w:type="dxa"/>
                </w:tcPr>
                <w:p w14:paraId="4AA15FCE" w14:textId="79B46DAD" w:rsidR="00B5525E" w:rsidRPr="003233BD" w:rsidRDefault="00B5525E" w:rsidP="00B5525E">
                  <w:pPr>
                    <w:rPr>
                      <w:sz w:val="20"/>
                      <w:szCs w:val="20"/>
                    </w:rPr>
                  </w:pPr>
                  <w:r w:rsidRPr="00B5525E">
                    <w:rPr>
                      <w:sz w:val="20"/>
                      <w:szCs w:val="20"/>
                    </w:rPr>
                    <w:t>SDG_Stor_UEF-Gas-030gal-UEF_BASE</w:t>
                  </w:r>
                </w:p>
              </w:tc>
              <w:tc>
                <w:tcPr>
                  <w:tcW w:w="1260" w:type="dxa"/>
                </w:tcPr>
                <w:p w14:paraId="24769348" w14:textId="0DCC33A7" w:rsidR="00B5525E" w:rsidRPr="00B5525E" w:rsidRDefault="00A5572C" w:rsidP="00B5525E">
                  <w:pPr>
                    <w:rPr>
                      <w:sz w:val="20"/>
                      <w:szCs w:val="20"/>
                    </w:rPr>
                  </w:pPr>
                  <w:r w:rsidRPr="00A4584F">
                    <w:rPr>
                      <w:rFonts w:ascii="Calibri" w:hAnsi="Calibri" w:cs="Calibri"/>
                      <w:sz w:val="20"/>
                      <w:szCs w:val="22"/>
                    </w:rPr>
                    <w:t xml:space="preserve">$ </w:t>
                  </w:r>
                  <w:r w:rsidR="00D51074">
                    <w:rPr>
                      <w:rFonts w:ascii="Calibri" w:hAnsi="Calibri" w:cs="Calibri"/>
                      <w:sz w:val="20"/>
                      <w:szCs w:val="22"/>
                    </w:rPr>
                    <w:t>31</w:t>
                  </w:r>
                  <w:r w:rsidRPr="00A4584F">
                    <w:rPr>
                      <w:rFonts w:ascii="Calibri" w:hAnsi="Calibri" w:cs="Calibri"/>
                      <w:sz w:val="20"/>
                      <w:szCs w:val="22"/>
                    </w:rPr>
                    <w:t>.66</w:t>
                  </w:r>
                </w:p>
              </w:tc>
              <w:tc>
                <w:tcPr>
                  <w:tcW w:w="1260" w:type="dxa"/>
                </w:tcPr>
                <w:p w14:paraId="19841BC2" w14:textId="0BF861C8" w:rsidR="00B5525E" w:rsidRPr="003233BD" w:rsidRDefault="00B5525E" w:rsidP="00B5525E">
                  <w:pPr>
                    <w:rPr>
                      <w:sz w:val="20"/>
                      <w:szCs w:val="20"/>
                    </w:rPr>
                  </w:pPr>
                  <w:r>
                    <w:rPr>
                      <w:sz w:val="20"/>
                      <w:szCs w:val="20"/>
                    </w:rPr>
                    <w:t>Cap-</w:t>
                  </w:r>
                  <w:proofErr w:type="spellStart"/>
                  <w:r>
                    <w:rPr>
                      <w:sz w:val="20"/>
                      <w:szCs w:val="20"/>
                    </w:rPr>
                    <w:t>kBTUh</w:t>
                  </w:r>
                  <w:proofErr w:type="spellEnd"/>
                </w:p>
              </w:tc>
            </w:tr>
            <w:tr w:rsidR="00E63339" w:rsidRPr="00225EFB" w14:paraId="5AE4EC11" w14:textId="2C72167C" w:rsidTr="006527FC">
              <w:tc>
                <w:tcPr>
                  <w:tcW w:w="1515" w:type="dxa"/>
                </w:tcPr>
                <w:p w14:paraId="55669166" w14:textId="4E0C349C" w:rsidR="00E63339" w:rsidRPr="003233BD" w:rsidRDefault="00E63339" w:rsidP="00E63339">
                  <w:pPr>
                    <w:rPr>
                      <w:sz w:val="20"/>
                      <w:szCs w:val="20"/>
                    </w:rPr>
                  </w:pPr>
                  <w:r w:rsidRPr="00811FA6">
                    <w:rPr>
                      <w:sz w:val="20"/>
                      <w:szCs w:val="20"/>
                    </w:rPr>
                    <w:t>Ex-ante submission</w:t>
                  </w:r>
                </w:p>
              </w:tc>
              <w:tc>
                <w:tcPr>
                  <w:tcW w:w="4688" w:type="dxa"/>
                </w:tcPr>
                <w:p w14:paraId="62901399" w14:textId="19E07F16" w:rsidR="00E63339" w:rsidRPr="003233BD" w:rsidRDefault="00E63339" w:rsidP="00E63339">
                  <w:pPr>
                    <w:rPr>
                      <w:sz w:val="20"/>
                      <w:szCs w:val="20"/>
                    </w:rPr>
                  </w:pPr>
                  <w:r w:rsidRPr="00B5525E">
                    <w:rPr>
                      <w:sz w:val="20"/>
                      <w:szCs w:val="20"/>
                    </w:rPr>
                    <w:t>SDG_Stor_UEF-Gas-040gal-UEF_BASE</w:t>
                  </w:r>
                </w:p>
              </w:tc>
              <w:tc>
                <w:tcPr>
                  <w:tcW w:w="1260" w:type="dxa"/>
                </w:tcPr>
                <w:p w14:paraId="6F407492" w14:textId="60EB4E6C" w:rsidR="00E63339" w:rsidRPr="00B5525E" w:rsidRDefault="00A5572C" w:rsidP="00E63339">
                  <w:pPr>
                    <w:rPr>
                      <w:sz w:val="20"/>
                      <w:szCs w:val="20"/>
                    </w:rPr>
                  </w:pPr>
                  <w:r w:rsidRPr="00A4584F">
                    <w:rPr>
                      <w:rFonts w:ascii="Calibri" w:hAnsi="Calibri" w:cs="Calibri"/>
                      <w:sz w:val="20"/>
                      <w:szCs w:val="22"/>
                    </w:rPr>
                    <w:t xml:space="preserve">$ </w:t>
                  </w:r>
                  <w:r w:rsidR="00D51074">
                    <w:rPr>
                      <w:rFonts w:ascii="Calibri" w:hAnsi="Calibri" w:cs="Calibri"/>
                      <w:sz w:val="20"/>
                      <w:szCs w:val="22"/>
                    </w:rPr>
                    <w:t>2</w:t>
                  </w:r>
                  <w:r w:rsidRPr="00A4584F">
                    <w:rPr>
                      <w:rFonts w:ascii="Calibri" w:hAnsi="Calibri" w:cs="Calibri"/>
                      <w:sz w:val="20"/>
                      <w:szCs w:val="22"/>
                    </w:rPr>
                    <w:t>7.76</w:t>
                  </w:r>
                </w:p>
              </w:tc>
              <w:tc>
                <w:tcPr>
                  <w:tcW w:w="1260" w:type="dxa"/>
                </w:tcPr>
                <w:p w14:paraId="2FD56804" w14:textId="27F2E00B" w:rsidR="00E63339" w:rsidRPr="003233BD" w:rsidRDefault="00E63339" w:rsidP="00E63339">
                  <w:pPr>
                    <w:rPr>
                      <w:sz w:val="20"/>
                      <w:szCs w:val="20"/>
                    </w:rPr>
                  </w:pPr>
                  <w:r w:rsidRPr="003B4731">
                    <w:rPr>
                      <w:sz w:val="20"/>
                      <w:szCs w:val="20"/>
                    </w:rPr>
                    <w:t>Cap-</w:t>
                  </w:r>
                  <w:proofErr w:type="spellStart"/>
                  <w:r w:rsidRPr="003B4731">
                    <w:rPr>
                      <w:sz w:val="20"/>
                      <w:szCs w:val="20"/>
                    </w:rPr>
                    <w:t>kBTUh</w:t>
                  </w:r>
                  <w:proofErr w:type="spellEnd"/>
                </w:p>
              </w:tc>
            </w:tr>
            <w:tr w:rsidR="00E63339" w:rsidRPr="00225EFB" w14:paraId="4CE4FF50" w14:textId="0F2256DB" w:rsidTr="006527FC">
              <w:tc>
                <w:tcPr>
                  <w:tcW w:w="1515" w:type="dxa"/>
                </w:tcPr>
                <w:p w14:paraId="2D3E5F91" w14:textId="454B281A" w:rsidR="00E63339" w:rsidRPr="003233BD" w:rsidRDefault="00E63339" w:rsidP="00E63339">
                  <w:pPr>
                    <w:rPr>
                      <w:sz w:val="20"/>
                      <w:szCs w:val="20"/>
                    </w:rPr>
                  </w:pPr>
                  <w:r w:rsidRPr="00811FA6">
                    <w:rPr>
                      <w:sz w:val="20"/>
                      <w:szCs w:val="20"/>
                    </w:rPr>
                    <w:t>Ex-ante submission</w:t>
                  </w:r>
                </w:p>
              </w:tc>
              <w:tc>
                <w:tcPr>
                  <w:tcW w:w="4688" w:type="dxa"/>
                </w:tcPr>
                <w:p w14:paraId="74DC48AA" w14:textId="54781E92" w:rsidR="00E63339" w:rsidRPr="003233BD" w:rsidRDefault="00E63339" w:rsidP="00E63339">
                  <w:pPr>
                    <w:rPr>
                      <w:sz w:val="20"/>
                      <w:szCs w:val="20"/>
                    </w:rPr>
                  </w:pPr>
                  <w:r w:rsidRPr="00B5525E">
                    <w:rPr>
                      <w:sz w:val="20"/>
                      <w:szCs w:val="20"/>
                    </w:rPr>
                    <w:t>SDG_Stor_UEF-Gas-050gal-UEF_BASE</w:t>
                  </w:r>
                </w:p>
              </w:tc>
              <w:tc>
                <w:tcPr>
                  <w:tcW w:w="1260" w:type="dxa"/>
                </w:tcPr>
                <w:p w14:paraId="007CDB5B" w14:textId="14A6721B" w:rsidR="00E63339" w:rsidRPr="00B5525E" w:rsidRDefault="00D51074" w:rsidP="00E63339">
                  <w:pPr>
                    <w:rPr>
                      <w:sz w:val="20"/>
                      <w:szCs w:val="20"/>
                    </w:rPr>
                  </w:pPr>
                  <w:r>
                    <w:rPr>
                      <w:rFonts w:ascii="Calibri" w:hAnsi="Calibri" w:cs="Calibri"/>
                      <w:sz w:val="20"/>
                      <w:szCs w:val="22"/>
                    </w:rPr>
                    <w:t>$</w:t>
                  </w:r>
                  <w:r w:rsidRPr="00A4584F">
                    <w:rPr>
                      <w:rFonts w:ascii="Calibri" w:hAnsi="Calibri" w:cs="Calibri"/>
                      <w:sz w:val="20"/>
                      <w:szCs w:val="22"/>
                    </w:rPr>
                    <w:t xml:space="preserve"> 29.39</w:t>
                  </w:r>
                </w:p>
              </w:tc>
              <w:tc>
                <w:tcPr>
                  <w:tcW w:w="1260" w:type="dxa"/>
                </w:tcPr>
                <w:p w14:paraId="336ADA0A" w14:textId="2B89DA71" w:rsidR="00E63339" w:rsidRPr="003233BD" w:rsidRDefault="00E63339" w:rsidP="00E63339">
                  <w:pPr>
                    <w:rPr>
                      <w:sz w:val="20"/>
                      <w:szCs w:val="20"/>
                    </w:rPr>
                  </w:pPr>
                  <w:r w:rsidRPr="003B4731">
                    <w:rPr>
                      <w:sz w:val="20"/>
                      <w:szCs w:val="20"/>
                    </w:rPr>
                    <w:t>Cap-</w:t>
                  </w:r>
                  <w:proofErr w:type="spellStart"/>
                  <w:r w:rsidRPr="003B4731">
                    <w:rPr>
                      <w:sz w:val="20"/>
                      <w:szCs w:val="20"/>
                    </w:rPr>
                    <w:t>kBTUh</w:t>
                  </w:r>
                  <w:proofErr w:type="spellEnd"/>
                </w:p>
              </w:tc>
            </w:tr>
          </w:tbl>
          <w:p w14:paraId="269B6704" w14:textId="249AD596" w:rsidR="003D547E" w:rsidRPr="00225EFB" w:rsidRDefault="003D547E" w:rsidP="003D547E">
            <w:pPr>
              <w:rPr>
                <w:sz w:val="20"/>
                <w:szCs w:val="20"/>
              </w:rPr>
            </w:pPr>
          </w:p>
        </w:tc>
      </w:tr>
      <w:tr w:rsidR="00C80D48" w:rsidRPr="009B0E7F" w14:paraId="269B6708" w14:textId="77777777" w:rsidTr="006527FC">
        <w:trPr>
          <w:cantSplit/>
        </w:trPr>
        <w:tc>
          <w:tcPr>
            <w:tcW w:w="1507" w:type="dxa"/>
          </w:tcPr>
          <w:p w14:paraId="65C390B7" w14:textId="77777777" w:rsidR="00225EFB" w:rsidRDefault="00225EFB" w:rsidP="009B0E7F">
            <w:pPr>
              <w:jc w:val="right"/>
              <w:rPr>
                <w:sz w:val="20"/>
                <w:szCs w:val="20"/>
              </w:rPr>
            </w:pPr>
          </w:p>
          <w:p w14:paraId="08D8E44B" w14:textId="77777777" w:rsidR="00225EFB" w:rsidRDefault="00225EFB" w:rsidP="009B0E7F">
            <w:pPr>
              <w:jc w:val="right"/>
              <w:rPr>
                <w:sz w:val="20"/>
                <w:szCs w:val="20"/>
              </w:rPr>
            </w:pPr>
          </w:p>
          <w:p w14:paraId="269B6706" w14:textId="2FA5DB40" w:rsidR="009B0E7F" w:rsidRPr="009B0E7F" w:rsidRDefault="00235D4A" w:rsidP="009B0E7F">
            <w:pPr>
              <w:jc w:val="right"/>
              <w:rPr>
                <w:sz w:val="20"/>
                <w:szCs w:val="20"/>
              </w:rPr>
            </w:pPr>
            <w:r>
              <w:rPr>
                <w:sz w:val="20"/>
                <w:szCs w:val="20"/>
              </w:rPr>
              <w:t>Measure Cost</w:t>
            </w:r>
          </w:p>
        </w:tc>
        <w:tc>
          <w:tcPr>
            <w:tcW w:w="9175" w:type="dxa"/>
          </w:tcPr>
          <w:p w14:paraId="7FAC968D" w14:textId="77777777" w:rsidR="009B0E7F" w:rsidRDefault="009B0E7F" w:rsidP="00C1087D">
            <w:pPr>
              <w:tabs>
                <w:tab w:val="right" w:pos="7884"/>
              </w:tabs>
              <w:rPr>
                <w:rFonts w:cs="Arial"/>
                <w:sz w:val="20"/>
                <w:szCs w:val="20"/>
              </w:rPr>
            </w:pPr>
          </w:p>
          <w:tbl>
            <w:tblPr>
              <w:tblStyle w:val="TableGrid"/>
              <w:tblW w:w="0" w:type="auto"/>
              <w:tblLayout w:type="fixed"/>
              <w:tblLook w:val="04A0" w:firstRow="1" w:lastRow="0" w:firstColumn="1" w:lastColumn="0" w:noHBand="0" w:noVBand="1"/>
            </w:tblPr>
            <w:tblGrid>
              <w:gridCol w:w="1515"/>
              <w:gridCol w:w="3338"/>
              <w:gridCol w:w="1530"/>
              <w:gridCol w:w="1080"/>
              <w:gridCol w:w="1260"/>
            </w:tblGrid>
            <w:tr w:rsidR="000E1229" w14:paraId="395BF8F8" w14:textId="72A29654" w:rsidTr="006527FC">
              <w:tc>
                <w:tcPr>
                  <w:tcW w:w="1515" w:type="dxa"/>
                </w:tcPr>
                <w:p w14:paraId="4BDE80B0" w14:textId="061F8C5D" w:rsidR="000E1229" w:rsidRPr="001149CE" w:rsidRDefault="000E1229" w:rsidP="00225EFB">
                  <w:pPr>
                    <w:rPr>
                      <w:sz w:val="20"/>
                      <w:szCs w:val="20"/>
                    </w:rPr>
                  </w:pPr>
                  <w:bookmarkStart w:id="5" w:name="_Hlk502036223"/>
                  <w:r w:rsidRPr="001149CE">
                    <w:rPr>
                      <w:sz w:val="20"/>
                      <w:szCs w:val="20"/>
                    </w:rPr>
                    <w:t xml:space="preserve">SDG&amp;E </w:t>
                  </w:r>
                  <w:proofErr w:type="spellStart"/>
                  <w:r w:rsidRPr="001149CE">
                    <w:rPr>
                      <w:sz w:val="20"/>
                      <w:szCs w:val="20"/>
                    </w:rPr>
                    <w:t>Impl</w:t>
                  </w:r>
                  <w:proofErr w:type="spellEnd"/>
                  <w:r w:rsidRPr="001149CE">
                    <w:rPr>
                      <w:sz w:val="20"/>
                      <w:szCs w:val="20"/>
                    </w:rPr>
                    <w:t>. ID</w:t>
                  </w:r>
                </w:p>
              </w:tc>
              <w:tc>
                <w:tcPr>
                  <w:tcW w:w="3338" w:type="dxa"/>
                </w:tcPr>
                <w:p w14:paraId="31FBC158" w14:textId="77915DB5" w:rsidR="000E1229" w:rsidRPr="001149CE" w:rsidRDefault="000E1229" w:rsidP="00225EFB">
                  <w:pPr>
                    <w:rPr>
                      <w:sz w:val="20"/>
                      <w:szCs w:val="20"/>
                    </w:rPr>
                  </w:pPr>
                  <w:r w:rsidRPr="001149CE">
                    <w:rPr>
                      <w:sz w:val="20"/>
                      <w:szCs w:val="20"/>
                    </w:rPr>
                    <w:t>Measure Cost ID</w:t>
                  </w:r>
                </w:p>
              </w:tc>
              <w:tc>
                <w:tcPr>
                  <w:tcW w:w="1530" w:type="dxa"/>
                </w:tcPr>
                <w:p w14:paraId="22352BE8" w14:textId="04D4578C" w:rsidR="000E1229" w:rsidRPr="001149CE" w:rsidRDefault="000E1229" w:rsidP="00225EFB">
                  <w:pPr>
                    <w:rPr>
                      <w:sz w:val="20"/>
                      <w:szCs w:val="20"/>
                    </w:rPr>
                  </w:pPr>
                  <w:proofErr w:type="spellStart"/>
                  <w:r w:rsidRPr="001149CE">
                    <w:rPr>
                      <w:sz w:val="20"/>
                      <w:szCs w:val="20"/>
                    </w:rPr>
                    <w:t>Msr</w:t>
                  </w:r>
                  <w:proofErr w:type="spellEnd"/>
                  <w:r w:rsidRPr="001149CE">
                    <w:rPr>
                      <w:sz w:val="20"/>
                      <w:szCs w:val="20"/>
                    </w:rPr>
                    <w:t xml:space="preserve"> Cost Value</w:t>
                  </w:r>
                </w:p>
              </w:tc>
              <w:tc>
                <w:tcPr>
                  <w:tcW w:w="1080" w:type="dxa"/>
                </w:tcPr>
                <w:p w14:paraId="3C5611DE" w14:textId="14985288" w:rsidR="000E1229" w:rsidRPr="001149CE" w:rsidRDefault="000E1229" w:rsidP="00225EFB">
                  <w:pPr>
                    <w:rPr>
                      <w:sz w:val="20"/>
                      <w:szCs w:val="20"/>
                    </w:rPr>
                  </w:pPr>
                  <w:r w:rsidRPr="001149CE">
                    <w:rPr>
                      <w:sz w:val="20"/>
                      <w:szCs w:val="20"/>
                    </w:rPr>
                    <w:t>IMC</w:t>
                  </w:r>
                </w:p>
              </w:tc>
              <w:tc>
                <w:tcPr>
                  <w:tcW w:w="1260" w:type="dxa"/>
                </w:tcPr>
                <w:p w14:paraId="626E176A" w14:textId="1D976843" w:rsidR="000E1229" w:rsidRPr="001149CE" w:rsidRDefault="000E1229" w:rsidP="00225EFB">
                  <w:pPr>
                    <w:rPr>
                      <w:sz w:val="20"/>
                      <w:szCs w:val="20"/>
                    </w:rPr>
                  </w:pPr>
                  <w:r w:rsidRPr="001149CE">
                    <w:rPr>
                      <w:sz w:val="20"/>
                      <w:szCs w:val="20"/>
                    </w:rPr>
                    <w:t>Units</w:t>
                  </w:r>
                </w:p>
              </w:tc>
            </w:tr>
            <w:tr w:rsidR="00E63339" w14:paraId="4FB9403B" w14:textId="5B2D1462" w:rsidTr="006527FC">
              <w:tc>
                <w:tcPr>
                  <w:tcW w:w="1515" w:type="dxa"/>
                </w:tcPr>
                <w:p w14:paraId="2A33162C" w14:textId="30D0B1F4" w:rsidR="00E63339" w:rsidRPr="001149CE" w:rsidRDefault="00E63339" w:rsidP="00E63339">
                  <w:pPr>
                    <w:rPr>
                      <w:sz w:val="20"/>
                      <w:szCs w:val="20"/>
                    </w:rPr>
                  </w:pPr>
                  <w:bookmarkStart w:id="6" w:name="_Hlk502036672"/>
                  <w:r w:rsidRPr="001149CE">
                    <w:rPr>
                      <w:sz w:val="20"/>
                      <w:szCs w:val="20"/>
                    </w:rPr>
                    <w:t>Ex-ante submission</w:t>
                  </w:r>
                </w:p>
              </w:tc>
              <w:tc>
                <w:tcPr>
                  <w:tcW w:w="3338" w:type="dxa"/>
                </w:tcPr>
                <w:p w14:paraId="04E65D2C" w14:textId="69FFD4B9" w:rsidR="00E63339" w:rsidRPr="001149CE" w:rsidRDefault="00E63339" w:rsidP="00E63339">
                  <w:pPr>
                    <w:rPr>
                      <w:sz w:val="20"/>
                      <w:szCs w:val="20"/>
                    </w:rPr>
                  </w:pPr>
                  <w:r w:rsidRPr="001149CE">
                    <w:rPr>
                      <w:sz w:val="20"/>
                      <w:szCs w:val="20"/>
                    </w:rPr>
                    <w:t>SDG_Stor_UEF-Gas-030gal-0p64UEF</w:t>
                  </w:r>
                </w:p>
              </w:tc>
              <w:tc>
                <w:tcPr>
                  <w:tcW w:w="1530" w:type="dxa"/>
                </w:tcPr>
                <w:p w14:paraId="14910388" w14:textId="3856678E" w:rsidR="00E63339" w:rsidRPr="001149CE" w:rsidRDefault="001149CE" w:rsidP="001149CE">
                  <w:pPr>
                    <w:jc w:val="both"/>
                    <w:rPr>
                      <w:sz w:val="20"/>
                      <w:szCs w:val="20"/>
                    </w:rPr>
                  </w:pPr>
                  <w:r w:rsidRPr="001149CE">
                    <w:rPr>
                      <w:rFonts w:ascii="Calibri" w:hAnsi="Calibri" w:cs="Calibri"/>
                      <w:sz w:val="20"/>
                      <w:szCs w:val="20"/>
                    </w:rPr>
                    <w:t>$            34.52</w:t>
                  </w:r>
                </w:p>
              </w:tc>
              <w:tc>
                <w:tcPr>
                  <w:tcW w:w="1080" w:type="dxa"/>
                </w:tcPr>
                <w:p w14:paraId="63867D68" w14:textId="721DCA1C" w:rsidR="00E63339" w:rsidRPr="001149CE" w:rsidRDefault="001149CE" w:rsidP="001149CE">
                  <w:pPr>
                    <w:jc w:val="both"/>
                    <w:rPr>
                      <w:sz w:val="20"/>
                      <w:szCs w:val="20"/>
                    </w:rPr>
                  </w:pPr>
                  <w:r w:rsidRPr="001149CE">
                    <w:rPr>
                      <w:rFonts w:ascii="Calibri" w:hAnsi="Calibri" w:cs="Calibri"/>
                      <w:sz w:val="20"/>
                      <w:szCs w:val="20"/>
                    </w:rPr>
                    <w:t>$ 2.86</w:t>
                  </w:r>
                </w:p>
              </w:tc>
              <w:tc>
                <w:tcPr>
                  <w:tcW w:w="1260" w:type="dxa"/>
                </w:tcPr>
                <w:p w14:paraId="6B73DA7A" w14:textId="0F8537AB" w:rsidR="00E63339" w:rsidRPr="001149CE" w:rsidRDefault="00E63339" w:rsidP="00E63339">
                  <w:pPr>
                    <w:rPr>
                      <w:sz w:val="20"/>
                      <w:szCs w:val="20"/>
                    </w:rPr>
                  </w:pPr>
                  <w:r w:rsidRPr="001149CE">
                    <w:rPr>
                      <w:sz w:val="20"/>
                      <w:szCs w:val="20"/>
                    </w:rPr>
                    <w:t>Cap-</w:t>
                  </w:r>
                  <w:proofErr w:type="spellStart"/>
                  <w:r w:rsidRPr="001149CE">
                    <w:rPr>
                      <w:sz w:val="20"/>
                      <w:szCs w:val="20"/>
                    </w:rPr>
                    <w:t>kBTUh</w:t>
                  </w:r>
                  <w:proofErr w:type="spellEnd"/>
                </w:p>
              </w:tc>
            </w:tr>
            <w:tr w:rsidR="00E63339" w14:paraId="2B8F5454" w14:textId="45F20A17" w:rsidTr="006527FC">
              <w:tc>
                <w:tcPr>
                  <w:tcW w:w="1515" w:type="dxa"/>
                </w:tcPr>
                <w:p w14:paraId="49C35BA4" w14:textId="5147B0E3" w:rsidR="00E63339" w:rsidRPr="001149CE" w:rsidRDefault="00E63339" w:rsidP="00E63339">
                  <w:pPr>
                    <w:rPr>
                      <w:sz w:val="20"/>
                      <w:szCs w:val="20"/>
                    </w:rPr>
                  </w:pPr>
                  <w:r w:rsidRPr="001149CE">
                    <w:rPr>
                      <w:sz w:val="20"/>
                      <w:szCs w:val="20"/>
                    </w:rPr>
                    <w:t>Ex-ante submission</w:t>
                  </w:r>
                </w:p>
              </w:tc>
              <w:tc>
                <w:tcPr>
                  <w:tcW w:w="3338" w:type="dxa"/>
                </w:tcPr>
                <w:p w14:paraId="669F7D64" w14:textId="1690A8CF" w:rsidR="00E63339" w:rsidRPr="001149CE" w:rsidRDefault="00E63339" w:rsidP="00E63339">
                  <w:pPr>
                    <w:rPr>
                      <w:sz w:val="20"/>
                      <w:szCs w:val="20"/>
                    </w:rPr>
                  </w:pPr>
                  <w:r w:rsidRPr="001149CE">
                    <w:rPr>
                      <w:sz w:val="20"/>
                      <w:szCs w:val="20"/>
                    </w:rPr>
                    <w:t>SDG_Stor_UEF-Gas-040gal-0p64UEF</w:t>
                  </w:r>
                </w:p>
              </w:tc>
              <w:tc>
                <w:tcPr>
                  <w:tcW w:w="1530" w:type="dxa"/>
                </w:tcPr>
                <w:p w14:paraId="0F9A44DD" w14:textId="4DF23F75" w:rsidR="00E63339" w:rsidRPr="001149CE" w:rsidRDefault="001149CE" w:rsidP="001149CE">
                  <w:pPr>
                    <w:jc w:val="both"/>
                    <w:rPr>
                      <w:sz w:val="20"/>
                      <w:szCs w:val="20"/>
                    </w:rPr>
                  </w:pPr>
                  <w:r w:rsidRPr="001149CE">
                    <w:rPr>
                      <w:rFonts w:ascii="Calibri" w:hAnsi="Calibri" w:cs="Calibri"/>
                      <w:sz w:val="20"/>
                      <w:szCs w:val="20"/>
                    </w:rPr>
                    <w:t>$            32.54</w:t>
                  </w:r>
                </w:p>
              </w:tc>
              <w:tc>
                <w:tcPr>
                  <w:tcW w:w="1080" w:type="dxa"/>
                </w:tcPr>
                <w:p w14:paraId="4F8C91A8" w14:textId="686E7BB3" w:rsidR="00E63339" w:rsidRPr="001149CE" w:rsidRDefault="001149CE" w:rsidP="001149CE">
                  <w:pPr>
                    <w:jc w:val="both"/>
                    <w:rPr>
                      <w:sz w:val="20"/>
                      <w:szCs w:val="20"/>
                    </w:rPr>
                  </w:pPr>
                  <w:r w:rsidRPr="001149CE">
                    <w:rPr>
                      <w:rFonts w:ascii="Calibri" w:hAnsi="Calibri" w:cs="Calibri"/>
                      <w:sz w:val="20"/>
                      <w:szCs w:val="20"/>
                    </w:rPr>
                    <w:t>$ 4.78</w:t>
                  </w:r>
                </w:p>
              </w:tc>
              <w:tc>
                <w:tcPr>
                  <w:tcW w:w="1260" w:type="dxa"/>
                </w:tcPr>
                <w:p w14:paraId="7179E127" w14:textId="04B55B7D" w:rsidR="00E63339" w:rsidRPr="001149CE" w:rsidRDefault="00E63339" w:rsidP="00E63339">
                  <w:pPr>
                    <w:rPr>
                      <w:sz w:val="20"/>
                      <w:szCs w:val="20"/>
                    </w:rPr>
                  </w:pPr>
                  <w:r w:rsidRPr="001149CE">
                    <w:rPr>
                      <w:sz w:val="20"/>
                      <w:szCs w:val="20"/>
                    </w:rPr>
                    <w:t>Cap-</w:t>
                  </w:r>
                  <w:proofErr w:type="spellStart"/>
                  <w:r w:rsidRPr="001149CE">
                    <w:rPr>
                      <w:sz w:val="20"/>
                      <w:szCs w:val="20"/>
                    </w:rPr>
                    <w:t>kBTUh</w:t>
                  </w:r>
                  <w:proofErr w:type="spellEnd"/>
                </w:p>
              </w:tc>
            </w:tr>
            <w:tr w:rsidR="001149CE" w14:paraId="49E2DEF9" w14:textId="5ED3467A" w:rsidTr="006527FC">
              <w:tc>
                <w:tcPr>
                  <w:tcW w:w="1515" w:type="dxa"/>
                </w:tcPr>
                <w:p w14:paraId="674C1DD8" w14:textId="4659C6BC" w:rsidR="001149CE" w:rsidRPr="001149CE" w:rsidRDefault="001149CE" w:rsidP="001149CE">
                  <w:pPr>
                    <w:rPr>
                      <w:sz w:val="20"/>
                      <w:szCs w:val="20"/>
                    </w:rPr>
                  </w:pPr>
                  <w:r w:rsidRPr="001149CE">
                    <w:rPr>
                      <w:sz w:val="20"/>
                      <w:szCs w:val="20"/>
                    </w:rPr>
                    <w:t>Ex-ante submission</w:t>
                  </w:r>
                </w:p>
              </w:tc>
              <w:tc>
                <w:tcPr>
                  <w:tcW w:w="3338" w:type="dxa"/>
                </w:tcPr>
                <w:p w14:paraId="6E21E0B3" w14:textId="46A8BA62" w:rsidR="001149CE" w:rsidRPr="001149CE" w:rsidRDefault="001149CE" w:rsidP="001149CE">
                  <w:pPr>
                    <w:rPr>
                      <w:sz w:val="20"/>
                      <w:szCs w:val="20"/>
                    </w:rPr>
                  </w:pPr>
                  <w:r w:rsidRPr="001149CE">
                    <w:rPr>
                      <w:sz w:val="20"/>
                      <w:szCs w:val="20"/>
                    </w:rPr>
                    <w:t>SDG_Stor_UEF-Gas-050gal-0p64UEF</w:t>
                  </w:r>
                </w:p>
              </w:tc>
              <w:tc>
                <w:tcPr>
                  <w:tcW w:w="1530" w:type="dxa"/>
                  <w:vAlign w:val="center"/>
                </w:tcPr>
                <w:p w14:paraId="24B62F2F" w14:textId="40426083" w:rsidR="001149CE" w:rsidRPr="001149CE" w:rsidRDefault="001149CE" w:rsidP="001149CE">
                  <w:pPr>
                    <w:jc w:val="both"/>
                    <w:rPr>
                      <w:sz w:val="20"/>
                      <w:szCs w:val="20"/>
                    </w:rPr>
                  </w:pPr>
                  <w:r w:rsidRPr="001149CE">
                    <w:rPr>
                      <w:rFonts w:ascii="Calibri" w:hAnsi="Calibri" w:cs="Calibri"/>
                      <w:sz w:val="20"/>
                      <w:szCs w:val="20"/>
                    </w:rPr>
                    <w:t xml:space="preserve"> $            32.06</w:t>
                  </w:r>
                </w:p>
              </w:tc>
              <w:tc>
                <w:tcPr>
                  <w:tcW w:w="1080" w:type="dxa"/>
                </w:tcPr>
                <w:p w14:paraId="3C25A5EC" w14:textId="718C6F6C" w:rsidR="001149CE" w:rsidRPr="001149CE" w:rsidRDefault="001149CE" w:rsidP="001149CE">
                  <w:pPr>
                    <w:jc w:val="both"/>
                    <w:rPr>
                      <w:sz w:val="20"/>
                      <w:szCs w:val="20"/>
                    </w:rPr>
                  </w:pPr>
                  <w:r w:rsidRPr="001149CE">
                    <w:rPr>
                      <w:rFonts w:ascii="Calibri" w:hAnsi="Calibri" w:cs="Calibri"/>
                      <w:sz w:val="20"/>
                      <w:szCs w:val="20"/>
                    </w:rPr>
                    <w:t>$ 2.67</w:t>
                  </w:r>
                </w:p>
              </w:tc>
              <w:tc>
                <w:tcPr>
                  <w:tcW w:w="1260" w:type="dxa"/>
                </w:tcPr>
                <w:p w14:paraId="6A43A97C" w14:textId="3C837F03" w:rsidR="001149CE" w:rsidRPr="001149CE" w:rsidRDefault="001149CE" w:rsidP="001149CE">
                  <w:pPr>
                    <w:rPr>
                      <w:sz w:val="20"/>
                      <w:szCs w:val="20"/>
                    </w:rPr>
                  </w:pPr>
                  <w:r w:rsidRPr="001149CE">
                    <w:rPr>
                      <w:sz w:val="20"/>
                      <w:szCs w:val="20"/>
                    </w:rPr>
                    <w:t>Cap-</w:t>
                  </w:r>
                  <w:proofErr w:type="spellStart"/>
                  <w:r w:rsidRPr="001149CE">
                    <w:rPr>
                      <w:sz w:val="20"/>
                      <w:szCs w:val="20"/>
                    </w:rPr>
                    <w:t>kBTUh</w:t>
                  </w:r>
                  <w:proofErr w:type="spellEnd"/>
                </w:p>
              </w:tc>
            </w:tr>
            <w:tr w:rsidR="001149CE" w14:paraId="1449249D" w14:textId="4AABF8F0" w:rsidTr="006527FC">
              <w:tc>
                <w:tcPr>
                  <w:tcW w:w="1515" w:type="dxa"/>
                </w:tcPr>
                <w:p w14:paraId="35D1710C" w14:textId="7D2A0511" w:rsidR="001149CE" w:rsidRPr="001149CE" w:rsidRDefault="001149CE" w:rsidP="001149CE">
                  <w:pPr>
                    <w:rPr>
                      <w:sz w:val="20"/>
                      <w:szCs w:val="20"/>
                    </w:rPr>
                  </w:pPr>
                  <w:r w:rsidRPr="001149CE">
                    <w:rPr>
                      <w:sz w:val="20"/>
                      <w:szCs w:val="20"/>
                    </w:rPr>
                    <w:t>Ex-ante submission</w:t>
                  </w:r>
                </w:p>
              </w:tc>
              <w:tc>
                <w:tcPr>
                  <w:tcW w:w="3338" w:type="dxa"/>
                </w:tcPr>
                <w:p w14:paraId="3EEAB393" w14:textId="52030962" w:rsidR="001149CE" w:rsidRPr="001149CE" w:rsidRDefault="001149CE" w:rsidP="001149CE">
                  <w:pPr>
                    <w:rPr>
                      <w:sz w:val="20"/>
                      <w:szCs w:val="20"/>
                    </w:rPr>
                  </w:pPr>
                  <w:r w:rsidRPr="001149CE">
                    <w:rPr>
                      <w:sz w:val="20"/>
                      <w:szCs w:val="20"/>
                    </w:rPr>
                    <w:t>SDG_Stor_UEF-Gas-030gal-0p68UEF</w:t>
                  </w:r>
                </w:p>
              </w:tc>
              <w:tc>
                <w:tcPr>
                  <w:tcW w:w="1530" w:type="dxa"/>
                  <w:vAlign w:val="center"/>
                </w:tcPr>
                <w:p w14:paraId="4CF7DC8D" w14:textId="25F9A12A" w:rsidR="001149CE" w:rsidRPr="001149CE" w:rsidRDefault="001149CE" w:rsidP="001149CE">
                  <w:pPr>
                    <w:jc w:val="both"/>
                    <w:rPr>
                      <w:sz w:val="20"/>
                      <w:szCs w:val="20"/>
                    </w:rPr>
                  </w:pPr>
                  <w:r w:rsidRPr="001149CE">
                    <w:rPr>
                      <w:rFonts w:ascii="Calibri" w:hAnsi="Calibri" w:cs="Calibri"/>
                      <w:sz w:val="20"/>
                      <w:szCs w:val="20"/>
                    </w:rPr>
                    <w:t xml:space="preserve"> $            36.02 </w:t>
                  </w:r>
                </w:p>
              </w:tc>
              <w:tc>
                <w:tcPr>
                  <w:tcW w:w="1080" w:type="dxa"/>
                </w:tcPr>
                <w:p w14:paraId="60480228" w14:textId="4ED7F463" w:rsidR="001149CE" w:rsidRPr="001149CE" w:rsidRDefault="001149CE" w:rsidP="001149CE">
                  <w:pPr>
                    <w:jc w:val="both"/>
                    <w:rPr>
                      <w:sz w:val="20"/>
                      <w:szCs w:val="20"/>
                    </w:rPr>
                  </w:pPr>
                  <w:r w:rsidRPr="001149CE">
                    <w:rPr>
                      <w:rFonts w:ascii="Calibri" w:hAnsi="Calibri" w:cs="Calibri"/>
                      <w:sz w:val="20"/>
                      <w:szCs w:val="20"/>
                    </w:rPr>
                    <w:t>$ 4.36</w:t>
                  </w:r>
                </w:p>
              </w:tc>
              <w:tc>
                <w:tcPr>
                  <w:tcW w:w="1260" w:type="dxa"/>
                </w:tcPr>
                <w:p w14:paraId="4279D9E4" w14:textId="1BAC5D33" w:rsidR="001149CE" w:rsidRPr="001149CE" w:rsidRDefault="001149CE" w:rsidP="001149CE">
                  <w:pPr>
                    <w:rPr>
                      <w:sz w:val="20"/>
                      <w:szCs w:val="20"/>
                    </w:rPr>
                  </w:pPr>
                  <w:r w:rsidRPr="001149CE">
                    <w:rPr>
                      <w:sz w:val="20"/>
                      <w:szCs w:val="20"/>
                    </w:rPr>
                    <w:t>Cap-</w:t>
                  </w:r>
                  <w:proofErr w:type="spellStart"/>
                  <w:r w:rsidRPr="001149CE">
                    <w:rPr>
                      <w:sz w:val="20"/>
                      <w:szCs w:val="20"/>
                    </w:rPr>
                    <w:t>kBTUh</w:t>
                  </w:r>
                  <w:proofErr w:type="spellEnd"/>
                </w:p>
              </w:tc>
            </w:tr>
            <w:tr w:rsidR="001149CE" w14:paraId="68DA1AF4" w14:textId="2B29F7C8" w:rsidTr="006527FC">
              <w:tc>
                <w:tcPr>
                  <w:tcW w:w="1515" w:type="dxa"/>
                </w:tcPr>
                <w:p w14:paraId="21E69DC1" w14:textId="50115729" w:rsidR="001149CE" w:rsidRPr="001149CE" w:rsidRDefault="001149CE" w:rsidP="001149CE">
                  <w:pPr>
                    <w:rPr>
                      <w:sz w:val="20"/>
                      <w:szCs w:val="20"/>
                    </w:rPr>
                  </w:pPr>
                  <w:r w:rsidRPr="001149CE">
                    <w:rPr>
                      <w:sz w:val="20"/>
                      <w:szCs w:val="20"/>
                    </w:rPr>
                    <w:t>Ex-ante submission</w:t>
                  </w:r>
                </w:p>
              </w:tc>
              <w:tc>
                <w:tcPr>
                  <w:tcW w:w="3338" w:type="dxa"/>
                </w:tcPr>
                <w:p w14:paraId="273EB900" w14:textId="598BCEE4" w:rsidR="001149CE" w:rsidRPr="001149CE" w:rsidRDefault="001149CE" w:rsidP="001149CE">
                  <w:pPr>
                    <w:rPr>
                      <w:sz w:val="20"/>
                      <w:szCs w:val="20"/>
                    </w:rPr>
                  </w:pPr>
                  <w:r w:rsidRPr="001149CE">
                    <w:rPr>
                      <w:sz w:val="20"/>
                      <w:szCs w:val="20"/>
                    </w:rPr>
                    <w:t>SDG_Stor_UEF-Gas-040gal-0p68UEF</w:t>
                  </w:r>
                </w:p>
              </w:tc>
              <w:tc>
                <w:tcPr>
                  <w:tcW w:w="1530" w:type="dxa"/>
                </w:tcPr>
                <w:p w14:paraId="2C4BFE35" w14:textId="55F78004" w:rsidR="001149CE" w:rsidRPr="001149CE" w:rsidRDefault="001149CE" w:rsidP="001149CE">
                  <w:pPr>
                    <w:jc w:val="both"/>
                    <w:rPr>
                      <w:sz w:val="20"/>
                      <w:szCs w:val="20"/>
                    </w:rPr>
                  </w:pPr>
                  <w:r w:rsidRPr="001149CE">
                    <w:rPr>
                      <w:rFonts w:ascii="Calibri" w:hAnsi="Calibri" w:cs="Calibri"/>
                      <w:sz w:val="20"/>
                      <w:szCs w:val="20"/>
                    </w:rPr>
                    <w:t>$            35.57</w:t>
                  </w:r>
                </w:p>
              </w:tc>
              <w:tc>
                <w:tcPr>
                  <w:tcW w:w="1080" w:type="dxa"/>
                </w:tcPr>
                <w:p w14:paraId="17A7BD5E" w14:textId="029C080E" w:rsidR="001149CE" w:rsidRPr="001149CE" w:rsidRDefault="001149CE" w:rsidP="001149CE">
                  <w:pPr>
                    <w:jc w:val="both"/>
                    <w:rPr>
                      <w:sz w:val="20"/>
                      <w:szCs w:val="20"/>
                    </w:rPr>
                  </w:pPr>
                  <w:r w:rsidRPr="001149CE">
                    <w:rPr>
                      <w:rFonts w:ascii="Calibri" w:hAnsi="Calibri" w:cs="Calibri"/>
                      <w:sz w:val="20"/>
                      <w:szCs w:val="20"/>
                    </w:rPr>
                    <w:t>$ 7.81</w:t>
                  </w:r>
                </w:p>
              </w:tc>
              <w:tc>
                <w:tcPr>
                  <w:tcW w:w="1260" w:type="dxa"/>
                </w:tcPr>
                <w:p w14:paraId="04136DE1" w14:textId="3E802F77" w:rsidR="001149CE" w:rsidRPr="001149CE" w:rsidRDefault="001149CE" w:rsidP="001149CE">
                  <w:pPr>
                    <w:rPr>
                      <w:sz w:val="20"/>
                      <w:szCs w:val="20"/>
                    </w:rPr>
                  </w:pPr>
                  <w:r w:rsidRPr="001149CE">
                    <w:rPr>
                      <w:sz w:val="20"/>
                      <w:szCs w:val="20"/>
                    </w:rPr>
                    <w:t>Cap-</w:t>
                  </w:r>
                  <w:proofErr w:type="spellStart"/>
                  <w:r w:rsidRPr="001149CE">
                    <w:rPr>
                      <w:sz w:val="20"/>
                      <w:szCs w:val="20"/>
                    </w:rPr>
                    <w:t>kBTUh</w:t>
                  </w:r>
                  <w:proofErr w:type="spellEnd"/>
                </w:p>
              </w:tc>
            </w:tr>
            <w:tr w:rsidR="001149CE" w14:paraId="3439C581" w14:textId="77777777" w:rsidTr="006527FC">
              <w:tc>
                <w:tcPr>
                  <w:tcW w:w="1515" w:type="dxa"/>
                </w:tcPr>
                <w:p w14:paraId="4B72EB57" w14:textId="44498EA5" w:rsidR="001149CE" w:rsidRPr="001149CE" w:rsidRDefault="001149CE" w:rsidP="001149CE">
                  <w:pPr>
                    <w:rPr>
                      <w:sz w:val="20"/>
                      <w:szCs w:val="20"/>
                    </w:rPr>
                  </w:pPr>
                  <w:r w:rsidRPr="001149CE">
                    <w:rPr>
                      <w:sz w:val="20"/>
                      <w:szCs w:val="20"/>
                    </w:rPr>
                    <w:t>Ex-ante submission</w:t>
                  </w:r>
                </w:p>
              </w:tc>
              <w:tc>
                <w:tcPr>
                  <w:tcW w:w="3338" w:type="dxa"/>
                </w:tcPr>
                <w:p w14:paraId="12BB48E4" w14:textId="1DC41897" w:rsidR="001149CE" w:rsidRPr="001149CE" w:rsidRDefault="001149CE" w:rsidP="001149CE">
                  <w:pPr>
                    <w:rPr>
                      <w:sz w:val="20"/>
                      <w:szCs w:val="20"/>
                    </w:rPr>
                  </w:pPr>
                  <w:r w:rsidRPr="001149CE">
                    <w:rPr>
                      <w:sz w:val="20"/>
                      <w:szCs w:val="20"/>
                    </w:rPr>
                    <w:t>SDG_Stor_UEF-Gas-050gal-0p68UEF</w:t>
                  </w:r>
                </w:p>
              </w:tc>
              <w:tc>
                <w:tcPr>
                  <w:tcW w:w="1530" w:type="dxa"/>
                </w:tcPr>
                <w:p w14:paraId="35E815F7" w14:textId="639B8B54" w:rsidR="001149CE" w:rsidRPr="001149CE" w:rsidRDefault="001149CE" w:rsidP="001149CE">
                  <w:pPr>
                    <w:jc w:val="both"/>
                    <w:rPr>
                      <w:sz w:val="20"/>
                      <w:szCs w:val="20"/>
                    </w:rPr>
                  </w:pPr>
                  <w:r w:rsidRPr="001149CE">
                    <w:rPr>
                      <w:rFonts w:ascii="Calibri" w:hAnsi="Calibri" w:cs="Calibri"/>
                      <w:sz w:val="20"/>
                      <w:szCs w:val="20"/>
                    </w:rPr>
                    <w:t>$            35.49</w:t>
                  </w:r>
                </w:p>
              </w:tc>
              <w:tc>
                <w:tcPr>
                  <w:tcW w:w="1080" w:type="dxa"/>
                </w:tcPr>
                <w:p w14:paraId="239F74FB" w14:textId="1CAFC295" w:rsidR="001149CE" w:rsidRPr="001149CE" w:rsidRDefault="001149CE" w:rsidP="001149CE">
                  <w:pPr>
                    <w:jc w:val="both"/>
                    <w:rPr>
                      <w:sz w:val="20"/>
                      <w:szCs w:val="20"/>
                    </w:rPr>
                  </w:pPr>
                  <w:r w:rsidRPr="001149CE">
                    <w:rPr>
                      <w:rFonts w:ascii="Calibri" w:hAnsi="Calibri" w:cs="Calibri"/>
                      <w:sz w:val="20"/>
                      <w:szCs w:val="20"/>
                    </w:rPr>
                    <w:t>$ 6.10</w:t>
                  </w:r>
                </w:p>
              </w:tc>
              <w:tc>
                <w:tcPr>
                  <w:tcW w:w="1260" w:type="dxa"/>
                </w:tcPr>
                <w:p w14:paraId="37578944" w14:textId="56A9BC13" w:rsidR="001149CE" w:rsidRPr="001149CE" w:rsidRDefault="001149CE" w:rsidP="001149CE">
                  <w:pPr>
                    <w:rPr>
                      <w:sz w:val="20"/>
                      <w:szCs w:val="20"/>
                    </w:rPr>
                  </w:pPr>
                  <w:r w:rsidRPr="001149CE">
                    <w:rPr>
                      <w:sz w:val="20"/>
                      <w:szCs w:val="20"/>
                    </w:rPr>
                    <w:t>Cap-</w:t>
                  </w:r>
                  <w:proofErr w:type="spellStart"/>
                  <w:r w:rsidRPr="001149CE">
                    <w:rPr>
                      <w:sz w:val="20"/>
                      <w:szCs w:val="20"/>
                    </w:rPr>
                    <w:t>kBTUh</w:t>
                  </w:r>
                  <w:proofErr w:type="spellEnd"/>
                </w:p>
              </w:tc>
            </w:tr>
            <w:tr w:rsidR="001575BA" w14:paraId="085D185D" w14:textId="77777777" w:rsidTr="00BE3FD3">
              <w:tc>
                <w:tcPr>
                  <w:tcW w:w="8723" w:type="dxa"/>
                  <w:gridSpan w:val="5"/>
                </w:tcPr>
                <w:p w14:paraId="7F6CB4B2" w14:textId="4152D1DB" w:rsidR="001575BA" w:rsidRPr="001149CE" w:rsidRDefault="001575BA" w:rsidP="001149CE">
                  <w:pPr>
                    <w:rPr>
                      <w:sz w:val="20"/>
                      <w:szCs w:val="20"/>
                    </w:rPr>
                  </w:pPr>
                  <w:r>
                    <w:rPr>
                      <w:sz w:val="20"/>
                      <w:szCs w:val="20"/>
                    </w:rPr>
                    <w:t xml:space="preserve">Note: </w:t>
                  </w:r>
                  <w:r w:rsidR="004764AD">
                    <w:rPr>
                      <w:sz w:val="20"/>
                      <w:szCs w:val="20"/>
                    </w:rPr>
                    <w:t xml:space="preserve">For a complete list of </w:t>
                  </w:r>
                  <w:r w:rsidR="00CF61CC">
                    <w:rPr>
                      <w:sz w:val="20"/>
                      <w:szCs w:val="20"/>
                    </w:rPr>
                    <w:t xml:space="preserve">incremental measure cost by implementation, refer to </w:t>
                  </w:r>
                  <w:r w:rsidR="00B23BC8">
                    <w:rPr>
                      <w:sz w:val="20"/>
                      <w:szCs w:val="20"/>
                    </w:rPr>
                    <w:t xml:space="preserve">Introduction located on </w:t>
                  </w:r>
                  <w:r w:rsidR="00CF61CC">
                    <w:rPr>
                      <w:sz w:val="20"/>
                      <w:szCs w:val="20"/>
                    </w:rPr>
                    <w:t xml:space="preserve">page </w:t>
                  </w:r>
                  <w:r w:rsidR="00B23BC8">
                    <w:rPr>
                      <w:sz w:val="20"/>
                      <w:szCs w:val="20"/>
                    </w:rPr>
                    <w:t>1-2</w:t>
                  </w:r>
                  <w:r w:rsidR="00E72D19">
                    <w:rPr>
                      <w:sz w:val="20"/>
                      <w:szCs w:val="20"/>
                    </w:rPr>
                    <w:t xml:space="preserve">, </w:t>
                  </w:r>
                  <w:r w:rsidR="00B23BC8">
                    <w:rPr>
                      <w:sz w:val="20"/>
                      <w:szCs w:val="20"/>
                    </w:rPr>
                    <w:t xml:space="preserve">located herein by reference.  </w:t>
                  </w:r>
                </w:p>
              </w:tc>
            </w:tr>
            <w:bookmarkEnd w:id="5"/>
            <w:bookmarkEnd w:id="6"/>
          </w:tbl>
          <w:p w14:paraId="269B6707" w14:textId="7089A8F7" w:rsidR="00225EFB" w:rsidRPr="009B0E7F" w:rsidRDefault="00225EFB" w:rsidP="00C1087D">
            <w:pPr>
              <w:tabs>
                <w:tab w:val="right" w:pos="7884"/>
              </w:tabs>
              <w:rPr>
                <w:rFonts w:cs="Arial"/>
                <w:sz w:val="20"/>
                <w:szCs w:val="20"/>
              </w:rPr>
            </w:pPr>
          </w:p>
        </w:tc>
      </w:tr>
    </w:tbl>
    <w:p w14:paraId="16F4D8DF" w14:textId="484D31CE" w:rsidR="00235D4A" w:rsidRDefault="00235D4A" w:rsidP="00225EFB"/>
    <w:sectPr w:rsidR="00235D4A" w:rsidSect="00C012DD">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0DDB1" w14:textId="77777777" w:rsidR="00BF17CC" w:rsidRDefault="00BF17CC" w:rsidP="00FE520B">
      <w:r>
        <w:separator/>
      </w:r>
    </w:p>
  </w:endnote>
  <w:endnote w:type="continuationSeparator" w:id="0">
    <w:p w14:paraId="72298C2C" w14:textId="77777777" w:rsidR="00BF17CC" w:rsidRDefault="00BF17CC" w:rsidP="00FE520B">
      <w:r>
        <w:continuationSeparator/>
      </w:r>
    </w:p>
  </w:endnote>
  <w:endnote w:id="1">
    <w:p w14:paraId="7FDA3C48" w14:textId="77777777" w:rsidR="007E648E" w:rsidRPr="008272BA" w:rsidRDefault="007E648E" w:rsidP="007E648E">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6734" w14:textId="77777777" w:rsidR="00697D77" w:rsidRDefault="00697D77" w:rsidP="00BF7104">
    <w:pPr>
      <w:pStyle w:val="Footer"/>
      <w:jc w:val="right"/>
      <w:rPr>
        <w:rFonts w:cstheme="minorHAnsi"/>
        <w:b/>
        <w:sz w:val="36"/>
        <w:szCs w:val="3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6761F" w14:textId="77777777" w:rsidR="00697D77" w:rsidRDefault="00697D77" w:rsidP="00047849">
    <w:pPr>
      <w:pStyle w:val="Footer"/>
      <w:jc w:val="right"/>
      <w:rPr>
        <w:rFonts w:cstheme="minorHAnsi"/>
        <w:b/>
        <w:sz w:val="36"/>
        <w:szCs w:val="36"/>
      </w:rPr>
    </w:pPr>
  </w:p>
  <w:p w14:paraId="2ECE3BD5" w14:textId="45EBD5F7" w:rsidR="00697D77" w:rsidRPr="0095221A" w:rsidRDefault="00697D77" w:rsidP="00047849">
    <w:pPr>
      <w:pBdr>
        <w:top w:val="single" w:sz="4" w:space="1" w:color="auto"/>
      </w:pBdr>
      <w:tabs>
        <w:tab w:val="center" w:pos="4680"/>
        <w:tab w:val="right" w:pos="9360"/>
      </w:tabs>
      <w:rPr>
        <w:b/>
      </w:rPr>
    </w:pPr>
    <w:r w:rsidRPr="0095221A">
      <w:rPr>
        <w:b/>
      </w:rPr>
      <w:t>Workpaper WPSDGE</w:t>
    </w:r>
    <w:r w:rsidR="006F0D4B">
      <w:rPr>
        <w:b/>
      </w:rPr>
      <w:t>NRWH1205</w:t>
    </w:r>
    <w:r w:rsidR="00BD3C47">
      <w:rPr>
        <w:b/>
      </w:rPr>
      <w:t>A</w:t>
    </w:r>
    <w:r w:rsidRPr="0095221A">
      <w:rPr>
        <w:b/>
      </w:rPr>
      <w:t xml:space="preserve">, Revision </w:t>
    </w:r>
    <w:r w:rsidR="00BD3C47">
      <w:rPr>
        <w:b/>
      </w:rPr>
      <w:t>0</w:t>
    </w:r>
    <w:r w:rsidRPr="0095221A">
      <w:rPr>
        <w:b/>
      </w:rPr>
      <w:t xml:space="preserve">                             </w:t>
    </w:r>
    <w:r w:rsidRPr="0095221A">
      <w:rPr>
        <w:b/>
      </w:rPr>
      <w:tab/>
    </w:r>
    <w:r w:rsidR="00B933AC">
      <w:rPr>
        <w:b/>
      </w:rPr>
      <w:t>July</w:t>
    </w:r>
    <w:r w:rsidRPr="0095221A">
      <w:rPr>
        <w:b/>
      </w:rPr>
      <w:t xml:space="preserve"> </w:t>
    </w:r>
    <w:r w:rsidR="00BD3C47">
      <w:rPr>
        <w:b/>
      </w:rPr>
      <w:t>1</w:t>
    </w:r>
    <w:r w:rsidR="00B933AC">
      <w:rPr>
        <w:b/>
      </w:rPr>
      <w:t>8</w:t>
    </w:r>
    <w:r w:rsidRPr="0095221A">
      <w:rPr>
        <w:b/>
      </w:rPr>
      <w:t>, 201</w:t>
    </w:r>
    <w:r w:rsidR="00B933AC">
      <w:rPr>
        <w:b/>
      </w:rPr>
      <w:t>9</w:t>
    </w:r>
  </w:p>
  <w:p w14:paraId="38DA398A" w14:textId="77777777" w:rsidR="00697D77" w:rsidRPr="0095221A" w:rsidRDefault="00697D77" w:rsidP="00047849">
    <w:pPr>
      <w:tabs>
        <w:tab w:val="center" w:pos="4680"/>
        <w:tab w:val="right" w:pos="9360"/>
      </w:tabs>
      <w:rPr>
        <w:b/>
      </w:rPr>
    </w:pPr>
    <w:r w:rsidRPr="0095221A">
      <w:rPr>
        <w:b/>
      </w:rPr>
      <w:t>San Diego Gas &amp; Electric</w:t>
    </w:r>
  </w:p>
  <w:p w14:paraId="072AA4CC" w14:textId="2BE18307" w:rsidR="00697D77" w:rsidRDefault="00697D77">
    <w:pPr>
      <w:pStyle w:val="Footer"/>
      <w:jc w:val="center"/>
    </w:pPr>
    <w:r>
      <w:t xml:space="preserve">Page </w:t>
    </w:r>
    <w:sdt>
      <w:sdtPr>
        <w:id w:val="21345981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330F8">
          <w:rPr>
            <w:noProof/>
          </w:rPr>
          <w:t>1</w:t>
        </w:r>
        <w:r>
          <w:rPr>
            <w:noProof/>
          </w:rPr>
          <w:fldChar w:fldCharType="end"/>
        </w:r>
      </w:sdtContent>
    </w:sdt>
  </w:p>
  <w:p w14:paraId="269B673A" w14:textId="77777777" w:rsidR="00697D77" w:rsidRPr="009500DC" w:rsidRDefault="00697D77"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EFBEE" w14:textId="77777777" w:rsidR="00BF17CC" w:rsidRDefault="00BF17CC" w:rsidP="00FE520B">
      <w:r>
        <w:separator/>
      </w:r>
    </w:p>
  </w:footnote>
  <w:footnote w:type="continuationSeparator" w:id="0">
    <w:p w14:paraId="7F8666C8" w14:textId="77777777" w:rsidR="00BF17CC" w:rsidRDefault="00BF17CC"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C19D9"/>
    <w:multiLevelType w:val="multilevel"/>
    <w:tmpl w:val="E63E8E3E"/>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Calibri" w:hAnsi="Calibri"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1" w15:restartNumberingAfterBreak="0">
    <w:nsid w:val="14675DAA"/>
    <w:multiLevelType w:val="hybridMultilevel"/>
    <w:tmpl w:val="109E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7A02E5"/>
    <w:multiLevelType w:val="hybridMultilevel"/>
    <w:tmpl w:val="6B809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8A27C4"/>
    <w:multiLevelType w:val="hybridMultilevel"/>
    <w:tmpl w:val="783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081C3C"/>
    <w:multiLevelType w:val="hybridMultilevel"/>
    <w:tmpl w:val="1F8EE4CE"/>
    <w:lvl w:ilvl="0" w:tplc="63EA60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BFF49B3"/>
    <w:multiLevelType w:val="hybridMultilevel"/>
    <w:tmpl w:val="0F6AB63E"/>
    <w:lvl w:ilvl="0" w:tplc="D236E8FE">
      <w:start w:val="5"/>
      <w:numFmt w:val="bullet"/>
      <w:lvlText w:val=""/>
      <w:lvlJc w:val="left"/>
      <w:pPr>
        <w:ind w:left="1944" w:hanging="360"/>
      </w:pPr>
      <w:rPr>
        <w:rFonts w:ascii="Symbol" w:eastAsia="Batang" w:hAnsi="Symbol" w:cstheme="minorHAnsi"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2"/>
  </w:num>
  <w:num w:numId="4">
    <w:abstractNumId w:val="8"/>
  </w:num>
  <w:num w:numId="5">
    <w:abstractNumId w:val="9"/>
  </w:num>
  <w:num w:numId="6">
    <w:abstractNumId w:val="0"/>
  </w:num>
  <w:num w:numId="7">
    <w:abstractNumId w:val="11"/>
  </w:num>
  <w:num w:numId="8">
    <w:abstractNumId w:val="12"/>
  </w:num>
  <w:num w:numId="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6"/>
  </w:num>
  <w:num w:numId="13">
    <w:abstractNumId w:val="14"/>
  </w:num>
  <w:num w:numId="14">
    <w:abstractNumId w:val="1"/>
  </w:num>
  <w:num w:numId="15">
    <w:abstractNumId w:val="7"/>
  </w:num>
  <w:num w:numId="16">
    <w:abstractNumId w:val="3"/>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10583"/>
    <w:rsid w:val="00030BCF"/>
    <w:rsid w:val="000374DA"/>
    <w:rsid w:val="00044D10"/>
    <w:rsid w:val="00047060"/>
    <w:rsid w:val="00047849"/>
    <w:rsid w:val="00052743"/>
    <w:rsid w:val="00052CE4"/>
    <w:rsid w:val="00056332"/>
    <w:rsid w:val="00057D22"/>
    <w:rsid w:val="00064B37"/>
    <w:rsid w:val="000909DA"/>
    <w:rsid w:val="000B3776"/>
    <w:rsid w:val="000C5422"/>
    <w:rsid w:val="000D0FF7"/>
    <w:rsid w:val="000D1CE9"/>
    <w:rsid w:val="000D24B2"/>
    <w:rsid w:val="000E1229"/>
    <w:rsid w:val="000E2E9B"/>
    <w:rsid w:val="000E7445"/>
    <w:rsid w:val="000F72EF"/>
    <w:rsid w:val="001014C5"/>
    <w:rsid w:val="00111B31"/>
    <w:rsid w:val="001149CE"/>
    <w:rsid w:val="001158E9"/>
    <w:rsid w:val="001330F8"/>
    <w:rsid w:val="0014135D"/>
    <w:rsid w:val="00141783"/>
    <w:rsid w:val="001575BA"/>
    <w:rsid w:val="00165840"/>
    <w:rsid w:val="001803C3"/>
    <w:rsid w:val="00181290"/>
    <w:rsid w:val="00183787"/>
    <w:rsid w:val="001879C7"/>
    <w:rsid w:val="00190E66"/>
    <w:rsid w:val="00191296"/>
    <w:rsid w:val="00193E56"/>
    <w:rsid w:val="00195D2A"/>
    <w:rsid w:val="00197D1C"/>
    <w:rsid w:val="001B4F0F"/>
    <w:rsid w:val="001B7603"/>
    <w:rsid w:val="001D3DB2"/>
    <w:rsid w:val="001D44E6"/>
    <w:rsid w:val="001E5E5C"/>
    <w:rsid w:val="001F0059"/>
    <w:rsid w:val="001F6075"/>
    <w:rsid w:val="002057A3"/>
    <w:rsid w:val="00225EFB"/>
    <w:rsid w:val="00226262"/>
    <w:rsid w:val="0022781C"/>
    <w:rsid w:val="002304DB"/>
    <w:rsid w:val="00235D4A"/>
    <w:rsid w:val="002556AD"/>
    <w:rsid w:val="0027399B"/>
    <w:rsid w:val="002807EC"/>
    <w:rsid w:val="00281341"/>
    <w:rsid w:val="002A127F"/>
    <w:rsid w:val="002A6E43"/>
    <w:rsid w:val="002C3178"/>
    <w:rsid w:val="002C7FB3"/>
    <w:rsid w:val="002D21B6"/>
    <w:rsid w:val="002D3A18"/>
    <w:rsid w:val="002F225D"/>
    <w:rsid w:val="002F4E1A"/>
    <w:rsid w:val="002F6B1D"/>
    <w:rsid w:val="00311729"/>
    <w:rsid w:val="00312B89"/>
    <w:rsid w:val="003233BD"/>
    <w:rsid w:val="00346A2C"/>
    <w:rsid w:val="00350035"/>
    <w:rsid w:val="00352CB7"/>
    <w:rsid w:val="00352DEF"/>
    <w:rsid w:val="00353ECF"/>
    <w:rsid w:val="0036322C"/>
    <w:rsid w:val="00367DF8"/>
    <w:rsid w:val="003A0D5E"/>
    <w:rsid w:val="003A7B4E"/>
    <w:rsid w:val="003B6E57"/>
    <w:rsid w:val="003C4D88"/>
    <w:rsid w:val="003D547E"/>
    <w:rsid w:val="003E122A"/>
    <w:rsid w:val="003E6FA5"/>
    <w:rsid w:val="00404945"/>
    <w:rsid w:val="004138A9"/>
    <w:rsid w:val="00426BCE"/>
    <w:rsid w:val="00432C09"/>
    <w:rsid w:val="004537B4"/>
    <w:rsid w:val="004764AD"/>
    <w:rsid w:val="00485F27"/>
    <w:rsid w:val="0049749E"/>
    <w:rsid w:val="004A6CBC"/>
    <w:rsid w:val="004B112A"/>
    <w:rsid w:val="004B1EF8"/>
    <w:rsid w:val="004C05AE"/>
    <w:rsid w:val="004C3716"/>
    <w:rsid w:val="004C44B9"/>
    <w:rsid w:val="004D6897"/>
    <w:rsid w:val="004E36A9"/>
    <w:rsid w:val="004E74AB"/>
    <w:rsid w:val="00500D21"/>
    <w:rsid w:val="00500EA5"/>
    <w:rsid w:val="00505172"/>
    <w:rsid w:val="005254D3"/>
    <w:rsid w:val="0053719E"/>
    <w:rsid w:val="00552A2F"/>
    <w:rsid w:val="00571A2F"/>
    <w:rsid w:val="005743D2"/>
    <w:rsid w:val="005815D4"/>
    <w:rsid w:val="0059117D"/>
    <w:rsid w:val="005B439A"/>
    <w:rsid w:val="005B6210"/>
    <w:rsid w:val="005C0C56"/>
    <w:rsid w:val="005C2962"/>
    <w:rsid w:val="005D0058"/>
    <w:rsid w:val="005D2A2D"/>
    <w:rsid w:val="005F63E2"/>
    <w:rsid w:val="006049AE"/>
    <w:rsid w:val="00604E09"/>
    <w:rsid w:val="0062702B"/>
    <w:rsid w:val="00627B0B"/>
    <w:rsid w:val="00636490"/>
    <w:rsid w:val="00640F6B"/>
    <w:rsid w:val="006527FC"/>
    <w:rsid w:val="00654030"/>
    <w:rsid w:val="00661D43"/>
    <w:rsid w:val="00674A59"/>
    <w:rsid w:val="00684ABA"/>
    <w:rsid w:val="00684BF2"/>
    <w:rsid w:val="00697D77"/>
    <w:rsid w:val="006B2014"/>
    <w:rsid w:val="006B6771"/>
    <w:rsid w:val="006C3A18"/>
    <w:rsid w:val="006C5298"/>
    <w:rsid w:val="006D5F49"/>
    <w:rsid w:val="006D60A6"/>
    <w:rsid w:val="006D6FED"/>
    <w:rsid w:val="006E33E0"/>
    <w:rsid w:val="006E57AF"/>
    <w:rsid w:val="006F0D4B"/>
    <w:rsid w:val="007071FE"/>
    <w:rsid w:val="007123A8"/>
    <w:rsid w:val="00724F06"/>
    <w:rsid w:val="007264C7"/>
    <w:rsid w:val="00737434"/>
    <w:rsid w:val="0074209B"/>
    <w:rsid w:val="00761CDC"/>
    <w:rsid w:val="00763E52"/>
    <w:rsid w:val="00785670"/>
    <w:rsid w:val="00787183"/>
    <w:rsid w:val="00790109"/>
    <w:rsid w:val="007D29DE"/>
    <w:rsid w:val="007E648E"/>
    <w:rsid w:val="007F56D5"/>
    <w:rsid w:val="007F6B28"/>
    <w:rsid w:val="0081380A"/>
    <w:rsid w:val="008244FE"/>
    <w:rsid w:val="00827852"/>
    <w:rsid w:val="008301C9"/>
    <w:rsid w:val="00830E91"/>
    <w:rsid w:val="00836672"/>
    <w:rsid w:val="0084491B"/>
    <w:rsid w:val="00846363"/>
    <w:rsid w:val="008618BF"/>
    <w:rsid w:val="00861B74"/>
    <w:rsid w:val="008648BA"/>
    <w:rsid w:val="00867B4E"/>
    <w:rsid w:val="00867C9A"/>
    <w:rsid w:val="008729A6"/>
    <w:rsid w:val="008733BD"/>
    <w:rsid w:val="008A4F57"/>
    <w:rsid w:val="008A739C"/>
    <w:rsid w:val="008B0468"/>
    <w:rsid w:val="008B1591"/>
    <w:rsid w:val="008B239F"/>
    <w:rsid w:val="008C376F"/>
    <w:rsid w:val="008C3D1E"/>
    <w:rsid w:val="008C6010"/>
    <w:rsid w:val="008D0F05"/>
    <w:rsid w:val="008E14E9"/>
    <w:rsid w:val="008F093B"/>
    <w:rsid w:val="009012D0"/>
    <w:rsid w:val="009258E5"/>
    <w:rsid w:val="00933CC5"/>
    <w:rsid w:val="009406D7"/>
    <w:rsid w:val="00943B18"/>
    <w:rsid w:val="0095221A"/>
    <w:rsid w:val="009544BA"/>
    <w:rsid w:val="009604A3"/>
    <w:rsid w:val="0098351C"/>
    <w:rsid w:val="00991F7A"/>
    <w:rsid w:val="009955D5"/>
    <w:rsid w:val="009A0721"/>
    <w:rsid w:val="009A0F3E"/>
    <w:rsid w:val="009B0E7F"/>
    <w:rsid w:val="009B5859"/>
    <w:rsid w:val="009C209E"/>
    <w:rsid w:val="009C28E4"/>
    <w:rsid w:val="009C4A8A"/>
    <w:rsid w:val="009F3AAA"/>
    <w:rsid w:val="00A031B3"/>
    <w:rsid w:val="00A17D2B"/>
    <w:rsid w:val="00A40890"/>
    <w:rsid w:val="00A43405"/>
    <w:rsid w:val="00A44992"/>
    <w:rsid w:val="00A5572C"/>
    <w:rsid w:val="00A64AB4"/>
    <w:rsid w:val="00A70336"/>
    <w:rsid w:val="00A74DF7"/>
    <w:rsid w:val="00A75EDC"/>
    <w:rsid w:val="00A970D4"/>
    <w:rsid w:val="00AB2087"/>
    <w:rsid w:val="00AB29D6"/>
    <w:rsid w:val="00AB4F30"/>
    <w:rsid w:val="00AD41FF"/>
    <w:rsid w:val="00B078C8"/>
    <w:rsid w:val="00B23BC8"/>
    <w:rsid w:val="00B3082D"/>
    <w:rsid w:val="00B450EC"/>
    <w:rsid w:val="00B50F27"/>
    <w:rsid w:val="00B5525E"/>
    <w:rsid w:val="00B6233D"/>
    <w:rsid w:val="00B7483B"/>
    <w:rsid w:val="00B74EAA"/>
    <w:rsid w:val="00B763AC"/>
    <w:rsid w:val="00B77318"/>
    <w:rsid w:val="00B86725"/>
    <w:rsid w:val="00B933AC"/>
    <w:rsid w:val="00B97344"/>
    <w:rsid w:val="00B97F75"/>
    <w:rsid w:val="00BA188B"/>
    <w:rsid w:val="00BA47BD"/>
    <w:rsid w:val="00BB0BB2"/>
    <w:rsid w:val="00BB6B06"/>
    <w:rsid w:val="00BC11FB"/>
    <w:rsid w:val="00BD3C47"/>
    <w:rsid w:val="00BE632D"/>
    <w:rsid w:val="00BE7943"/>
    <w:rsid w:val="00BF17CC"/>
    <w:rsid w:val="00BF7104"/>
    <w:rsid w:val="00C012DD"/>
    <w:rsid w:val="00C1087D"/>
    <w:rsid w:val="00C132A0"/>
    <w:rsid w:val="00C13907"/>
    <w:rsid w:val="00C13FDE"/>
    <w:rsid w:val="00C2110B"/>
    <w:rsid w:val="00C361B3"/>
    <w:rsid w:val="00C366B3"/>
    <w:rsid w:val="00C4094B"/>
    <w:rsid w:val="00C64135"/>
    <w:rsid w:val="00C80D48"/>
    <w:rsid w:val="00C84A06"/>
    <w:rsid w:val="00C863F3"/>
    <w:rsid w:val="00CA70EB"/>
    <w:rsid w:val="00CB57F2"/>
    <w:rsid w:val="00CB64A9"/>
    <w:rsid w:val="00CB700F"/>
    <w:rsid w:val="00CC12EC"/>
    <w:rsid w:val="00CF61CC"/>
    <w:rsid w:val="00D053B2"/>
    <w:rsid w:val="00D068F6"/>
    <w:rsid w:val="00D1269E"/>
    <w:rsid w:val="00D22F9F"/>
    <w:rsid w:val="00D44F84"/>
    <w:rsid w:val="00D51074"/>
    <w:rsid w:val="00D53011"/>
    <w:rsid w:val="00D60240"/>
    <w:rsid w:val="00D67814"/>
    <w:rsid w:val="00D77F05"/>
    <w:rsid w:val="00D83D0D"/>
    <w:rsid w:val="00D85D0A"/>
    <w:rsid w:val="00D97C37"/>
    <w:rsid w:val="00DA4446"/>
    <w:rsid w:val="00DB2D8C"/>
    <w:rsid w:val="00DB63A3"/>
    <w:rsid w:val="00DB6775"/>
    <w:rsid w:val="00DC20C2"/>
    <w:rsid w:val="00DC3FD7"/>
    <w:rsid w:val="00DC53A4"/>
    <w:rsid w:val="00DD7BCF"/>
    <w:rsid w:val="00DF6FA0"/>
    <w:rsid w:val="00DF70D1"/>
    <w:rsid w:val="00E00DCC"/>
    <w:rsid w:val="00E041B5"/>
    <w:rsid w:val="00E06409"/>
    <w:rsid w:val="00E12985"/>
    <w:rsid w:val="00E341D6"/>
    <w:rsid w:val="00E35D48"/>
    <w:rsid w:val="00E40D2E"/>
    <w:rsid w:val="00E41CCE"/>
    <w:rsid w:val="00E43785"/>
    <w:rsid w:val="00E4583A"/>
    <w:rsid w:val="00E56CE7"/>
    <w:rsid w:val="00E60755"/>
    <w:rsid w:val="00E63339"/>
    <w:rsid w:val="00E70363"/>
    <w:rsid w:val="00E72D19"/>
    <w:rsid w:val="00E77D27"/>
    <w:rsid w:val="00E83C23"/>
    <w:rsid w:val="00EA447A"/>
    <w:rsid w:val="00EB0A9A"/>
    <w:rsid w:val="00EB5747"/>
    <w:rsid w:val="00EC2602"/>
    <w:rsid w:val="00EC3A3A"/>
    <w:rsid w:val="00EE19D6"/>
    <w:rsid w:val="00EF1DD6"/>
    <w:rsid w:val="00EF22DB"/>
    <w:rsid w:val="00EF438A"/>
    <w:rsid w:val="00F117C6"/>
    <w:rsid w:val="00F118E2"/>
    <w:rsid w:val="00F11AF0"/>
    <w:rsid w:val="00F2382E"/>
    <w:rsid w:val="00F27A87"/>
    <w:rsid w:val="00F3004E"/>
    <w:rsid w:val="00F462D3"/>
    <w:rsid w:val="00F622BE"/>
    <w:rsid w:val="00F65C2E"/>
    <w:rsid w:val="00F718E4"/>
    <w:rsid w:val="00F77C08"/>
    <w:rsid w:val="00F95AC4"/>
    <w:rsid w:val="00FA2E73"/>
    <w:rsid w:val="00FA32FC"/>
    <w:rsid w:val="00FA5C27"/>
    <w:rsid w:val="00FC0998"/>
    <w:rsid w:val="00FC1B0D"/>
    <w:rsid w:val="00FC7248"/>
    <w:rsid w:val="00FD1A12"/>
    <w:rsid w:val="00FD36CF"/>
    <w:rsid w:val="00FE520B"/>
    <w:rsid w:val="00FF6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B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table" w:customStyle="1" w:styleId="TableGrid11">
    <w:name w:val="Table Grid11"/>
    <w:basedOn w:val="TableNormal"/>
    <w:next w:val="TableGrid"/>
    <w:rsid w:val="0095221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B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D0058"/>
    <w:rPr>
      <w:rFonts w:ascii="Arial" w:eastAsia="Batang" w:hAnsi="Arial"/>
      <w:sz w:val="20"/>
      <w:szCs w:val="20"/>
    </w:rPr>
  </w:style>
  <w:style w:type="character" w:customStyle="1" w:styleId="EndnoteTextChar">
    <w:name w:val="Endnote Text Char"/>
    <w:basedOn w:val="DefaultParagraphFont"/>
    <w:link w:val="EndnoteText"/>
    <w:rsid w:val="005D0058"/>
    <w:rPr>
      <w:rFonts w:ascii="Arial" w:eastAsia="Batang" w:hAnsi="Arial" w:cs="Times New Roman"/>
      <w:sz w:val="20"/>
      <w:szCs w:val="20"/>
    </w:rPr>
  </w:style>
  <w:style w:type="character" w:styleId="UnresolvedMention">
    <w:name w:val="Unresolved Mention"/>
    <w:basedOn w:val="DefaultParagraphFont"/>
    <w:uiPriority w:val="99"/>
    <w:semiHidden/>
    <w:unhideWhenUsed/>
    <w:rsid w:val="000909DA"/>
    <w:rPr>
      <w:color w:val="808080"/>
      <w:shd w:val="clear" w:color="auto" w:fill="E6E6E6"/>
    </w:rPr>
  </w:style>
  <w:style w:type="paragraph" w:styleId="NoSpacing">
    <w:name w:val="No Spacing"/>
    <w:uiPriority w:val="1"/>
    <w:qFormat/>
    <w:rsid w:val="00FD1A12"/>
    <w:pPr>
      <w:spacing w:after="0" w:line="240" w:lineRule="auto"/>
    </w:pPr>
  </w:style>
  <w:style w:type="paragraph" w:customStyle="1" w:styleId="Reminder">
    <w:name w:val="Reminder"/>
    <w:basedOn w:val="Reminders"/>
    <w:link w:val="ReminderChar"/>
    <w:rsid w:val="00FF6330"/>
  </w:style>
  <w:style w:type="character" w:customStyle="1" w:styleId="ReminderChar">
    <w:name w:val="Reminder Char"/>
    <w:basedOn w:val="RemindersChar"/>
    <w:link w:val="Reminder"/>
    <w:rsid w:val="00FF6330"/>
    <w:rPr>
      <w:rFonts w:ascii="Trebuchet MS" w:eastAsia="Times New Roman" w:hAnsi="Trebuchet MS" w:cs="Times New Roman"/>
      <w:i/>
      <w:color w:val="FF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4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energystar.gov/productfinder/advanced"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0174C-5322-4034-8B8B-D2638E97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2307</Words>
  <Characters>13155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2018-12-14T03:44:00Z</dcterms:created>
  <dcterms:modified xsi:type="dcterms:W3CDTF">2019-07-19T18:55:00Z</dcterms:modified>
</cp:coreProperties>
</file>