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7F2DBE82" w:rsidR="00F90AA4" w:rsidRDefault="00CE6C60" w:rsidP="00CD4770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CD4770" w:rsidRPr="00CD4770">
        <w:rPr>
          <w:rFonts w:ascii="Arial" w:hAnsi="Arial" w:cs="Arial"/>
          <w:b/>
        </w:rPr>
        <w:t>WPSDGENRWH0015_Rev0_SF_Laminar Flow Restrictors_Hospitals and HealthCare_FINAL_20180102</w:t>
      </w:r>
      <w:r w:rsidR="00662D53">
        <w:rPr>
          <w:rFonts w:ascii="Arial" w:hAnsi="Arial" w:cs="Arial"/>
          <w:b/>
        </w:rPr>
        <w:t>.</w:t>
      </w:r>
      <w:r w:rsidR="00616C37" w:rsidRPr="00616C37">
        <w:rPr>
          <w:rFonts w:ascii="Arial" w:hAnsi="Arial" w:cs="Arial"/>
          <w:b/>
        </w:rPr>
        <w:t>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564BC">
        <w:rPr>
          <w:rFonts w:ascii="Arial" w:hAnsi="Arial" w:cs="Arial"/>
        </w:rPr>
        <w:t xml:space="preserve">SDG&amp;E is </w:t>
      </w:r>
      <w:r w:rsidR="000677BD">
        <w:rPr>
          <w:rFonts w:ascii="Arial" w:hAnsi="Arial" w:cs="Arial"/>
        </w:rPr>
        <w:t xml:space="preserve">adopting SCG workpaper for laminar flow restrictors for hospitals and healthcare facilities. The workpaper has an </w:t>
      </w:r>
      <w:r w:rsidR="003B0650">
        <w:rPr>
          <w:rFonts w:ascii="Arial" w:hAnsi="Arial" w:cs="Arial"/>
        </w:rPr>
        <w:t>effect</w:t>
      </w:r>
      <w:r w:rsidR="000677BD">
        <w:rPr>
          <w:rFonts w:ascii="Arial" w:hAnsi="Arial" w:cs="Arial"/>
        </w:rPr>
        <w:t xml:space="preserve">ive date of </w:t>
      </w:r>
      <w:r w:rsidR="003B0650">
        <w:rPr>
          <w:rFonts w:ascii="Arial" w:hAnsi="Arial" w:cs="Arial"/>
        </w:rPr>
        <w:t xml:space="preserve">January </w:t>
      </w:r>
      <w:r w:rsidR="000677BD">
        <w:rPr>
          <w:rFonts w:ascii="Arial" w:hAnsi="Arial" w:cs="Arial"/>
        </w:rPr>
        <w:t xml:space="preserve">1, </w:t>
      </w:r>
      <w:r w:rsidR="003B0650">
        <w:rPr>
          <w:rFonts w:ascii="Arial" w:hAnsi="Arial" w:cs="Arial"/>
        </w:rPr>
        <w:t>2018</w:t>
      </w:r>
      <w:r w:rsidR="00AA2EA8">
        <w:rPr>
          <w:rFonts w:ascii="Arial" w:hAnsi="Arial" w:cs="Arial"/>
        </w:rPr>
        <w:t xml:space="preserve">.  The </w:t>
      </w:r>
      <w:r w:rsidR="003B0650">
        <w:rPr>
          <w:rFonts w:ascii="Arial" w:hAnsi="Arial" w:cs="Arial"/>
        </w:rPr>
        <w:t xml:space="preserve">deemed measures and </w:t>
      </w:r>
      <w:r w:rsidR="00AA2EA8">
        <w:rPr>
          <w:rFonts w:ascii="Arial" w:hAnsi="Arial" w:cs="Arial"/>
        </w:rPr>
        <w:t>costs are adopted from</w:t>
      </w:r>
      <w:r w:rsidR="003B0650">
        <w:rPr>
          <w:rFonts w:ascii="Arial" w:hAnsi="Arial" w:cs="Arial"/>
        </w:rPr>
        <w:t xml:space="preserve"> </w:t>
      </w:r>
      <w:r w:rsidR="000677BD">
        <w:rPr>
          <w:rFonts w:ascii="Arial" w:hAnsi="Arial" w:cs="Arial"/>
        </w:rPr>
        <w:t xml:space="preserve">SCG </w:t>
      </w:r>
      <w:r w:rsidR="003B0650">
        <w:rPr>
          <w:rFonts w:ascii="Arial" w:hAnsi="Arial" w:cs="Arial"/>
        </w:rPr>
        <w:t>workpaper</w:t>
      </w:r>
      <w:r w:rsidR="000677BD">
        <w:rPr>
          <w:rFonts w:ascii="Arial" w:hAnsi="Arial" w:cs="Arial"/>
        </w:rPr>
        <w:t xml:space="preserve"> </w:t>
      </w:r>
      <w:r w:rsidR="000677BD" w:rsidRPr="000677BD">
        <w:rPr>
          <w:rFonts w:ascii="Arial" w:hAnsi="Arial" w:cs="Arial"/>
        </w:rPr>
        <w:t>(WPSCGNRWH150827A Rev2</w:t>
      </w:r>
      <w:r w:rsidR="00AA2EA8">
        <w:rPr>
          <w:rFonts w:ascii="Arial" w:hAnsi="Arial" w:cs="Arial"/>
        </w:rPr>
        <w:t>.</w:t>
      </w:r>
      <w:bookmarkStart w:id="0" w:name="_GoBack"/>
      <w:bookmarkEnd w:id="0"/>
    </w:p>
    <w:p w14:paraId="7F0E0D76" w14:textId="5196C372" w:rsidR="001F00E4" w:rsidRPr="001F00E4" w:rsidRDefault="00456D5D" w:rsidP="00AA2EA8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A2EA8" w:rsidRPr="00AA2EA8">
        <w:rPr>
          <w:rFonts w:ascii="Arial" w:hAnsi="Arial" w:cs="Arial"/>
          <w:b/>
        </w:rPr>
        <w:t>EAD_2018-01-02_PUREWP.mdb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CD4770">
        <w:rPr>
          <w:rFonts w:ascii="Arial" w:hAnsi="Arial" w:cs="Arial"/>
        </w:rPr>
        <w:t xml:space="preserve">Laminar Flow Restrictors for Hospitals and Health Care </w:t>
      </w:r>
      <w:r w:rsidR="00F358F2">
        <w:rPr>
          <w:rFonts w:ascii="Arial" w:hAnsi="Arial" w:cs="Arial"/>
        </w:rPr>
        <w:t>is i</w:t>
      </w:r>
      <w:r w:rsidR="004D5722">
        <w:rPr>
          <w:rFonts w:ascii="Arial" w:hAnsi="Arial" w:cs="Arial"/>
        </w:rPr>
        <w:t>ncluded with various other work</w:t>
      </w:r>
      <w:r w:rsidR="00AA2EA8">
        <w:rPr>
          <w:rFonts w:ascii="Arial" w:hAnsi="Arial" w:cs="Arial"/>
        </w:rPr>
        <w:t>paper submittals for January 2nd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0677BD"/>
    <w:rsid w:val="000B3583"/>
    <w:rsid w:val="00121568"/>
    <w:rsid w:val="001F00E4"/>
    <w:rsid w:val="001F016B"/>
    <w:rsid w:val="00223667"/>
    <w:rsid w:val="00272CB8"/>
    <w:rsid w:val="002A46FC"/>
    <w:rsid w:val="002E2CD2"/>
    <w:rsid w:val="00301FA8"/>
    <w:rsid w:val="0031016A"/>
    <w:rsid w:val="00313260"/>
    <w:rsid w:val="0031567B"/>
    <w:rsid w:val="0034196D"/>
    <w:rsid w:val="00361B5E"/>
    <w:rsid w:val="003B0650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90694"/>
    <w:rsid w:val="005F3615"/>
    <w:rsid w:val="006060E1"/>
    <w:rsid w:val="00612B4C"/>
    <w:rsid w:val="00616C37"/>
    <w:rsid w:val="00655B61"/>
    <w:rsid w:val="00662D53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9376E2"/>
    <w:rsid w:val="00964A36"/>
    <w:rsid w:val="00964A50"/>
    <w:rsid w:val="00994C3A"/>
    <w:rsid w:val="00A24539"/>
    <w:rsid w:val="00A7105D"/>
    <w:rsid w:val="00AA2EA8"/>
    <w:rsid w:val="00AB1170"/>
    <w:rsid w:val="00AC0DEF"/>
    <w:rsid w:val="00AC18D3"/>
    <w:rsid w:val="00B72357"/>
    <w:rsid w:val="00BB254F"/>
    <w:rsid w:val="00C61B80"/>
    <w:rsid w:val="00CD4770"/>
    <w:rsid w:val="00CE6C60"/>
    <w:rsid w:val="00CF51E1"/>
    <w:rsid w:val="00D137E2"/>
    <w:rsid w:val="00DC7BD5"/>
    <w:rsid w:val="00DF66D7"/>
    <w:rsid w:val="00EB4566"/>
    <w:rsid w:val="00F32567"/>
    <w:rsid w:val="00F358F2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2018-01-03T04:16:00Z</dcterms:created>
  <dcterms:modified xsi:type="dcterms:W3CDTF">2018-01-03T04:29:00Z</dcterms:modified>
</cp:coreProperties>
</file>