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C4111" w14:textId="35636253" w:rsidR="00F117C6" w:rsidRPr="00500C4E" w:rsidRDefault="009A0721" w:rsidP="00F117C6">
      <w:pPr>
        <w:pStyle w:val="WPnumber"/>
      </w:pPr>
      <w:bookmarkStart w:id="0" w:name="_Toc153189647"/>
      <w:r>
        <w:t xml:space="preserve">Short Form </w:t>
      </w:r>
      <w:r w:rsidR="00F117C6" w:rsidRPr="00500C4E">
        <w:t xml:space="preserve">Work Paper </w:t>
      </w:r>
      <w:sdt>
        <w:sdtPr>
          <w:rPr>
            <w:rFonts w:cs="Arial"/>
          </w:r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7D04D7">
            <w:rPr>
              <w:rFonts w:cs="Arial"/>
            </w:rPr>
            <w:t>WPSDGENRWH0014</w:t>
          </w:r>
        </w:sdtContent>
      </w:sdt>
    </w:p>
    <w:bookmarkEnd w:id="0"/>
    <w:p w14:paraId="0AE90950" w14:textId="41BDE78D" w:rsidR="00F117C6" w:rsidRPr="00500C4E" w:rsidRDefault="00E015CF"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E93B15">
            <w:rPr>
              <w:rStyle w:val="CaptionChar"/>
              <w:b/>
              <w:bCs w:val="0"/>
            </w:rPr>
            <w:t>Revision 0</w:t>
          </w:r>
        </w:sdtContent>
      </w:sdt>
    </w:p>
    <w:p w14:paraId="2916F743" w14:textId="77777777" w:rsidR="00F117C6" w:rsidRPr="00500C4E" w:rsidRDefault="00F117C6" w:rsidP="00F117C6">
      <w:pPr>
        <w:jc w:val="right"/>
        <w:rPr>
          <w:rFonts w:cstheme="minorHAnsi"/>
          <w:b/>
          <w:sz w:val="48"/>
          <w:szCs w:val="48"/>
        </w:rPr>
      </w:pPr>
    </w:p>
    <w:bookmarkStart w:id="1" w:name="SCE"/>
    <w:p w14:paraId="71189DD4" w14:textId="77777777" w:rsidR="00F117C6" w:rsidRPr="00500C4E" w:rsidRDefault="00E015CF"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14:paraId="586BBBB6" w14:textId="77777777" w:rsidR="00F117C6" w:rsidRPr="006049AE" w:rsidRDefault="006049AE" w:rsidP="00F117C6">
      <w:pPr>
        <w:rPr>
          <w:rFonts w:cstheme="minorHAnsi"/>
          <w:b/>
        </w:rPr>
      </w:pPr>
      <w:r w:rsidRPr="006049AE">
        <w:rPr>
          <w:rFonts w:cstheme="minorHAnsi"/>
          <w:b/>
        </w:rPr>
        <w:t>Energy Efficiency Engineering</w:t>
      </w:r>
    </w:p>
    <w:p w14:paraId="380D0BF6" w14:textId="77777777" w:rsidR="00F117C6" w:rsidRPr="00500C4E" w:rsidRDefault="00F117C6" w:rsidP="00F117C6">
      <w:pPr>
        <w:rPr>
          <w:rFonts w:cstheme="minorHAnsi"/>
        </w:rPr>
      </w:pPr>
    </w:p>
    <w:p w14:paraId="6790A3D9" w14:textId="77777777" w:rsidR="00F117C6" w:rsidRPr="00500C4E" w:rsidRDefault="00F117C6" w:rsidP="00F117C6">
      <w:pPr>
        <w:tabs>
          <w:tab w:val="left" w:pos="8190"/>
        </w:tabs>
        <w:rPr>
          <w:rFonts w:cstheme="minorHAnsi"/>
        </w:rPr>
      </w:pPr>
      <w:r w:rsidRPr="00500C4E">
        <w:rPr>
          <w:rFonts w:cstheme="minorHAnsi"/>
        </w:rPr>
        <w:tab/>
      </w:r>
    </w:p>
    <w:p w14:paraId="32EAA09D" w14:textId="77777777" w:rsidR="00F117C6" w:rsidRPr="00500C4E" w:rsidRDefault="00F117C6" w:rsidP="00F117C6">
      <w:pPr>
        <w:rPr>
          <w:rFonts w:cstheme="minorHAnsi"/>
        </w:rPr>
      </w:pPr>
    </w:p>
    <w:p w14:paraId="6E206646" w14:textId="77777777" w:rsidR="00F117C6" w:rsidRPr="00500C4E" w:rsidRDefault="00F117C6" w:rsidP="00F117C6">
      <w:pPr>
        <w:rPr>
          <w:rFonts w:cstheme="minorHAnsi"/>
        </w:rPr>
      </w:pPr>
    </w:p>
    <w:p w14:paraId="6C0070F5" w14:textId="77777777" w:rsidR="00F117C6" w:rsidRPr="00500C4E" w:rsidRDefault="00F117C6" w:rsidP="00F117C6">
      <w:pPr>
        <w:rPr>
          <w:rFonts w:cstheme="minorHAnsi"/>
        </w:rPr>
      </w:pPr>
    </w:p>
    <w:p w14:paraId="67FA45A3" w14:textId="77777777" w:rsidR="00F117C6" w:rsidRPr="00500C4E" w:rsidRDefault="00F117C6" w:rsidP="00F117C6">
      <w:pPr>
        <w:rPr>
          <w:rFonts w:cstheme="minorHAnsi"/>
        </w:rPr>
      </w:pPr>
    </w:p>
    <w:p w14:paraId="074E67F1" w14:textId="77777777" w:rsidR="00F117C6" w:rsidRPr="00500C4E" w:rsidRDefault="00F117C6" w:rsidP="00F117C6">
      <w:pPr>
        <w:rPr>
          <w:rFonts w:cstheme="minorHAnsi"/>
        </w:rPr>
      </w:pPr>
    </w:p>
    <w:p w14:paraId="2E905BBA" w14:textId="77777777" w:rsidR="00E93B15" w:rsidRPr="008C0FE5" w:rsidRDefault="00E93B15" w:rsidP="00E93B15">
      <w:pPr>
        <w:rPr>
          <w:rFonts w:cstheme="minorHAnsi"/>
          <w:b/>
          <w:sz w:val="56"/>
          <w:szCs w:val="72"/>
        </w:rPr>
      </w:pPr>
      <w:r>
        <w:rPr>
          <w:rFonts w:cstheme="minorHAnsi"/>
          <w:b/>
          <w:sz w:val="56"/>
          <w:szCs w:val="72"/>
        </w:rPr>
        <w:t xml:space="preserve">Aerators for Faucets in </w:t>
      </w:r>
      <w:r w:rsidRPr="008C0FE5">
        <w:rPr>
          <w:rFonts w:cstheme="minorHAnsi"/>
          <w:b/>
          <w:sz w:val="56"/>
          <w:szCs w:val="72"/>
        </w:rPr>
        <w:t xml:space="preserve">Commercial </w:t>
      </w:r>
      <w:r>
        <w:rPr>
          <w:rFonts w:cstheme="minorHAnsi"/>
          <w:b/>
          <w:sz w:val="56"/>
          <w:szCs w:val="72"/>
        </w:rPr>
        <w:t>Buildings</w:t>
      </w:r>
    </w:p>
    <w:p w14:paraId="341BB6B0" w14:textId="77777777" w:rsidR="00861B74" w:rsidRDefault="00861B74" w:rsidP="000F72EF">
      <w:pPr>
        <w:rPr>
          <w:rFonts w:cstheme="minorHAnsi"/>
          <w:b/>
          <w:sz w:val="72"/>
          <w:szCs w:val="72"/>
        </w:rPr>
      </w:pPr>
    </w:p>
    <w:p w14:paraId="263C4EDD" w14:textId="77777777" w:rsidR="00861B74" w:rsidRDefault="00861B74" w:rsidP="000F72EF">
      <w:pPr>
        <w:rPr>
          <w:rFonts w:cstheme="minorHAnsi"/>
          <w:b/>
          <w:sz w:val="72"/>
          <w:szCs w:val="72"/>
        </w:rPr>
      </w:pPr>
    </w:p>
    <w:p w14:paraId="72AA2E5A" w14:textId="77777777" w:rsidR="00861B74" w:rsidRDefault="00861B74" w:rsidP="000F72EF">
      <w:pPr>
        <w:rPr>
          <w:rFonts w:cstheme="minorHAnsi"/>
          <w:b/>
          <w:sz w:val="72"/>
          <w:szCs w:val="72"/>
        </w:rPr>
      </w:pPr>
    </w:p>
    <w:p w14:paraId="05C12A23" w14:textId="77777777" w:rsidR="00861B74" w:rsidRDefault="00861B74" w:rsidP="000F72EF">
      <w:pPr>
        <w:rPr>
          <w:rFonts w:cstheme="minorHAnsi"/>
          <w:b/>
          <w:sz w:val="72"/>
          <w:szCs w:val="72"/>
        </w:rPr>
      </w:pPr>
    </w:p>
    <w:p w14:paraId="0E8AABFF" w14:textId="77777777" w:rsidR="00861B74" w:rsidRDefault="00861B74" w:rsidP="000F72EF">
      <w:pPr>
        <w:rPr>
          <w:rFonts w:cstheme="minorHAnsi"/>
          <w:b/>
          <w:sz w:val="72"/>
          <w:szCs w:val="72"/>
        </w:rPr>
      </w:pPr>
    </w:p>
    <w:p w14:paraId="78F51626" w14:textId="77777777" w:rsidR="00861B74" w:rsidRDefault="00861B74" w:rsidP="000F72EF">
      <w:pPr>
        <w:rPr>
          <w:rFonts w:cstheme="minorHAnsi"/>
          <w:b/>
          <w:sz w:val="72"/>
          <w:szCs w:val="72"/>
        </w:rPr>
      </w:pPr>
    </w:p>
    <w:p w14:paraId="6D5F98B4" w14:textId="1550B7DA" w:rsidR="00861B74" w:rsidRPr="00861B74" w:rsidRDefault="00E015CF" w:rsidP="00861B74">
      <w:pPr>
        <w:jc w:val="right"/>
        <w:rPr>
          <w:rFonts w:cstheme="minorHAnsi"/>
          <w:b/>
          <w:sz w:val="28"/>
          <w:szCs w:val="28"/>
        </w:rPr>
        <w:sectPr w:rsidR="00861B74" w:rsidRPr="00861B74" w:rsidSect="00D41500">
          <w:footerReference w:type="default" r:id="rId8"/>
          <w:pgSz w:w="12240" w:h="15840"/>
          <w:pgMar w:top="1440" w:right="1440" w:bottom="1440" w:left="1440" w:header="720" w:footer="720" w:gutter="0"/>
          <w:cols w:space="720"/>
          <w:titlePg/>
          <w:docGrid w:linePitch="360"/>
        </w:sectPr>
      </w:pPr>
      <w:r>
        <w:rPr>
          <w:rFonts w:cstheme="minorHAnsi"/>
          <w:b/>
          <w:sz w:val="28"/>
          <w:szCs w:val="28"/>
        </w:rPr>
        <w:t>January 2</w:t>
      </w:r>
      <w:r w:rsidR="003933D2">
        <w:rPr>
          <w:rFonts w:cstheme="minorHAnsi"/>
          <w:b/>
          <w:sz w:val="28"/>
          <w:szCs w:val="28"/>
        </w:rPr>
        <w:t xml:space="preserve">, </w:t>
      </w:r>
      <w:r w:rsidR="00CE25BE">
        <w:rPr>
          <w:rFonts w:cstheme="minorHAnsi"/>
          <w:b/>
          <w:sz w:val="28"/>
          <w:szCs w:val="28"/>
        </w:rPr>
        <w:t>201</w:t>
      </w:r>
      <w:r>
        <w:rPr>
          <w:rFonts w:cstheme="minorHAnsi"/>
          <w:b/>
          <w:sz w:val="28"/>
          <w:szCs w:val="28"/>
        </w:rPr>
        <w:t>8</w:t>
      </w:r>
    </w:p>
    <w:p w14:paraId="5FB9CFF2" w14:textId="655B1EC7" w:rsidR="00542511" w:rsidRPr="008828CF" w:rsidRDefault="003933D2" w:rsidP="00542511">
      <w:pPr>
        <w:pStyle w:val="Heading1"/>
      </w:pPr>
      <w:bookmarkStart w:id="2" w:name="_Toc214003090"/>
      <w:r>
        <w:lastRenderedPageBreak/>
        <w:t xml:space="preserve">Aerators for Faucets in Commercial Buildings </w:t>
      </w:r>
      <w:r w:rsidR="00542511" w:rsidRPr="008828CF">
        <w:t>Short Form WP</w:t>
      </w:r>
    </w:p>
    <w:p w14:paraId="766B6F9F" w14:textId="77777777" w:rsidR="00542511" w:rsidRPr="00711962" w:rsidRDefault="00542511" w:rsidP="00542511">
      <w:pPr>
        <w:pStyle w:val="Heading2"/>
      </w:pPr>
      <w:r w:rsidRPr="00711962">
        <w:t>Introduction</w:t>
      </w:r>
    </w:p>
    <w:p w14:paraId="24E79B0C" w14:textId="561300CE" w:rsidR="00711962" w:rsidRDefault="00542511" w:rsidP="00542511">
      <w:r w:rsidRPr="00711962">
        <w:t xml:space="preserve">This short form workpaper </w:t>
      </w:r>
      <w:r w:rsidR="00711962">
        <w:t xml:space="preserve">(wp) </w:t>
      </w:r>
      <w:r w:rsidRPr="00711962">
        <w:t xml:space="preserve">documents the values adopted from </w:t>
      </w:r>
      <w:r w:rsidR="00711962">
        <w:t>SCG’s</w:t>
      </w:r>
      <w:r w:rsidRPr="00711962">
        <w:t xml:space="preserve"> </w:t>
      </w:r>
      <w:r w:rsidR="00711962">
        <w:t>wp</w:t>
      </w:r>
      <w:r w:rsidRPr="00711962">
        <w:t xml:space="preserve"> entitled “</w:t>
      </w:r>
      <w:r w:rsidR="003933D2">
        <w:t>Aerators for Faucets in Commercial Buildings</w:t>
      </w:r>
      <w:r w:rsidRPr="00711962">
        <w:t>” (</w:t>
      </w:r>
      <w:r w:rsidR="00711962" w:rsidRPr="00711962">
        <w:t>WPSCGNRWH1</w:t>
      </w:r>
      <w:r w:rsidR="003933D2">
        <w:t>61222A</w:t>
      </w:r>
      <w:r w:rsidR="00711962">
        <w:t xml:space="preserve"> Rev </w:t>
      </w:r>
      <w:r w:rsidR="003933D2">
        <w:t>0</w:t>
      </w:r>
      <w:r w:rsidR="002137EC">
        <w:t>).</w:t>
      </w:r>
      <w:r w:rsidR="00196CA4">
        <w:t xml:space="preserve"> </w:t>
      </w:r>
      <w:r w:rsidRPr="00711962">
        <w:t>SD</w:t>
      </w:r>
      <w:r w:rsidR="00711962">
        <w:t xml:space="preserve">G&amp;E adopts all of the values in </w:t>
      </w:r>
      <w:r w:rsidRPr="00711962">
        <w:t>S</w:t>
      </w:r>
      <w:r w:rsidR="00711962">
        <w:t>CG</w:t>
      </w:r>
      <w:r w:rsidR="003933D2">
        <w:t xml:space="preserve"> </w:t>
      </w:r>
      <w:r w:rsidR="00711962" w:rsidRPr="00711962">
        <w:t>WPSCGNRWH1</w:t>
      </w:r>
      <w:r w:rsidR="003933D2">
        <w:t>6</w:t>
      </w:r>
      <w:r w:rsidR="00711962" w:rsidRPr="00711962">
        <w:t>1</w:t>
      </w:r>
      <w:r w:rsidR="003933D2">
        <w:t>222A</w:t>
      </w:r>
      <w:r w:rsidR="00711962" w:rsidRPr="00711962">
        <w:t xml:space="preserve"> Rev </w:t>
      </w:r>
      <w:r w:rsidR="003933D2">
        <w:t>0</w:t>
      </w:r>
      <w:r w:rsidR="008E0122">
        <w:t xml:space="preserve">. </w:t>
      </w:r>
    </w:p>
    <w:p w14:paraId="3212C065" w14:textId="77777777" w:rsidR="008E0122" w:rsidRDefault="008E0122" w:rsidP="00542511"/>
    <w:p w14:paraId="375E2231" w14:textId="77777777" w:rsidR="00711962" w:rsidRDefault="00711962" w:rsidP="00542511"/>
    <w:p w14:paraId="0906DC84" w14:textId="77777777" w:rsidR="00542511" w:rsidRDefault="00542511" w:rsidP="00542511">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75"/>
        <w:gridCol w:w="1649"/>
        <w:gridCol w:w="5902"/>
      </w:tblGrid>
      <w:tr w:rsidR="00542511" w:rsidRPr="00500C4E" w14:paraId="56302E5E" w14:textId="77777777" w:rsidTr="00BE7F63">
        <w:trPr>
          <w:trHeight w:val="20"/>
        </w:trPr>
        <w:tc>
          <w:tcPr>
            <w:tcW w:w="280" w:type="pct"/>
            <w:shd w:val="clear" w:color="auto" w:fill="D9D9D9" w:themeFill="background1" w:themeFillShade="D9"/>
          </w:tcPr>
          <w:p w14:paraId="67466AA6" w14:textId="77777777" w:rsidR="00542511" w:rsidRPr="000E2B6B" w:rsidRDefault="00542511" w:rsidP="005B2619">
            <w:pPr>
              <w:rPr>
                <w:rStyle w:val="Strong"/>
                <w:bCs w:val="0"/>
              </w:rPr>
            </w:pPr>
            <w:r w:rsidRPr="000E2B6B">
              <w:rPr>
                <w:rStyle w:val="Strong"/>
              </w:rPr>
              <w:t>Rev</w:t>
            </w:r>
          </w:p>
        </w:tc>
        <w:tc>
          <w:tcPr>
            <w:tcW w:w="682" w:type="pct"/>
            <w:shd w:val="clear" w:color="auto" w:fill="D9D9D9" w:themeFill="background1" w:themeFillShade="D9"/>
          </w:tcPr>
          <w:p w14:paraId="13765313" w14:textId="77777777" w:rsidR="00542511" w:rsidRPr="000E2B6B" w:rsidRDefault="00542511" w:rsidP="005B2619">
            <w:pPr>
              <w:rPr>
                <w:rStyle w:val="Strong"/>
                <w:bCs w:val="0"/>
              </w:rPr>
            </w:pPr>
            <w:r w:rsidRPr="000E2B6B">
              <w:rPr>
                <w:rStyle w:val="Strong"/>
              </w:rPr>
              <w:t>Date</w:t>
            </w:r>
          </w:p>
        </w:tc>
        <w:tc>
          <w:tcPr>
            <w:tcW w:w="882" w:type="pct"/>
            <w:shd w:val="clear" w:color="auto" w:fill="D9D9D9" w:themeFill="background1" w:themeFillShade="D9"/>
          </w:tcPr>
          <w:p w14:paraId="3D5DC18A" w14:textId="77777777" w:rsidR="00542511" w:rsidRPr="000E2B6B" w:rsidRDefault="00542511" w:rsidP="005B2619">
            <w:pPr>
              <w:rPr>
                <w:rStyle w:val="Strong"/>
                <w:bCs w:val="0"/>
              </w:rPr>
            </w:pPr>
            <w:r w:rsidRPr="000E2B6B">
              <w:rPr>
                <w:rStyle w:val="Strong"/>
              </w:rPr>
              <w:t>Author</w:t>
            </w:r>
          </w:p>
        </w:tc>
        <w:tc>
          <w:tcPr>
            <w:tcW w:w="3156" w:type="pct"/>
            <w:shd w:val="clear" w:color="auto" w:fill="D9D9D9" w:themeFill="background1" w:themeFillShade="D9"/>
          </w:tcPr>
          <w:p w14:paraId="50D6A978" w14:textId="77777777" w:rsidR="00542511" w:rsidRPr="000E2B6B" w:rsidRDefault="00542511" w:rsidP="005B2619">
            <w:pPr>
              <w:rPr>
                <w:rStyle w:val="Strong"/>
                <w:bCs w:val="0"/>
              </w:rPr>
            </w:pPr>
            <w:r w:rsidRPr="000E2B6B">
              <w:rPr>
                <w:rStyle w:val="Strong"/>
              </w:rPr>
              <w:t>Summary of Changes</w:t>
            </w:r>
          </w:p>
        </w:tc>
      </w:tr>
      <w:tr w:rsidR="00542511" w:rsidRPr="00500C4E" w14:paraId="710D7DFA" w14:textId="77777777" w:rsidTr="00BE7F63">
        <w:trPr>
          <w:trHeight w:val="20"/>
        </w:trPr>
        <w:tc>
          <w:tcPr>
            <w:tcW w:w="280" w:type="pct"/>
            <w:vAlign w:val="center"/>
          </w:tcPr>
          <w:p w14:paraId="116FBAD2" w14:textId="77777777" w:rsidR="00542511" w:rsidRPr="007D04D7" w:rsidRDefault="00542511" w:rsidP="005B2619">
            <w:pPr>
              <w:jc w:val="center"/>
              <w:rPr>
                <w:rFonts w:cstheme="minorHAnsi"/>
                <w:sz w:val="22"/>
                <w:szCs w:val="22"/>
              </w:rPr>
            </w:pPr>
            <w:r w:rsidRPr="007D04D7">
              <w:rPr>
                <w:rFonts w:cstheme="minorHAnsi"/>
                <w:bCs/>
                <w:sz w:val="22"/>
                <w:szCs w:val="22"/>
              </w:rPr>
              <w:t>0</w:t>
            </w:r>
          </w:p>
        </w:tc>
        <w:tc>
          <w:tcPr>
            <w:tcW w:w="682" w:type="pct"/>
            <w:vAlign w:val="center"/>
          </w:tcPr>
          <w:p w14:paraId="065EC8A2" w14:textId="097F2F96" w:rsidR="00542511" w:rsidRPr="007D04D7" w:rsidRDefault="003933D2" w:rsidP="005B2619">
            <w:pPr>
              <w:jc w:val="center"/>
              <w:rPr>
                <w:rFonts w:cstheme="minorHAnsi"/>
                <w:sz w:val="22"/>
                <w:szCs w:val="22"/>
              </w:rPr>
            </w:pPr>
            <w:r w:rsidRPr="007D04D7">
              <w:rPr>
                <w:rFonts w:cstheme="minorHAnsi"/>
                <w:bCs/>
                <w:sz w:val="22"/>
                <w:szCs w:val="22"/>
              </w:rPr>
              <w:t>1</w:t>
            </w:r>
            <w:r w:rsidR="00542511" w:rsidRPr="007D04D7">
              <w:rPr>
                <w:rFonts w:cstheme="minorHAnsi"/>
                <w:bCs/>
                <w:sz w:val="22"/>
                <w:szCs w:val="22"/>
              </w:rPr>
              <w:t>/</w:t>
            </w:r>
            <w:r w:rsidR="00E015CF">
              <w:rPr>
                <w:rFonts w:cstheme="minorHAnsi"/>
                <w:bCs/>
                <w:sz w:val="22"/>
                <w:szCs w:val="22"/>
              </w:rPr>
              <w:t>02</w:t>
            </w:r>
            <w:r w:rsidR="00542511" w:rsidRPr="007D04D7">
              <w:rPr>
                <w:rFonts w:cstheme="minorHAnsi"/>
                <w:bCs/>
                <w:sz w:val="22"/>
                <w:szCs w:val="22"/>
              </w:rPr>
              <w:t>/201</w:t>
            </w:r>
            <w:r w:rsidR="00E015CF">
              <w:rPr>
                <w:rFonts w:cstheme="minorHAnsi"/>
                <w:bCs/>
                <w:sz w:val="22"/>
                <w:szCs w:val="22"/>
              </w:rPr>
              <w:t>8</w:t>
            </w:r>
          </w:p>
        </w:tc>
        <w:tc>
          <w:tcPr>
            <w:tcW w:w="882" w:type="pct"/>
            <w:vAlign w:val="center"/>
          </w:tcPr>
          <w:p w14:paraId="7D43A71F" w14:textId="117BF62F" w:rsidR="00542511" w:rsidRPr="007D04D7" w:rsidRDefault="003933D2" w:rsidP="00D35C9C">
            <w:pPr>
              <w:rPr>
                <w:rFonts w:cstheme="minorHAnsi"/>
                <w:sz w:val="22"/>
                <w:szCs w:val="22"/>
              </w:rPr>
            </w:pPr>
            <w:r w:rsidRPr="007D04D7">
              <w:rPr>
                <w:rFonts w:cs="Arial"/>
                <w:bCs/>
                <w:color w:val="000000" w:themeColor="text1"/>
                <w:sz w:val="22"/>
                <w:szCs w:val="22"/>
              </w:rPr>
              <w:t>Eduardo Reynoso</w:t>
            </w:r>
            <w:r w:rsidR="00542511" w:rsidRPr="007D04D7">
              <w:rPr>
                <w:rFonts w:cs="Arial"/>
                <w:bCs/>
                <w:color w:val="000000" w:themeColor="text1"/>
                <w:sz w:val="22"/>
                <w:szCs w:val="22"/>
              </w:rPr>
              <w:t xml:space="preserve"> / SDGE</w:t>
            </w:r>
          </w:p>
        </w:tc>
        <w:tc>
          <w:tcPr>
            <w:tcW w:w="3156" w:type="pct"/>
          </w:tcPr>
          <w:p w14:paraId="276F39EA" w14:textId="60CD6CA2" w:rsidR="00542511" w:rsidRPr="007D04D7" w:rsidRDefault="00542511" w:rsidP="005B2619">
            <w:pPr>
              <w:rPr>
                <w:rFonts w:cstheme="minorHAnsi"/>
                <w:sz w:val="22"/>
                <w:szCs w:val="22"/>
              </w:rPr>
            </w:pPr>
            <w:r w:rsidRPr="007D04D7">
              <w:rPr>
                <w:rFonts w:cs="Arial"/>
                <w:bCs/>
                <w:color w:val="000000" w:themeColor="text1"/>
                <w:sz w:val="22"/>
                <w:szCs w:val="22"/>
              </w:rPr>
              <w:t xml:space="preserve">Adopted from Southern California Gas Company WorkPaper </w:t>
            </w:r>
            <w:r w:rsidR="005714FC">
              <w:rPr>
                <w:rFonts w:cstheme="minorHAnsi"/>
                <w:szCs w:val="22"/>
              </w:rPr>
              <w:t>WPSCGNRWH161222A</w:t>
            </w:r>
            <w:r w:rsidR="003933D2" w:rsidRPr="007D04D7">
              <w:rPr>
                <w:rFonts w:cstheme="minorHAnsi"/>
                <w:sz w:val="22"/>
                <w:szCs w:val="22"/>
              </w:rPr>
              <w:t>, Revision 0</w:t>
            </w:r>
            <w:r w:rsidRPr="007D04D7">
              <w:rPr>
                <w:rFonts w:cs="Arial"/>
                <w:bCs/>
                <w:color w:val="000000" w:themeColor="text1"/>
                <w:sz w:val="22"/>
                <w:szCs w:val="22"/>
              </w:rPr>
              <w:t xml:space="preserve"> Dated </w:t>
            </w:r>
            <w:r w:rsidR="003933D2" w:rsidRPr="007D04D7">
              <w:rPr>
                <w:rFonts w:cs="Arial"/>
                <w:bCs/>
                <w:color w:val="000000" w:themeColor="text1"/>
                <w:sz w:val="22"/>
                <w:szCs w:val="22"/>
              </w:rPr>
              <w:t xml:space="preserve">March 24, </w:t>
            </w:r>
            <w:r w:rsidRPr="007D04D7">
              <w:rPr>
                <w:rFonts w:cs="Arial"/>
                <w:bCs/>
                <w:color w:val="000000" w:themeColor="text1"/>
                <w:sz w:val="22"/>
                <w:szCs w:val="22"/>
              </w:rPr>
              <w:t>201</w:t>
            </w:r>
            <w:r w:rsidR="003933D2" w:rsidRPr="007D04D7">
              <w:rPr>
                <w:rFonts w:cs="Arial"/>
                <w:bCs/>
                <w:color w:val="000000" w:themeColor="text1"/>
                <w:sz w:val="22"/>
                <w:szCs w:val="22"/>
              </w:rPr>
              <w:t>7</w:t>
            </w:r>
            <w:r w:rsidRPr="007D04D7">
              <w:rPr>
                <w:rFonts w:cs="Arial"/>
                <w:bCs/>
                <w:color w:val="000000" w:themeColor="text1"/>
                <w:sz w:val="22"/>
                <w:szCs w:val="22"/>
              </w:rPr>
              <w:t xml:space="preserve"> without changes</w:t>
            </w:r>
            <w:r w:rsidR="00C8339F">
              <w:rPr>
                <w:rFonts w:cs="Arial"/>
                <w:bCs/>
                <w:color w:val="000000" w:themeColor="text1"/>
                <w:sz w:val="22"/>
                <w:szCs w:val="22"/>
              </w:rPr>
              <w:t>.</w:t>
            </w:r>
          </w:p>
        </w:tc>
      </w:tr>
      <w:tr w:rsidR="00542511" w:rsidRPr="00500C4E" w14:paraId="5F54B632" w14:textId="77777777" w:rsidTr="00BE7F63">
        <w:trPr>
          <w:trHeight w:val="20"/>
        </w:trPr>
        <w:tc>
          <w:tcPr>
            <w:tcW w:w="280" w:type="pct"/>
            <w:vAlign w:val="center"/>
          </w:tcPr>
          <w:p w14:paraId="2DA6D3F6" w14:textId="57293B5E" w:rsidR="00542511" w:rsidRPr="000E2B6B" w:rsidRDefault="00542511" w:rsidP="005B2619">
            <w:pPr>
              <w:jc w:val="center"/>
              <w:rPr>
                <w:rStyle w:val="Strong"/>
                <w:b w:val="0"/>
              </w:rPr>
            </w:pPr>
          </w:p>
        </w:tc>
        <w:tc>
          <w:tcPr>
            <w:tcW w:w="682" w:type="pct"/>
            <w:vAlign w:val="center"/>
          </w:tcPr>
          <w:p w14:paraId="741E4CD2" w14:textId="396E4A68" w:rsidR="00542511" w:rsidRPr="000E2B6B" w:rsidRDefault="00542511" w:rsidP="005B2619">
            <w:pPr>
              <w:jc w:val="center"/>
              <w:rPr>
                <w:rStyle w:val="Strong"/>
                <w:b w:val="0"/>
              </w:rPr>
            </w:pPr>
          </w:p>
        </w:tc>
        <w:tc>
          <w:tcPr>
            <w:tcW w:w="882" w:type="pct"/>
            <w:vAlign w:val="center"/>
          </w:tcPr>
          <w:p w14:paraId="497606EE" w14:textId="5111F845" w:rsidR="00542511" w:rsidRPr="000E2B6B" w:rsidRDefault="00542511" w:rsidP="00D35C9C">
            <w:pPr>
              <w:rPr>
                <w:rStyle w:val="Strong"/>
                <w:b w:val="0"/>
              </w:rPr>
            </w:pPr>
          </w:p>
        </w:tc>
        <w:tc>
          <w:tcPr>
            <w:tcW w:w="3156" w:type="pct"/>
          </w:tcPr>
          <w:p w14:paraId="119A1643" w14:textId="78A79BD3" w:rsidR="00542511" w:rsidRPr="000E2B6B" w:rsidRDefault="00542511" w:rsidP="005B2619">
            <w:pPr>
              <w:rPr>
                <w:rStyle w:val="Strong"/>
                <w:b w:val="0"/>
                <w:bCs w:val="0"/>
              </w:rPr>
            </w:pPr>
          </w:p>
        </w:tc>
      </w:tr>
    </w:tbl>
    <w:p w14:paraId="79352D07" w14:textId="77777777" w:rsidR="008E0122" w:rsidRDefault="008E0122" w:rsidP="008E0122">
      <w:pPr>
        <w:pStyle w:val="Reminders"/>
        <w:rPr>
          <w:rFonts w:asciiTheme="minorHAnsi" w:hAnsiTheme="minorHAnsi" w:cstheme="minorHAnsi"/>
          <w:b/>
          <w:i w:val="0"/>
          <w:color w:val="auto"/>
          <w:szCs w:val="22"/>
        </w:rPr>
      </w:pPr>
    </w:p>
    <w:p w14:paraId="4EFA0E90" w14:textId="77777777" w:rsidR="002F0110" w:rsidRDefault="002F0110">
      <w:pPr>
        <w:spacing w:after="200" w:line="276" w:lineRule="auto"/>
        <w:rPr>
          <w:rFonts w:cstheme="minorHAnsi"/>
          <w:b/>
          <w:szCs w:val="22"/>
        </w:rPr>
      </w:pPr>
      <w:r>
        <w:rPr>
          <w:rFonts w:cstheme="minorHAnsi"/>
          <w:b/>
          <w:i/>
          <w:szCs w:val="22"/>
        </w:rPr>
        <w:br w:type="page"/>
      </w:r>
      <w:bookmarkStart w:id="3" w:name="_GoBack"/>
      <w:bookmarkEnd w:id="3"/>
    </w:p>
    <w:p w14:paraId="043D47BC" w14:textId="0ED2FB29" w:rsidR="002F0110" w:rsidRDefault="002F0110" w:rsidP="002F0110">
      <w:pPr>
        <w:pStyle w:val="Reminders"/>
        <w:rPr>
          <w:rFonts w:asciiTheme="minorHAnsi" w:hAnsiTheme="minorHAnsi" w:cstheme="minorHAnsi"/>
          <w:b/>
          <w:i w:val="0"/>
          <w:color w:val="auto"/>
          <w:szCs w:val="22"/>
        </w:rPr>
      </w:pPr>
      <w:r w:rsidRPr="00E208C6">
        <w:rPr>
          <w:rFonts w:asciiTheme="minorHAnsi" w:hAnsiTheme="minorHAnsi" w:cstheme="minorHAnsi"/>
          <w:b/>
          <w:i w:val="0"/>
          <w:color w:val="auto"/>
          <w:szCs w:val="22"/>
        </w:rPr>
        <w:lastRenderedPageBreak/>
        <w:t xml:space="preserve">Implementation and Installation Requirements </w:t>
      </w:r>
    </w:p>
    <w:p w14:paraId="3DF5A993" w14:textId="77777777" w:rsidR="002F0110" w:rsidRDefault="002F0110" w:rsidP="002F0110">
      <w:pPr>
        <w:pStyle w:val="Reminders"/>
        <w:rPr>
          <w:rFonts w:asciiTheme="minorHAnsi" w:hAnsiTheme="minorHAnsi" w:cstheme="minorHAnsi"/>
          <w:i w:val="0"/>
          <w:color w:val="000000" w:themeColor="text1"/>
          <w:szCs w:val="22"/>
        </w:rPr>
      </w:pPr>
      <w:r w:rsidRPr="00A1779C">
        <w:rPr>
          <w:rFonts w:asciiTheme="minorHAnsi" w:hAnsiTheme="minorHAnsi" w:cstheme="minorHAnsi"/>
          <w:i w:val="0"/>
          <w:color w:val="auto"/>
          <w:szCs w:val="22"/>
        </w:rPr>
        <w:t>This measure is to be implement</w:t>
      </w:r>
      <w:r>
        <w:rPr>
          <w:rFonts w:asciiTheme="minorHAnsi" w:hAnsiTheme="minorHAnsi" w:cstheme="minorHAnsi"/>
          <w:i w:val="0"/>
          <w:color w:val="auto"/>
          <w:szCs w:val="22"/>
        </w:rPr>
        <w:t xml:space="preserve">ed at private or public lavatory faucets in commercial buildings </w:t>
      </w:r>
      <w:r w:rsidRPr="00A1779C">
        <w:rPr>
          <w:rFonts w:asciiTheme="minorHAnsi" w:hAnsiTheme="minorHAnsi" w:cstheme="minorHAnsi"/>
          <w:i w:val="0"/>
          <w:color w:val="auto"/>
          <w:szCs w:val="22"/>
        </w:rPr>
        <w:t xml:space="preserve">as a Retrofit Add-on (REA) measure for existing faucets that </w:t>
      </w:r>
      <w:r>
        <w:rPr>
          <w:rFonts w:asciiTheme="minorHAnsi" w:hAnsiTheme="minorHAnsi" w:cstheme="minorHAnsi"/>
          <w:i w:val="0"/>
          <w:color w:val="auto"/>
          <w:szCs w:val="22"/>
        </w:rPr>
        <w:t>have a maximum flow rate of 2.2 GPM or greater</w:t>
      </w:r>
      <w:r w:rsidRPr="00A1779C">
        <w:rPr>
          <w:rFonts w:asciiTheme="minorHAnsi" w:hAnsiTheme="minorHAnsi" w:cstheme="minorHAnsi"/>
          <w:i w:val="0"/>
          <w:color w:val="auto"/>
          <w:szCs w:val="22"/>
        </w:rPr>
        <w:t xml:space="preserve">. </w:t>
      </w:r>
      <w:r w:rsidRPr="00206E35">
        <w:rPr>
          <w:rFonts w:asciiTheme="minorHAnsi" w:hAnsiTheme="minorHAnsi" w:cstheme="minorHAnsi"/>
          <w:i w:val="0"/>
          <w:color w:val="000000" w:themeColor="text1"/>
          <w:szCs w:val="22"/>
        </w:rPr>
        <w:t>These building types include, but are not limited to, restaurants, hotels/motels</w:t>
      </w:r>
      <w:r>
        <w:rPr>
          <w:rFonts w:asciiTheme="minorHAnsi" w:hAnsiTheme="minorHAnsi" w:cstheme="minorHAnsi"/>
          <w:i w:val="0"/>
          <w:color w:val="000000" w:themeColor="text1"/>
          <w:szCs w:val="22"/>
        </w:rPr>
        <w:t>, schools</w:t>
      </w:r>
      <w:r w:rsidRPr="00206E35">
        <w:rPr>
          <w:rFonts w:asciiTheme="minorHAnsi" w:hAnsiTheme="minorHAnsi" w:cstheme="minorHAnsi"/>
          <w:i w:val="0"/>
          <w:color w:val="000000" w:themeColor="text1"/>
          <w:szCs w:val="22"/>
        </w:rPr>
        <w:t xml:space="preserve">, universities, university campus housing, retail and offices. </w:t>
      </w:r>
    </w:p>
    <w:p w14:paraId="147741AC" w14:textId="77777777" w:rsidR="002F0110" w:rsidRDefault="002F0110" w:rsidP="002F0110">
      <w:pPr>
        <w:pStyle w:val="Reminders"/>
        <w:rPr>
          <w:rFonts w:asciiTheme="minorHAnsi" w:hAnsiTheme="minorHAnsi" w:cstheme="minorHAnsi"/>
          <w:i w:val="0"/>
          <w:color w:val="000000" w:themeColor="text1"/>
          <w:szCs w:val="22"/>
        </w:rPr>
      </w:pPr>
    </w:p>
    <w:p w14:paraId="3E1F3216" w14:textId="77777777" w:rsidR="002F0110" w:rsidRDefault="002F0110" w:rsidP="002F0110">
      <w:pPr>
        <w:pStyle w:val="Reminders"/>
        <w:rPr>
          <w:rFonts w:asciiTheme="minorHAnsi" w:hAnsiTheme="minorHAnsi" w:cstheme="minorHAnsi"/>
          <w:i w:val="0"/>
          <w:color w:val="000000" w:themeColor="text1"/>
          <w:szCs w:val="22"/>
        </w:rPr>
      </w:pPr>
      <w:r>
        <w:rPr>
          <w:rFonts w:asciiTheme="minorHAnsi" w:hAnsiTheme="minorHAnsi" w:cstheme="minorHAnsi"/>
          <w:i w:val="0"/>
          <w:color w:val="000000" w:themeColor="text1"/>
          <w:szCs w:val="22"/>
        </w:rPr>
        <w:t>Private lavatory faucets are defined as those that are found in individual dwelling units such as a hotel/motel guest room, dorm room, or nursing home room. Public lavatory faucets are defined as those found in bathrooms shared by a communal area such as a school, restaurant, hotel lobby, or office building.</w:t>
      </w:r>
    </w:p>
    <w:p w14:paraId="4DD13E39" w14:textId="77777777" w:rsidR="002F0110" w:rsidRDefault="002F0110" w:rsidP="002F0110">
      <w:pPr>
        <w:pStyle w:val="Reminders"/>
        <w:rPr>
          <w:rFonts w:asciiTheme="minorHAnsi" w:hAnsiTheme="minorHAnsi" w:cstheme="minorHAnsi"/>
          <w:i w:val="0"/>
          <w:color w:val="000000" w:themeColor="text1"/>
          <w:szCs w:val="22"/>
        </w:rPr>
      </w:pPr>
    </w:p>
    <w:p w14:paraId="6F4CEE71" w14:textId="77777777" w:rsidR="002F0110" w:rsidRPr="00B4429C" w:rsidRDefault="002F0110" w:rsidP="002F0110">
      <w:pPr>
        <w:pStyle w:val="Reminders"/>
        <w:rPr>
          <w:rFonts w:asciiTheme="minorHAnsi" w:hAnsiTheme="minorHAnsi" w:cstheme="minorHAnsi"/>
          <w:i w:val="0"/>
          <w:color w:val="000000" w:themeColor="text1"/>
          <w:szCs w:val="22"/>
        </w:rPr>
      </w:pPr>
      <w:r w:rsidRPr="00E208C6">
        <w:rPr>
          <w:rFonts w:asciiTheme="minorHAnsi" w:hAnsiTheme="minorHAnsi" w:cstheme="minorHAnsi"/>
          <w:i w:val="0"/>
          <w:color w:val="auto"/>
          <w:szCs w:val="22"/>
        </w:rPr>
        <w:t xml:space="preserve">Faucets at health care facilities that are subject to the Office of Statewide Health Planning and Development (OSHPD) code and regulation (e.g. hospitals, clinics, </w:t>
      </w:r>
      <w:r>
        <w:rPr>
          <w:rFonts w:asciiTheme="minorHAnsi" w:hAnsiTheme="minorHAnsi" w:cstheme="minorHAnsi"/>
          <w:i w:val="0"/>
          <w:color w:val="auto"/>
          <w:szCs w:val="22"/>
        </w:rPr>
        <w:t>skilled nursing facilities</w:t>
      </w:r>
      <w:r w:rsidRPr="00E208C6">
        <w:rPr>
          <w:rFonts w:asciiTheme="minorHAnsi" w:hAnsiTheme="minorHAnsi" w:cstheme="minorHAnsi"/>
          <w:i w:val="0"/>
          <w:color w:val="auto"/>
          <w:szCs w:val="22"/>
        </w:rPr>
        <w:t>) are not applicable for this measure. The use of aerators is banned in the health care industry due to the aerator’s flow control methods and components. The mixing of air and water within the aerator allows airborne bacteria to become waterborne and, in warm stagnant conditions, promote bacterial growth. Non-aerating laminar flow restrictors (LFRs) must be installed for faucets in these facilities.</w:t>
      </w:r>
    </w:p>
    <w:p w14:paraId="756447CE" w14:textId="77777777" w:rsidR="002F0110" w:rsidRPr="00E208C6" w:rsidRDefault="002F0110" w:rsidP="002F0110">
      <w:pPr>
        <w:pStyle w:val="Reminders"/>
        <w:rPr>
          <w:rFonts w:asciiTheme="minorHAnsi" w:hAnsiTheme="minorHAnsi" w:cstheme="minorHAnsi"/>
          <w:i w:val="0"/>
          <w:color w:val="auto"/>
          <w:szCs w:val="22"/>
        </w:rPr>
      </w:pPr>
    </w:p>
    <w:p w14:paraId="23239343" w14:textId="77777777" w:rsidR="002F0110" w:rsidRPr="00AE0B88" w:rsidRDefault="002F0110" w:rsidP="002F0110">
      <w:pPr>
        <w:pStyle w:val="Reminders"/>
        <w:rPr>
          <w:rFonts w:asciiTheme="minorHAnsi" w:hAnsiTheme="minorHAnsi" w:cstheme="minorHAnsi"/>
          <w:i w:val="0"/>
          <w:color w:val="auto"/>
          <w:szCs w:val="22"/>
        </w:rPr>
      </w:pPr>
      <w:r w:rsidRPr="00E208C6">
        <w:rPr>
          <w:rFonts w:asciiTheme="minorHAnsi" w:hAnsiTheme="minorHAnsi" w:cstheme="minorHAnsi"/>
          <w:i w:val="0"/>
          <w:color w:val="auto"/>
          <w:szCs w:val="22"/>
        </w:rPr>
        <w:t>This measure is applicable to all California climat</w:t>
      </w:r>
      <w:r>
        <w:rPr>
          <w:rFonts w:asciiTheme="minorHAnsi" w:hAnsiTheme="minorHAnsi" w:cstheme="minorHAnsi"/>
          <w:i w:val="0"/>
          <w:color w:val="auto"/>
          <w:szCs w:val="22"/>
        </w:rPr>
        <w:t>e zones and existing building vintages.</w:t>
      </w:r>
    </w:p>
    <w:p w14:paraId="65B1F172" w14:textId="77777777" w:rsidR="00BA08D7" w:rsidRDefault="00BA08D7" w:rsidP="00BA08D7"/>
    <w:p w14:paraId="01957425" w14:textId="77777777" w:rsidR="00CB11C9" w:rsidRDefault="00CB11C9" w:rsidP="00CB11C9">
      <w:pPr>
        <w:pStyle w:val="Caption"/>
        <w:keepNext/>
        <w:jc w:val="center"/>
      </w:pPr>
      <w:r>
        <w:t xml:space="preserve">Table </w:t>
      </w:r>
      <w:fldSimple w:instr=" SEQ Table \* ARABIC ">
        <w:r>
          <w:rPr>
            <w:noProof/>
          </w:rPr>
          <w:t>1</w:t>
        </w:r>
      </w:fldSimple>
      <w:r>
        <w:t>: Measure Summary Table</w:t>
      </w:r>
    </w:p>
    <w:p w14:paraId="5D95525B" w14:textId="77777777" w:rsidR="00CB11C9" w:rsidRDefault="00CB11C9" w:rsidP="00CB11C9"/>
    <w:tbl>
      <w:tblPr>
        <w:tblStyle w:val="TableGrid"/>
        <w:tblW w:w="11070" w:type="dxa"/>
        <w:tblInd w:w="-815" w:type="dxa"/>
        <w:tblLook w:val="04A0" w:firstRow="1" w:lastRow="0" w:firstColumn="1" w:lastColumn="0" w:noHBand="0" w:noVBand="1"/>
      </w:tblPr>
      <w:tblGrid>
        <w:gridCol w:w="2303"/>
        <w:gridCol w:w="8767"/>
      </w:tblGrid>
      <w:tr w:rsidR="00CB11C9" w14:paraId="13E75198" w14:textId="77777777" w:rsidTr="008E0122">
        <w:tc>
          <w:tcPr>
            <w:tcW w:w="2303" w:type="dxa"/>
          </w:tcPr>
          <w:p w14:paraId="44855FA0" w14:textId="77777777" w:rsidR="00CB11C9" w:rsidRPr="00D86243" w:rsidRDefault="00CB11C9" w:rsidP="005B2619">
            <w:pPr>
              <w:jc w:val="center"/>
              <w:rPr>
                <w:b/>
              </w:rPr>
            </w:pPr>
            <w:r w:rsidRPr="00D86243">
              <w:rPr>
                <w:b/>
              </w:rPr>
              <w:t>Section</w:t>
            </w:r>
          </w:p>
        </w:tc>
        <w:tc>
          <w:tcPr>
            <w:tcW w:w="8767" w:type="dxa"/>
          </w:tcPr>
          <w:p w14:paraId="4BB25803" w14:textId="77777777" w:rsidR="00CB11C9" w:rsidRPr="00D86243" w:rsidRDefault="00CB11C9" w:rsidP="005B2619">
            <w:pPr>
              <w:jc w:val="center"/>
              <w:rPr>
                <w:b/>
              </w:rPr>
            </w:pPr>
            <w:r w:rsidRPr="00D86243">
              <w:rPr>
                <w:b/>
              </w:rPr>
              <w:t>Value</w:t>
            </w:r>
          </w:p>
        </w:tc>
      </w:tr>
      <w:tr w:rsidR="00CB11C9" w14:paraId="0D167685" w14:textId="77777777" w:rsidTr="008E0122">
        <w:tc>
          <w:tcPr>
            <w:tcW w:w="2303" w:type="dxa"/>
            <w:vAlign w:val="center"/>
          </w:tcPr>
          <w:p w14:paraId="2C31FA47" w14:textId="77777777" w:rsidR="00CB11C9" w:rsidRPr="001D77F7" w:rsidRDefault="00CB11C9" w:rsidP="005B2619">
            <w:pPr>
              <w:rPr>
                <w:b/>
              </w:rPr>
            </w:pPr>
            <w:r w:rsidRPr="001D77F7">
              <w:rPr>
                <w:b/>
              </w:rPr>
              <w:t>1.1 Measure &amp; Baseline Data</w:t>
            </w:r>
          </w:p>
        </w:tc>
        <w:tc>
          <w:tcPr>
            <w:tcW w:w="8767" w:type="dxa"/>
          </w:tcPr>
          <w:tbl>
            <w:tblPr>
              <w:tblStyle w:val="TableGrid"/>
              <w:tblW w:w="0" w:type="auto"/>
              <w:tblLook w:val="04A0" w:firstRow="1" w:lastRow="0" w:firstColumn="1" w:lastColumn="0" w:noHBand="0" w:noVBand="1"/>
            </w:tblPr>
            <w:tblGrid>
              <w:gridCol w:w="915"/>
              <w:gridCol w:w="1080"/>
              <w:gridCol w:w="2160"/>
              <w:gridCol w:w="2160"/>
              <w:gridCol w:w="1496"/>
            </w:tblGrid>
            <w:tr w:rsidR="002F0110" w14:paraId="1D3B08CC" w14:textId="77777777" w:rsidTr="002F0110">
              <w:tc>
                <w:tcPr>
                  <w:tcW w:w="1995" w:type="dxa"/>
                  <w:gridSpan w:val="2"/>
                </w:tcPr>
                <w:p w14:paraId="661CAFFF" w14:textId="5EACD4DF" w:rsidR="002F0110" w:rsidRDefault="002F0110" w:rsidP="0046316A">
                  <w:pPr>
                    <w:jc w:val="center"/>
                  </w:pPr>
                  <w:r>
                    <w:t>Measure code</w:t>
                  </w:r>
                </w:p>
              </w:tc>
              <w:tc>
                <w:tcPr>
                  <w:tcW w:w="2160" w:type="dxa"/>
                </w:tcPr>
                <w:p w14:paraId="602CAAB9" w14:textId="77777777" w:rsidR="002F0110" w:rsidRDefault="002F0110" w:rsidP="00BE7F63"/>
              </w:tc>
              <w:tc>
                <w:tcPr>
                  <w:tcW w:w="3656" w:type="dxa"/>
                  <w:gridSpan w:val="2"/>
                </w:tcPr>
                <w:p w14:paraId="7EF1CC64" w14:textId="1E05D0EC" w:rsidR="002F0110" w:rsidRDefault="002F0110" w:rsidP="00BE7F63">
                  <w:r>
                    <w:t>Measures Characteristics</w:t>
                  </w:r>
                </w:p>
              </w:tc>
            </w:tr>
            <w:tr w:rsidR="002F0110" w14:paraId="2A437FEE" w14:textId="77777777" w:rsidTr="002F0110">
              <w:tc>
                <w:tcPr>
                  <w:tcW w:w="915" w:type="dxa"/>
                </w:tcPr>
                <w:p w14:paraId="7CCD464F" w14:textId="034F21F1" w:rsidR="002F0110" w:rsidRDefault="002F0110" w:rsidP="00BE7F63">
                  <w:r>
                    <w:t>SCG</w:t>
                  </w:r>
                </w:p>
              </w:tc>
              <w:tc>
                <w:tcPr>
                  <w:tcW w:w="1080" w:type="dxa"/>
                </w:tcPr>
                <w:p w14:paraId="6A0F3A7C" w14:textId="2DDF6C8B" w:rsidR="002F0110" w:rsidRDefault="002F0110" w:rsidP="00BE7F63">
                  <w:r>
                    <w:t>SDG&amp;E</w:t>
                  </w:r>
                </w:p>
              </w:tc>
              <w:tc>
                <w:tcPr>
                  <w:tcW w:w="2160" w:type="dxa"/>
                </w:tcPr>
                <w:p w14:paraId="561C8663" w14:textId="040949D2" w:rsidR="002F0110" w:rsidRDefault="002F0110" w:rsidP="00BE7F63">
                  <w:r>
                    <w:t>SDGE Measure ID</w:t>
                  </w:r>
                </w:p>
              </w:tc>
              <w:tc>
                <w:tcPr>
                  <w:tcW w:w="2160" w:type="dxa"/>
                </w:tcPr>
                <w:p w14:paraId="65439590" w14:textId="2C9E75DE" w:rsidR="002F0110" w:rsidRDefault="002F0110" w:rsidP="00BE7F63">
                  <w:r>
                    <w:t>Measure Name</w:t>
                  </w:r>
                </w:p>
              </w:tc>
              <w:tc>
                <w:tcPr>
                  <w:tcW w:w="1496" w:type="dxa"/>
                </w:tcPr>
                <w:p w14:paraId="6CCDB271" w14:textId="52DF7355" w:rsidR="002F0110" w:rsidRDefault="002F0110" w:rsidP="00BE7F63">
                  <w:r>
                    <w:t>MeasAppType</w:t>
                  </w:r>
                </w:p>
              </w:tc>
            </w:tr>
            <w:tr w:rsidR="002F0110" w14:paraId="3D49F30B" w14:textId="77777777" w:rsidTr="002F0110">
              <w:tc>
                <w:tcPr>
                  <w:tcW w:w="915" w:type="dxa"/>
                </w:tcPr>
                <w:p w14:paraId="7A8F9012" w14:textId="52212E0F" w:rsidR="002F0110" w:rsidRDefault="002F0110" w:rsidP="0046316A">
                  <w:r w:rsidRPr="00BE7F63">
                    <w:t>540445</w:t>
                  </w:r>
                </w:p>
              </w:tc>
              <w:tc>
                <w:tcPr>
                  <w:tcW w:w="1080" w:type="dxa"/>
                </w:tcPr>
                <w:p w14:paraId="609252F8" w14:textId="77777777" w:rsidR="002F0110" w:rsidRDefault="002F0110" w:rsidP="0046316A">
                  <w:r>
                    <w:t xml:space="preserve">464073 </w:t>
                  </w:r>
                </w:p>
                <w:p w14:paraId="7096EEBC" w14:textId="0E70E3D7" w:rsidR="002F0110" w:rsidRDefault="002F0110" w:rsidP="0046316A">
                  <w:r>
                    <w:t>464074</w:t>
                  </w:r>
                </w:p>
              </w:tc>
              <w:tc>
                <w:tcPr>
                  <w:tcW w:w="2160" w:type="dxa"/>
                </w:tcPr>
                <w:p w14:paraId="352B7DA6" w14:textId="38341AE3" w:rsidR="002F0110" w:rsidRDefault="002F0110" w:rsidP="0046316A">
                  <w:pPr>
                    <w:rPr>
                      <w:szCs w:val="20"/>
                    </w:rPr>
                  </w:pPr>
                  <w:r w:rsidRPr="002F0110">
                    <w:rPr>
                      <w:szCs w:val="20"/>
                    </w:rPr>
                    <w:t>WPSDGENRWH0014-Rev00-Msr001</w:t>
                  </w:r>
                </w:p>
              </w:tc>
              <w:tc>
                <w:tcPr>
                  <w:tcW w:w="2160" w:type="dxa"/>
                </w:tcPr>
                <w:p w14:paraId="69518739" w14:textId="1F5C5B69" w:rsidR="002F0110" w:rsidRDefault="002F0110" w:rsidP="0046316A">
                  <w:r>
                    <w:rPr>
                      <w:szCs w:val="20"/>
                    </w:rPr>
                    <w:t xml:space="preserve">Public Lavatory </w:t>
                  </w:r>
                  <w:r w:rsidRPr="003E28FD">
                    <w:rPr>
                      <w:szCs w:val="20"/>
                    </w:rPr>
                    <w:t xml:space="preserve">Faucet Aerator for Commercial </w:t>
                  </w:r>
                  <w:r>
                    <w:rPr>
                      <w:szCs w:val="20"/>
                    </w:rPr>
                    <w:t>Buildings – 0.5 GPM Flow Rate</w:t>
                  </w:r>
                </w:p>
              </w:tc>
              <w:tc>
                <w:tcPr>
                  <w:tcW w:w="1496" w:type="dxa"/>
                </w:tcPr>
                <w:p w14:paraId="77BD8951" w14:textId="63ECE36F" w:rsidR="002F0110" w:rsidRDefault="002F0110" w:rsidP="0046316A">
                  <w:r>
                    <w:t>REA</w:t>
                  </w:r>
                </w:p>
              </w:tc>
            </w:tr>
            <w:tr w:rsidR="002F0110" w14:paraId="3CD490CA" w14:textId="77777777" w:rsidTr="002F0110">
              <w:tc>
                <w:tcPr>
                  <w:tcW w:w="915" w:type="dxa"/>
                </w:tcPr>
                <w:p w14:paraId="58FDC855" w14:textId="27F3E41A" w:rsidR="002F0110" w:rsidRDefault="002F0110" w:rsidP="0046316A">
                  <w:r w:rsidRPr="00BE7F63">
                    <w:t>540446</w:t>
                  </w:r>
                </w:p>
              </w:tc>
              <w:tc>
                <w:tcPr>
                  <w:tcW w:w="1080" w:type="dxa"/>
                </w:tcPr>
                <w:p w14:paraId="15C87237" w14:textId="77777777" w:rsidR="002F0110" w:rsidRDefault="002F0110" w:rsidP="0046316A">
                  <w:r>
                    <w:t>464075</w:t>
                  </w:r>
                </w:p>
                <w:p w14:paraId="1AFB4ED5" w14:textId="05BAE65C" w:rsidR="002F0110" w:rsidRDefault="002F0110" w:rsidP="0046316A">
                  <w:r>
                    <w:t>464076</w:t>
                  </w:r>
                </w:p>
              </w:tc>
              <w:tc>
                <w:tcPr>
                  <w:tcW w:w="2160" w:type="dxa"/>
                </w:tcPr>
                <w:p w14:paraId="2B83FA23" w14:textId="38999A02" w:rsidR="002F0110" w:rsidRDefault="002F0110" w:rsidP="0046316A">
                  <w:pPr>
                    <w:rPr>
                      <w:szCs w:val="20"/>
                    </w:rPr>
                  </w:pPr>
                  <w:r w:rsidRPr="002F0110">
                    <w:rPr>
                      <w:szCs w:val="20"/>
                    </w:rPr>
                    <w:t>WPSDGENRWH0014-Rev00-Msr002</w:t>
                  </w:r>
                </w:p>
              </w:tc>
              <w:tc>
                <w:tcPr>
                  <w:tcW w:w="2160" w:type="dxa"/>
                </w:tcPr>
                <w:p w14:paraId="360BEEB6" w14:textId="60800D1D" w:rsidR="002F0110" w:rsidRDefault="002F0110" w:rsidP="0046316A">
                  <w:r>
                    <w:rPr>
                      <w:szCs w:val="20"/>
                    </w:rPr>
                    <w:t xml:space="preserve">Public Lavatory </w:t>
                  </w:r>
                  <w:r w:rsidRPr="003E28FD">
                    <w:rPr>
                      <w:szCs w:val="20"/>
                    </w:rPr>
                    <w:t xml:space="preserve">Faucet Aerator for Commercial </w:t>
                  </w:r>
                  <w:r>
                    <w:rPr>
                      <w:szCs w:val="20"/>
                    </w:rPr>
                    <w:t>Buildings – 1.0 GPM Flow Rate</w:t>
                  </w:r>
                </w:p>
              </w:tc>
              <w:tc>
                <w:tcPr>
                  <w:tcW w:w="1496" w:type="dxa"/>
                </w:tcPr>
                <w:p w14:paraId="02D191D7" w14:textId="4A0CC10D" w:rsidR="002F0110" w:rsidRDefault="002F0110" w:rsidP="0046316A">
                  <w:r>
                    <w:t>REA</w:t>
                  </w:r>
                </w:p>
              </w:tc>
            </w:tr>
            <w:tr w:rsidR="002F0110" w14:paraId="6379AE6D" w14:textId="77777777" w:rsidTr="002F0110">
              <w:tc>
                <w:tcPr>
                  <w:tcW w:w="915" w:type="dxa"/>
                </w:tcPr>
                <w:p w14:paraId="41C36B41" w14:textId="1C5C55C4" w:rsidR="002F0110" w:rsidRDefault="002F0110" w:rsidP="0046316A">
                  <w:r w:rsidRPr="00BE7F63">
                    <w:t>540447</w:t>
                  </w:r>
                </w:p>
              </w:tc>
              <w:tc>
                <w:tcPr>
                  <w:tcW w:w="1080" w:type="dxa"/>
                </w:tcPr>
                <w:p w14:paraId="00F66D3E" w14:textId="4A4586B3" w:rsidR="002F0110" w:rsidRDefault="002F0110" w:rsidP="0046316A">
                  <w:r>
                    <w:t>464077</w:t>
                  </w:r>
                </w:p>
              </w:tc>
              <w:tc>
                <w:tcPr>
                  <w:tcW w:w="2160" w:type="dxa"/>
                </w:tcPr>
                <w:p w14:paraId="3DFDB7B6" w14:textId="718A1E7E" w:rsidR="002F0110" w:rsidRDefault="002F0110" w:rsidP="0046316A">
                  <w:pPr>
                    <w:rPr>
                      <w:szCs w:val="20"/>
                    </w:rPr>
                  </w:pPr>
                  <w:r w:rsidRPr="002F0110">
                    <w:rPr>
                      <w:szCs w:val="20"/>
                    </w:rPr>
                    <w:t>WPSDGENRWH0014-Rev00-Msr003</w:t>
                  </w:r>
                </w:p>
              </w:tc>
              <w:tc>
                <w:tcPr>
                  <w:tcW w:w="2160" w:type="dxa"/>
                </w:tcPr>
                <w:p w14:paraId="08C981B9" w14:textId="011FDA13" w:rsidR="002F0110" w:rsidRDefault="002F0110" w:rsidP="0046316A">
                  <w:r>
                    <w:rPr>
                      <w:szCs w:val="20"/>
                    </w:rPr>
                    <w:t xml:space="preserve">Private Lavatory </w:t>
                  </w:r>
                  <w:r w:rsidRPr="003E28FD">
                    <w:rPr>
                      <w:szCs w:val="20"/>
                    </w:rPr>
                    <w:t xml:space="preserve">Faucet Aerator for Commercial </w:t>
                  </w:r>
                  <w:r>
                    <w:rPr>
                      <w:szCs w:val="20"/>
                    </w:rPr>
                    <w:t>Buildings – 0.5 GPM Flow Rate</w:t>
                  </w:r>
                </w:p>
              </w:tc>
              <w:tc>
                <w:tcPr>
                  <w:tcW w:w="1496" w:type="dxa"/>
                </w:tcPr>
                <w:p w14:paraId="35825167" w14:textId="2B293BAE" w:rsidR="002F0110" w:rsidRDefault="002F0110" w:rsidP="0046316A">
                  <w:r>
                    <w:t>REA</w:t>
                  </w:r>
                </w:p>
              </w:tc>
            </w:tr>
            <w:tr w:rsidR="002F0110" w14:paraId="72A9A09A" w14:textId="77777777" w:rsidTr="002F0110">
              <w:tc>
                <w:tcPr>
                  <w:tcW w:w="915" w:type="dxa"/>
                </w:tcPr>
                <w:p w14:paraId="09248710" w14:textId="5B9FA3E6" w:rsidR="002F0110" w:rsidRDefault="002F0110" w:rsidP="0046316A">
                  <w:r w:rsidRPr="00BE7F63">
                    <w:t>540448</w:t>
                  </w:r>
                </w:p>
              </w:tc>
              <w:tc>
                <w:tcPr>
                  <w:tcW w:w="1080" w:type="dxa"/>
                </w:tcPr>
                <w:p w14:paraId="595E184C" w14:textId="4A67AC29" w:rsidR="002F0110" w:rsidRDefault="002F0110" w:rsidP="0046316A">
                  <w:r>
                    <w:t>464078</w:t>
                  </w:r>
                </w:p>
              </w:tc>
              <w:tc>
                <w:tcPr>
                  <w:tcW w:w="2160" w:type="dxa"/>
                </w:tcPr>
                <w:p w14:paraId="7080DF3A" w14:textId="26AF3285" w:rsidR="002F0110" w:rsidRDefault="002F0110" w:rsidP="0046316A">
                  <w:pPr>
                    <w:rPr>
                      <w:szCs w:val="20"/>
                    </w:rPr>
                  </w:pPr>
                  <w:r w:rsidRPr="002F0110">
                    <w:rPr>
                      <w:szCs w:val="20"/>
                    </w:rPr>
                    <w:t>WPSDGENRWH0014-Rev00-Msr004</w:t>
                  </w:r>
                </w:p>
              </w:tc>
              <w:tc>
                <w:tcPr>
                  <w:tcW w:w="2160" w:type="dxa"/>
                </w:tcPr>
                <w:p w14:paraId="09D71140" w14:textId="497D8C6C" w:rsidR="002F0110" w:rsidRDefault="002F0110" w:rsidP="0046316A">
                  <w:r>
                    <w:rPr>
                      <w:szCs w:val="20"/>
                    </w:rPr>
                    <w:t xml:space="preserve">Private Lavatory </w:t>
                  </w:r>
                  <w:r w:rsidRPr="003E28FD">
                    <w:rPr>
                      <w:szCs w:val="20"/>
                    </w:rPr>
                    <w:t xml:space="preserve">Faucet Aerator for Commercial </w:t>
                  </w:r>
                  <w:r>
                    <w:rPr>
                      <w:szCs w:val="20"/>
                    </w:rPr>
                    <w:t>Buildings – 1.0 GPM Flow Rate</w:t>
                  </w:r>
                </w:p>
              </w:tc>
              <w:tc>
                <w:tcPr>
                  <w:tcW w:w="1496" w:type="dxa"/>
                </w:tcPr>
                <w:p w14:paraId="1ABD7E79" w14:textId="322F1072" w:rsidR="002F0110" w:rsidRDefault="002F0110" w:rsidP="0046316A">
                  <w:r>
                    <w:t>REA</w:t>
                  </w:r>
                </w:p>
              </w:tc>
            </w:tr>
          </w:tbl>
          <w:p w14:paraId="774AAA63" w14:textId="77777777" w:rsidR="0046316A" w:rsidRDefault="0046316A" w:rsidP="00BE7F63">
            <w:pPr>
              <w:rPr>
                <w:rFonts w:cs="Arial"/>
                <w:sz w:val="20"/>
                <w:szCs w:val="20"/>
              </w:rPr>
            </w:pPr>
          </w:p>
          <w:p w14:paraId="75CBEADD" w14:textId="037C719D" w:rsidR="0046316A" w:rsidRDefault="0046316A" w:rsidP="0046316A">
            <w:pPr>
              <w:pStyle w:val="Reminders"/>
              <w:rPr>
                <w:rFonts w:asciiTheme="minorHAnsi" w:hAnsiTheme="minorHAnsi" w:cstheme="minorHAnsi"/>
                <w:i w:val="0"/>
                <w:color w:val="auto"/>
                <w:szCs w:val="22"/>
              </w:rPr>
            </w:pPr>
            <w:r w:rsidRPr="00E208C6">
              <w:rPr>
                <w:rFonts w:asciiTheme="minorHAnsi" w:hAnsiTheme="minorHAnsi" w:cstheme="minorHAnsi"/>
                <w:i w:val="0"/>
                <w:color w:val="auto"/>
                <w:szCs w:val="22"/>
              </w:rPr>
              <w:t xml:space="preserve">This energy efficiency measure is applicable to existing faucets in commercial buildings that </w:t>
            </w:r>
            <w:r>
              <w:rPr>
                <w:rFonts w:asciiTheme="minorHAnsi" w:hAnsiTheme="minorHAnsi" w:cstheme="minorHAnsi"/>
                <w:i w:val="0"/>
                <w:color w:val="auto"/>
                <w:szCs w:val="22"/>
              </w:rPr>
              <w:t xml:space="preserve">have a maximum flow rate of 2.2 GPM or greater. </w:t>
            </w:r>
            <w:r w:rsidRPr="00E208C6">
              <w:rPr>
                <w:rFonts w:asciiTheme="minorHAnsi" w:hAnsiTheme="minorHAnsi" w:cstheme="minorHAnsi"/>
                <w:i w:val="0"/>
                <w:color w:val="auto"/>
                <w:szCs w:val="22"/>
              </w:rPr>
              <w:t xml:space="preserve">Only facilities that utilize natural </w:t>
            </w:r>
            <w:r w:rsidR="0098601C" w:rsidRPr="00E208C6">
              <w:rPr>
                <w:rFonts w:asciiTheme="minorHAnsi" w:hAnsiTheme="minorHAnsi" w:cstheme="minorHAnsi"/>
                <w:i w:val="0"/>
                <w:color w:val="auto"/>
                <w:szCs w:val="22"/>
              </w:rPr>
              <w:t>gas-</w:t>
            </w:r>
            <w:r w:rsidR="0098601C" w:rsidRPr="00E208C6">
              <w:rPr>
                <w:rFonts w:asciiTheme="minorHAnsi" w:hAnsiTheme="minorHAnsi" w:cstheme="minorHAnsi"/>
                <w:i w:val="0"/>
                <w:color w:val="auto"/>
                <w:szCs w:val="22"/>
              </w:rPr>
              <w:lastRenderedPageBreak/>
              <w:t>powered</w:t>
            </w:r>
            <w:r w:rsidRPr="00E208C6">
              <w:rPr>
                <w:rFonts w:asciiTheme="minorHAnsi" w:hAnsiTheme="minorHAnsi" w:cstheme="minorHAnsi"/>
                <w:i w:val="0"/>
                <w:color w:val="auto"/>
                <w:szCs w:val="22"/>
              </w:rPr>
              <w:t xml:space="preserve"> water hea</w:t>
            </w:r>
            <w:r>
              <w:rPr>
                <w:rFonts w:asciiTheme="minorHAnsi" w:hAnsiTheme="minorHAnsi" w:cstheme="minorHAnsi"/>
                <w:i w:val="0"/>
                <w:color w:val="auto"/>
                <w:szCs w:val="22"/>
              </w:rPr>
              <w:t xml:space="preserve">ting equipment are eligible </w:t>
            </w:r>
            <w:r w:rsidRPr="00E208C6">
              <w:rPr>
                <w:rFonts w:asciiTheme="minorHAnsi" w:hAnsiTheme="minorHAnsi" w:cstheme="minorHAnsi"/>
                <w:i w:val="0"/>
                <w:color w:val="auto"/>
                <w:szCs w:val="22"/>
              </w:rPr>
              <w:t>to receive</w:t>
            </w:r>
            <w:r>
              <w:rPr>
                <w:rFonts w:asciiTheme="minorHAnsi" w:hAnsiTheme="minorHAnsi" w:cstheme="minorHAnsi"/>
                <w:i w:val="0"/>
                <w:color w:val="auto"/>
                <w:szCs w:val="22"/>
              </w:rPr>
              <w:t xml:space="preserve"> incentives for this measure. Natural gas must be supplied by an investor owned utilities (IOU). </w:t>
            </w:r>
          </w:p>
          <w:p w14:paraId="145B4944" w14:textId="56D9A98F" w:rsidR="00F67972" w:rsidRPr="00BE7F63" w:rsidRDefault="00F67972" w:rsidP="00BE7F63">
            <w:pPr>
              <w:rPr>
                <w:rFonts w:cs="Arial"/>
                <w:sz w:val="20"/>
                <w:szCs w:val="20"/>
              </w:rPr>
            </w:pPr>
          </w:p>
        </w:tc>
      </w:tr>
      <w:tr w:rsidR="00CB11C9" w14:paraId="7C876EEE" w14:textId="77777777" w:rsidTr="008E0122">
        <w:tc>
          <w:tcPr>
            <w:tcW w:w="2303" w:type="dxa"/>
            <w:vAlign w:val="center"/>
          </w:tcPr>
          <w:p w14:paraId="31CD845D" w14:textId="48686D76" w:rsidR="00CB11C9" w:rsidRPr="007D04D7" w:rsidRDefault="00CB11C9" w:rsidP="005B2619">
            <w:pPr>
              <w:rPr>
                <w:b/>
                <w:szCs w:val="22"/>
              </w:rPr>
            </w:pPr>
            <w:r w:rsidRPr="007D04D7">
              <w:rPr>
                <w:b/>
                <w:szCs w:val="22"/>
              </w:rPr>
              <w:lastRenderedPageBreak/>
              <w:t xml:space="preserve">1.2 Technical Description </w:t>
            </w:r>
          </w:p>
        </w:tc>
        <w:tc>
          <w:tcPr>
            <w:tcW w:w="8767" w:type="dxa"/>
          </w:tcPr>
          <w:p w14:paraId="71AB3EC1" w14:textId="77777777" w:rsidR="0046316A" w:rsidRPr="007D04D7" w:rsidRDefault="0046316A" w:rsidP="000F5531">
            <w:pPr>
              <w:rPr>
                <w:rFonts w:cs="Arial"/>
                <w:szCs w:val="22"/>
              </w:rPr>
            </w:pPr>
            <w:r w:rsidRPr="007D04D7">
              <w:rPr>
                <w:rFonts w:cs="Arial"/>
                <w:szCs w:val="22"/>
              </w:rPr>
              <w:t>As cited per SCG workpaper “WPSCGNRWH161222A Rev0”:</w:t>
            </w:r>
          </w:p>
          <w:p w14:paraId="38C6E47F" w14:textId="77777777" w:rsidR="0046316A" w:rsidRPr="007D04D7" w:rsidRDefault="0046316A" w:rsidP="000F5531">
            <w:pPr>
              <w:rPr>
                <w:rFonts w:cs="Arial"/>
                <w:szCs w:val="22"/>
              </w:rPr>
            </w:pPr>
          </w:p>
          <w:p w14:paraId="12214EEC" w14:textId="77777777" w:rsidR="0046316A" w:rsidRPr="007D04D7" w:rsidRDefault="0046316A" w:rsidP="0046316A">
            <w:pPr>
              <w:pStyle w:val="Reminders"/>
              <w:tabs>
                <w:tab w:val="num" w:pos="360"/>
              </w:tabs>
              <w:spacing w:after="0"/>
              <w:rPr>
                <w:rFonts w:asciiTheme="minorHAnsi" w:hAnsiTheme="minorHAnsi" w:cstheme="minorHAnsi"/>
                <w:i w:val="0"/>
                <w:color w:val="auto"/>
                <w:szCs w:val="22"/>
              </w:rPr>
            </w:pPr>
            <w:r w:rsidRPr="007D04D7">
              <w:rPr>
                <w:rFonts w:asciiTheme="minorHAnsi" w:hAnsiTheme="minorHAnsi" w:cstheme="minorHAnsi"/>
                <w:i w:val="0"/>
                <w:color w:val="auto"/>
                <w:szCs w:val="22"/>
              </w:rPr>
              <w:t xml:space="preserve">Aerators are add-on devices that are installed at the faucet outlet to reduce the flow rate of water. This decrease in flow rate results in a reduction of the energy and water consumed by a faucet over a given operating time. The energy savings is a result of the decreased hot water consumption by the faucet.    </w:t>
            </w:r>
          </w:p>
          <w:p w14:paraId="22DD7992" w14:textId="77777777" w:rsidR="0046316A" w:rsidRPr="007D04D7" w:rsidRDefault="0046316A" w:rsidP="0046316A">
            <w:pPr>
              <w:pStyle w:val="Reminders"/>
              <w:tabs>
                <w:tab w:val="num" w:pos="360"/>
              </w:tabs>
              <w:rPr>
                <w:rFonts w:asciiTheme="minorHAnsi" w:hAnsiTheme="minorHAnsi" w:cstheme="minorHAnsi"/>
                <w:i w:val="0"/>
                <w:color w:val="auto"/>
                <w:szCs w:val="22"/>
              </w:rPr>
            </w:pPr>
          </w:p>
          <w:p w14:paraId="3DC2FD97" w14:textId="258D949B" w:rsidR="00CB11C9" w:rsidRPr="007D04D7" w:rsidRDefault="0046316A" w:rsidP="0046316A">
            <w:pPr>
              <w:rPr>
                <w:rFonts w:cs="Arial"/>
                <w:szCs w:val="22"/>
              </w:rPr>
            </w:pPr>
            <w:r w:rsidRPr="007D04D7">
              <w:rPr>
                <w:rFonts w:cstheme="minorHAnsi"/>
                <w:szCs w:val="22"/>
              </w:rPr>
              <w:t>Aerators reduce the water coming through a faucet by mixing it with air. Screens are used to introduce air into the water stream, dividing a single stream of water into many tiny streams. Since there is less space for the water to flow through, the flow rate of the water coming out of the faucet is reduced</w:t>
            </w:r>
          </w:p>
        </w:tc>
      </w:tr>
      <w:tr w:rsidR="00CB11C9" w14:paraId="11CCD6A4" w14:textId="77777777" w:rsidTr="008E0122">
        <w:tc>
          <w:tcPr>
            <w:tcW w:w="2303" w:type="dxa"/>
            <w:vAlign w:val="center"/>
          </w:tcPr>
          <w:p w14:paraId="6A63CAB9" w14:textId="1BD22C63" w:rsidR="0046316A" w:rsidRPr="007D04D7" w:rsidRDefault="00CB11C9" w:rsidP="00F67972">
            <w:pPr>
              <w:jc w:val="right"/>
              <w:rPr>
                <w:rFonts w:cs="Arial"/>
                <w:szCs w:val="22"/>
              </w:rPr>
            </w:pPr>
            <w:r w:rsidRPr="007D04D7">
              <w:rPr>
                <w:rFonts w:cs="Arial"/>
                <w:szCs w:val="22"/>
              </w:rPr>
              <w:t xml:space="preserve">Code </w:t>
            </w:r>
            <w:r w:rsidR="00F67972" w:rsidRPr="007D04D7">
              <w:rPr>
                <w:rFonts w:cs="Arial"/>
                <w:szCs w:val="22"/>
              </w:rPr>
              <w:t>for Measures</w:t>
            </w:r>
          </w:p>
          <w:p w14:paraId="68FD99F8" w14:textId="51DB5427" w:rsidR="008E0122" w:rsidRPr="007D04D7" w:rsidRDefault="008E0122" w:rsidP="00F67972">
            <w:pPr>
              <w:jc w:val="right"/>
              <w:rPr>
                <w:rFonts w:cs="Arial"/>
                <w:szCs w:val="22"/>
              </w:rPr>
            </w:pPr>
            <w:r w:rsidRPr="007D04D7">
              <w:rPr>
                <w:rFonts w:cs="Arial"/>
                <w:szCs w:val="22"/>
              </w:rPr>
              <w:t>(as cited per WPSCGNRWH161222A Rev0)</w:t>
            </w:r>
          </w:p>
          <w:p w14:paraId="376F7E81" w14:textId="540B75C1" w:rsidR="00CB11C9" w:rsidRPr="007D04D7" w:rsidRDefault="00CB11C9" w:rsidP="00F67972">
            <w:pPr>
              <w:jc w:val="right"/>
              <w:rPr>
                <w:rFonts w:cs="Arial"/>
                <w:szCs w:val="22"/>
              </w:rPr>
            </w:pPr>
          </w:p>
        </w:tc>
        <w:tc>
          <w:tcPr>
            <w:tcW w:w="8767" w:type="dxa"/>
          </w:tcPr>
          <w:p w14:paraId="4B54DDC6" w14:textId="62E51F35" w:rsidR="00F67972" w:rsidRPr="007D04D7" w:rsidRDefault="008E0122" w:rsidP="008E0122">
            <w:pPr>
              <w:rPr>
                <w:rFonts w:cs="Arial"/>
                <w:szCs w:val="22"/>
              </w:rPr>
            </w:pPr>
            <w:r w:rsidRPr="007D04D7">
              <w:rPr>
                <w:szCs w:val="22"/>
              </w:rPr>
              <w:t xml:space="preserve">Applicable codes for this measure are stipulated in Title 20 of the California Code of Regulations Table H-3 and H-4 in </w:t>
            </w:r>
            <w:r w:rsidRPr="007D04D7">
              <w:rPr>
                <w:b/>
                <w:i/>
                <w:szCs w:val="22"/>
              </w:rPr>
              <w:fldChar w:fldCharType="begin"/>
            </w:r>
            <w:r w:rsidRPr="007D04D7">
              <w:rPr>
                <w:b/>
                <w:i/>
                <w:szCs w:val="22"/>
              </w:rPr>
              <w:instrText xml:space="preserve"> REF _Ref478049343 \h  \* MERGEFORMAT </w:instrText>
            </w:r>
            <w:r w:rsidRPr="007D04D7">
              <w:rPr>
                <w:b/>
                <w:i/>
                <w:szCs w:val="22"/>
              </w:rPr>
            </w:r>
            <w:r w:rsidRPr="007D04D7">
              <w:rPr>
                <w:b/>
                <w:i/>
                <w:szCs w:val="22"/>
              </w:rPr>
              <w:fldChar w:fldCharType="separate"/>
            </w:r>
            <w:r w:rsidRPr="007D04D7">
              <w:rPr>
                <w:b/>
                <w:i/>
                <w:szCs w:val="22"/>
              </w:rPr>
              <w:t xml:space="preserve">Figure </w:t>
            </w:r>
            <w:r w:rsidRPr="007D04D7">
              <w:rPr>
                <w:b/>
                <w:i/>
                <w:noProof/>
                <w:szCs w:val="22"/>
              </w:rPr>
              <w:t>1</w:t>
            </w:r>
            <w:r w:rsidRPr="007D04D7">
              <w:rPr>
                <w:b/>
                <w:i/>
                <w:szCs w:val="22"/>
              </w:rPr>
              <w:fldChar w:fldCharType="end"/>
            </w:r>
            <w:r w:rsidRPr="007D04D7">
              <w:rPr>
                <w:szCs w:val="22"/>
              </w:rPr>
              <w:t xml:space="preserve">. A 2.2 GPM maximum flow rate or greater is used as an eligibility requirement for this measure but is not used as a baseline in the savings calculations due to the strong evidence of higher pre-existing faucet flow rates from the results of the studies in </w:t>
            </w:r>
            <w:r w:rsidRPr="007D04D7">
              <w:rPr>
                <w:b/>
                <w:i/>
                <w:szCs w:val="22"/>
              </w:rPr>
              <w:t xml:space="preserve">Section </w:t>
            </w:r>
            <w:r w:rsidRPr="007D04D7">
              <w:rPr>
                <w:b/>
                <w:i/>
                <w:szCs w:val="22"/>
              </w:rPr>
              <w:fldChar w:fldCharType="begin"/>
            </w:r>
            <w:r w:rsidRPr="007D04D7">
              <w:rPr>
                <w:b/>
                <w:i/>
                <w:szCs w:val="22"/>
              </w:rPr>
              <w:instrText xml:space="preserve"> REF _Ref478384482 \h  \* MERGEFORMAT </w:instrText>
            </w:r>
            <w:r w:rsidRPr="007D04D7">
              <w:rPr>
                <w:b/>
                <w:i/>
                <w:szCs w:val="22"/>
              </w:rPr>
            </w:r>
            <w:r w:rsidRPr="007D04D7">
              <w:rPr>
                <w:b/>
                <w:i/>
                <w:szCs w:val="22"/>
              </w:rPr>
              <w:fldChar w:fldCharType="separate"/>
            </w:r>
            <w:r w:rsidRPr="007D04D7">
              <w:rPr>
                <w:rFonts w:cstheme="minorHAnsi"/>
                <w:b/>
                <w:i/>
                <w:szCs w:val="22"/>
              </w:rPr>
              <w:t>1.5.</w:t>
            </w:r>
            <w:r w:rsidRPr="007D04D7">
              <w:rPr>
                <w:b/>
                <w:i/>
                <w:szCs w:val="22"/>
              </w:rPr>
              <w:fldChar w:fldCharType="end"/>
            </w:r>
          </w:p>
        </w:tc>
      </w:tr>
      <w:tr w:rsidR="00CB11C9" w14:paraId="7BB7F14B" w14:textId="77777777" w:rsidTr="008E0122">
        <w:tc>
          <w:tcPr>
            <w:tcW w:w="2303" w:type="dxa"/>
          </w:tcPr>
          <w:p w14:paraId="49BE6A1A" w14:textId="77777777" w:rsidR="00CB11C9" w:rsidRPr="001D77F7" w:rsidRDefault="00CB11C9" w:rsidP="005B2619">
            <w:pPr>
              <w:rPr>
                <w:b/>
              </w:rPr>
            </w:pPr>
            <w:r w:rsidRPr="001D77F7">
              <w:rPr>
                <w:b/>
              </w:rPr>
              <w:t>1.3 Installation Type and Delivery Mechanisms</w:t>
            </w:r>
          </w:p>
        </w:tc>
        <w:tc>
          <w:tcPr>
            <w:tcW w:w="8767" w:type="dxa"/>
          </w:tcPr>
          <w:p w14:paraId="28F936CC" w14:textId="77777777" w:rsidR="00CB11C9" w:rsidRPr="00D86243" w:rsidRDefault="00CB11C9" w:rsidP="005B2619">
            <w:pPr>
              <w:rPr>
                <w:rFonts w:cs="Arial"/>
                <w:sz w:val="20"/>
                <w:szCs w:val="20"/>
              </w:rPr>
            </w:pPr>
          </w:p>
        </w:tc>
      </w:tr>
      <w:tr w:rsidR="00CB11C9" w14:paraId="1706D494" w14:textId="77777777" w:rsidTr="008E0122">
        <w:tc>
          <w:tcPr>
            <w:tcW w:w="2303" w:type="dxa"/>
            <w:vAlign w:val="center"/>
          </w:tcPr>
          <w:p w14:paraId="5AB0CB7F" w14:textId="77777777" w:rsidR="00CB11C9" w:rsidRPr="007D04D7" w:rsidRDefault="00CB11C9" w:rsidP="005B2619">
            <w:pPr>
              <w:jc w:val="right"/>
              <w:rPr>
                <w:szCs w:val="22"/>
              </w:rPr>
            </w:pPr>
            <w:r w:rsidRPr="007D04D7">
              <w:rPr>
                <w:szCs w:val="22"/>
              </w:rPr>
              <w:t>Installation Type</w:t>
            </w:r>
          </w:p>
        </w:tc>
        <w:tc>
          <w:tcPr>
            <w:tcW w:w="8767" w:type="dxa"/>
          </w:tcPr>
          <w:p w14:paraId="07B4A62F" w14:textId="210CFBDB" w:rsidR="0046316A" w:rsidRDefault="0046316A" w:rsidP="001259FE">
            <w:pPr>
              <w:rPr>
                <w:rFonts w:cs="Arial"/>
                <w:sz w:val="20"/>
                <w:szCs w:val="20"/>
              </w:rPr>
            </w:pPr>
          </w:p>
          <w:p w14:paraId="40E1B643" w14:textId="03F8FC72" w:rsidR="0046316A" w:rsidRPr="007D04D7" w:rsidRDefault="0046316A" w:rsidP="0046316A">
            <w:pPr>
              <w:pStyle w:val="Caption"/>
              <w:keepNext/>
              <w:jc w:val="center"/>
              <w:rPr>
                <w:szCs w:val="22"/>
              </w:rPr>
            </w:pPr>
            <w:r w:rsidRPr="007D04D7">
              <w:rPr>
                <w:szCs w:val="22"/>
              </w:rPr>
              <w:t>Installation Type Descriptions</w:t>
            </w:r>
          </w:p>
          <w:tbl>
            <w:tblPr>
              <w:tblStyle w:val="TableGrid1"/>
              <w:tblW w:w="5000" w:type="pct"/>
              <w:tblLook w:val="04A0" w:firstRow="1" w:lastRow="0" w:firstColumn="1" w:lastColumn="0" w:noHBand="0" w:noVBand="1"/>
            </w:tblPr>
            <w:tblGrid>
              <w:gridCol w:w="1476"/>
              <w:gridCol w:w="2055"/>
              <w:gridCol w:w="1563"/>
              <w:gridCol w:w="1645"/>
              <w:gridCol w:w="1802"/>
            </w:tblGrid>
            <w:tr w:rsidR="0046316A" w:rsidRPr="007D04D7" w14:paraId="3A335148" w14:textId="77777777" w:rsidTr="0029763A">
              <w:trPr>
                <w:trHeight w:val="20"/>
              </w:trPr>
              <w:tc>
                <w:tcPr>
                  <w:tcW w:w="864" w:type="pct"/>
                  <w:vMerge w:val="restart"/>
                  <w:shd w:val="clear" w:color="auto" w:fill="D9D9D9" w:themeFill="background1" w:themeFillShade="D9"/>
                </w:tcPr>
                <w:p w14:paraId="2E1A11FD" w14:textId="77777777" w:rsidR="0046316A" w:rsidRPr="007D04D7" w:rsidRDefault="0046316A" w:rsidP="0046316A">
                  <w:pPr>
                    <w:rPr>
                      <w:b/>
                      <w:sz w:val="22"/>
                      <w:szCs w:val="22"/>
                    </w:rPr>
                  </w:pPr>
                  <w:r w:rsidRPr="007D04D7">
                    <w:rPr>
                      <w:b/>
                      <w:sz w:val="22"/>
                      <w:szCs w:val="22"/>
                    </w:rPr>
                    <w:t>Installation Type</w:t>
                  </w:r>
                </w:p>
              </w:tc>
              <w:tc>
                <w:tcPr>
                  <w:tcW w:w="2118" w:type="pct"/>
                  <w:gridSpan w:val="2"/>
                  <w:shd w:val="clear" w:color="auto" w:fill="D9D9D9" w:themeFill="background1" w:themeFillShade="D9"/>
                </w:tcPr>
                <w:p w14:paraId="3930F519" w14:textId="77777777" w:rsidR="0046316A" w:rsidRPr="007D04D7" w:rsidRDefault="0046316A" w:rsidP="0046316A">
                  <w:pPr>
                    <w:rPr>
                      <w:b/>
                      <w:sz w:val="22"/>
                      <w:szCs w:val="22"/>
                    </w:rPr>
                  </w:pPr>
                  <w:r w:rsidRPr="007D04D7">
                    <w:rPr>
                      <w:b/>
                      <w:sz w:val="22"/>
                      <w:szCs w:val="22"/>
                    </w:rPr>
                    <w:t>Savings</w:t>
                  </w:r>
                </w:p>
              </w:tc>
              <w:tc>
                <w:tcPr>
                  <w:tcW w:w="2019" w:type="pct"/>
                  <w:gridSpan w:val="2"/>
                  <w:shd w:val="clear" w:color="auto" w:fill="D9D9D9" w:themeFill="background1" w:themeFillShade="D9"/>
                </w:tcPr>
                <w:p w14:paraId="26377FEC" w14:textId="77777777" w:rsidR="0046316A" w:rsidRPr="007D04D7" w:rsidRDefault="0046316A" w:rsidP="0046316A">
                  <w:pPr>
                    <w:rPr>
                      <w:b/>
                      <w:sz w:val="22"/>
                      <w:szCs w:val="22"/>
                    </w:rPr>
                  </w:pPr>
                  <w:r w:rsidRPr="007D04D7">
                    <w:rPr>
                      <w:b/>
                      <w:sz w:val="22"/>
                      <w:szCs w:val="22"/>
                    </w:rPr>
                    <w:t>Life</w:t>
                  </w:r>
                </w:p>
              </w:tc>
            </w:tr>
            <w:tr w:rsidR="0046316A" w:rsidRPr="007D04D7" w14:paraId="28C03D9A" w14:textId="77777777" w:rsidTr="0029763A">
              <w:trPr>
                <w:trHeight w:val="20"/>
              </w:trPr>
              <w:tc>
                <w:tcPr>
                  <w:tcW w:w="864" w:type="pct"/>
                  <w:vMerge/>
                  <w:shd w:val="clear" w:color="auto" w:fill="D9D9D9" w:themeFill="background1" w:themeFillShade="D9"/>
                </w:tcPr>
                <w:p w14:paraId="5DC21B1C" w14:textId="77777777" w:rsidR="0046316A" w:rsidRPr="007D04D7" w:rsidRDefault="0046316A" w:rsidP="0046316A">
                  <w:pPr>
                    <w:rPr>
                      <w:sz w:val="22"/>
                      <w:szCs w:val="22"/>
                    </w:rPr>
                  </w:pPr>
                </w:p>
              </w:tc>
              <w:tc>
                <w:tcPr>
                  <w:tcW w:w="1203" w:type="pct"/>
                  <w:shd w:val="clear" w:color="auto" w:fill="F2F2F2" w:themeFill="background1" w:themeFillShade="F2"/>
                </w:tcPr>
                <w:p w14:paraId="7A96E6D9" w14:textId="77777777" w:rsidR="0046316A" w:rsidRPr="007D04D7" w:rsidRDefault="0046316A" w:rsidP="0046316A">
                  <w:pPr>
                    <w:rPr>
                      <w:sz w:val="22"/>
                      <w:szCs w:val="22"/>
                    </w:rPr>
                  </w:pPr>
                  <w:r w:rsidRPr="007D04D7">
                    <w:rPr>
                      <w:sz w:val="22"/>
                      <w:szCs w:val="22"/>
                    </w:rPr>
                    <w:t>1</w:t>
                  </w:r>
                  <w:r w:rsidRPr="007D04D7">
                    <w:rPr>
                      <w:sz w:val="22"/>
                      <w:szCs w:val="22"/>
                      <w:vertAlign w:val="superscript"/>
                    </w:rPr>
                    <w:t>st</w:t>
                  </w:r>
                  <w:r w:rsidRPr="007D04D7">
                    <w:rPr>
                      <w:sz w:val="22"/>
                      <w:szCs w:val="22"/>
                    </w:rPr>
                    <w:t xml:space="preserve"> Baseline (BL)</w:t>
                  </w:r>
                </w:p>
              </w:tc>
              <w:tc>
                <w:tcPr>
                  <w:tcW w:w="914" w:type="pct"/>
                  <w:shd w:val="clear" w:color="auto" w:fill="F2F2F2" w:themeFill="background1" w:themeFillShade="F2"/>
                </w:tcPr>
                <w:p w14:paraId="0A22FF55" w14:textId="77777777" w:rsidR="0046316A" w:rsidRPr="007D04D7" w:rsidRDefault="0046316A" w:rsidP="0046316A">
                  <w:pPr>
                    <w:rPr>
                      <w:sz w:val="22"/>
                      <w:szCs w:val="22"/>
                    </w:rPr>
                  </w:pPr>
                  <w:r w:rsidRPr="007D04D7">
                    <w:rPr>
                      <w:sz w:val="22"/>
                      <w:szCs w:val="22"/>
                    </w:rPr>
                    <w:t>2</w:t>
                  </w:r>
                  <w:r w:rsidRPr="007D04D7">
                    <w:rPr>
                      <w:sz w:val="22"/>
                      <w:szCs w:val="22"/>
                      <w:vertAlign w:val="superscript"/>
                    </w:rPr>
                    <w:t>nd</w:t>
                  </w:r>
                  <w:r w:rsidRPr="007D04D7">
                    <w:rPr>
                      <w:sz w:val="22"/>
                      <w:szCs w:val="22"/>
                    </w:rPr>
                    <w:t xml:space="preserve"> BL</w:t>
                  </w:r>
                </w:p>
              </w:tc>
              <w:tc>
                <w:tcPr>
                  <w:tcW w:w="963" w:type="pct"/>
                  <w:shd w:val="clear" w:color="auto" w:fill="F2F2F2" w:themeFill="background1" w:themeFillShade="F2"/>
                </w:tcPr>
                <w:p w14:paraId="7BAA13F3" w14:textId="77777777" w:rsidR="0046316A" w:rsidRPr="007D04D7" w:rsidRDefault="0046316A" w:rsidP="0046316A">
                  <w:pPr>
                    <w:rPr>
                      <w:sz w:val="22"/>
                      <w:szCs w:val="22"/>
                    </w:rPr>
                  </w:pPr>
                  <w:r w:rsidRPr="007D04D7">
                    <w:rPr>
                      <w:sz w:val="22"/>
                      <w:szCs w:val="22"/>
                    </w:rPr>
                    <w:t>1</w:t>
                  </w:r>
                  <w:r w:rsidRPr="007D04D7">
                    <w:rPr>
                      <w:sz w:val="22"/>
                      <w:szCs w:val="22"/>
                      <w:vertAlign w:val="superscript"/>
                    </w:rPr>
                    <w:t>st</w:t>
                  </w:r>
                  <w:r w:rsidRPr="007D04D7">
                    <w:rPr>
                      <w:sz w:val="22"/>
                      <w:szCs w:val="22"/>
                    </w:rPr>
                    <w:t xml:space="preserve"> BL</w:t>
                  </w:r>
                </w:p>
              </w:tc>
              <w:tc>
                <w:tcPr>
                  <w:tcW w:w="1056" w:type="pct"/>
                  <w:shd w:val="clear" w:color="auto" w:fill="F2F2F2" w:themeFill="background1" w:themeFillShade="F2"/>
                </w:tcPr>
                <w:p w14:paraId="46CC5AB2" w14:textId="77777777" w:rsidR="0046316A" w:rsidRPr="007D04D7" w:rsidRDefault="0046316A" w:rsidP="0046316A">
                  <w:pPr>
                    <w:rPr>
                      <w:sz w:val="22"/>
                      <w:szCs w:val="22"/>
                    </w:rPr>
                  </w:pPr>
                  <w:r w:rsidRPr="007D04D7">
                    <w:rPr>
                      <w:sz w:val="22"/>
                      <w:szCs w:val="22"/>
                    </w:rPr>
                    <w:t>2</w:t>
                  </w:r>
                  <w:r w:rsidRPr="007D04D7">
                    <w:rPr>
                      <w:sz w:val="22"/>
                      <w:szCs w:val="22"/>
                      <w:vertAlign w:val="superscript"/>
                    </w:rPr>
                    <w:t>nd</w:t>
                  </w:r>
                  <w:r w:rsidRPr="007D04D7">
                    <w:rPr>
                      <w:sz w:val="22"/>
                      <w:szCs w:val="22"/>
                    </w:rPr>
                    <w:t xml:space="preserve"> BL</w:t>
                  </w:r>
                </w:p>
              </w:tc>
            </w:tr>
            <w:tr w:rsidR="0046316A" w:rsidRPr="007D04D7" w14:paraId="3055B78D" w14:textId="77777777" w:rsidTr="0029763A">
              <w:trPr>
                <w:trHeight w:val="20"/>
              </w:trPr>
              <w:tc>
                <w:tcPr>
                  <w:tcW w:w="864" w:type="pct"/>
                </w:tcPr>
                <w:p w14:paraId="7207F5BD" w14:textId="77777777" w:rsidR="0046316A" w:rsidRPr="007D04D7" w:rsidRDefault="0046316A" w:rsidP="0046316A">
                  <w:pPr>
                    <w:rPr>
                      <w:sz w:val="22"/>
                      <w:szCs w:val="22"/>
                    </w:rPr>
                  </w:pPr>
                  <w:r w:rsidRPr="007D04D7">
                    <w:rPr>
                      <w:sz w:val="22"/>
                      <w:szCs w:val="22"/>
                    </w:rPr>
                    <w:t>Retrofit Add-on (REA)</w:t>
                  </w:r>
                </w:p>
              </w:tc>
              <w:tc>
                <w:tcPr>
                  <w:tcW w:w="1203" w:type="pct"/>
                </w:tcPr>
                <w:p w14:paraId="366B47BA" w14:textId="77777777" w:rsidR="0046316A" w:rsidRPr="007D04D7" w:rsidRDefault="0046316A" w:rsidP="0046316A">
                  <w:pPr>
                    <w:rPr>
                      <w:sz w:val="22"/>
                      <w:szCs w:val="22"/>
                    </w:rPr>
                  </w:pPr>
                  <w:r w:rsidRPr="007D04D7">
                    <w:rPr>
                      <w:sz w:val="22"/>
                      <w:szCs w:val="22"/>
                    </w:rPr>
                    <w:t xml:space="preserve">Above Customer Existing (See </w:t>
                  </w:r>
                  <w:r w:rsidRPr="007D04D7">
                    <w:rPr>
                      <w:b/>
                      <w:i/>
                      <w:sz w:val="22"/>
                      <w:szCs w:val="22"/>
                    </w:rPr>
                    <w:t xml:space="preserve">Section </w:t>
                  </w:r>
                  <w:r w:rsidRPr="007D04D7">
                    <w:rPr>
                      <w:b/>
                      <w:i/>
                      <w:szCs w:val="22"/>
                    </w:rPr>
                    <w:fldChar w:fldCharType="begin"/>
                  </w:r>
                  <w:r w:rsidRPr="007D04D7">
                    <w:rPr>
                      <w:b/>
                      <w:i/>
                      <w:sz w:val="22"/>
                      <w:szCs w:val="22"/>
                    </w:rPr>
                    <w:instrText xml:space="preserve"> REF _Ref478547362 \h  \* MERGEFORMAT </w:instrText>
                  </w:r>
                  <w:r w:rsidRPr="007D04D7">
                    <w:rPr>
                      <w:b/>
                      <w:i/>
                      <w:szCs w:val="22"/>
                    </w:rPr>
                  </w:r>
                  <w:r w:rsidRPr="007D04D7">
                    <w:rPr>
                      <w:b/>
                      <w:i/>
                      <w:szCs w:val="22"/>
                    </w:rPr>
                    <w:fldChar w:fldCharType="separate"/>
                  </w:r>
                  <w:r w:rsidRPr="007D04D7">
                    <w:rPr>
                      <w:rFonts w:cstheme="minorHAnsi"/>
                      <w:b/>
                      <w:i/>
                      <w:sz w:val="22"/>
                      <w:szCs w:val="22"/>
                    </w:rPr>
                    <w:t>2.1</w:t>
                  </w:r>
                  <w:r w:rsidRPr="007D04D7">
                    <w:rPr>
                      <w:b/>
                      <w:i/>
                      <w:szCs w:val="22"/>
                    </w:rPr>
                    <w:fldChar w:fldCharType="end"/>
                  </w:r>
                  <w:r w:rsidRPr="007D04D7">
                    <w:rPr>
                      <w:sz w:val="22"/>
                      <w:szCs w:val="22"/>
                    </w:rPr>
                    <w:t xml:space="preserve">) </w:t>
                  </w:r>
                </w:p>
              </w:tc>
              <w:tc>
                <w:tcPr>
                  <w:tcW w:w="914" w:type="pct"/>
                </w:tcPr>
                <w:p w14:paraId="4CAB6BFB" w14:textId="77777777" w:rsidR="0046316A" w:rsidRPr="007D04D7" w:rsidRDefault="0046316A" w:rsidP="0046316A">
                  <w:pPr>
                    <w:rPr>
                      <w:sz w:val="22"/>
                      <w:szCs w:val="22"/>
                    </w:rPr>
                  </w:pPr>
                  <w:r w:rsidRPr="007D04D7">
                    <w:rPr>
                      <w:sz w:val="22"/>
                      <w:szCs w:val="22"/>
                    </w:rPr>
                    <w:t xml:space="preserve">N/A (Above Code Baseline) </w:t>
                  </w:r>
                </w:p>
              </w:tc>
              <w:tc>
                <w:tcPr>
                  <w:tcW w:w="963" w:type="pct"/>
                </w:tcPr>
                <w:p w14:paraId="675A6BF9" w14:textId="77777777" w:rsidR="0046316A" w:rsidRPr="007D04D7" w:rsidRDefault="0046316A" w:rsidP="0046316A">
                  <w:pPr>
                    <w:rPr>
                      <w:sz w:val="22"/>
                      <w:szCs w:val="22"/>
                    </w:rPr>
                  </w:pPr>
                  <w:r w:rsidRPr="007D04D7">
                    <w:rPr>
                      <w:sz w:val="22"/>
                      <w:szCs w:val="22"/>
                    </w:rPr>
                    <w:t>RUL (6.67 years)</w:t>
                  </w:r>
                </w:p>
              </w:tc>
              <w:tc>
                <w:tcPr>
                  <w:tcW w:w="1056" w:type="pct"/>
                </w:tcPr>
                <w:p w14:paraId="12ED2FF6" w14:textId="77777777" w:rsidR="0046316A" w:rsidRPr="007D04D7" w:rsidRDefault="0046316A" w:rsidP="0046316A">
                  <w:pPr>
                    <w:rPr>
                      <w:sz w:val="22"/>
                      <w:szCs w:val="22"/>
                    </w:rPr>
                  </w:pPr>
                  <w:r w:rsidRPr="007D04D7">
                    <w:rPr>
                      <w:sz w:val="22"/>
                      <w:szCs w:val="22"/>
                    </w:rPr>
                    <w:t>EUL – RUL (13.33 years)</w:t>
                  </w:r>
                </w:p>
              </w:tc>
            </w:tr>
          </w:tbl>
          <w:p w14:paraId="62C41281" w14:textId="2F37B8AE" w:rsidR="00CB11C9" w:rsidRPr="001259FE" w:rsidRDefault="00CB11C9" w:rsidP="001259FE">
            <w:pPr>
              <w:rPr>
                <w:rFonts w:cs="Arial"/>
                <w:sz w:val="20"/>
                <w:szCs w:val="20"/>
              </w:rPr>
            </w:pPr>
          </w:p>
        </w:tc>
      </w:tr>
      <w:tr w:rsidR="00CB11C9" w14:paraId="135D5ADE" w14:textId="77777777" w:rsidTr="008E0122">
        <w:tc>
          <w:tcPr>
            <w:tcW w:w="2303" w:type="dxa"/>
            <w:vAlign w:val="center"/>
          </w:tcPr>
          <w:p w14:paraId="7C15F2F3" w14:textId="77777777" w:rsidR="00CB11C9" w:rsidRPr="007D04D7" w:rsidRDefault="00CB11C9" w:rsidP="005B2619">
            <w:pPr>
              <w:jc w:val="right"/>
              <w:rPr>
                <w:szCs w:val="22"/>
              </w:rPr>
            </w:pPr>
            <w:r w:rsidRPr="007D04D7">
              <w:rPr>
                <w:szCs w:val="22"/>
              </w:rPr>
              <w:t>Delivery Mechanisms</w:t>
            </w:r>
          </w:p>
        </w:tc>
        <w:tc>
          <w:tcPr>
            <w:tcW w:w="8767" w:type="dxa"/>
          </w:tcPr>
          <w:p w14:paraId="091310A3" w14:textId="6F426F5C" w:rsidR="0046316A" w:rsidRPr="007D04D7" w:rsidRDefault="0046316A" w:rsidP="0046316A">
            <w:pPr>
              <w:pStyle w:val="Caption"/>
              <w:keepNext/>
              <w:jc w:val="center"/>
              <w:rPr>
                <w:szCs w:val="22"/>
              </w:rPr>
            </w:pPr>
            <w:r w:rsidRPr="007D04D7">
              <w:rPr>
                <w:szCs w:val="22"/>
              </w:rPr>
              <w:t>Incentive Method Descriptions</w:t>
            </w:r>
          </w:p>
          <w:tbl>
            <w:tblPr>
              <w:tblStyle w:val="TableGrid1"/>
              <w:tblW w:w="5000" w:type="pct"/>
              <w:tblLook w:val="04A0" w:firstRow="1" w:lastRow="0" w:firstColumn="1" w:lastColumn="0" w:noHBand="0" w:noVBand="1"/>
            </w:tblPr>
            <w:tblGrid>
              <w:gridCol w:w="2216"/>
              <w:gridCol w:w="6325"/>
            </w:tblGrid>
            <w:tr w:rsidR="0046316A" w:rsidRPr="007D04D7" w14:paraId="280633AD" w14:textId="77777777" w:rsidTr="0029763A">
              <w:tc>
                <w:tcPr>
                  <w:tcW w:w="1297" w:type="pct"/>
                  <w:shd w:val="clear" w:color="auto" w:fill="D9D9D9" w:themeFill="background1" w:themeFillShade="D9"/>
                </w:tcPr>
                <w:p w14:paraId="3B71F2DD" w14:textId="77777777" w:rsidR="0046316A" w:rsidRPr="007D04D7" w:rsidRDefault="0046316A" w:rsidP="0046316A">
                  <w:pPr>
                    <w:rPr>
                      <w:b/>
                      <w:sz w:val="22"/>
                      <w:szCs w:val="22"/>
                    </w:rPr>
                  </w:pPr>
                  <w:r w:rsidRPr="007D04D7">
                    <w:rPr>
                      <w:b/>
                      <w:sz w:val="22"/>
                      <w:szCs w:val="22"/>
                    </w:rPr>
                    <w:t>Incentive Method</w:t>
                  </w:r>
                </w:p>
              </w:tc>
              <w:tc>
                <w:tcPr>
                  <w:tcW w:w="3703" w:type="pct"/>
                  <w:shd w:val="clear" w:color="auto" w:fill="D9D9D9" w:themeFill="background1" w:themeFillShade="D9"/>
                </w:tcPr>
                <w:p w14:paraId="1D7EE439" w14:textId="77777777" w:rsidR="0046316A" w:rsidRPr="007D04D7" w:rsidRDefault="0046316A" w:rsidP="0046316A">
                  <w:pPr>
                    <w:rPr>
                      <w:b/>
                      <w:sz w:val="22"/>
                      <w:szCs w:val="22"/>
                    </w:rPr>
                  </w:pPr>
                  <w:r w:rsidRPr="007D04D7">
                    <w:rPr>
                      <w:b/>
                      <w:sz w:val="22"/>
                      <w:szCs w:val="22"/>
                    </w:rPr>
                    <w:t>Description</w:t>
                  </w:r>
                </w:p>
              </w:tc>
            </w:tr>
            <w:tr w:rsidR="0046316A" w:rsidRPr="007D04D7" w14:paraId="4F7D5927" w14:textId="77777777" w:rsidTr="0029763A">
              <w:tc>
                <w:tcPr>
                  <w:tcW w:w="1297" w:type="pct"/>
                </w:tcPr>
                <w:p w14:paraId="10F94CF1" w14:textId="77777777" w:rsidR="0046316A" w:rsidRPr="007D04D7" w:rsidRDefault="0046316A" w:rsidP="0046316A">
                  <w:pPr>
                    <w:autoSpaceDE w:val="0"/>
                    <w:autoSpaceDN w:val="0"/>
                    <w:adjustRightInd w:val="0"/>
                    <w:spacing w:line="240" w:lineRule="atLeast"/>
                    <w:rPr>
                      <w:sz w:val="22"/>
                      <w:szCs w:val="22"/>
                    </w:rPr>
                  </w:pPr>
                  <w:r w:rsidRPr="007D04D7">
                    <w:rPr>
                      <w:rFonts w:cs="Helv"/>
                      <w:sz w:val="22"/>
                      <w:szCs w:val="22"/>
                    </w:rPr>
                    <w:t>Direct Install (DirInstall)</w:t>
                  </w:r>
                </w:p>
              </w:tc>
              <w:tc>
                <w:tcPr>
                  <w:tcW w:w="3703" w:type="pct"/>
                </w:tcPr>
                <w:p w14:paraId="47096BE7" w14:textId="77777777" w:rsidR="0046316A" w:rsidRPr="007D04D7" w:rsidRDefault="0046316A" w:rsidP="0046316A">
                  <w:pPr>
                    <w:autoSpaceDE w:val="0"/>
                    <w:autoSpaceDN w:val="0"/>
                    <w:adjustRightInd w:val="0"/>
                    <w:rPr>
                      <w:sz w:val="22"/>
                      <w:szCs w:val="22"/>
                    </w:rPr>
                  </w:pPr>
                  <w:r w:rsidRPr="007D04D7">
                    <w:rPr>
                      <w:rFonts w:cs="Helv"/>
                      <w:sz w:val="22"/>
                      <w:szCs w:val="22"/>
                    </w:rPr>
                    <w:t xml:space="preserve">The program </w:t>
                  </w:r>
                  <w:r w:rsidRPr="007D04D7">
                    <w:rPr>
                      <w:sz w:val="22"/>
                      <w:szCs w:val="22"/>
                    </w:rPr>
                    <w:t>implements energy efficiency measures for qualifying customers, at no cost to the customer.</w:t>
                  </w:r>
                </w:p>
              </w:tc>
            </w:tr>
            <w:tr w:rsidR="00870D6A" w:rsidRPr="007D04D7" w14:paraId="1C7926F4" w14:textId="77777777" w:rsidTr="0029763A">
              <w:tc>
                <w:tcPr>
                  <w:tcW w:w="1297" w:type="pct"/>
                </w:tcPr>
                <w:p w14:paraId="5F26B756" w14:textId="1B9E650C" w:rsidR="00870D6A" w:rsidRPr="007D04D7" w:rsidRDefault="00870D6A" w:rsidP="0046316A">
                  <w:pPr>
                    <w:autoSpaceDE w:val="0"/>
                    <w:autoSpaceDN w:val="0"/>
                    <w:adjustRightInd w:val="0"/>
                    <w:spacing w:line="240" w:lineRule="atLeast"/>
                    <w:rPr>
                      <w:rFonts w:cs="Helv"/>
                      <w:sz w:val="22"/>
                      <w:szCs w:val="22"/>
                    </w:rPr>
                  </w:pPr>
                  <w:r w:rsidRPr="007D04D7">
                    <w:rPr>
                      <w:rFonts w:cs="Helv"/>
                      <w:sz w:val="22"/>
                      <w:szCs w:val="22"/>
                    </w:rPr>
                    <w:t>Downstream Rebate (PreRebDown)</w:t>
                  </w:r>
                </w:p>
              </w:tc>
              <w:tc>
                <w:tcPr>
                  <w:tcW w:w="3703" w:type="pct"/>
                </w:tcPr>
                <w:p w14:paraId="6B544F75" w14:textId="352D412B" w:rsidR="00870D6A" w:rsidRPr="007D04D7" w:rsidRDefault="007D04D7" w:rsidP="0046316A">
                  <w:pPr>
                    <w:autoSpaceDE w:val="0"/>
                    <w:autoSpaceDN w:val="0"/>
                    <w:adjustRightInd w:val="0"/>
                    <w:rPr>
                      <w:rFonts w:cs="Helv"/>
                      <w:sz w:val="22"/>
                      <w:szCs w:val="22"/>
                    </w:rPr>
                  </w:pPr>
                  <w:r w:rsidRPr="007D04D7">
                    <w:rPr>
                      <w:rFonts w:cs="Helv"/>
                      <w:sz w:val="22"/>
                      <w:szCs w:val="22"/>
                    </w:rPr>
                    <w:t xml:space="preserve">The program </w:t>
                  </w:r>
                  <w:r w:rsidRPr="007D04D7">
                    <w:rPr>
                      <w:sz w:val="22"/>
                      <w:szCs w:val="22"/>
                    </w:rPr>
                    <w:t>implements energy efficiency measures for qualifying customers, at a cost to the customer.</w:t>
                  </w:r>
                </w:p>
              </w:tc>
            </w:tr>
          </w:tbl>
          <w:p w14:paraId="00DC02A0" w14:textId="1A282628" w:rsidR="0046316A" w:rsidRPr="00CF0DA9" w:rsidRDefault="0046316A" w:rsidP="00CF0DA9">
            <w:pPr>
              <w:rPr>
                <w:rFonts w:cs="Arial"/>
                <w:sz w:val="20"/>
                <w:szCs w:val="20"/>
              </w:rPr>
            </w:pPr>
          </w:p>
        </w:tc>
      </w:tr>
      <w:tr w:rsidR="00CB11C9" w14:paraId="1CEA8B67" w14:textId="77777777" w:rsidTr="008E0122">
        <w:tc>
          <w:tcPr>
            <w:tcW w:w="2303" w:type="dxa"/>
          </w:tcPr>
          <w:p w14:paraId="7F73A69A" w14:textId="77777777" w:rsidR="00CB11C9" w:rsidRPr="001D77F7" w:rsidRDefault="00CB11C9" w:rsidP="005B2619">
            <w:pPr>
              <w:rPr>
                <w:b/>
              </w:rPr>
            </w:pPr>
            <w:r w:rsidRPr="001D77F7">
              <w:rPr>
                <w:b/>
              </w:rPr>
              <w:t>1.4.1 DEER Data</w:t>
            </w:r>
          </w:p>
        </w:tc>
        <w:tc>
          <w:tcPr>
            <w:tcW w:w="8767" w:type="dxa"/>
          </w:tcPr>
          <w:p w14:paraId="12CB50E1" w14:textId="77777777" w:rsidR="00CB11C9" w:rsidRDefault="00CB11C9" w:rsidP="005B2619"/>
        </w:tc>
      </w:tr>
      <w:tr w:rsidR="00CB11C9" w14:paraId="01BD478D" w14:textId="77777777" w:rsidTr="008E0122">
        <w:tc>
          <w:tcPr>
            <w:tcW w:w="2303" w:type="dxa"/>
          </w:tcPr>
          <w:p w14:paraId="6CF2A2B7" w14:textId="77777777" w:rsidR="00CB11C9" w:rsidRPr="007D04D7" w:rsidRDefault="00CB11C9" w:rsidP="005B2619">
            <w:pPr>
              <w:jc w:val="right"/>
              <w:rPr>
                <w:szCs w:val="22"/>
              </w:rPr>
            </w:pPr>
            <w:r w:rsidRPr="007D04D7">
              <w:rPr>
                <w:szCs w:val="22"/>
              </w:rPr>
              <w:t>DEER Measure ID</w:t>
            </w:r>
          </w:p>
        </w:tc>
        <w:tc>
          <w:tcPr>
            <w:tcW w:w="8767" w:type="dxa"/>
          </w:tcPr>
          <w:p w14:paraId="33593E71" w14:textId="77777777" w:rsidR="00CB11C9" w:rsidRPr="007D04D7" w:rsidRDefault="00CB11C9" w:rsidP="005B2619">
            <w:pPr>
              <w:rPr>
                <w:rFonts w:cs="Arial"/>
                <w:szCs w:val="22"/>
              </w:rPr>
            </w:pPr>
            <w:r w:rsidRPr="007D04D7">
              <w:rPr>
                <w:rFonts w:cs="Arial"/>
                <w:szCs w:val="22"/>
              </w:rPr>
              <w:t>DEER does not contain this type of measure.</w:t>
            </w:r>
          </w:p>
        </w:tc>
      </w:tr>
      <w:tr w:rsidR="00CB11C9" w14:paraId="37374930" w14:textId="77777777" w:rsidTr="008E0122">
        <w:tc>
          <w:tcPr>
            <w:tcW w:w="2303" w:type="dxa"/>
            <w:vAlign w:val="center"/>
          </w:tcPr>
          <w:p w14:paraId="556E9F2C" w14:textId="77777777" w:rsidR="00CB11C9" w:rsidRPr="007D04D7" w:rsidRDefault="00CB11C9" w:rsidP="005B2619">
            <w:pPr>
              <w:jc w:val="right"/>
              <w:rPr>
                <w:szCs w:val="22"/>
              </w:rPr>
            </w:pPr>
            <w:r w:rsidRPr="007D04D7">
              <w:rPr>
                <w:szCs w:val="22"/>
              </w:rPr>
              <w:t>Net-to-Gross Ratio</w:t>
            </w:r>
          </w:p>
        </w:tc>
        <w:tc>
          <w:tcPr>
            <w:tcW w:w="8767" w:type="dxa"/>
          </w:tcPr>
          <w:p w14:paraId="07998BC2" w14:textId="06133A07" w:rsidR="0046316A" w:rsidRPr="007D04D7" w:rsidRDefault="0046316A" w:rsidP="0046316A">
            <w:pPr>
              <w:pStyle w:val="Caption"/>
              <w:keepNext/>
              <w:jc w:val="center"/>
              <w:rPr>
                <w:szCs w:val="22"/>
              </w:rPr>
            </w:pPr>
            <w:r w:rsidRPr="007D04D7">
              <w:rPr>
                <w:szCs w:val="22"/>
              </w:rPr>
              <w:t>NTG Values</w:t>
            </w:r>
          </w:p>
          <w:tbl>
            <w:tblPr>
              <w:tblStyle w:val="TableGrid1"/>
              <w:tblW w:w="5000" w:type="pct"/>
              <w:tblLook w:val="01E0" w:firstRow="1" w:lastRow="1" w:firstColumn="1" w:lastColumn="1" w:noHBand="0" w:noVBand="0"/>
            </w:tblPr>
            <w:tblGrid>
              <w:gridCol w:w="1467"/>
              <w:gridCol w:w="2668"/>
              <w:gridCol w:w="1175"/>
              <w:gridCol w:w="1058"/>
              <w:gridCol w:w="1023"/>
              <w:gridCol w:w="1150"/>
            </w:tblGrid>
            <w:tr w:rsidR="008E0122" w:rsidRPr="007D04D7" w14:paraId="571A4DCE" w14:textId="77777777" w:rsidTr="0046316A">
              <w:tc>
                <w:tcPr>
                  <w:tcW w:w="808" w:type="pct"/>
                  <w:shd w:val="clear" w:color="auto" w:fill="D9D9D9" w:themeFill="background1" w:themeFillShade="D9"/>
                </w:tcPr>
                <w:p w14:paraId="289349AD" w14:textId="77777777" w:rsidR="0046316A" w:rsidRPr="007D04D7" w:rsidRDefault="0046316A" w:rsidP="0046316A">
                  <w:pPr>
                    <w:rPr>
                      <w:rFonts w:cstheme="minorHAnsi"/>
                      <w:b/>
                      <w:sz w:val="22"/>
                      <w:szCs w:val="22"/>
                    </w:rPr>
                  </w:pPr>
                  <w:r w:rsidRPr="007D04D7">
                    <w:rPr>
                      <w:rFonts w:cstheme="minorHAnsi"/>
                      <w:b/>
                      <w:sz w:val="22"/>
                      <w:szCs w:val="22"/>
                    </w:rPr>
                    <w:t>NTGR ID</w:t>
                  </w:r>
                </w:p>
              </w:tc>
              <w:tc>
                <w:tcPr>
                  <w:tcW w:w="1587" w:type="pct"/>
                  <w:shd w:val="clear" w:color="auto" w:fill="D9D9D9" w:themeFill="background1" w:themeFillShade="D9"/>
                </w:tcPr>
                <w:p w14:paraId="357E2E2A" w14:textId="77777777" w:rsidR="0046316A" w:rsidRPr="007D04D7" w:rsidRDefault="0046316A" w:rsidP="0046316A">
                  <w:pPr>
                    <w:rPr>
                      <w:rFonts w:cstheme="minorHAnsi"/>
                      <w:b/>
                      <w:sz w:val="22"/>
                      <w:szCs w:val="22"/>
                    </w:rPr>
                  </w:pPr>
                  <w:r w:rsidRPr="007D04D7">
                    <w:rPr>
                      <w:rFonts w:cstheme="minorHAnsi"/>
                      <w:b/>
                      <w:sz w:val="22"/>
                      <w:szCs w:val="22"/>
                    </w:rPr>
                    <w:t>Description</w:t>
                  </w:r>
                </w:p>
              </w:tc>
              <w:tc>
                <w:tcPr>
                  <w:tcW w:w="713" w:type="pct"/>
                  <w:shd w:val="clear" w:color="auto" w:fill="D9D9D9" w:themeFill="background1" w:themeFillShade="D9"/>
                </w:tcPr>
                <w:p w14:paraId="44BDE390" w14:textId="77777777" w:rsidR="0046316A" w:rsidRPr="007D04D7" w:rsidRDefault="0046316A" w:rsidP="0046316A">
                  <w:pPr>
                    <w:rPr>
                      <w:rFonts w:cstheme="minorHAnsi"/>
                      <w:b/>
                      <w:sz w:val="22"/>
                      <w:szCs w:val="22"/>
                    </w:rPr>
                  </w:pPr>
                  <w:r w:rsidRPr="007D04D7">
                    <w:rPr>
                      <w:rFonts w:cstheme="minorHAnsi"/>
                      <w:b/>
                      <w:sz w:val="22"/>
                      <w:szCs w:val="22"/>
                    </w:rPr>
                    <w:t>Sector</w:t>
                  </w:r>
                </w:p>
              </w:tc>
              <w:tc>
                <w:tcPr>
                  <w:tcW w:w="571" w:type="pct"/>
                  <w:shd w:val="clear" w:color="auto" w:fill="D9D9D9" w:themeFill="background1" w:themeFillShade="D9"/>
                </w:tcPr>
                <w:p w14:paraId="43CFF124" w14:textId="77777777" w:rsidR="0046316A" w:rsidRPr="007D04D7" w:rsidRDefault="0046316A" w:rsidP="0046316A">
                  <w:pPr>
                    <w:rPr>
                      <w:rFonts w:cstheme="minorHAnsi"/>
                      <w:b/>
                      <w:sz w:val="22"/>
                      <w:szCs w:val="22"/>
                    </w:rPr>
                  </w:pPr>
                  <w:r w:rsidRPr="007D04D7">
                    <w:rPr>
                      <w:rFonts w:cstheme="minorHAnsi"/>
                      <w:b/>
                      <w:sz w:val="22"/>
                      <w:szCs w:val="22"/>
                    </w:rPr>
                    <w:t>BldgType</w:t>
                  </w:r>
                </w:p>
              </w:tc>
              <w:tc>
                <w:tcPr>
                  <w:tcW w:w="600" w:type="pct"/>
                  <w:shd w:val="clear" w:color="auto" w:fill="D9D9D9" w:themeFill="background1" w:themeFillShade="D9"/>
                </w:tcPr>
                <w:p w14:paraId="1B62C626" w14:textId="77777777" w:rsidR="0046316A" w:rsidRPr="007D04D7" w:rsidRDefault="0046316A" w:rsidP="0046316A">
                  <w:pPr>
                    <w:rPr>
                      <w:rFonts w:cstheme="minorHAnsi"/>
                      <w:b/>
                      <w:sz w:val="22"/>
                      <w:szCs w:val="22"/>
                    </w:rPr>
                  </w:pPr>
                  <w:r w:rsidRPr="007D04D7">
                    <w:rPr>
                      <w:rFonts w:cstheme="minorHAnsi"/>
                      <w:b/>
                      <w:sz w:val="22"/>
                      <w:szCs w:val="22"/>
                    </w:rPr>
                    <w:t>Measure Delivery</w:t>
                  </w:r>
                </w:p>
              </w:tc>
              <w:tc>
                <w:tcPr>
                  <w:tcW w:w="721" w:type="pct"/>
                  <w:shd w:val="clear" w:color="auto" w:fill="D9D9D9" w:themeFill="background1" w:themeFillShade="D9"/>
                </w:tcPr>
                <w:p w14:paraId="37587200" w14:textId="77777777" w:rsidR="0046316A" w:rsidRPr="007D04D7" w:rsidRDefault="0046316A" w:rsidP="0046316A">
                  <w:pPr>
                    <w:rPr>
                      <w:rFonts w:cstheme="minorHAnsi"/>
                      <w:b/>
                      <w:sz w:val="22"/>
                      <w:szCs w:val="22"/>
                    </w:rPr>
                  </w:pPr>
                  <w:r w:rsidRPr="007D04D7">
                    <w:rPr>
                      <w:rFonts w:cstheme="minorHAnsi"/>
                      <w:b/>
                      <w:sz w:val="22"/>
                      <w:szCs w:val="22"/>
                    </w:rPr>
                    <w:t>NTGR</w:t>
                  </w:r>
                </w:p>
              </w:tc>
            </w:tr>
            <w:tr w:rsidR="0046316A" w:rsidRPr="007D04D7" w14:paraId="19E757E3" w14:textId="77777777" w:rsidTr="0046316A">
              <w:tc>
                <w:tcPr>
                  <w:tcW w:w="808" w:type="pct"/>
                </w:tcPr>
                <w:p w14:paraId="2727AF94" w14:textId="77777777" w:rsidR="0046316A" w:rsidRPr="007D04D7" w:rsidRDefault="0046316A" w:rsidP="0046316A">
                  <w:pPr>
                    <w:rPr>
                      <w:sz w:val="22"/>
                      <w:szCs w:val="22"/>
                    </w:rPr>
                  </w:pPr>
                  <w:r w:rsidRPr="007D04D7">
                    <w:rPr>
                      <w:sz w:val="22"/>
                      <w:szCs w:val="22"/>
                    </w:rPr>
                    <w:t>All-Default&lt;=2yrs</w:t>
                  </w:r>
                </w:p>
              </w:tc>
              <w:tc>
                <w:tcPr>
                  <w:tcW w:w="1587" w:type="pct"/>
                </w:tcPr>
                <w:p w14:paraId="38878F24" w14:textId="77777777" w:rsidR="0046316A" w:rsidRPr="007D04D7" w:rsidRDefault="0046316A" w:rsidP="0046316A">
                  <w:pPr>
                    <w:rPr>
                      <w:sz w:val="22"/>
                      <w:szCs w:val="22"/>
                    </w:rPr>
                  </w:pPr>
                  <w:r w:rsidRPr="007D04D7">
                    <w:rPr>
                      <w:sz w:val="22"/>
                      <w:szCs w:val="22"/>
                    </w:rPr>
                    <w:t>All other EEM with no evaluated NTGR; new technology in program for 2 or fewer years</w:t>
                  </w:r>
                </w:p>
              </w:tc>
              <w:tc>
                <w:tcPr>
                  <w:tcW w:w="713" w:type="pct"/>
                </w:tcPr>
                <w:p w14:paraId="438B31C4" w14:textId="77777777" w:rsidR="0046316A" w:rsidRPr="007D04D7" w:rsidRDefault="0046316A" w:rsidP="0046316A">
                  <w:pPr>
                    <w:rPr>
                      <w:sz w:val="22"/>
                      <w:szCs w:val="22"/>
                    </w:rPr>
                  </w:pPr>
                  <w:r w:rsidRPr="007D04D7">
                    <w:rPr>
                      <w:sz w:val="22"/>
                      <w:szCs w:val="22"/>
                    </w:rPr>
                    <w:t>Any</w:t>
                  </w:r>
                </w:p>
                <w:p w14:paraId="4E01164D" w14:textId="77777777" w:rsidR="0046316A" w:rsidRPr="007D04D7" w:rsidRDefault="0046316A" w:rsidP="0046316A">
                  <w:pPr>
                    <w:rPr>
                      <w:sz w:val="22"/>
                      <w:szCs w:val="22"/>
                    </w:rPr>
                  </w:pPr>
                </w:p>
              </w:tc>
              <w:tc>
                <w:tcPr>
                  <w:tcW w:w="571" w:type="pct"/>
                </w:tcPr>
                <w:p w14:paraId="1AC1699B" w14:textId="77777777" w:rsidR="0046316A" w:rsidRPr="007D04D7" w:rsidRDefault="0046316A" w:rsidP="0046316A">
                  <w:pPr>
                    <w:rPr>
                      <w:sz w:val="22"/>
                      <w:szCs w:val="22"/>
                    </w:rPr>
                  </w:pPr>
                  <w:r w:rsidRPr="007D04D7">
                    <w:rPr>
                      <w:sz w:val="22"/>
                      <w:szCs w:val="22"/>
                    </w:rPr>
                    <w:t>Any</w:t>
                  </w:r>
                </w:p>
              </w:tc>
              <w:tc>
                <w:tcPr>
                  <w:tcW w:w="600" w:type="pct"/>
                </w:tcPr>
                <w:p w14:paraId="08FD2CCA" w14:textId="77777777" w:rsidR="0046316A" w:rsidRPr="007D04D7" w:rsidRDefault="0046316A" w:rsidP="0046316A">
                  <w:pPr>
                    <w:rPr>
                      <w:sz w:val="22"/>
                      <w:szCs w:val="22"/>
                    </w:rPr>
                  </w:pPr>
                  <w:r w:rsidRPr="007D04D7">
                    <w:rPr>
                      <w:sz w:val="22"/>
                      <w:szCs w:val="22"/>
                    </w:rPr>
                    <w:t>Any</w:t>
                  </w:r>
                </w:p>
              </w:tc>
              <w:tc>
                <w:tcPr>
                  <w:tcW w:w="721" w:type="pct"/>
                </w:tcPr>
                <w:p w14:paraId="73ABEDD0" w14:textId="77777777" w:rsidR="0046316A" w:rsidRPr="007D04D7" w:rsidRDefault="0046316A" w:rsidP="0046316A">
                  <w:pPr>
                    <w:rPr>
                      <w:sz w:val="22"/>
                      <w:szCs w:val="22"/>
                    </w:rPr>
                  </w:pPr>
                  <w:r w:rsidRPr="007D04D7">
                    <w:rPr>
                      <w:sz w:val="22"/>
                      <w:szCs w:val="22"/>
                    </w:rPr>
                    <w:t>0.7</w:t>
                  </w:r>
                </w:p>
                <w:p w14:paraId="25CF39C1" w14:textId="77777777" w:rsidR="0046316A" w:rsidRPr="007D04D7" w:rsidRDefault="0046316A" w:rsidP="0046316A">
                  <w:pPr>
                    <w:rPr>
                      <w:sz w:val="22"/>
                      <w:szCs w:val="22"/>
                    </w:rPr>
                  </w:pPr>
                </w:p>
              </w:tc>
            </w:tr>
          </w:tbl>
          <w:p w14:paraId="0FDD489C" w14:textId="6882B196" w:rsidR="00CB11C9" w:rsidRPr="007D04D7" w:rsidRDefault="00CB11C9" w:rsidP="005B2619">
            <w:pPr>
              <w:rPr>
                <w:rFonts w:cs="Arial"/>
                <w:szCs w:val="22"/>
              </w:rPr>
            </w:pPr>
          </w:p>
        </w:tc>
      </w:tr>
      <w:tr w:rsidR="00CB11C9" w14:paraId="2A6F9BA0" w14:textId="77777777" w:rsidTr="008E0122">
        <w:tc>
          <w:tcPr>
            <w:tcW w:w="2303" w:type="dxa"/>
            <w:vAlign w:val="center"/>
          </w:tcPr>
          <w:p w14:paraId="5EFF78F9" w14:textId="77777777" w:rsidR="00CB11C9" w:rsidRPr="007D04D7" w:rsidRDefault="00CB11C9" w:rsidP="005B2619">
            <w:pPr>
              <w:jc w:val="right"/>
              <w:rPr>
                <w:szCs w:val="22"/>
              </w:rPr>
            </w:pPr>
            <w:r w:rsidRPr="007D04D7">
              <w:rPr>
                <w:szCs w:val="22"/>
              </w:rPr>
              <w:lastRenderedPageBreak/>
              <w:t>Effective and Remaining Useful Life</w:t>
            </w:r>
          </w:p>
        </w:tc>
        <w:tc>
          <w:tcPr>
            <w:tcW w:w="8767" w:type="dxa"/>
          </w:tcPr>
          <w:p w14:paraId="15761491" w14:textId="77777777" w:rsidR="008E0122" w:rsidRPr="007D04D7" w:rsidRDefault="008E0122" w:rsidP="008E0122">
            <w:pPr>
              <w:pStyle w:val="Caption"/>
              <w:keepNext/>
              <w:jc w:val="center"/>
              <w:rPr>
                <w:szCs w:val="22"/>
              </w:rPr>
            </w:pPr>
            <w:r w:rsidRPr="007D04D7">
              <w:rPr>
                <w:szCs w:val="22"/>
              </w:rPr>
              <w:t>EUL and RUL Values</w:t>
            </w:r>
          </w:p>
          <w:tbl>
            <w:tblPr>
              <w:tblStyle w:val="TableGrid1"/>
              <w:tblW w:w="5000" w:type="pct"/>
              <w:tblLook w:val="04A0" w:firstRow="1" w:lastRow="0" w:firstColumn="1" w:lastColumn="0" w:noHBand="0" w:noVBand="1"/>
            </w:tblPr>
            <w:tblGrid>
              <w:gridCol w:w="1363"/>
              <w:gridCol w:w="2409"/>
              <w:gridCol w:w="796"/>
              <w:gridCol w:w="1377"/>
              <w:gridCol w:w="1315"/>
              <w:gridCol w:w="1281"/>
            </w:tblGrid>
            <w:tr w:rsidR="008E0122" w:rsidRPr="007D04D7" w14:paraId="3E64B282" w14:textId="77777777" w:rsidTr="00504629">
              <w:tc>
                <w:tcPr>
                  <w:tcW w:w="798" w:type="pct"/>
                  <w:shd w:val="clear" w:color="auto" w:fill="D9D9D9" w:themeFill="background1" w:themeFillShade="D9"/>
                </w:tcPr>
                <w:p w14:paraId="6DFFB479" w14:textId="77777777" w:rsidR="008E0122" w:rsidRPr="007D04D7" w:rsidRDefault="008E0122" w:rsidP="008E0122">
                  <w:pPr>
                    <w:rPr>
                      <w:rFonts w:cstheme="minorHAnsi"/>
                      <w:b/>
                      <w:sz w:val="22"/>
                      <w:szCs w:val="22"/>
                    </w:rPr>
                  </w:pPr>
                  <w:r w:rsidRPr="007D04D7">
                    <w:rPr>
                      <w:rFonts w:cstheme="minorHAnsi"/>
                      <w:b/>
                      <w:sz w:val="22"/>
                      <w:szCs w:val="22"/>
                    </w:rPr>
                    <w:t>EUL ID</w:t>
                  </w:r>
                </w:p>
              </w:tc>
              <w:tc>
                <w:tcPr>
                  <w:tcW w:w="1410" w:type="pct"/>
                  <w:shd w:val="clear" w:color="auto" w:fill="D9D9D9" w:themeFill="background1" w:themeFillShade="D9"/>
                </w:tcPr>
                <w:p w14:paraId="05BB6FD6" w14:textId="77777777" w:rsidR="008E0122" w:rsidRPr="007D04D7" w:rsidRDefault="008E0122" w:rsidP="008E0122">
                  <w:pPr>
                    <w:rPr>
                      <w:rFonts w:cstheme="minorHAnsi"/>
                      <w:b/>
                      <w:sz w:val="22"/>
                      <w:szCs w:val="22"/>
                    </w:rPr>
                  </w:pPr>
                  <w:r w:rsidRPr="007D04D7">
                    <w:rPr>
                      <w:rFonts w:cstheme="minorHAnsi"/>
                      <w:b/>
                      <w:sz w:val="22"/>
                      <w:szCs w:val="22"/>
                    </w:rPr>
                    <w:t>Description</w:t>
                  </w:r>
                </w:p>
              </w:tc>
              <w:tc>
                <w:tcPr>
                  <w:tcW w:w="466" w:type="pct"/>
                  <w:shd w:val="clear" w:color="auto" w:fill="D9D9D9" w:themeFill="background1" w:themeFillShade="D9"/>
                </w:tcPr>
                <w:p w14:paraId="02BE0B2F" w14:textId="77777777" w:rsidR="008E0122" w:rsidRPr="007D04D7" w:rsidRDefault="008E0122" w:rsidP="008E0122">
                  <w:pPr>
                    <w:rPr>
                      <w:rFonts w:cstheme="minorHAnsi"/>
                      <w:b/>
                      <w:sz w:val="22"/>
                      <w:szCs w:val="22"/>
                    </w:rPr>
                  </w:pPr>
                  <w:r w:rsidRPr="007D04D7">
                    <w:rPr>
                      <w:rFonts w:cstheme="minorHAnsi"/>
                      <w:b/>
                      <w:sz w:val="22"/>
                      <w:szCs w:val="22"/>
                    </w:rPr>
                    <w:t>Sector</w:t>
                  </w:r>
                </w:p>
              </w:tc>
              <w:tc>
                <w:tcPr>
                  <w:tcW w:w="806" w:type="pct"/>
                  <w:shd w:val="clear" w:color="auto" w:fill="D9D9D9" w:themeFill="background1" w:themeFillShade="D9"/>
                </w:tcPr>
                <w:p w14:paraId="4FBFC485" w14:textId="77777777" w:rsidR="008E0122" w:rsidRPr="007D04D7" w:rsidRDefault="008E0122" w:rsidP="008E0122">
                  <w:pPr>
                    <w:rPr>
                      <w:rFonts w:cstheme="minorHAnsi"/>
                      <w:b/>
                      <w:sz w:val="22"/>
                      <w:szCs w:val="22"/>
                    </w:rPr>
                  </w:pPr>
                  <w:r w:rsidRPr="007D04D7">
                    <w:rPr>
                      <w:rFonts w:cstheme="minorHAnsi"/>
                      <w:b/>
                      <w:sz w:val="22"/>
                      <w:szCs w:val="22"/>
                    </w:rPr>
                    <w:t>UseCategory</w:t>
                  </w:r>
                </w:p>
              </w:tc>
              <w:tc>
                <w:tcPr>
                  <w:tcW w:w="770" w:type="pct"/>
                  <w:shd w:val="clear" w:color="auto" w:fill="D9D9D9" w:themeFill="background1" w:themeFillShade="D9"/>
                </w:tcPr>
                <w:p w14:paraId="0AE2EFE0" w14:textId="77777777" w:rsidR="008E0122" w:rsidRPr="007D04D7" w:rsidRDefault="008E0122" w:rsidP="008E0122">
                  <w:pPr>
                    <w:rPr>
                      <w:rFonts w:cstheme="minorHAnsi"/>
                      <w:b/>
                      <w:sz w:val="22"/>
                      <w:szCs w:val="22"/>
                    </w:rPr>
                  </w:pPr>
                  <w:r w:rsidRPr="007D04D7">
                    <w:rPr>
                      <w:rFonts w:cstheme="minorHAnsi"/>
                      <w:b/>
                      <w:sz w:val="22"/>
                      <w:szCs w:val="22"/>
                    </w:rPr>
                    <w:t>EUL (Years)</w:t>
                  </w:r>
                </w:p>
              </w:tc>
              <w:tc>
                <w:tcPr>
                  <w:tcW w:w="751" w:type="pct"/>
                  <w:shd w:val="clear" w:color="auto" w:fill="D9D9D9" w:themeFill="background1" w:themeFillShade="D9"/>
                </w:tcPr>
                <w:p w14:paraId="3F19086A" w14:textId="77777777" w:rsidR="008E0122" w:rsidRPr="007D04D7" w:rsidRDefault="008E0122" w:rsidP="008E0122">
                  <w:pPr>
                    <w:rPr>
                      <w:rFonts w:cstheme="minorHAnsi"/>
                      <w:b/>
                      <w:sz w:val="22"/>
                      <w:szCs w:val="22"/>
                    </w:rPr>
                  </w:pPr>
                  <w:r w:rsidRPr="007D04D7">
                    <w:rPr>
                      <w:rFonts w:cstheme="minorHAnsi"/>
                      <w:b/>
                      <w:sz w:val="22"/>
                      <w:szCs w:val="22"/>
                    </w:rPr>
                    <w:t>RUL (Years)</w:t>
                  </w:r>
                </w:p>
              </w:tc>
            </w:tr>
            <w:tr w:rsidR="008E0122" w:rsidRPr="007D04D7" w14:paraId="5EFBE12D" w14:textId="77777777" w:rsidTr="00504629">
              <w:trPr>
                <w:trHeight w:val="243"/>
              </w:trPr>
              <w:tc>
                <w:tcPr>
                  <w:tcW w:w="798" w:type="pct"/>
                </w:tcPr>
                <w:p w14:paraId="38210390" w14:textId="77777777" w:rsidR="008E0122" w:rsidRPr="007D04D7" w:rsidRDefault="008E0122" w:rsidP="008E0122">
                  <w:pPr>
                    <w:rPr>
                      <w:sz w:val="22"/>
                      <w:szCs w:val="22"/>
                    </w:rPr>
                  </w:pPr>
                  <w:r w:rsidRPr="007D04D7">
                    <w:rPr>
                      <w:sz w:val="22"/>
                      <w:szCs w:val="22"/>
                    </w:rPr>
                    <w:t>WtrHt-WH-Faucet</w:t>
                  </w:r>
                </w:p>
              </w:tc>
              <w:tc>
                <w:tcPr>
                  <w:tcW w:w="1410" w:type="pct"/>
                </w:tcPr>
                <w:p w14:paraId="65927916" w14:textId="77777777" w:rsidR="008E0122" w:rsidRPr="007D04D7" w:rsidRDefault="008E0122" w:rsidP="008E0122">
                  <w:pPr>
                    <w:rPr>
                      <w:sz w:val="22"/>
                      <w:szCs w:val="22"/>
                    </w:rPr>
                  </w:pPr>
                  <w:r w:rsidRPr="007D04D7">
                    <w:rPr>
                      <w:sz w:val="22"/>
                      <w:szCs w:val="22"/>
                    </w:rPr>
                    <w:t>Faucet Effective Useful Life</w:t>
                  </w:r>
                </w:p>
              </w:tc>
              <w:tc>
                <w:tcPr>
                  <w:tcW w:w="466" w:type="pct"/>
                </w:tcPr>
                <w:p w14:paraId="3F3C2FA9" w14:textId="77777777" w:rsidR="008E0122" w:rsidRPr="007D04D7" w:rsidRDefault="008E0122" w:rsidP="008E0122">
                  <w:pPr>
                    <w:rPr>
                      <w:sz w:val="22"/>
                      <w:szCs w:val="22"/>
                    </w:rPr>
                  </w:pPr>
                  <w:r w:rsidRPr="007D04D7">
                    <w:rPr>
                      <w:sz w:val="22"/>
                      <w:szCs w:val="22"/>
                    </w:rPr>
                    <w:t>Com</w:t>
                  </w:r>
                </w:p>
              </w:tc>
              <w:tc>
                <w:tcPr>
                  <w:tcW w:w="806" w:type="pct"/>
                </w:tcPr>
                <w:p w14:paraId="02FD4B1A" w14:textId="77777777" w:rsidR="008E0122" w:rsidRPr="007D04D7" w:rsidRDefault="008E0122" w:rsidP="008E0122">
                  <w:pPr>
                    <w:rPr>
                      <w:sz w:val="22"/>
                      <w:szCs w:val="22"/>
                    </w:rPr>
                  </w:pPr>
                  <w:r w:rsidRPr="007D04D7">
                    <w:rPr>
                      <w:sz w:val="22"/>
                      <w:szCs w:val="22"/>
                    </w:rPr>
                    <w:t>SHW</w:t>
                  </w:r>
                </w:p>
              </w:tc>
              <w:tc>
                <w:tcPr>
                  <w:tcW w:w="770" w:type="pct"/>
                </w:tcPr>
                <w:p w14:paraId="4A36DCB7" w14:textId="77777777" w:rsidR="008E0122" w:rsidRPr="007D04D7" w:rsidRDefault="008E0122" w:rsidP="008E0122">
                  <w:pPr>
                    <w:rPr>
                      <w:sz w:val="22"/>
                      <w:szCs w:val="22"/>
                    </w:rPr>
                  </w:pPr>
                  <w:r w:rsidRPr="007D04D7">
                    <w:rPr>
                      <w:sz w:val="22"/>
                      <w:szCs w:val="22"/>
                    </w:rPr>
                    <w:t>20</w:t>
                  </w:r>
                </w:p>
              </w:tc>
              <w:tc>
                <w:tcPr>
                  <w:tcW w:w="751" w:type="pct"/>
                </w:tcPr>
                <w:p w14:paraId="35BE4222" w14:textId="77777777" w:rsidR="008E0122" w:rsidRPr="007D04D7" w:rsidRDefault="008E0122" w:rsidP="008E0122">
                  <w:pPr>
                    <w:rPr>
                      <w:sz w:val="22"/>
                      <w:szCs w:val="22"/>
                    </w:rPr>
                  </w:pPr>
                  <w:r w:rsidRPr="007D04D7">
                    <w:rPr>
                      <w:sz w:val="22"/>
                      <w:szCs w:val="22"/>
                    </w:rPr>
                    <w:t>6.67</w:t>
                  </w:r>
                </w:p>
              </w:tc>
            </w:tr>
            <w:tr w:rsidR="00504629" w:rsidRPr="007D04D7" w14:paraId="4544BF9A" w14:textId="77777777" w:rsidTr="00504629">
              <w:trPr>
                <w:trHeight w:val="243"/>
              </w:trPr>
              <w:tc>
                <w:tcPr>
                  <w:tcW w:w="5000" w:type="pct"/>
                  <w:gridSpan w:val="6"/>
                </w:tcPr>
                <w:p w14:paraId="2F28A4BD" w14:textId="24DFE526" w:rsidR="00504629" w:rsidRPr="007D04D7" w:rsidRDefault="00504629" w:rsidP="008E0122">
                  <w:pPr>
                    <w:rPr>
                      <w:szCs w:val="22"/>
                    </w:rPr>
                  </w:pPr>
                  <w:r w:rsidRPr="003D5FE6">
                    <w:rPr>
                      <w:rFonts w:cs="Arial"/>
                      <w:szCs w:val="20"/>
                    </w:rPr>
                    <w:t>Measure life = RUL of faucet = 6.67 years</w:t>
                  </w:r>
                </w:p>
              </w:tc>
            </w:tr>
          </w:tbl>
          <w:p w14:paraId="09D0CDB0" w14:textId="5437103B" w:rsidR="00CB11C9" w:rsidRPr="007D04D7" w:rsidRDefault="00CB11C9" w:rsidP="005B2619">
            <w:pPr>
              <w:rPr>
                <w:rFonts w:cs="Arial"/>
                <w:szCs w:val="22"/>
              </w:rPr>
            </w:pPr>
          </w:p>
        </w:tc>
      </w:tr>
      <w:tr w:rsidR="00CB11C9" w14:paraId="1AAF5F25" w14:textId="77777777" w:rsidTr="008E0122">
        <w:tc>
          <w:tcPr>
            <w:tcW w:w="2303" w:type="dxa"/>
            <w:vAlign w:val="center"/>
          </w:tcPr>
          <w:p w14:paraId="38B18FD2" w14:textId="38294B98" w:rsidR="00CB11C9" w:rsidRDefault="00CB11C9" w:rsidP="005B2619">
            <w:pPr>
              <w:rPr>
                <w:b/>
              </w:rPr>
            </w:pPr>
            <w:r w:rsidRPr="001D77F7">
              <w:rPr>
                <w:b/>
              </w:rPr>
              <w:t>Section 2. Calculation Methodology</w:t>
            </w:r>
          </w:p>
          <w:p w14:paraId="2345CADB" w14:textId="77777777" w:rsidR="008E0122" w:rsidRDefault="008E0122" w:rsidP="005B2619">
            <w:pPr>
              <w:rPr>
                <w:b/>
              </w:rPr>
            </w:pPr>
          </w:p>
          <w:p w14:paraId="16B215EE" w14:textId="67B04615" w:rsidR="008E0122" w:rsidRPr="001D77F7" w:rsidRDefault="008E0122" w:rsidP="005B2619">
            <w:pPr>
              <w:rPr>
                <w:b/>
              </w:rPr>
            </w:pPr>
            <w:r>
              <w:rPr>
                <w:b/>
              </w:rPr>
              <w:t>(as cited per WPSCGNRWH161222A Rev0)</w:t>
            </w:r>
          </w:p>
        </w:tc>
        <w:tc>
          <w:tcPr>
            <w:tcW w:w="8767" w:type="dxa"/>
            <w:vAlign w:val="center"/>
          </w:tcPr>
          <w:p w14:paraId="35327EDE" w14:textId="375A3675" w:rsidR="00724DE2" w:rsidRPr="00724DE2" w:rsidRDefault="00E015CF" w:rsidP="00724DE2">
            <w:pPr>
              <w:pStyle w:val="ListParagraph"/>
              <w:numPr>
                <w:ilvl w:val="0"/>
                <w:numId w:val="28"/>
              </w:numPr>
              <w:rPr>
                <w:rFonts w:cstheme="minorHAnsi"/>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 xml:space="preserve">existing faucet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existing</m:t>
                  </m:r>
                </m:sub>
              </m:sSub>
            </m:oMath>
          </w:p>
          <w:p w14:paraId="1AE800F2" w14:textId="6EF926DC" w:rsidR="00724DE2" w:rsidRPr="00724DE2" w:rsidRDefault="00E015CF" w:rsidP="00724DE2">
            <w:pPr>
              <w:pStyle w:val="ListParagraph"/>
              <w:numPr>
                <w:ilvl w:val="0"/>
                <w:numId w:val="28"/>
              </w:numPr>
              <w:rPr>
                <w:rFonts w:cstheme="minorHAnsi"/>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 xml:space="preserve">faucet with aerator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 xml:space="preserve">proposed </m:t>
                  </m:r>
                </m:sub>
              </m:sSub>
            </m:oMath>
          </w:p>
          <w:p w14:paraId="6754AA40" w14:textId="44B29DAE" w:rsidR="00724DE2" w:rsidRPr="00724DE2" w:rsidRDefault="00E015CF" w:rsidP="00724DE2">
            <w:pPr>
              <w:pStyle w:val="ListParagraph"/>
              <w:numPr>
                <w:ilvl w:val="0"/>
                <w:numId w:val="28"/>
              </w:numPr>
              <w:rPr>
                <w:rFonts w:cstheme="minorHAnsi"/>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net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existing faucet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faucet with aerator</m:t>
                  </m:r>
                </m:sub>
              </m:sSub>
            </m:oMath>
          </w:p>
          <w:p w14:paraId="17EB6C41" w14:textId="77777777" w:rsidR="00724DE2" w:rsidRDefault="00724DE2" w:rsidP="008E0122">
            <w:pPr>
              <w:pStyle w:val="Caption"/>
              <w:keepNext/>
              <w:jc w:val="center"/>
              <w:rPr>
                <w:rFonts w:cs="Arial"/>
                <w:sz w:val="20"/>
                <w:szCs w:val="20"/>
              </w:rPr>
            </w:pPr>
          </w:p>
          <w:p w14:paraId="5688E87C" w14:textId="3889C230" w:rsidR="008E0122" w:rsidRDefault="008E0122" w:rsidP="008E0122">
            <w:pPr>
              <w:pStyle w:val="Caption"/>
              <w:keepNext/>
              <w:jc w:val="center"/>
            </w:pPr>
            <w:r>
              <w:t>Annual Savings Per Faucet</w:t>
            </w:r>
          </w:p>
          <w:tbl>
            <w:tblPr>
              <w:tblStyle w:val="TableGrid1"/>
              <w:tblW w:w="4428" w:type="pct"/>
              <w:jc w:val="center"/>
              <w:tblCellMar>
                <w:left w:w="115" w:type="dxa"/>
                <w:right w:w="115" w:type="dxa"/>
              </w:tblCellMar>
              <w:tblLook w:val="04A0" w:firstRow="1" w:lastRow="0" w:firstColumn="1" w:lastColumn="0" w:noHBand="0" w:noVBand="1"/>
            </w:tblPr>
            <w:tblGrid>
              <w:gridCol w:w="1512"/>
              <w:gridCol w:w="1513"/>
              <w:gridCol w:w="1513"/>
              <w:gridCol w:w="1513"/>
              <w:gridCol w:w="1513"/>
            </w:tblGrid>
            <w:tr w:rsidR="008E0122" w:rsidRPr="00500C4E" w14:paraId="450C3F29" w14:textId="77777777" w:rsidTr="0029763A">
              <w:trPr>
                <w:trHeight w:val="32"/>
                <w:jc w:val="center"/>
              </w:trPr>
              <w:tc>
                <w:tcPr>
                  <w:tcW w:w="1000" w:type="pct"/>
                  <w:vMerge w:val="restart"/>
                  <w:shd w:val="clear" w:color="auto" w:fill="D9D9D9" w:themeFill="background1" w:themeFillShade="D9"/>
                  <w:vAlign w:val="center"/>
                </w:tcPr>
                <w:p w14:paraId="5D4BBA42" w14:textId="77777777" w:rsidR="008E0122" w:rsidRPr="007D04D7" w:rsidRDefault="008E0122" w:rsidP="008E0122">
                  <w:pPr>
                    <w:tabs>
                      <w:tab w:val="right" w:pos="2957"/>
                    </w:tabs>
                    <w:jc w:val="center"/>
                    <w:rPr>
                      <w:rFonts w:cstheme="minorHAnsi"/>
                      <w:b/>
                      <w:sz w:val="22"/>
                      <w:szCs w:val="22"/>
                    </w:rPr>
                  </w:pPr>
                  <w:r w:rsidRPr="007D04D7">
                    <w:rPr>
                      <w:rFonts w:cstheme="minorHAnsi"/>
                      <w:b/>
                      <w:sz w:val="22"/>
                      <w:szCs w:val="22"/>
                    </w:rPr>
                    <w:t>Climate Zone</w:t>
                  </w:r>
                </w:p>
              </w:tc>
              <w:tc>
                <w:tcPr>
                  <w:tcW w:w="2000" w:type="pct"/>
                  <w:gridSpan w:val="2"/>
                  <w:shd w:val="clear" w:color="auto" w:fill="D9D9D9" w:themeFill="background1" w:themeFillShade="D9"/>
                  <w:vAlign w:val="center"/>
                </w:tcPr>
                <w:p w14:paraId="3D354E51" w14:textId="77777777" w:rsidR="008E0122" w:rsidRPr="007D04D7" w:rsidRDefault="008E0122" w:rsidP="008E0122">
                  <w:pPr>
                    <w:jc w:val="center"/>
                    <w:rPr>
                      <w:rFonts w:cstheme="minorHAnsi"/>
                      <w:b/>
                      <w:sz w:val="22"/>
                      <w:szCs w:val="22"/>
                    </w:rPr>
                  </w:pPr>
                  <w:r w:rsidRPr="007D04D7">
                    <w:rPr>
                      <w:rFonts w:cstheme="minorHAnsi"/>
                      <w:b/>
                      <w:sz w:val="22"/>
                      <w:szCs w:val="22"/>
                    </w:rPr>
                    <w:t>Public Lavatory</w:t>
                  </w:r>
                </w:p>
              </w:tc>
              <w:tc>
                <w:tcPr>
                  <w:tcW w:w="2000" w:type="pct"/>
                  <w:gridSpan w:val="2"/>
                  <w:shd w:val="clear" w:color="auto" w:fill="D9D9D9" w:themeFill="background1" w:themeFillShade="D9"/>
                  <w:vAlign w:val="center"/>
                </w:tcPr>
                <w:p w14:paraId="410A592F" w14:textId="77777777" w:rsidR="008E0122" w:rsidRPr="007D04D7" w:rsidRDefault="008E0122" w:rsidP="008E0122">
                  <w:pPr>
                    <w:jc w:val="center"/>
                    <w:rPr>
                      <w:rFonts w:cstheme="minorHAnsi"/>
                      <w:b/>
                      <w:sz w:val="22"/>
                      <w:szCs w:val="22"/>
                    </w:rPr>
                  </w:pPr>
                  <w:r w:rsidRPr="007D04D7">
                    <w:rPr>
                      <w:rFonts w:cstheme="minorHAnsi"/>
                      <w:b/>
                      <w:sz w:val="22"/>
                      <w:szCs w:val="22"/>
                    </w:rPr>
                    <w:t>Private Lavatory</w:t>
                  </w:r>
                </w:p>
              </w:tc>
            </w:tr>
            <w:tr w:rsidR="008E0122" w:rsidRPr="00500C4E" w14:paraId="46DD66C0" w14:textId="77777777" w:rsidTr="0029763A">
              <w:trPr>
                <w:trHeight w:val="32"/>
                <w:jc w:val="center"/>
              </w:trPr>
              <w:tc>
                <w:tcPr>
                  <w:tcW w:w="1000" w:type="pct"/>
                  <w:vMerge/>
                  <w:shd w:val="clear" w:color="auto" w:fill="D9D9D9" w:themeFill="background1" w:themeFillShade="D9"/>
                </w:tcPr>
                <w:p w14:paraId="01DFCEA2" w14:textId="77777777" w:rsidR="008E0122" w:rsidRPr="007D04D7" w:rsidRDefault="008E0122" w:rsidP="008E0122">
                  <w:pPr>
                    <w:tabs>
                      <w:tab w:val="right" w:pos="2957"/>
                    </w:tabs>
                    <w:jc w:val="center"/>
                    <w:rPr>
                      <w:rFonts w:cstheme="minorHAnsi"/>
                      <w:b/>
                      <w:sz w:val="22"/>
                      <w:szCs w:val="22"/>
                    </w:rPr>
                  </w:pPr>
                </w:p>
              </w:tc>
              <w:tc>
                <w:tcPr>
                  <w:tcW w:w="1000" w:type="pct"/>
                  <w:shd w:val="clear" w:color="auto" w:fill="D9D9D9" w:themeFill="background1" w:themeFillShade="D9"/>
                </w:tcPr>
                <w:p w14:paraId="0206BBF3" w14:textId="77777777" w:rsidR="008E0122" w:rsidRPr="007D04D7" w:rsidRDefault="008E0122" w:rsidP="008E0122">
                  <w:pPr>
                    <w:jc w:val="center"/>
                    <w:rPr>
                      <w:rFonts w:cstheme="minorHAnsi"/>
                      <w:b/>
                      <w:sz w:val="22"/>
                      <w:szCs w:val="22"/>
                    </w:rPr>
                  </w:pPr>
                  <w:r w:rsidRPr="007D04D7">
                    <w:rPr>
                      <w:rFonts w:cstheme="minorHAnsi"/>
                      <w:b/>
                      <w:sz w:val="22"/>
                      <w:szCs w:val="22"/>
                    </w:rPr>
                    <w:t>0.5 GPM Aerator (therms/yr)</w:t>
                  </w:r>
                </w:p>
              </w:tc>
              <w:tc>
                <w:tcPr>
                  <w:tcW w:w="1000" w:type="pct"/>
                  <w:shd w:val="clear" w:color="auto" w:fill="D9D9D9" w:themeFill="background1" w:themeFillShade="D9"/>
                </w:tcPr>
                <w:p w14:paraId="57651B5E" w14:textId="77777777" w:rsidR="008E0122" w:rsidRPr="007D04D7" w:rsidRDefault="008E0122" w:rsidP="008E0122">
                  <w:pPr>
                    <w:jc w:val="center"/>
                    <w:rPr>
                      <w:rFonts w:cstheme="minorHAnsi"/>
                      <w:b/>
                      <w:sz w:val="22"/>
                      <w:szCs w:val="22"/>
                    </w:rPr>
                  </w:pPr>
                  <w:r w:rsidRPr="007D04D7">
                    <w:rPr>
                      <w:rFonts w:cstheme="minorHAnsi"/>
                      <w:b/>
                      <w:sz w:val="22"/>
                      <w:szCs w:val="22"/>
                    </w:rPr>
                    <w:t>1.0 GPM Aerator (therms/yr)</w:t>
                  </w:r>
                </w:p>
              </w:tc>
              <w:tc>
                <w:tcPr>
                  <w:tcW w:w="1000" w:type="pct"/>
                  <w:shd w:val="clear" w:color="auto" w:fill="D9D9D9" w:themeFill="background1" w:themeFillShade="D9"/>
                </w:tcPr>
                <w:p w14:paraId="5CD7B790" w14:textId="77777777" w:rsidR="008E0122" w:rsidRPr="007D04D7" w:rsidRDefault="008E0122" w:rsidP="008E0122">
                  <w:pPr>
                    <w:jc w:val="center"/>
                    <w:rPr>
                      <w:rFonts w:cstheme="minorHAnsi"/>
                      <w:b/>
                      <w:sz w:val="22"/>
                      <w:szCs w:val="22"/>
                    </w:rPr>
                  </w:pPr>
                  <w:r w:rsidRPr="007D04D7">
                    <w:rPr>
                      <w:rFonts w:cstheme="minorHAnsi"/>
                      <w:b/>
                      <w:sz w:val="22"/>
                      <w:szCs w:val="22"/>
                    </w:rPr>
                    <w:t>0.5 GPM Aerator (therms/yr)</w:t>
                  </w:r>
                </w:p>
              </w:tc>
              <w:tc>
                <w:tcPr>
                  <w:tcW w:w="1000" w:type="pct"/>
                  <w:shd w:val="clear" w:color="auto" w:fill="D9D9D9" w:themeFill="background1" w:themeFillShade="D9"/>
                </w:tcPr>
                <w:p w14:paraId="5AAA0061" w14:textId="77777777" w:rsidR="008E0122" w:rsidRPr="007D04D7" w:rsidRDefault="008E0122" w:rsidP="008E0122">
                  <w:pPr>
                    <w:jc w:val="center"/>
                    <w:rPr>
                      <w:rFonts w:cstheme="minorHAnsi"/>
                      <w:b/>
                      <w:sz w:val="22"/>
                      <w:szCs w:val="22"/>
                    </w:rPr>
                  </w:pPr>
                  <w:r w:rsidRPr="007D04D7">
                    <w:rPr>
                      <w:rFonts w:cstheme="minorHAnsi"/>
                      <w:b/>
                      <w:sz w:val="22"/>
                      <w:szCs w:val="22"/>
                    </w:rPr>
                    <w:t>1.0 GPM Aerator (therms/yr)</w:t>
                  </w:r>
                </w:p>
              </w:tc>
            </w:tr>
            <w:tr w:rsidR="008E0122" w:rsidRPr="00500C4E" w14:paraId="704EBCC4" w14:textId="77777777" w:rsidTr="0029763A">
              <w:trPr>
                <w:trHeight w:val="32"/>
                <w:jc w:val="center"/>
              </w:trPr>
              <w:tc>
                <w:tcPr>
                  <w:tcW w:w="1000" w:type="pct"/>
                  <w:vAlign w:val="center"/>
                </w:tcPr>
                <w:p w14:paraId="36BBA19A" w14:textId="77777777" w:rsidR="008E0122" w:rsidRPr="007D04D7" w:rsidRDefault="008E0122" w:rsidP="008E0122">
                  <w:pPr>
                    <w:jc w:val="center"/>
                    <w:rPr>
                      <w:rFonts w:cstheme="minorHAnsi"/>
                      <w:sz w:val="22"/>
                      <w:szCs w:val="22"/>
                    </w:rPr>
                  </w:pPr>
                  <w:r w:rsidRPr="007D04D7">
                    <w:rPr>
                      <w:rFonts w:cstheme="minorHAnsi"/>
                      <w:sz w:val="22"/>
                      <w:szCs w:val="22"/>
                    </w:rPr>
                    <w:t>1</w:t>
                  </w:r>
                </w:p>
              </w:tc>
              <w:tc>
                <w:tcPr>
                  <w:tcW w:w="1000" w:type="pct"/>
                  <w:vAlign w:val="bottom"/>
                </w:tcPr>
                <w:p w14:paraId="57336038" w14:textId="77777777" w:rsidR="008E0122" w:rsidRPr="007D04D7" w:rsidRDefault="008E0122" w:rsidP="008E0122">
                  <w:pPr>
                    <w:jc w:val="center"/>
                    <w:rPr>
                      <w:rFonts w:cstheme="minorHAnsi"/>
                      <w:sz w:val="22"/>
                      <w:szCs w:val="22"/>
                    </w:rPr>
                  </w:pPr>
                  <w:r w:rsidRPr="007D04D7">
                    <w:rPr>
                      <w:rFonts w:cstheme="minorHAnsi"/>
                      <w:color w:val="000000"/>
                      <w:sz w:val="22"/>
                      <w:szCs w:val="22"/>
                    </w:rPr>
                    <w:t>12.49</w:t>
                  </w:r>
                </w:p>
              </w:tc>
              <w:tc>
                <w:tcPr>
                  <w:tcW w:w="1000" w:type="pct"/>
                  <w:vAlign w:val="bottom"/>
                </w:tcPr>
                <w:p w14:paraId="68FF24ED" w14:textId="77777777" w:rsidR="008E0122" w:rsidRPr="007D04D7" w:rsidRDefault="008E0122" w:rsidP="008E0122">
                  <w:pPr>
                    <w:jc w:val="center"/>
                    <w:rPr>
                      <w:rFonts w:cstheme="minorHAnsi"/>
                      <w:sz w:val="22"/>
                      <w:szCs w:val="22"/>
                    </w:rPr>
                  </w:pPr>
                  <w:r w:rsidRPr="007D04D7">
                    <w:rPr>
                      <w:rFonts w:cstheme="minorHAnsi"/>
                      <w:color w:val="000000"/>
                      <w:sz w:val="22"/>
                      <w:szCs w:val="22"/>
                    </w:rPr>
                    <w:t>7.15</w:t>
                  </w:r>
                </w:p>
              </w:tc>
              <w:tc>
                <w:tcPr>
                  <w:tcW w:w="1000" w:type="pct"/>
                  <w:vAlign w:val="bottom"/>
                </w:tcPr>
                <w:p w14:paraId="1F38771C"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4.02</w:t>
                  </w:r>
                </w:p>
              </w:tc>
              <w:tc>
                <w:tcPr>
                  <w:tcW w:w="1000" w:type="pct"/>
                  <w:vAlign w:val="bottom"/>
                </w:tcPr>
                <w:p w14:paraId="543E2CEF"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2.30</w:t>
                  </w:r>
                </w:p>
              </w:tc>
            </w:tr>
            <w:tr w:rsidR="008E0122" w:rsidRPr="00500C4E" w14:paraId="74C7B3C7" w14:textId="77777777" w:rsidTr="0029763A">
              <w:trPr>
                <w:trHeight w:val="32"/>
                <w:jc w:val="center"/>
              </w:trPr>
              <w:tc>
                <w:tcPr>
                  <w:tcW w:w="1000" w:type="pct"/>
                  <w:vAlign w:val="center"/>
                </w:tcPr>
                <w:p w14:paraId="17AC9348" w14:textId="77777777" w:rsidR="008E0122" w:rsidRPr="007D04D7" w:rsidRDefault="008E0122" w:rsidP="008E0122">
                  <w:pPr>
                    <w:jc w:val="center"/>
                    <w:rPr>
                      <w:rFonts w:cstheme="minorHAnsi"/>
                      <w:sz w:val="22"/>
                      <w:szCs w:val="22"/>
                    </w:rPr>
                  </w:pPr>
                  <w:r w:rsidRPr="007D04D7">
                    <w:rPr>
                      <w:rFonts w:cstheme="minorHAnsi"/>
                      <w:sz w:val="22"/>
                      <w:szCs w:val="22"/>
                    </w:rPr>
                    <w:t>2</w:t>
                  </w:r>
                </w:p>
              </w:tc>
              <w:tc>
                <w:tcPr>
                  <w:tcW w:w="1000" w:type="pct"/>
                  <w:vAlign w:val="bottom"/>
                </w:tcPr>
                <w:p w14:paraId="529AF02C" w14:textId="77777777" w:rsidR="008E0122" w:rsidRPr="007D04D7" w:rsidRDefault="008E0122" w:rsidP="008E0122">
                  <w:pPr>
                    <w:jc w:val="center"/>
                    <w:rPr>
                      <w:rFonts w:cstheme="minorHAnsi"/>
                      <w:sz w:val="22"/>
                      <w:szCs w:val="22"/>
                    </w:rPr>
                  </w:pPr>
                  <w:r w:rsidRPr="007D04D7">
                    <w:rPr>
                      <w:rFonts w:cstheme="minorHAnsi"/>
                      <w:color w:val="000000"/>
                      <w:sz w:val="22"/>
                      <w:szCs w:val="22"/>
                    </w:rPr>
                    <w:t>10.90</w:t>
                  </w:r>
                </w:p>
              </w:tc>
              <w:tc>
                <w:tcPr>
                  <w:tcW w:w="1000" w:type="pct"/>
                  <w:vAlign w:val="bottom"/>
                </w:tcPr>
                <w:p w14:paraId="1CFC989C" w14:textId="77777777" w:rsidR="008E0122" w:rsidRPr="007D04D7" w:rsidRDefault="008E0122" w:rsidP="008E0122">
                  <w:pPr>
                    <w:jc w:val="center"/>
                    <w:rPr>
                      <w:rFonts w:cstheme="minorHAnsi"/>
                      <w:sz w:val="22"/>
                      <w:szCs w:val="22"/>
                    </w:rPr>
                  </w:pPr>
                  <w:r w:rsidRPr="007D04D7">
                    <w:rPr>
                      <w:rFonts w:cstheme="minorHAnsi"/>
                      <w:color w:val="000000"/>
                      <w:sz w:val="22"/>
                      <w:szCs w:val="22"/>
                    </w:rPr>
                    <w:t>6.24</w:t>
                  </w:r>
                </w:p>
              </w:tc>
              <w:tc>
                <w:tcPr>
                  <w:tcW w:w="1000" w:type="pct"/>
                  <w:vAlign w:val="bottom"/>
                </w:tcPr>
                <w:p w14:paraId="21775D3C"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3.51</w:t>
                  </w:r>
                </w:p>
              </w:tc>
              <w:tc>
                <w:tcPr>
                  <w:tcW w:w="1000" w:type="pct"/>
                  <w:vAlign w:val="bottom"/>
                </w:tcPr>
                <w:p w14:paraId="7B4081FD"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2.01</w:t>
                  </w:r>
                </w:p>
              </w:tc>
            </w:tr>
            <w:tr w:rsidR="008E0122" w:rsidRPr="00500C4E" w14:paraId="390348B8" w14:textId="77777777" w:rsidTr="0029763A">
              <w:trPr>
                <w:trHeight w:val="32"/>
                <w:jc w:val="center"/>
              </w:trPr>
              <w:tc>
                <w:tcPr>
                  <w:tcW w:w="1000" w:type="pct"/>
                  <w:vAlign w:val="center"/>
                </w:tcPr>
                <w:p w14:paraId="2C48D6A6" w14:textId="77777777" w:rsidR="008E0122" w:rsidRPr="007D04D7" w:rsidRDefault="008E0122" w:rsidP="008E0122">
                  <w:pPr>
                    <w:jc w:val="center"/>
                    <w:rPr>
                      <w:rFonts w:cstheme="minorHAnsi"/>
                      <w:sz w:val="22"/>
                      <w:szCs w:val="22"/>
                    </w:rPr>
                  </w:pPr>
                  <w:r w:rsidRPr="007D04D7">
                    <w:rPr>
                      <w:rFonts w:cstheme="minorHAnsi"/>
                      <w:sz w:val="22"/>
                      <w:szCs w:val="22"/>
                    </w:rPr>
                    <w:t>3</w:t>
                  </w:r>
                </w:p>
              </w:tc>
              <w:tc>
                <w:tcPr>
                  <w:tcW w:w="1000" w:type="pct"/>
                  <w:vAlign w:val="bottom"/>
                </w:tcPr>
                <w:p w14:paraId="015F73CD" w14:textId="77777777" w:rsidR="008E0122" w:rsidRPr="007D04D7" w:rsidRDefault="008E0122" w:rsidP="008E0122">
                  <w:pPr>
                    <w:jc w:val="center"/>
                    <w:rPr>
                      <w:rFonts w:cstheme="minorHAnsi"/>
                      <w:sz w:val="22"/>
                      <w:szCs w:val="22"/>
                    </w:rPr>
                  </w:pPr>
                  <w:r w:rsidRPr="007D04D7">
                    <w:rPr>
                      <w:rFonts w:cstheme="minorHAnsi"/>
                      <w:color w:val="000000"/>
                      <w:sz w:val="22"/>
                      <w:szCs w:val="22"/>
                    </w:rPr>
                    <w:t>10.97</w:t>
                  </w:r>
                </w:p>
              </w:tc>
              <w:tc>
                <w:tcPr>
                  <w:tcW w:w="1000" w:type="pct"/>
                  <w:vAlign w:val="bottom"/>
                </w:tcPr>
                <w:p w14:paraId="45EA3C9D" w14:textId="77777777" w:rsidR="008E0122" w:rsidRPr="007D04D7" w:rsidRDefault="008E0122" w:rsidP="008E0122">
                  <w:pPr>
                    <w:jc w:val="center"/>
                    <w:rPr>
                      <w:rFonts w:cstheme="minorHAnsi"/>
                      <w:sz w:val="22"/>
                      <w:szCs w:val="22"/>
                    </w:rPr>
                  </w:pPr>
                  <w:r w:rsidRPr="007D04D7">
                    <w:rPr>
                      <w:rFonts w:cstheme="minorHAnsi"/>
                      <w:color w:val="000000"/>
                      <w:sz w:val="22"/>
                      <w:szCs w:val="22"/>
                    </w:rPr>
                    <w:t>6.28</w:t>
                  </w:r>
                </w:p>
              </w:tc>
              <w:tc>
                <w:tcPr>
                  <w:tcW w:w="1000" w:type="pct"/>
                  <w:vAlign w:val="bottom"/>
                </w:tcPr>
                <w:p w14:paraId="46243544"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3.53</w:t>
                  </w:r>
                </w:p>
              </w:tc>
              <w:tc>
                <w:tcPr>
                  <w:tcW w:w="1000" w:type="pct"/>
                  <w:vAlign w:val="bottom"/>
                </w:tcPr>
                <w:p w14:paraId="761C5C06"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2.02</w:t>
                  </w:r>
                </w:p>
              </w:tc>
            </w:tr>
            <w:tr w:rsidR="008E0122" w:rsidRPr="00500C4E" w14:paraId="605765B4" w14:textId="77777777" w:rsidTr="0029763A">
              <w:trPr>
                <w:trHeight w:val="32"/>
                <w:jc w:val="center"/>
              </w:trPr>
              <w:tc>
                <w:tcPr>
                  <w:tcW w:w="1000" w:type="pct"/>
                  <w:vAlign w:val="center"/>
                </w:tcPr>
                <w:p w14:paraId="4E097C1B" w14:textId="77777777" w:rsidR="008E0122" w:rsidRPr="007D04D7" w:rsidRDefault="008E0122" w:rsidP="008E0122">
                  <w:pPr>
                    <w:jc w:val="center"/>
                    <w:rPr>
                      <w:rFonts w:cstheme="minorHAnsi"/>
                      <w:sz w:val="22"/>
                      <w:szCs w:val="22"/>
                    </w:rPr>
                  </w:pPr>
                  <w:r w:rsidRPr="007D04D7">
                    <w:rPr>
                      <w:rFonts w:cstheme="minorHAnsi"/>
                      <w:sz w:val="22"/>
                      <w:szCs w:val="22"/>
                    </w:rPr>
                    <w:t>4</w:t>
                  </w:r>
                </w:p>
              </w:tc>
              <w:tc>
                <w:tcPr>
                  <w:tcW w:w="1000" w:type="pct"/>
                  <w:vAlign w:val="bottom"/>
                </w:tcPr>
                <w:p w14:paraId="5CEAF9AA" w14:textId="77777777" w:rsidR="008E0122" w:rsidRPr="007D04D7" w:rsidRDefault="008E0122" w:rsidP="008E0122">
                  <w:pPr>
                    <w:jc w:val="center"/>
                    <w:rPr>
                      <w:rFonts w:cstheme="minorHAnsi"/>
                      <w:sz w:val="22"/>
                      <w:szCs w:val="22"/>
                    </w:rPr>
                  </w:pPr>
                  <w:r w:rsidRPr="007D04D7">
                    <w:rPr>
                      <w:rFonts w:cstheme="minorHAnsi"/>
                      <w:color w:val="000000"/>
                      <w:sz w:val="22"/>
                      <w:szCs w:val="22"/>
                    </w:rPr>
                    <w:t>10.30</w:t>
                  </w:r>
                </w:p>
              </w:tc>
              <w:tc>
                <w:tcPr>
                  <w:tcW w:w="1000" w:type="pct"/>
                  <w:vAlign w:val="bottom"/>
                </w:tcPr>
                <w:p w14:paraId="3D78D124" w14:textId="77777777" w:rsidR="008E0122" w:rsidRPr="007D04D7" w:rsidRDefault="008E0122" w:rsidP="008E0122">
                  <w:pPr>
                    <w:jc w:val="center"/>
                    <w:rPr>
                      <w:rFonts w:cstheme="minorHAnsi"/>
                      <w:sz w:val="22"/>
                      <w:szCs w:val="22"/>
                    </w:rPr>
                  </w:pPr>
                  <w:r w:rsidRPr="007D04D7">
                    <w:rPr>
                      <w:rFonts w:cstheme="minorHAnsi"/>
                      <w:color w:val="000000"/>
                      <w:sz w:val="22"/>
                      <w:szCs w:val="22"/>
                    </w:rPr>
                    <w:t>5.90</w:t>
                  </w:r>
                </w:p>
              </w:tc>
              <w:tc>
                <w:tcPr>
                  <w:tcW w:w="1000" w:type="pct"/>
                  <w:vAlign w:val="bottom"/>
                </w:tcPr>
                <w:p w14:paraId="5EFC1882"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3.32</w:t>
                  </w:r>
                </w:p>
              </w:tc>
              <w:tc>
                <w:tcPr>
                  <w:tcW w:w="1000" w:type="pct"/>
                  <w:vAlign w:val="bottom"/>
                </w:tcPr>
                <w:p w14:paraId="0845298B"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1.90</w:t>
                  </w:r>
                </w:p>
              </w:tc>
            </w:tr>
            <w:tr w:rsidR="008E0122" w:rsidRPr="00500C4E" w14:paraId="03672D95" w14:textId="77777777" w:rsidTr="0029763A">
              <w:trPr>
                <w:trHeight w:val="32"/>
                <w:jc w:val="center"/>
              </w:trPr>
              <w:tc>
                <w:tcPr>
                  <w:tcW w:w="1000" w:type="pct"/>
                  <w:vAlign w:val="center"/>
                </w:tcPr>
                <w:p w14:paraId="13E58AAD" w14:textId="77777777" w:rsidR="008E0122" w:rsidRPr="007D04D7" w:rsidRDefault="008E0122" w:rsidP="008E0122">
                  <w:pPr>
                    <w:jc w:val="center"/>
                    <w:rPr>
                      <w:rFonts w:cstheme="minorHAnsi"/>
                      <w:sz w:val="22"/>
                      <w:szCs w:val="22"/>
                    </w:rPr>
                  </w:pPr>
                  <w:r w:rsidRPr="007D04D7">
                    <w:rPr>
                      <w:rFonts w:cstheme="minorHAnsi"/>
                      <w:sz w:val="22"/>
                      <w:szCs w:val="22"/>
                    </w:rPr>
                    <w:t>5</w:t>
                  </w:r>
                </w:p>
              </w:tc>
              <w:tc>
                <w:tcPr>
                  <w:tcW w:w="1000" w:type="pct"/>
                  <w:vAlign w:val="bottom"/>
                </w:tcPr>
                <w:p w14:paraId="6805D1FB" w14:textId="77777777" w:rsidR="008E0122" w:rsidRPr="007D04D7" w:rsidRDefault="008E0122" w:rsidP="008E0122">
                  <w:pPr>
                    <w:jc w:val="center"/>
                    <w:rPr>
                      <w:rFonts w:cstheme="minorHAnsi"/>
                      <w:sz w:val="22"/>
                      <w:szCs w:val="22"/>
                    </w:rPr>
                  </w:pPr>
                  <w:r w:rsidRPr="007D04D7">
                    <w:rPr>
                      <w:rFonts w:cstheme="minorHAnsi"/>
                      <w:color w:val="000000"/>
                      <w:sz w:val="22"/>
                      <w:szCs w:val="22"/>
                    </w:rPr>
                    <w:t>11.29</w:t>
                  </w:r>
                </w:p>
              </w:tc>
              <w:tc>
                <w:tcPr>
                  <w:tcW w:w="1000" w:type="pct"/>
                  <w:vAlign w:val="bottom"/>
                </w:tcPr>
                <w:p w14:paraId="425580CC" w14:textId="77777777" w:rsidR="008E0122" w:rsidRPr="007D04D7" w:rsidRDefault="008E0122" w:rsidP="008E0122">
                  <w:pPr>
                    <w:jc w:val="center"/>
                    <w:rPr>
                      <w:rFonts w:cstheme="minorHAnsi"/>
                      <w:sz w:val="22"/>
                      <w:szCs w:val="22"/>
                    </w:rPr>
                  </w:pPr>
                  <w:r w:rsidRPr="007D04D7">
                    <w:rPr>
                      <w:rFonts w:cstheme="minorHAnsi"/>
                      <w:color w:val="000000"/>
                      <w:sz w:val="22"/>
                      <w:szCs w:val="22"/>
                    </w:rPr>
                    <w:t>6.47</w:t>
                  </w:r>
                </w:p>
              </w:tc>
              <w:tc>
                <w:tcPr>
                  <w:tcW w:w="1000" w:type="pct"/>
                  <w:vAlign w:val="bottom"/>
                </w:tcPr>
                <w:p w14:paraId="653ADA30"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3.63</w:t>
                  </w:r>
                </w:p>
              </w:tc>
              <w:tc>
                <w:tcPr>
                  <w:tcW w:w="1000" w:type="pct"/>
                  <w:vAlign w:val="bottom"/>
                </w:tcPr>
                <w:p w14:paraId="1DD1599A"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2.08</w:t>
                  </w:r>
                </w:p>
              </w:tc>
            </w:tr>
            <w:tr w:rsidR="008E0122" w:rsidRPr="00500C4E" w14:paraId="35A8722A" w14:textId="77777777" w:rsidTr="0029763A">
              <w:trPr>
                <w:trHeight w:val="32"/>
                <w:jc w:val="center"/>
              </w:trPr>
              <w:tc>
                <w:tcPr>
                  <w:tcW w:w="1000" w:type="pct"/>
                  <w:vAlign w:val="center"/>
                </w:tcPr>
                <w:p w14:paraId="284C6F4B" w14:textId="77777777" w:rsidR="008E0122" w:rsidRPr="007D04D7" w:rsidRDefault="008E0122" w:rsidP="008E0122">
                  <w:pPr>
                    <w:jc w:val="center"/>
                    <w:rPr>
                      <w:rFonts w:cstheme="minorHAnsi"/>
                      <w:sz w:val="22"/>
                      <w:szCs w:val="22"/>
                    </w:rPr>
                  </w:pPr>
                  <w:r w:rsidRPr="007D04D7">
                    <w:rPr>
                      <w:rFonts w:cstheme="minorHAnsi"/>
                      <w:sz w:val="22"/>
                      <w:szCs w:val="22"/>
                    </w:rPr>
                    <w:t>6</w:t>
                  </w:r>
                </w:p>
              </w:tc>
              <w:tc>
                <w:tcPr>
                  <w:tcW w:w="1000" w:type="pct"/>
                  <w:vAlign w:val="bottom"/>
                </w:tcPr>
                <w:p w14:paraId="175652A3" w14:textId="77777777" w:rsidR="008E0122" w:rsidRPr="007D04D7" w:rsidRDefault="008E0122" w:rsidP="008E0122">
                  <w:pPr>
                    <w:jc w:val="center"/>
                    <w:rPr>
                      <w:rFonts w:cstheme="minorHAnsi"/>
                      <w:sz w:val="22"/>
                      <w:szCs w:val="22"/>
                    </w:rPr>
                  </w:pPr>
                  <w:r w:rsidRPr="007D04D7">
                    <w:rPr>
                      <w:rFonts w:cstheme="minorHAnsi"/>
                      <w:color w:val="000000"/>
                      <w:sz w:val="22"/>
                      <w:szCs w:val="22"/>
                    </w:rPr>
                    <w:t>9.70</w:t>
                  </w:r>
                </w:p>
              </w:tc>
              <w:tc>
                <w:tcPr>
                  <w:tcW w:w="1000" w:type="pct"/>
                  <w:vAlign w:val="bottom"/>
                </w:tcPr>
                <w:p w14:paraId="65ACE824" w14:textId="77777777" w:rsidR="008E0122" w:rsidRPr="007D04D7" w:rsidRDefault="008E0122" w:rsidP="008E0122">
                  <w:pPr>
                    <w:jc w:val="center"/>
                    <w:rPr>
                      <w:rFonts w:cstheme="minorHAnsi"/>
                      <w:sz w:val="22"/>
                      <w:szCs w:val="22"/>
                    </w:rPr>
                  </w:pPr>
                  <w:r w:rsidRPr="007D04D7">
                    <w:rPr>
                      <w:rFonts w:cstheme="minorHAnsi"/>
                      <w:color w:val="000000"/>
                      <w:sz w:val="22"/>
                      <w:szCs w:val="22"/>
                    </w:rPr>
                    <w:t>5.56</w:t>
                  </w:r>
                </w:p>
              </w:tc>
              <w:tc>
                <w:tcPr>
                  <w:tcW w:w="1000" w:type="pct"/>
                  <w:vAlign w:val="bottom"/>
                </w:tcPr>
                <w:p w14:paraId="35529E5F"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3.12</w:t>
                  </w:r>
                </w:p>
              </w:tc>
              <w:tc>
                <w:tcPr>
                  <w:tcW w:w="1000" w:type="pct"/>
                  <w:vAlign w:val="bottom"/>
                </w:tcPr>
                <w:p w14:paraId="3D926E90"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1.79</w:t>
                  </w:r>
                </w:p>
              </w:tc>
            </w:tr>
            <w:tr w:rsidR="008E0122" w:rsidRPr="00500C4E" w14:paraId="3F0FDCF0" w14:textId="77777777" w:rsidTr="0029763A">
              <w:trPr>
                <w:trHeight w:val="32"/>
                <w:jc w:val="center"/>
              </w:trPr>
              <w:tc>
                <w:tcPr>
                  <w:tcW w:w="1000" w:type="pct"/>
                  <w:vAlign w:val="center"/>
                </w:tcPr>
                <w:p w14:paraId="1A3085A9" w14:textId="77777777" w:rsidR="008E0122" w:rsidRPr="007D04D7" w:rsidRDefault="008E0122" w:rsidP="008E0122">
                  <w:pPr>
                    <w:jc w:val="center"/>
                    <w:rPr>
                      <w:rFonts w:cstheme="minorHAnsi"/>
                      <w:sz w:val="22"/>
                      <w:szCs w:val="22"/>
                    </w:rPr>
                  </w:pPr>
                  <w:r w:rsidRPr="007D04D7">
                    <w:rPr>
                      <w:rFonts w:cstheme="minorHAnsi"/>
                      <w:sz w:val="22"/>
                      <w:szCs w:val="22"/>
                    </w:rPr>
                    <w:t>7</w:t>
                  </w:r>
                </w:p>
              </w:tc>
              <w:tc>
                <w:tcPr>
                  <w:tcW w:w="1000" w:type="pct"/>
                  <w:vAlign w:val="bottom"/>
                </w:tcPr>
                <w:p w14:paraId="5284540C" w14:textId="77777777" w:rsidR="008E0122" w:rsidRPr="007D04D7" w:rsidRDefault="008E0122" w:rsidP="008E0122">
                  <w:pPr>
                    <w:jc w:val="center"/>
                    <w:rPr>
                      <w:rFonts w:cstheme="minorHAnsi"/>
                      <w:sz w:val="22"/>
                      <w:szCs w:val="22"/>
                    </w:rPr>
                  </w:pPr>
                  <w:r w:rsidRPr="007D04D7">
                    <w:rPr>
                      <w:rFonts w:cstheme="minorHAnsi"/>
                      <w:color w:val="000000"/>
                      <w:sz w:val="22"/>
                      <w:szCs w:val="22"/>
                    </w:rPr>
                    <w:t>9.49</w:t>
                  </w:r>
                </w:p>
              </w:tc>
              <w:tc>
                <w:tcPr>
                  <w:tcW w:w="1000" w:type="pct"/>
                  <w:vAlign w:val="bottom"/>
                </w:tcPr>
                <w:p w14:paraId="39993E48" w14:textId="77777777" w:rsidR="008E0122" w:rsidRPr="007D04D7" w:rsidRDefault="008E0122" w:rsidP="008E0122">
                  <w:pPr>
                    <w:jc w:val="center"/>
                    <w:rPr>
                      <w:rFonts w:cstheme="minorHAnsi"/>
                      <w:sz w:val="22"/>
                      <w:szCs w:val="22"/>
                    </w:rPr>
                  </w:pPr>
                  <w:r w:rsidRPr="007D04D7">
                    <w:rPr>
                      <w:rFonts w:cstheme="minorHAnsi"/>
                      <w:color w:val="000000"/>
                      <w:sz w:val="22"/>
                      <w:szCs w:val="22"/>
                    </w:rPr>
                    <w:t>5.43</w:t>
                  </w:r>
                </w:p>
              </w:tc>
              <w:tc>
                <w:tcPr>
                  <w:tcW w:w="1000" w:type="pct"/>
                  <w:vAlign w:val="bottom"/>
                </w:tcPr>
                <w:p w14:paraId="46F7158A"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3.05</w:t>
                  </w:r>
                </w:p>
              </w:tc>
              <w:tc>
                <w:tcPr>
                  <w:tcW w:w="1000" w:type="pct"/>
                  <w:vAlign w:val="bottom"/>
                </w:tcPr>
                <w:p w14:paraId="1002309E"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1.75</w:t>
                  </w:r>
                </w:p>
              </w:tc>
            </w:tr>
            <w:tr w:rsidR="008E0122" w:rsidRPr="00500C4E" w14:paraId="1A8146FE" w14:textId="77777777" w:rsidTr="0029763A">
              <w:trPr>
                <w:trHeight w:val="32"/>
                <w:jc w:val="center"/>
              </w:trPr>
              <w:tc>
                <w:tcPr>
                  <w:tcW w:w="1000" w:type="pct"/>
                  <w:vAlign w:val="center"/>
                </w:tcPr>
                <w:p w14:paraId="5E9BBE39" w14:textId="77777777" w:rsidR="008E0122" w:rsidRPr="007D04D7" w:rsidRDefault="008E0122" w:rsidP="008E0122">
                  <w:pPr>
                    <w:jc w:val="center"/>
                    <w:rPr>
                      <w:rFonts w:cstheme="minorHAnsi"/>
                      <w:sz w:val="22"/>
                      <w:szCs w:val="22"/>
                    </w:rPr>
                  </w:pPr>
                  <w:r w:rsidRPr="007D04D7">
                    <w:rPr>
                      <w:rFonts w:cstheme="minorHAnsi"/>
                      <w:sz w:val="22"/>
                      <w:szCs w:val="22"/>
                    </w:rPr>
                    <w:t>8</w:t>
                  </w:r>
                </w:p>
              </w:tc>
              <w:tc>
                <w:tcPr>
                  <w:tcW w:w="1000" w:type="pct"/>
                  <w:vAlign w:val="bottom"/>
                </w:tcPr>
                <w:p w14:paraId="17DD8526" w14:textId="77777777" w:rsidR="008E0122" w:rsidRPr="007D04D7" w:rsidRDefault="008E0122" w:rsidP="008E0122">
                  <w:pPr>
                    <w:jc w:val="center"/>
                    <w:rPr>
                      <w:rFonts w:cstheme="minorHAnsi"/>
                      <w:sz w:val="22"/>
                      <w:szCs w:val="22"/>
                    </w:rPr>
                  </w:pPr>
                  <w:r w:rsidRPr="007D04D7">
                    <w:rPr>
                      <w:rFonts w:cstheme="minorHAnsi"/>
                      <w:color w:val="000000"/>
                      <w:sz w:val="22"/>
                      <w:szCs w:val="22"/>
                    </w:rPr>
                    <w:t>9.17</w:t>
                  </w:r>
                </w:p>
              </w:tc>
              <w:tc>
                <w:tcPr>
                  <w:tcW w:w="1000" w:type="pct"/>
                  <w:vAlign w:val="bottom"/>
                </w:tcPr>
                <w:p w14:paraId="2849C09F" w14:textId="77777777" w:rsidR="008E0122" w:rsidRPr="007D04D7" w:rsidRDefault="008E0122" w:rsidP="008E0122">
                  <w:pPr>
                    <w:jc w:val="center"/>
                    <w:rPr>
                      <w:rFonts w:cstheme="minorHAnsi"/>
                      <w:sz w:val="22"/>
                      <w:szCs w:val="22"/>
                    </w:rPr>
                  </w:pPr>
                  <w:r w:rsidRPr="007D04D7">
                    <w:rPr>
                      <w:rFonts w:cstheme="minorHAnsi"/>
                      <w:color w:val="000000"/>
                      <w:sz w:val="22"/>
                      <w:szCs w:val="22"/>
                    </w:rPr>
                    <w:t>5.25</w:t>
                  </w:r>
                </w:p>
              </w:tc>
              <w:tc>
                <w:tcPr>
                  <w:tcW w:w="1000" w:type="pct"/>
                  <w:vAlign w:val="bottom"/>
                </w:tcPr>
                <w:p w14:paraId="306F67FB"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2.95</w:t>
                  </w:r>
                </w:p>
              </w:tc>
              <w:tc>
                <w:tcPr>
                  <w:tcW w:w="1000" w:type="pct"/>
                  <w:vAlign w:val="bottom"/>
                </w:tcPr>
                <w:p w14:paraId="3CF4E851"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1.69</w:t>
                  </w:r>
                </w:p>
              </w:tc>
            </w:tr>
            <w:tr w:rsidR="008E0122" w:rsidRPr="00500C4E" w14:paraId="74349932" w14:textId="77777777" w:rsidTr="0029763A">
              <w:trPr>
                <w:trHeight w:val="112"/>
                <w:jc w:val="center"/>
              </w:trPr>
              <w:tc>
                <w:tcPr>
                  <w:tcW w:w="1000" w:type="pct"/>
                  <w:vAlign w:val="center"/>
                </w:tcPr>
                <w:p w14:paraId="6C8D3066" w14:textId="77777777" w:rsidR="008E0122" w:rsidRPr="007D04D7" w:rsidRDefault="008E0122" w:rsidP="008E0122">
                  <w:pPr>
                    <w:jc w:val="center"/>
                    <w:rPr>
                      <w:rFonts w:cstheme="minorHAnsi"/>
                      <w:sz w:val="22"/>
                      <w:szCs w:val="22"/>
                    </w:rPr>
                  </w:pPr>
                  <w:r w:rsidRPr="007D04D7">
                    <w:rPr>
                      <w:rFonts w:cstheme="minorHAnsi"/>
                      <w:sz w:val="22"/>
                      <w:szCs w:val="22"/>
                    </w:rPr>
                    <w:t>9</w:t>
                  </w:r>
                </w:p>
              </w:tc>
              <w:tc>
                <w:tcPr>
                  <w:tcW w:w="1000" w:type="pct"/>
                  <w:vAlign w:val="bottom"/>
                </w:tcPr>
                <w:p w14:paraId="7F86A6BF" w14:textId="77777777" w:rsidR="008E0122" w:rsidRPr="007D04D7" w:rsidRDefault="008E0122" w:rsidP="008E0122">
                  <w:pPr>
                    <w:jc w:val="center"/>
                    <w:rPr>
                      <w:rFonts w:cstheme="minorHAnsi"/>
                      <w:sz w:val="22"/>
                      <w:szCs w:val="22"/>
                    </w:rPr>
                  </w:pPr>
                  <w:r w:rsidRPr="007D04D7">
                    <w:rPr>
                      <w:rFonts w:cstheme="minorHAnsi"/>
                      <w:color w:val="000000"/>
                      <w:sz w:val="22"/>
                      <w:szCs w:val="22"/>
                    </w:rPr>
                    <w:t>9.15</w:t>
                  </w:r>
                </w:p>
              </w:tc>
              <w:tc>
                <w:tcPr>
                  <w:tcW w:w="1000" w:type="pct"/>
                  <w:vAlign w:val="bottom"/>
                </w:tcPr>
                <w:p w14:paraId="6BB7EA97" w14:textId="77777777" w:rsidR="008E0122" w:rsidRPr="007D04D7" w:rsidRDefault="008E0122" w:rsidP="008E0122">
                  <w:pPr>
                    <w:jc w:val="center"/>
                    <w:rPr>
                      <w:rFonts w:cstheme="minorHAnsi"/>
                      <w:sz w:val="22"/>
                      <w:szCs w:val="22"/>
                    </w:rPr>
                  </w:pPr>
                  <w:r w:rsidRPr="007D04D7">
                    <w:rPr>
                      <w:rFonts w:cstheme="minorHAnsi"/>
                      <w:color w:val="000000"/>
                      <w:sz w:val="22"/>
                      <w:szCs w:val="22"/>
                    </w:rPr>
                    <w:t>5.24</w:t>
                  </w:r>
                </w:p>
              </w:tc>
              <w:tc>
                <w:tcPr>
                  <w:tcW w:w="1000" w:type="pct"/>
                  <w:vAlign w:val="bottom"/>
                </w:tcPr>
                <w:p w14:paraId="09AF90C7"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2.94</w:t>
                  </w:r>
                </w:p>
              </w:tc>
              <w:tc>
                <w:tcPr>
                  <w:tcW w:w="1000" w:type="pct"/>
                  <w:vAlign w:val="bottom"/>
                </w:tcPr>
                <w:p w14:paraId="2F51E7C1"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1.69</w:t>
                  </w:r>
                </w:p>
              </w:tc>
            </w:tr>
            <w:tr w:rsidR="008E0122" w:rsidRPr="00500C4E" w14:paraId="5174565A" w14:textId="77777777" w:rsidTr="0029763A">
              <w:trPr>
                <w:trHeight w:val="32"/>
                <w:jc w:val="center"/>
              </w:trPr>
              <w:tc>
                <w:tcPr>
                  <w:tcW w:w="1000" w:type="pct"/>
                  <w:vAlign w:val="center"/>
                </w:tcPr>
                <w:p w14:paraId="20E61B50" w14:textId="77777777" w:rsidR="008E0122" w:rsidRPr="007D04D7" w:rsidRDefault="008E0122" w:rsidP="008E0122">
                  <w:pPr>
                    <w:jc w:val="center"/>
                    <w:rPr>
                      <w:rFonts w:cstheme="minorHAnsi"/>
                      <w:sz w:val="22"/>
                      <w:szCs w:val="22"/>
                    </w:rPr>
                  </w:pPr>
                  <w:r w:rsidRPr="007D04D7">
                    <w:rPr>
                      <w:rFonts w:cstheme="minorHAnsi"/>
                      <w:sz w:val="22"/>
                      <w:szCs w:val="22"/>
                    </w:rPr>
                    <w:t>10</w:t>
                  </w:r>
                </w:p>
              </w:tc>
              <w:tc>
                <w:tcPr>
                  <w:tcW w:w="1000" w:type="pct"/>
                  <w:vAlign w:val="bottom"/>
                </w:tcPr>
                <w:p w14:paraId="36B28130" w14:textId="77777777" w:rsidR="008E0122" w:rsidRPr="007D04D7" w:rsidRDefault="008E0122" w:rsidP="008E0122">
                  <w:pPr>
                    <w:jc w:val="center"/>
                    <w:rPr>
                      <w:rFonts w:cstheme="minorHAnsi"/>
                      <w:sz w:val="22"/>
                      <w:szCs w:val="22"/>
                    </w:rPr>
                  </w:pPr>
                  <w:r w:rsidRPr="007D04D7">
                    <w:rPr>
                      <w:rFonts w:cstheme="minorHAnsi"/>
                      <w:color w:val="000000"/>
                      <w:sz w:val="22"/>
                      <w:szCs w:val="22"/>
                    </w:rPr>
                    <w:t>9.06</w:t>
                  </w:r>
                </w:p>
              </w:tc>
              <w:tc>
                <w:tcPr>
                  <w:tcW w:w="1000" w:type="pct"/>
                  <w:vAlign w:val="bottom"/>
                </w:tcPr>
                <w:p w14:paraId="7912DFF5" w14:textId="77777777" w:rsidR="008E0122" w:rsidRPr="007D04D7" w:rsidRDefault="008E0122" w:rsidP="008E0122">
                  <w:pPr>
                    <w:jc w:val="center"/>
                    <w:rPr>
                      <w:rFonts w:cstheme="minorHAnsi"/>
                      <w:sz w:val="22"/>
                      <w:szCs w:val="22"/>
                    </w:rPr>
                  </w:pPr>
                  <w:r w:rsidRPr="007D04D7">
                    <w:rPr>
                      <w:rFonts w:cstheme="minorHAnsi"/>
                      <w:color w:val="000000"/>
                      <w:sz w:val="22"/>
                      <w:szCs w:val="22"/>
                    </w:rPr>
                    <w:t>5.19</w:t>
                  </w:r>
                </w:p>
              </w:tc>
              <w:tc>
                <w:tcPr>
                  <w:tcW w:w="1000" w:type="pct"/>
                  <w:vAlign w:val="bottom"/>
                </w:tcPr>
                <w:p w14:paraId="6426ABD1"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2.92</w:t>
                  </w:r>
                </w:p>
              </w:tc>
              <w:tc>
                <w:tcPr>
                  <w:tcW w:w="1000" w:type="pct"/>
                  <w:vAlign w:val="bottom"/>
                </w:tcPr>
                <w:p w14:paraId="3A9A6DD5"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1.67</w:t>
                  </w:r>
                </w:p>
              </w:tc>
            </w:tr>
            <w:tr w:rsidR="008E0122" w:rsidRPr="00500C4E" w14:paraId="4452EB7F" w14:textId="77777777" w:rsidTr="0029763A">
              <w:trPr>
                <w:trHeight w:val="32"/>
                <w:jc w:val="center"/>
              </w:trPr>
              <w:tc>
                <w:tcPr>
                  <w:tcW w:w="1000" w:type="pct"/>
                  <w:vAlign w:val="center"/>
                </w:tcPr>
                <w:p w14:paraId="77218997" w14:textId="77777777" w:rsidR="008E0122" w:rsidRPr="007D04D7" w:rsidRDefault="008E0122" w:rsidP="008E0122">
                  <w:pPr>
                    <w:jc w:val="center"/>
                    <w:rPr>
                      <w:rFonts w:cstheme="minorHAnsi"/>
                      <w:sz w:val="22"/>
                      <w:szCs w:val="22"/>
                    </w:rPr>
                  </w:pPr>
                  <w:r w:rsidRPr="007D04D7">
                    <w:rPr>
                      <w:rFonts w:cstheme="minorHAnsi"/>
                      <w:sz w:val="22"/>
                      <w:szCs w:val="22"/>
                    </w:rPr>
                    <w:t>11</w:t>
                  </w:r>
                </w:p>
              </w:tc>
              <w:tc>
                <w:tcPr>
                  <w:tcW w:w="1000" w:type="pct"/>
                  <w:vAlign w:val="bottom"/>
                </w:tcPr>
                <w:p w14:paraId="5CA87052" w14:textId="77777777" w:rsidR="008E0122" w:rsidRPr="007D04D7" w:rsidRDefault="008E0122" w:rsidP="008E0122">
                  <w:pPr>
                    <w:jc w:val="center"/>
                    <w:rPr>
                      <w:rFonts w:cstheme="minorHAnsi"/>
                      <w:sz w:val="22"/>
                      <w:szCs w:val="22"/>
                    </w:rPr>
                  </w:pPr>
                  <w:r w:rsidRPr="007D04D7">
                    <w:rPr>
                      <w:rFonts w:cstheme="minorHAnsi"/>
                      <w:color w:val="000000"/>
                      <w:sz w:val="22"/>
                      <w:szCs w:val="22"/>
                    </w:rPr>
                    <w:t>9.32</w:t>
                  </w:r>
                </w:p>
              </w:tc>
              <w:tc>
                <w:tcPr>
                  <w:tcW w:w="1000" w:type="pct"/>
                  <w:vAlign w:val="bottom"/>
                </w:tcPr>
                <w:p w14:paraId="44E9ED67" w14:textId="77777777" w:rsidR="008E0122" w:rsidRPr="007D04D7" w:rsidRDefault="008E0122" w:rsidP="008E0122">
                  <w:pPr>
                    <w:jc w:val="center"/>
                    <w:rPr>
                      <w:rFonts w:cstheme="minorHAnsi"/>
                      <w:sz w:val="22"/>
                      <w:szCs w:val="22"/>
                    </w:rPr>
                  </w:pPr>
                  <w:r w:rsidRPr="007D04D7">
                    <w:rPr>
                      <w:rFonts w:cstheme="minorHAnsi"/>
                      <w:color w:val="000000"/>
                      <w:sz w:val="22"/>
                      <w:szCs w:val="22"/>
                    </w:rPr>
                    <w:t>5.34</w:t>
                  </w:r>
                </w:p>
              </w:tc>
              <w:tc>
                <w:tcPr>
                  <w:tcW w:w="1000" w:type="pct"/>
                  <w:vAlign w:val="bottom"/>
                </w:tcPr>
                <w:p w14:paraId="5D456CAC"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3.00</w:t>
                  </w:r>
                </w:p>
              </w:tc>
              <w:tc>
                <w:tcPr>
                  <w:tcW w:w="1000" w:type="pct"/>
                  <w:vAlign w:val="bottom"/>
                </w:tcPr>
                <w:p w14:paraId="4B66DDAC"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1.72</w:t>
                  </w:r>
                </w:p>
              </w:tc>
            </w:tr>
            <w:tr w:rsidR="008E0122" w:rsidRPr="00500C4E" w14:paraId="02F805D6" w14:textId="77777777" w:rsidTr="0029763A">
              <w:trPr>
                <w:trHeight w:val="32"/>
                <w:jc w:val="center"/>
              </w:trPr>
              <w:tc>
                <w:tcPr>
                  <w:tcW w:w="1000" w:type="pct"/>
                  <w:vAlign w:val="center"/>
                </w:tcPr>
                <w:p w14:paraId="3C214313" w14:textId="77777777" w:rsidR="008E0122" w:rsidRPr="007D04D7" w:rsidRDefault="008E0122" w:rsidP="008E0122">
                  <w:pPr>
                    <w:jc w:val="center"/>
                    <w:rPr>
                      <w:rFonts w:cstheme="minorHAnsi"/>
                      <w:sz w:val="22"/>
                      <w:szCs w:val="22"/>
                    </w:rPr>
                  </w:pPr>
                  <w:r w:rsidRPr="007D04D7">
                    <w:rPr>
                      <w:rFonts w:cstheme="minorHAnsi"/>
                      <w:sz w:val="22"/>
                      <w:szCs w:val="22"/>
                    </w:rPr>
                    <w:t>12</w:t>
                  </w:r>
                </w:p>
              </w:tc>
              <w:tc>
                <w:tcPr>
                  <w:tcW w:w="1000" w:type="pct"/>
                  <w:vAlign w:val="bottom"/>
                </w:tcPr>
                <w:p w14:paraId="631704DF" w14:textId="77777777" w:rsidR="008E0122" w:rsidRPr="007D04D7" w:rsidRDefault="008E0122" w:rsidP="008E0122">
                  <w:pPr>
                    <w:jc w:val="center"/>
                    <w:rPr>
                      <w:rFonts w:cstheme="minorHAnsi"/>
                      <w:sz w:val="22"/>
                      <w:szCs w:val="22"/>
                    </w:rPr>
                  </w:pPr>
                  <w:r w:rsidRPr="007D04D7">
                    <w:rPr>
                      <w:rFonts w:cstheme="minorHAnsi"/>
                      <w:color w:val="000000"/>
                      <w:sz w:val="22"/>
                      <w:szCs w:val="22"/>
                    </w:rPr>
                    <w:t>9.94</w:t>
                  </w:r>
                </w:p>
              </w:tc>
              <w:tc>
                <w:tcPr>
                  <w:tcW w:w="1000" w:type="pct"/>
                  <w:vAlign w:val="bottom"/>
                </w:tcPr>
                <w:p w14:paraId="0522B81B" w14:textId="77777777" w:rsidR="008E0122" w:rsidRPr="007D04D7" w:rsidRDefault="008E0122" w:rsidP="008E0122">
                  <w:pPr>
                    <w:jc w:val="center"/>
                    <w:rPr>
                      <w:rFonts w:cstheme="minorHAnsi"/>
                      <w:sz w:val="22"/>
                      <w:szCs w:val="22"/>
                    </w:rPr>
                  </w:pPr>
                  <w:r w:rsidRPr="007D04D7">
                    <w:rPr>
                      <w:rFonts w:cstheme="minorHAnsi"/>
                      <w:color w:val="000000"/>
                      <w:sz w:val="22"/>
                      <w:szCs w:val="22"/>
                    </w:rPr>
                    <w:t>5.69</w:t>
                  </w:r>
                </w:p>
              </w:tc>
              <w:tc>
                <w:tcPr>
                  <w:tcW w:w="1000" w:type="pct"/>
                  <w:vAlign w:val="bottom"/>
                </w:tcPr>
                <w:p w14:paraId="1FFD962A"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3.20</w:t>
                  </w:r>
                </w:p>
              </w:tc>
              <w:tc>
                <w:tcPr>
                  <w:tcW w:w="1000" w:type="pct"/>
                  <w:vAlign w:val="bottom"/>
                </w:tcPr>
                <w:p w14:paraId="5E767F21"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1.83</w:t>
                  </w:r>
                </w:p>
              </w:tc>
            </w:tr>
            <w:tr w:rsidR="008E0122" w:rsidRPr="00500C4E" w14:paraId="702FC916" w14:textId="77777777" w:rsidTr="0029763A">
              <w:trPr>
                <w:trHeight w:val="32"/>
                <w:jc w:val="center"/>
              </w:trPr>
              <w:tc>
                <w:tcPr>
                  <w:tcW w:w="1000" w:type="pct"/>
                  <w:vAlign w:val="center"/>
                </w:tcPr>
                <w:p w14:paraId="000484FD" w14:textId="77777777" w:rsidR="008E0122" w:rsidRPr="007D04D7" w:rsidRDefault="008E0122" w:rsidP="008E0122">
                  <w:pPr>
                    <w:jc w:val="center"/>
                    <w:rPr>
                      <w:rFonts w:cstheme="minorHAnsi"/>
                      <w:sz w:val="22"/>
                      <w:szCs w:val="22"/>
                    </w:rPr>
                  </w:pPr>
                  <w:r w:rsidRPr="007D04D7">
                    <w:rPr>
                      <w:rFonts w:cstheme="minorHAnsi"/>
                      <w:sz w:val="22"/>
                      <w:szCs w:val="22"/>
                    </w:rPr>
                    <w:t>13</w:t>
                  </w:r>
                </w:p>
              </w:tc>
              <w:tc>
                <w:tcPr>
                  <w:tcW w:w="1000" w:type="pct"/>
                  <w:vAlign w:val="bottom"/>
                </w:tcPr>
                <w:p w14:paraId="486E91C3" w14:textId="77777777" w:rsidR="008E0122" w:rsidRPr="007D04D7" w:rsidRDefault="008E0122" w:rsidP="008E0122">
                  <w:pPr>
                    <w:jc w:val="center"/>
                    <w:rPr>
                      <w:rFonts w:cstheme="minorHAnsi"/>
                      <w:sz w:val="22"/>
                      <w:szCs w:val="22"/>
                    </w:rPr>
                  </w:pPr>
                  <w:r w:rsidRPr="007D04D7">
                    <w:rPr>
                      <w:rFonts w:cstheme="minorHAnsi"/>
                      <w:color w:val="000000"/>
                      <w:sz w:val="22"/>
                      <w:szCs w:val="22"/>
                    </w:rPr>
                    <w:t>9.07</w:t>
                  </w:r>
                </w:p>
              </w:tc>
              <w:tc>
                <w:tcPr>
                  <w:tcW w:w="1000" w:type="pct"/>
                  <w:vAlign w:val="bottom"/>
                </w:tcPr>
                <w:p w14:paraId="54DACAFD" w14:textId="77777777" w:rsidR="008E0122" w:rsidRPr="007D04D7" w:rsidRDefault="008E0122" w:rsidP="008E0122">
                  <w:pPr>
                    <w:jc w:val="center"/>
                    <w:rPr>
                      <w:rFonts w:cstheme="minorHAnsi"/>
                      <w:sz w:val="22"/>
                      <w:szCs w:val="22"/>
                    </w:rPr>
                  </w:pPr>
                  <w:r w:rsidRPr="007D04D7">
                    <w:rPr>
                      <w:rFonts w:cstheme="minorHAnsi"/>
                      <w:color w:val="000000"/>
                      <w:sz w:val="22"/>
                      <w:szCs w:val="22"/>
                    </w:rPr>
                    <w:t>5.20</w:t>
                  </w:r>
                </w:p>
              </w:tc>
              <w:tc>
                <w:tcPr>
                  <w:tcW w:w="1000" w:type="pct"/>
                  <w:vAlign w:val="bottom"/>
                </w:tcPr>
                <w:p w14:paraId="68AA1D35"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2.92</w:t>
                  </w:r>
                </w:p>
              </w:tc>
              <w:tc>
                <w:tcPr>
                  <w:tcW w:w="1000" w:type="pct"/>
                  <w:vAlign w:val="bottom"/>
                </w:tcPr>
                <w:p w14:paraId="612F572A"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1.67</w:t>
                  </w:r>
                </w:p>
              </w:tc>
            </w:tr>
            <w:tr w:rsidR="008E0122" w:rsidRPr="00500C4E" w14:paraId="67D62C29" w14:textId="77777777" w:rsidTr="0029763A">
              <w:trPr>
                <w:trHeight w:val="32"/>
                <w:jc w:val="center"/>
              </w:trPr>
              <w:tc>
                <w:tcPr>
                  <w:tcW w:w="1000" w:type="pct"/>
                  <w:vAlign w:val="center"/>
                </w:tcPr>
                <w:p w14:paraId="7442413B" w14:textId="77777777" w:rsidR="008E0122" w:rsidRPr="007D04D7" w:rsidRDefault="008E0122" w:rsidP="008E0122">
                  <w:pPr>
                    <w:jc w:val="center"/>
                    <w:rPr>
                      <w:rFonts w:cstheme="minorHAnsi"/>
                      <w:sz w:val="22"/>
                      <w:szCs w:val="22"/>
                    </w:rPr>
                  </w:pPr>
                  <w:r w:rsidRPr="007D04D7">
                    <w:rPr>
                      <w:rFonts w:cstheme="minorHAnsi"/>
                      <w:sz w:val="22"/>
                      <w:szCs w:val="22"/>
                    </w:rPr>
                    <w:t>14</w:t>
                  </w:r>
                </w:p>
              </w:tc>
              <w:tc>
                <w:tcPr>
                  <w:tcW w:w="1000" w:type="pct"/>
                  <w:vAlign w:val="bottom"/>
                </w:tcPr>
                <w:p w14:paraId="2CCD7889" w14:textId="77777777" w:rsidR="008E0122" w:rsidRPr="007D04D7" w:rsidRDefault="008E0122" w:rsidP="008E0122">
                  <w:pPr>
                    <w:jc w:val="center"/>
                    <w:rPr>
                      <w:rFonts w:cstheme="minorHAnsi"/>
                      <w:sz w:val="22"/>
                      <w:szCs w:val="22"/>
                    </w:rPr>
                  </w:pPr>
                  <w:r w:rsidRPr="007D04D7">
                    <w:rPr>
                      <w:rFonts w:cstheme="minorHAnsi"/>
                      <w:color w:val="000000"/>
                      <w:sz w:val="22"/>
                      <w:szCs w:val="22"/>
                    </w:rPr>
                    <w:t>9.46</w:t>
                  </w:r>
                </w:p>
              </w:tc>
              <w:tc>
                <w:tcPr>
                  <w:tcW w:w="1000" w:type="pct"/>
                  <w:vAlign w:val="bottom"/>
                </w:tcPr>
                <w:p w14:paraId="6195DC3C" w14:textId="77777777" w:rsidR="008E0122" w:rsidRPr="007D04D7" w:rsidRDefault="008E0122" w:rsidP="008E0122">
                  <w:pPr>
                    <w:jc w:val="center"/>
                    <w:rPr>
                      <w:rFonts w:cstheme="minorHAnsi"/>
                      <w:sz w:val="22"/>
                      <w:szCs w:val="22"/>
                    </w:rPr>
                  </w:pPr>
                  <w:r w:rsidRPr="007D04D7">
                    <w:rPr>
                      <w:rFonts w:cstheme="minorHAnsi"/>
                      <w:color w:val="000000"/>
                      <w:sz w:val="22"/>
                      <w:szCs w:val="22"/>
                    </w:rPr>
                    <w:t>5.42</w:t>
                  </w:r>
                </w:p>
              </w:tc>
              <w:tc>
                <w:tcPr>
                  <w:tcW w:w="1000" w:type="pct"/>
                  <w:vAlign w:val="bottom"/>
                </w:tcPr>
                <w:p w14:paraId="4D2EDA0A"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3.04</w:t>
                  </w:r>
                </w:p>
              </w:tc>
              <w:tc>
                <w:tcPr>
                  <w:tcW w:w="1000" w:type="pct"/>
                  <w:vAlign w:val="bottom"/>
                </w:tcPr>
                <w:p w14:paraId="196F8F39" w14:textId="77777777" w:rsidR="008E0122" w:rsidRPr="007D04D7" w:rsidRDefault="008E0122" w:rsidP="008E0122">
                  <w:pPr>
                    <w:jc w:val="center"/>
                    <w:rPr>
                      <w:rFonts w:cstheme="minorHAnsi"/>
                      <w:color w:val="000000"/>
                      <w:sz w:val="22"/>
                      <w:szCs w:val="22"/>
                    </w:rPr>
                  </w:pPr>
                  <w:r w:rsidRPr="007D04D7">
                    <w:rPr>
                      <w:rFonts w:cstheme="minorHAnsi"/>
                      <w:color w:val="000000"/>
                      <w:sz w:val="22"/>
                      <w:szCs w:val="22"/>
                    </w:rPr>
                    <w:t>1.74</w:t>
                  </w:r>
                </w:p>
              </w:tc>
            </w:tr>
            <w:tr w:rsidR="008E0122" w:rsidRPr="00500C4E" w14:paraId="22B0BB90" w14:textId="77777777" w:rsidTr="0029763A">
              <w:trPr>
                <w:trHeight w:val="32"/>
                <w:jc w:val="center"/>
              </w:trPr>
              <w:tc>
                <w:tcPr>
                  <w:tcW w:w="1000" w:type="pct"/>
                  <w:vAlign w:val="center"/>
                </w:tcPr>
                <w:p w14:paraId="1E69126A" w14:textId="77777777" w:rsidR="008E0122" w:rsidRPr="009E2905" w:rsidRDefault="008E0122" w:rsidP="008E0122">
                  <w:pPr>
                    <w:jc w:val="center"/>
                    <w:rPr>
                      <w:rFonts w:cs="Arial"/>
                      <w:szCs w:val="20"/>
                    </w:rPr>
                  </w:pPr>
                  <w:r w:rsidRPr="009E2905">
                    <w:rPr>
                      <w:rFonts w:cs="Arial"/>
                      <w:szCs w:val="20"/>
                    </w:rPr>
                    <w:t>15</w:t>
                  </w:r>
                </w:p>
              </w:tc>
              <w:tc>
                <w:tcPr>
                  <w:tcW w:w="1000" w:type="pct"/>
                  <w:vAlign w:val="bottom"/>
                </w:tcPr>
                <w:p w14:paraId="3FF4271A" w14:textId="77777777" w:rsidR="008E0122" w:rsidRPr="00D35F70" w:rsidRDefault="008E0122" w:rsidP="008E0122">
                  <w:pPr>
                    <w:jc w:val="center"/>
                    <w:rPr>
                      <w:rFonts w:cs="Calibri"/>
                      <w:szCs w:val="22"/>
                    </w:rPr>
                  </w:pPr>
                  <w:r w:rsidRPr="00D35F70">
                    <w:rPr>
                      <w:rFonts w:ascii="Calibri" w:hAnsi="Calibri" w:cs="Calibri"/>
                      <w:color w:val="000000"/>
                      <w:szCs w:val="22"/>
                    </w:rPr>
                    <w:t>6.02</w:t>
                  </w:r>
                </w:p>
              </w:tc>
              <w:tc>
                <w:tcPr>
                  <w:tcW w:w="1000" w:type="pct"/>
                  <w:vAlign w:val="bottom"/>
                </w:tcPr>
                <w:p w14:paraId="148CEBF0" w14:textId="77777777" w:rsidR="008E0122" w:rsidRPr="00D35F70" w:rsidRDefault="008E0122" w:rsidP="008E0122">
                  <w:pPr>
                    <w:jc w:val="center"/>
                    <w:rPr>
                      <w:rFonts w:cs="Calibri"/>
                      <w:szCs w:val="22"/>
                    </w:rPr>
                  </w:pPr>
                  <w:r w:rsidRPr="00D35F70">
                    <w:rPr>
                      <w:rFonts w:ascii="Calibri" w:hAnsi="Calibri" w:cs="Calibri"/>
                      <w:color w:val="000000"/>
                      <w:szCs w:val="22"/>
                    </w:rPr>
                    <w:t>3.45</w:t>
                  </w:r>
                </w:p>
              </w:tc>
              <w:tc>
                <w:tcPr>
                  <w:tcW w:w="1000" w:type="pct"/>
                  <w:vAlign w:val="bottom"/>
                </w:tcPr>
                <w:p w14:paraId="7D440158" w14:textId="77777777" w:rsidR="008E0122" w:rsidRPr="00D35F70" w:rsidRDefault="008E0122" w:rsidP="008E0122">
                  <w:pPr>
                    <w:jc w:val="center"/>
                    <w:rPr>
                      <w:rFonts w:ascii="Calibri" w:hAnsi="Calibri" w:cs="Calibri"/>
                      <w:color w:val="000000"/>
                      <w:szCs w:val="20"/>
                    </w:rPr>
                  </w:pPr>
                  <w:r w:rsidRPr="00D35F70">
                    <w:rPr>
                      <w:rFonts w:ascii="Calibri" w:hAnsi="Calibri" w:cs="Calibri"/>
                      <w:color w:val="000000"/>
                      <w:szCs w:val="20"/>
                    </w:rPr>
                    <w:t>1.94</w:t>
                  </w:r>
                </w:p>
              </w:tc>
              <w:tc>
                <w:tcPr>
                  <w:tcW w:w="1000" w:type="pct"/>
                  <w:vAlign w:val="bottom"/>
                </w:tcPr>
                <w:p w14:paraId="34F47EC9" w14:textId="77777777" w:rsidR="008E0122" w:rsidRPr="00D35F70" w:rsidRDefault="008E0122" w:rsidP="008E0122">
                  <w:pPr>
                    <w:jc w:val="center"/>
                    <w:rPr>
                      <w:rFonts w:ascii="Calibri" w:hAnsi="Calibri" w:cs="Calibri"/>
                      <w:color w:val="000000"/>
                      <w:szCs w:val="20"/>
                    </w:rPr>
                  </w:pPr>
                  <w:r w:rsidRPr="00D35F70">
                    <w:rPr>
                      <w:rFonts w:ascii="Calibri" w:hAnsi="Calibri" w:cs="Calibri"/>
                      <w:color w:val="000000"/>
                      <w:szCs w:val="20"/>
                    </w:rPr>
                    <w:t>1.11</w:t>
                  </w:r>
                </w:p>
              </w:tc>
            </w:tr>
            <w:tr w:rsidR="008E0122" w:rsidRPr="00500C4E" w14:paraId="7E2FB522" w14:textId="77777777" w:rsidTr="0029763A">
              <w:trPr>
                <w:trHeight w:val="32"/>
                <w:jc w:val="center"/>
              </w:trPr>
              <w:tc>
                <w:tcPr>
                  <w:tcW w:w="1000" w:type="pct"/>
                  <w:vAlign w:val="center"/>
                </w:tcPr>
                <w:p w14:paraId="71185548" w14:textId="77777777" w:rsidR="008E0122" w:rsidRPr="009E2905" w:rsidRDefault="008E0122" w:rsidP="008E0122">
                  <w:pPr>
                    <w:jc w:val="center"/>
                    <w:rPr>
                      <w:rFonts w:cs="Arial"/>
                      <w:szCs w:val="20"/>
                    </w:rPr>
                  </w:pPr>
                  <w:r w:rsidRPr="009E2905">
                    <w:rPr>
                      <w:rFonts w:cs="Arial"/>
                      <w:szCs w:val="20"/>
                    </w:rPr>
                    <w:t>16</w:t>
                  </w:r>
                </w:p>
              </w:tc>
              <w:tc>
                <w:tcPr>
                  <w:tcW w:w="1000" w:type="pct"/>
                  <w:vAlign w:val="bottom"/>
                </w:tcPr>
                <w:p w14:paraId="4D8CA06B" w14:textId="77777777" w:rsidR="008E0122" w:rsidRPr="00D35F70" w:rsidRDefault="008E0122" w:rsidP="008E0122">
                  <w:pPr>
                    <w:jc w:val="center"/>
                    <w:rPr>
                      <w:rFonts w:cs="Calibri"/>
                      <w:szCs w:val="22"/>
                    </w:rPr>
                  </w:pPr>
                  <w:r w:rsidRPr="00D35F70">
                    <w:rPr>
                      <w:rFonts w:ascii="Calibri" w:hAnsi="Calibri" w:cs="Calibri"/>
                      <w:color w:val="000000"/>
                      <w:szCs w:val="22"/>
                    </w:rPr>
                    <w:t>12.39</w:t>
                  </w:r>
                </w:p>
              </w:tc>
              <w:tc>
                <w:tcPr>
                  <w:tcW w:w="1000" w:type="pct"/>
                  <w:vAlign w:val="bottom"/>
                </w:tcPr>
                <w:p w14:paraId="26F30D0D" w14:textId="77777777" w:rsidR="008E0122" w:rsidRPr="00D35F70" w:rsidRDefault="008E0122" w:rsidP="008E0122">
                  <w:pPr>
                    <w:jc w:val="center"/>
                    <w:rPr>
                      <w:rFonts w:cs="Calibri"/>
                      <w:szCs w:val="22"/>
                    </w:rPr>
                  </w:pPr>
                  <w:r w:rsidRPr="00D35F70">
                    <w:rPr>
                      <w:rFonts w:ascii="Calibri" w:hAnsi="Calibri" w:cs="Calibri"/>
                      <w:color w:val="000000"/>
                      <w:szCs w:val="22"/>
                    </w:rPr>
                    <w:t>7.09</w:t>
                  </w:r>
                </w:p>
              </w:tc>
              <w:tc>
                <w:tcPr>
                  <w:tcW w:w="1000" w:type="pct"/>
                  <w:vAlign w:val="bottom"/>
                </w:tcPr>
                <w:p w14:paraId="55487FF1" w14:textId="77777777" w:rsidR="008E0122" w:rsidRPr="00D35F70" w:rsidRDefault="008E0122" w:rsidP="008E0122">
                  <w:pPr>
                    <w:jc w:val="center"/>
                    <w:rPr>
                      <w:rFonts w:ascii="Calibri" w:hAnsi="Calibri" w:cs="Calibri"/>
                      <w:color w:val="000000"/>
                      <w:szCs w:val="20"/>
                    </w:rPr>
                  </w:pPr>
                  <w:r w:rsidRPr="00D35F70">
                    <w:rPr>
                      <w:rFonts w:ascii="Calibri" w:hAnsi="Calibri" w:cs="Calibri"/>
                      <w:color w:val="000000"/>
                      <w:szCs w:val="20"/>
                    </w:rPr>
                    <w:t>3.99</w:t>
                  </w:r>
                </w:p>
              </w:tc>
              <w:tc>
                <w:tcPr>
                  <w:tcW w:w="1000" w:type="pct"/>
                  <w:vAlign w:val="bottom"/>
                </w:tcPr>
                <w:p w14:paraId="596120AF" w14:textId="77777777" w:rsidR="008E0122" w:rsidRPr="00D35F70" w:rsidRDefault="008E0122" w:rsidP="008E0122">
                  <w:pPr>
                    <w:jc w:val="center"/>
                    <w:rPr>
                      <w:rFonts w:ascii="Calibri" w:hAnsi="Calibri" w:cs="Calibri"/>
                      <w:color w:val="000000"/>
                      <w:szCs w:val="20"/>
                    </w:rPr>
                  </w:pPr>
                  <w:r w:rsidRPr="00D35F70">
                    <w:rPr>
                      <w:rFonts w:ascii="Calibri" w:hAnsi="Calibri" w:cs="Calibri"/>
                      <w:color w:val="000000"/>
                      <w:szCs w:val="20"/>
                    </w:rPr>
                    <w:t>2.28</w:t>
                  </w:r>
                </w:p>
              </w:tc>
            </w:tr>
          </w:tbl>
          <w:p w14:paraId="20EF62D6" w14:textId="71932933" w:rsidR="00CB11C9" w:rsidRPr="00CF0DA9" w:rsidRDefault="00CB11C9" w:rsidP="000F5531">
            <w:pPr>
              <w:rPr>
                <w:rFonts w:cs="Arial"/>
                <w:sz w:val="20"/>
                <w:szCs w:val="20"/>
              </w:rPr>
            </w:pPr>
          </w:p>
        </w:tc>
      </w:tr>
      <w:tr w:rsidR="00CB11C9" w14:paraId="2ED6E4F8" w14:textId="77777777" w:rsidTr="008E0122">
        <w:tc>
          <w:tcPr>
            <w:tcW w:w="2303" w:type="dxa"/>
            <w:vAlign w:val="center"/>
          </w:tcPr>
          <w:p w14:paraId="31EC274C" w14:textId="77777777" w:rsidR="00CB11C9" w:rsidRPr="001D77F7" w:rsidRDefault="00CB11C9" w:rsidP="005B2619">
            <w:pPr>
              <w:rPr>
                <w:b/>
              </w:rPr>
            </w:pPr>
            <w:r w:rsidRPr="001D77F7">
              <w:rPr>
                <w:b/>
              </w:rPr>
              <w:t>Section 3. Load Shapes</w:t>
            </w:r>
          </w:p>
        </w:tc>
        <w:tc>
          <w:tcPr>
            <w:tcW w:w="8767" w:type="dxa"/>
          </w:tcPr>
          <w:p w14:paraId="4BAC5F75" w14:textId="021812F3" w:rsidR="00CB11C9" w:rsidRPr="007D04D7" w:rsidRDefault="00F67972" w:rsidP="005B2619">
            <w:pPr>
              <w:rPr>
                <w:rFonts w:cs="Arial"/>
                <w:szCs w:val="22"/>
              </w:rPr>
            </w:pPr>
            <w:r w:rsidRPr="007D04D7">
              <w:rPr>
                <w:rFonts w:cs="Arial"/>
                <w:szCs w:val="22"/>
              </w:rPr>
              <w:t>SDGE:</w:t>
            </w:r>
            <w:r w:rsidR="00CF0DA9" w:rsidRPr="007D04D7">
              <w:rPr>
                <w:rFonts w:cs="Arial"/>
                <w:szCs w:val="22"/>
              </w:rPr>
              <w:t>35-OTI-Otherindustrial-PROC OTH</w:t>
            </w:r>
          </w:p>
        </w:tc>
      </w:tr>
      <w:tr w:rsidR="00CB11C9" w14:paraId="3A96E54E" w14:textId="77777777" w:rsidTr="008E0122">
        <w:tc>
          <w:tcPr>
            <w:tcW w:w="2303" w:type="dxa"/>
            <w:vAlign w:val="center"/>
          </w:tcPr>
          <w:p w14:paraId="051AD34B" w14:textId="77777777" w:rsidR="00CB11C9" w:rsidRPr="001D77F7" w:rsidRDefault="00CB11C9" w:rsidP="005B2619">
            <w:pPr>
              <w:rPr>
                <w:b/>
              </w:rPr>
            </w:pPr>
            <w:r w:rsidRPr="001D77F7">
              <w:rPr>
                <w:b/>
              </w:rPr>
              <w:t>Section 4. Costs</w:t>
            </w:r>
          </w:p>
        </w:tc>
        <w:tc>
          <w:tcPr>
            <w:tcW w:w="8767" w:type="dxa"/>
          </w:tcPr>
          <w:p w14:paraId="71288583" w14:textId="77777777" w:rsidR="00CB11C9" w:rsidRPr="00476F40" w:rsidRDefault="00CB11C9" w:rsidP="005B2619">
            <w:pPr>
              <w:rPr>
                <w:rFonts w:cs="Arial"/>
                <w:sz w:val="20"/>
                <w:szCs w:val="20"/>
              </w:rPr>
            </w:pPr>
          </w:p>
        </w:tc>
      </w:tr>
      <w:tr w:rsidR="00CB11C9" w14:paraId="26BD96F6" w14:textId="77777777" w:rsidTr="008E0122">
        <w:tc>
          <w:tcPr>
            <w:tcW w:w="2303" w:type="dxa"/>
          </w:tcPr>
          <w:p w14:paraId="49E7BEC5" w14:textId="1ED32D32" w:rsidR="00CB11C9" w:rsidRPr="007D04D7" w:rsidRDefault="00870D6A" w:rsidP="005B2619">
            <w:pPr>
              <w:jc w:val="right"/>
              <w:rPr>
                <w:szCs w:val="22"/>
              </w:rPr>
            </w:pPr>
            <w:r w:rsidRPr="007D04D7">
              <w:rPr>
                <w:szCs w:val="22"/>
              </w:rPr>
              <w:t>Base Case Cost</w:t>
            </w:r>
          </w:p>
        </w:tc>
        <w:tc>
          <w:tcPr>
            <w:tcW w:w="8767" w:type="dxa"/>
          </w:tcPr>
          <w:p w14:paraId="12102D16" w14:textId="77777777" w:rsidR="00870D6A" w:rsidRPr="007D04D7" w:rsidRDefault="00870D6A" w:rsidP="00870D6A">
            <w:pPr>
              <w:rPr>
                <w:szCs w:val="22"/>
              </w:rPr>
            </w:pPr>
            <w:r w:rsidRPr="007D04D7">
              <w:rPr>
                <w:szCs w:val="22"/>
              </w:rPr>
              <w:t xml:space="preserve">Baseline costs are $0 since it is an REA measure and the base case would be to do nothing to the faucet. </w:t>
            </w:r>
          </w:p>
          <w:p w14:paraId="5A8E78D0" w14:textId="4BD53CED" w:rsidR="00CB11C9" w:rsidRPr="007D04D7" w:rsidRDefault="00CB11C9" w:rsidP="005B2619">
            <w:pPr>
              <w:rPr>
                <w:rFonts w:cs="Arial"/>
                <w:color w:val="000000" w:themeColor="text1"/>
                <w:szCs w:val="22"/>
              </w:rPr>
            </w:pPr>
          </w:p>
        </w:tc>
      </w:tr>
      <w:tr w:rsidR="00CB11C9" w14:paraId="61FFA715" w14:textId="77777777" w:rsidTr="008E0122">
        <w:tc>
          <w:tcPr>
            <w:tcW w:w="2303" w:type="dxa"/>
          </w:tcPr>
          <w:p w14:paraId="064CC879" w14:textId="121F22F0" w:rsidR="00CB11C9" w:rsidRPr="007D04D7" w:rsidRDefault="00870D6A" w:rsidP="005B2619">
            <w:pPr>
              <w:jc w:val="right"/>
              <w:rPr>
                <w:szCs w:val="22"/>
              </w:rPr>
            </w:pPr>
            <w:r w:rsidRPr="007D04D7">
              <w:rPr>
                <w:szCs w:val="22"/>
              </w:rPr>
              <w:t>Measure Case Cost</w:t>
            </w:r>
          </w:p>
        </w:tc>
        <w:tc>
          <w:tcPr>
            <w:tcW w:w="8767" w:type="dxa"/>
          </w:tcPr>
          <w:p w14:paraId="3AF441EF" w14:textId="77777777" w:rsidR="00870D6A" w:rsidRPr="007D04D7" w:rsidRDefault="00870D6A" w:rsidP="00870D6A">
            <w:pPr>
              <w:pStyle w:val="Caption"/>
              <w:keepNext/>
              <w:jc w:val="center"/>
              <w:rPr>
                <w:color w:val="000000" w:themeColor="text1"/>
                <w:szCs w:val="22"/>
              </w:rPr>
            </w:pPr>
            <w:r w:rsidRPr="007D04D7">
              <w:rPr>
                <w:color w:val="000000" w:themeColor="text1"/>
                <w:szCs w:val="22"/>
              </w:rPr>
              <w:t>Proposed Measure Costs</w:t>
            </w:r>
          </w:p>
          <w:tbl>
            <w:tblPr>
              <w:tblStyle w:val="TableGrid1"/>
              <w:tblW w:w="4016" w:type="pct"/>
              <w:jc w:val="center"/>
              <w:tblLook w:val="04A0" w:firstRow="1" w:lastRow="0" w:firstColumn="1" w:lastColumn="0" w:noHBand="0" w:noVBand="1"/>
            </w:tblPr>
            <w:tblGrid>
              <w:gridCol w:w="1263"/>
              <w:gridCol w:w="1385"/>
              <w:gridCol w:w="1391"/>
              <w:gridCol w:w="1860"/>
              <w:gridCol w:w="1391"/>
            </w:tblGrid>
            <w:tr w:rsidR="00870D6A" w:rsidRPr="007D04D7" w14:paraId="1B3ECE9F" w14:textId="77777777" w:rsidTr="0029763A">
              <w:trPr>
                <w:trHeight w:val="521"/>
                <w:jc w:val="center"/>
              </w:trPr>
              <w:tc>
                <w:tcPr>
                  <w:tcW w:w="1075" w:type="pct"/>
                  <w:shd w:val="clear" w:color="auto" w:fill="D9D9D9" w:themeFill="background1" w:themeFillShade="D9"/>
                  <w:vAlign w:val="center"/>
                </w:tcPr>
                <w:p w14:paraId="47923B86"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Description</w:t>
                  </w:r>
                </w:p>
              </w:tc>
              <w:tc>
                <w:tcPr>
                  <w:tcW w:w="1075" w:type="pct"/>
                  <w:shd w:val="clear" w:color="auto" w:fill="D9D9D9" w:themeFill="background1" w:themeFillShade="D9"/>
                </w:tcPr>
                <w:p w14:paraId="50026B61"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Delivery Method</w:t>
                  </w:r>
                </w:p>
              </w:tc>
              <w:tc>
                <w:tcPr>
                  <w:tcW w:w="856" w:type="pct"/>
                  <w:shd w:val="clear" w:color="auto" w:fill="D9D9D9" w:themeFill="background1" w:themeFillShade="D9"/>
                  <w:vAlign w:val="center"/>
                </w:tcPr>
                <w:p w14:paraId="07DE5111"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Equipment Cost</w:t>
                  </w:r>
                </w:p>
              </w:tc>
              <w:tc>
                <w:tcPr>
                  <w:tcW w:w="1138" w:type="pct"/>
                  <w:shd w:val="clear" w:color="auto" w:fill="D9D9D9" w:themeFill="background1" w:themeFillShade="D9"/>
                  <w:vAlign w:val="center"/>
                </w:tcPr>
                <w:p w14:paraId="76D8B112"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Labor/Installation Cost</w:t>
                  </w:r>
                </w:p>
              </w:tc>
              <w:tc>
                <w:tcPr>
                  <w:tcW w:w="856" w:type="pct"/>
                  <w:shd w:val="clear" w:color="auto" w:fill="D9D9D9" w:themeFill="background1" w:themeFillShade="D9"/>
                  <w:vAlign w:val="center"/>
                </w:tcPr>
                <w:p w14:paraId="720DECB5"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Total Measure Cost</w:t>
                  </w:r>
                </w:p>
              </w:tc>
            </w:tr>
            <w:tr w:rsidR="00870D6A" w:rsidRPr="007D04D7" w14:paraId="1DEF3A97" w14:textId="77777777" w:rsidTr="0029763A">
              <w:trPr>
                <w:trHeight w:val="257"/>
                <w:jc w:val="center"/>
              </w:trPr>
              <w:tc>
                <w:tcPr>
                  <w:tcW w:w="1075" w:type="pct"/>
                  <w:vAlign w:val="center"/>
                </w:tcPr>
                <w:p w14:paraId="53896EC5" w14:textId="77777777" w:rsidR="00870D6A" w:rsidRPr="007D04D7" w:rsidRDefault="00870D6A" w:rsidP="00870D6A">
                  <w:pPr>
                    <w:jc w:val="center"/>
                    <w:rPr>
                      <w:rFonts w:cs="Calibri"/>
                      <w:color w:val="000000" w:themeColor="text1"/>
                      <w:sz w:val="22"/>
                      <w:szCs w:val="22"/>
                    </w:rPr>
                  </w:pPr>
                  <w:r w:rsidRPr="007D04D7">
                    <w:rPr>
                      <w:rFonts w:cs="Calibri"/>
                      <w:color w:val="000000" w:themeColor="text1"/>
                      <w:sz w:val="22"/>
                      <w:szCs w:val="22"/>
                    </w:rPr>
                    <w:t>Faucet Aerator (0.5 or 1.0 GPM)</w:t>
                  </w:r>
                </w:p>
              </w:tc>
              <w:tc>
                <w:tcPr>
                  <w:tcW w:w="1075" w:type="pct"/>
                  <w:vAlign w:val="center"/>
                </w:tcPr>
                <w:p w14:paraId="5A6B6092" w14:textId="7252A291" w:rsidR="00870D6A" w:rsidRPr="007D04D7" w:rsidRDefault="00870D6A" w:rsidP="00870D6A">
                  <w:pPr>
                    <w:jc w:val="center"/>
                    <w:rPr>
                      <w:rFonts w:cs="Calibri"/>
                      <w:color w:val="000000" w:themeColor="text1"/>
                      <w:sz w:val="22"/>
                      <w:szCs w:val="22"/>
                    </w:rPr>
                  </w:pPr>
                  <w:r w:rsidRPr="007D04D7">
                    <w:rPr>
                      <w:rFonts w:cs="Calibri"/>
                      <w:color w:val="000000" w:themeColor="text1"/>
                      <w:sz w:val="22"/>
                      <w:szCs w:val="22"/>
                    </w:rPr>
                    <w:t>Direct Install</w:t>
                  </w:r>
                  <w:r w:rsidR="006A7254">
                    <w:rPr>
                      <w:rFonts w:cs="Calibri"/>
                      <w:color w:val="000000" w:themeColor="text1"/>
                      <w:sz w:val="22"/>
                      <w:szCs w:val="22"/>
                    </w:rPr>
                    <w:t xml:space="preserve"> or PreRebDown</w:t>
                  </w:r>
                </w:p>
              </w:tc>
              <w:tc>
                <w:tcPr>
                  <w:tcW w:w="856" w:type="pct"/>
                  <w:vAlign w:val="center"/>
                </w:tcPr>
                <w:p w14:paraId="6464952E" w14:textId="77777777" w:rsidR="00870D6A" w:rsidRPr="007D04D7" w:rsidRDefault="00870D6A" w:rsidP="00870D6A">
                  <w:pPr>
                    <w:jc w:val="center"/>
                    <w:rPr>
                      <w:color w:val="000000" w:themeColor="text1"/>
                      <w:sz w:val="22"/>
                      <w:szCs w:val="22"/>
                    </w:rPr>
                  </w:pPr>
                  <w:r w:rsidRPr="007D04D7">
                    <w:rPr>
                      <w:rFonts w:cs="Calibri"/>
                      <w:color w:val="000000" w:themeColor="text1"/>
                      <w:sz w:val="22"/>
                      <w:szCs w:val="22"/>
                    </w:rPr>
                    <w:t>$2.89/fixture</w:t>
                  </w:r>
                </w:p>
              </w:tc>
              <w:tc>
                <w:tcPr>
                  <w:tcW w:w="1138" w:type="pct"/>
                  <w:vAlign w:val="center"/>
                </w:tcPr>
                <w:p w14:paraId="01BC053E" w14:textId="77777777" w:rsidR="00870D6A" w:rsidRPr="007D04D7" w:rsidRDefault="00870D6A" w:rsidP="00870D6A">
                  <w:pPr>
                    <w:jc w:val="center"/>
                    <w:rPr>
                      <w:rFonts w:cs="Calibri"/>
                      <w:color w:val="000000" w:themeColor="text1"/>
                      <w:sz w:val="22"/>
                      <w:szCs w:val="22"/>
                    </w:rPr>
                  </w:pPr>
                  <w:r w:rsidRPr="007D04D7">
                    <w:rPr>
                      <w:rFonts w:cs="Calibri"/>
                      <w:color w:val="000000" w:themeColor="text1"/>
                      <w:sz w:val="22"/>
                      <w:szCs w:val="22"/>
                    </w:rPr>
                    <w:t>$4.28/fixture</w:t>
                  </w:r>
                </w:p>
              </w:tc>
              <w:tc>
                <w:tcPr>
                  <w:tcW w:w="856" w:type="pct"/>
                  <w:vAlign w:val="center"/>
                </w:tcPr>
                <w:p w14:paraId="2521D4D8" w14:textId="77777777" w:rsidR="00870D6A" w:rsidRPr="007D04D7" w:rsidRDefault="00870D6A" w:rsidP="00870D6A">
                  <w:pPr>
                    <w:jc w:val="center"/>
                    <w:rPr>
                      <w:rFonts w:cs="Calibri"/>
                      <w:color w:val="000000" w:themeColor="text1"/>
                      <w:sz w:val="22"/>
                      <w:szCs w:val="22"/>
                    </w:rPr>
                  </w:pPr>
                  <w:r w:rsidRPr="007D04D7">
                    <w:rPr>
                      <w:rFonts w:cs="Calibri"/>
                      <w:color w:val="000000" w:themeColor="text1"/>
                      <w:sz w:val="22"/>
                      <w:szCs w:val="22"/>
                    </w:rPr>
                    <w:t>$7.17/fixture</w:t>
                  </w:r>
                </w:p>
              </w:tc>
            </w:tr>
          </w:tbl>
          <w:p w14:paraId="4AB37797" w14:textId="6D218BBE" w:rsidR="00CF0DA9" w:rsidRPr="007D04D7" w:rsidRDefault="00F22842" w:rsidP="00CD5F37">
            <w:pPr>
              <w:rPr>
                <w:rFonts w:cs="Arial"/>
                <w:color w:val="000000" w:themeColor="text1"/>
                <w:szCs w:val="22"/>
              </w:rPr>
            </w:pPr>
            <w:r>
              <w:rPr>
                <w:rFonts w:cs="Arial"/>
                <w:color w:val="000000" w:themeColor="text1"/>
                <w:szCs w:val="22"/>
              </w:rPr>
              <w:t xml:space="preserve">MeasureCost ID: </w:t>
            </w:r>
            <w:r w:rsidRPr="00F22842">
              <w:rPr>
                <w:rFonts w:cs="Arial"/>
                <w:color w:val="000000" w:themeColor="text1"/>
                <w:szCs w:val="22"/>
              </w:rPr>
              <w:t>SDG-DHW-FaucetAerLowFlow-Com</w:t>
            </w:r>
          </w:p>
        </w:tc>
      </w:tr>
      <w:tr w:rsidR="00870D6A" w14:paraId="4FC01C25" w14:textId="77777777" w:rsidTr="008E0122">
        <w:tc>
          <w:tcPr>
            <w:tcW w:w="2303" w:type="dxa"/>
          </w:tcPr>
          <w:p w14:paraId="53EC4CC5" w14:textId="77E6BC90" w:rsidR="00870D6A" w:rsidRPr="007D04D7" w:rsidRDefault="00870D6A" w:rsidP="005B2619">
            <w:pPr>
              <w:jc w:val="right"/>
              <w:rPr>
                <w:szCs w:val="22"/>
              </w:rPr>
            </w:pPr>
            <w:r w:rsidRPr="007D04D7">
              <w:rPr>
                <w:szCs w:val="22"/>
              </w:rPr>
              <w:lastRenderedPageBreak/>
              <w:t>Full and Incremental Cost</w:t>
            </w:r>
          </w:p>
        </w:tc>
        <w:tc>
          <w:tcPr>
            <w:tcW w:w="8767" w:type="dxa"/>
          </w:tcPr>
          <w:p w14:paraId="7819E6E8" w14:textId="3724612E" w:rsidR="00870D6A" w:rsidRPr="007D04D7" w:rsidRDefault="00870D6A" w:rsidP="00870D6A">
            <w:pPr>
              <w:pStyle w:val="Caption"/>
              <w:keepNext/>
              <w:jc w:val="center"/>
              <w:rPr>
                <w:color w:val="000000" w:themeColor="text1"/>
                <w:szCs w:val="22"/>
              </w:rPr>
            </w:pPr>
            <w:r w:rsidRPr="007D04D7">
              <w:rPr>
                <w:color w:val="000000" w:themeColor="text1"/>
                <w:szCs w:val="22"/>
              </w:rPr>
              <w:t>Full and Incremental Costs</w:t>
            </w:r>
          </w:p>
          <w:tbl>
            <w:tblPr>
              <w:tblStyle w:val="TableGrid1"/>
              <w:tblW w:w="5000" w:type="pct"/>
              <w:tblLook w:val="01E0" w:firstRow="1" w:lastRow="1" w:firstColumn="1" w:lastColumn="1" w:noHBand="0" w:noVBand="0"/>
            </w:tblPr>
            <w:tblGrid>
              <w:gridCol w:w="2103"/>
              <w:gridCol w:w="3773"/>
              <w:gridCol w:w="1524"/>
              <w:gridCol w:w="1141"/>
            </w:tblGrid>
            <w:tr w:rsidR="00870D6A" w:rsidRPr="007D04D7" w14:paraId="08E8C8CF" w14:textId="77777777" w:rsidTr="0029763A">
              <w:tc>
                <w:tcPr>
                  <w:tcW w:w="1231" w:type="pct"/>
                  <w:vMerge w:val="restart"/>
                  <w:shd w:val="clear" w:color="auto" w:fill="D9D9D9" w:themeFill="background1" w:themeFillShade="D9"/>
                </w:tcPr>
                <w:p w14:paraId="14BC5509" w14:textId="77777777" w:rsidR="00870D6A" w:rsidRPr="007D04D7" w:rsidRDefault="00870D6A" w:rsidP="00870D6A">
                  <w:pPr>
                    <w:rPr>
                      <w:rFonts w:cstheme="minorHAnsi"/>
                      <w:b/>
                      <w:color w:val="000000" w:themeColor="text1"/>
                      <w:sz w:val="22"/>
                      <w:szCs w:val="22"/>
                      <w:highlight w:val="yellow"/>
                    </w:rPr>
                  </w:pPr>
                  <w:r w:rsidRPr="007D04D7">
                    <w:rPr>
                      <w:rFonts w:cstheme="minorHAnsi"/>
                      <w:b/>
                      <w:color w:val="000000" w:themeColor="text1"/>
                      <w:sz w:val="22"/>
                      <w:szCs w:val="22"/>
                    </w:rPr>
                    <w:t>Installation Type</w:t>
                  </w:r>
                </w:p>
              </w:tc>
              <w:tc>
                <w:tcPr>
                  <w:tcW w:w="2209" w:type="pct"/>
                  <w:vMerge w:val="restart"/>
                  <w:shd w:val="clear" w:color="auto" w:fill="D9D9D9" w:themeFill="background1" w:themeFillShade="D9"/>
                </w:tcPr>
                <w:p w14:paraId="1816EC66" w14:textId="77777777" w:rsidR="00870D6A" w:rsidRPr="007D04D7" w:rsidRDefault="00870D6A" w:rsidP="00870D6A">
                  <w:pPr>
                    <w:rPr>
                      <w:rFonts w:cstheme="minorHAnsi"/>
                      <w:b/>
                      <w:color w:val="000000" w:themeColor="text1"/>
                      <w:sz w:val="22"/>
                      <w:szCs w:val="22"/>
                    </w:rPr>
                  </w:pPr>
                  <w:r w:rsidRPr="007D04D7">
                    <w:rPr>
                      <w:rFonts w:cstheme="minorHAnsi"/>
                      <w:b/>
                      <w:color w:val="000000" w:themeColor="text1"/>
                      <w:sz w:val="22"/>
                      <w:szCs w:val="22"/>
                    </w:rPr>
                    <w:t>Incremental Measure Cost</w:t>
                  </w:r>
                </w:p>
              </w:tc>
              <w:tc>
                <w:tcPr>
                  <w:tcW w:w="1560" w:type="pct"/>
                  <w:gridSpan w:val="2"/>
                  <w:shd w:val="clear" w:color="auto" w:fill="D9D9D9" w:themeFill="background1" w:themeFillShade="D9"/>
                </w:tcPr>
                <w:p w14:paraId="4277CC63" w14:textId="77777777" w:rsidR="00870D6A" w:rsidRPr="007D04D7" w:rsidRDefault="00870D6A" w:rsidP="00870D6A">
                  <w:pPr>
                    <w:rPr>
                      <w:rFonts w:cstheme="minorHAnsi"/>
                      <w:b/>
                      <w:color w:val="000000" w:themeColor="text1"/>
                      <w:sz w:val="22"/>
                      <w:szCs w:val="22"/>
                      <w:highlight w:val="yellow"/>
                    </w:rPr>
                  </w:pPr>
                  <w:r w:rsidRPr="007D04D7">
                    <w:rPr>
                      <w:rFonts w:cstheme="minorHAnsi"/>
                      <w:b/>
                      <w:color w:val="000000" w:themeColor="text1"/>
                      <w:sz w:val="22"/>
                      <w:szCs w:val="22"/>
                    </w:rPr>
                    <w:t>Full Measure Cost</w:t>
                  </w:r>
                </w:p>
              </w:tc>
            </w:tr>
            <w:tr w:rsidR="00870D6A" w:rsidRPr="007D04D7" w14:paraId="16957676" w14:textId="77777777" w:rsidTr="0029763A">
              <w:tc>
                <w:tcPr>
                  <w:tcW w:w="1231" w:type="pct"/>
                  <w:vMerge/>
                  <w:shd w:val="clear" w:color="auto" w:fill="D9D9D9" w:themeFill="background1" w:themeFillShade="D9"/>
                </w:tcPr>
                <w:p w14:paraId="656C74AE" w14:textId="77777777" w:rsidR="00870D6A" w:rsidRPr="007D04D7" w:rsidRDefault="00870D6A" w:rsidP="00870D6A">
                  <w:pPr>
                    <w:rPr>
                      <w:rFonts w:cstheme="minorHAnsi"/>
                      <w:b/>
                      <w:color w:val="000000" w:themeColor="text1"/>
                      <w:sz w:val="22"/>
                      <w:szCs w:val="22"/>
                    </w:rPr>
                  </w:pPr>
                </w:p>
              </w:tc>
              <w:tc>
                <w:tcPr>
                  <w:tcW w:w="2209" w:type="pct"/>
                  <w:vMerge/>
                  <w:shd w:val="clear" w:color="auto" w:fill="D9D9D9" w:themeFill="background1" w:themeFillShade="D9"/>
                </w:tcPr>
                <w:p w14:paraId="0CC51BFE" w14:textId="77777777" w:rsidR="00870D6A" w:rsidRPr="007D04D7" w:rsidRDefault="00870D6A" w:rsidP="00870D6A">
                  <w:pPr>
                    <w:rPr>
                      <w:rFonts w:cstheme="minorHAnsi"/>
                      <w:b/>
                      <w:color w:val="000000" w:themeColor="text1"/>
                      <w:sz w:val="22"/>
                      <w:szCs w:val="22"/>
                    </w:rPr>
                  </w:pPr>
                </w:p>
              </w:tc>
              <w:tc>
                <w:tcPr>
                  <w:tcW w:w="892" w:type="pct"/>
                  <w:shd w:val="clear" w:color="auto" w:fill="F2F2F2" w:themeFill="background1" w:themeFillShade="F2"/>
                </w:tcPr>
                <w:p w14:paraId="00CF9E84" w14:textId="77777777" w:rsidR="00870D6A" w:rsidRPr="007D04D7" w:rsidRDefault="00870D6A" w:rsidP="00870D6A">
                  <w:pPr>
                    <w:rPr>
                      <w:rFonts w:cstheme="minorHAnsi"/>
                      <w:b/>
                      <w:color w:val="000000" w:themeColor="text1"/>
                      <w:sz w:val="22"/>
                      <w:szCs w:val="22"/>
                    </w:rPr>
                  </w:pPr>
                  <w:r w:rsidRPr="007D04D7">
                    <w:rPr>
                      <w:rFonts w:cstheme="minorHAnsi"/>
                      <w:b/>
                      <w:color w:val="000000" w:themeColor="text1"/>
                      <w:sz w:val="22"/>
                      <w:szCs w:val="22"/>
                    </w:rPr>
                    <w:t>1</w:t>
                  </w:r>
                  <w:r w:rsidRPr="007D04D7">
                    <w:rPr>
                      <w:rFonts w:cstheme="minorHAnsi"/>
                      <w:b/>
                      <w:color w:val="000000" w:themeColor="text1"/>
                      <w:sz w:val="22"/>
                      <w:szCs w:val="22"/>
                      <w:vertAlign w:val="superscript"/>
                    </w:rPr>
                    <w:t>st</w:t>
                  </w:r>
                  <w:r w:rsidRPr="007D04D7">
                    <w:rPr>
                      <w:rFonts w:cstheme="minorHAnsi"/>
                      <w:b/>
                      <w:color w:val="000000" w:themeColor="text1"/>
                      <w:sz w:val="22"/>
                      <w:szCs w:val="22"/>
                    </w:rPr>
                    <w:t xml:space="preserve"> Baseline</w:t>
                  </w:r>
                </w:p>
              </w:tc>
              <w:tc>
                <w:tcPr>
                  <w:tcW w:w="668" w:type="pct"/>
                  <w:shd w:val="clear" w:color="auto" w:fill="F2F2F2" w:themeFill="background1" w:themeFillShade="F2"/>
                </w:tcPr>
                <w:p w14:paraId="3800ED1E" w14:textId="77777777" w:rsidR="00870D6A" w:rsidRPr="007D04D7" w:rsidRDefault="00870D6A" w:rsidP="00870D6A">
                  <w:pPr>
                    <w:rPr>
                      <w:rFonts w:cstheme="minorHAnsi"/>
                      <w:b/>
                      <w:color w:val="000000" w:themeColor="text1"/>
                      <w:sz w:val="22"/>
                      <w:szCs w:val="22"/>
                    </w:rPr>
                  </w:pPr>
                  <w:r w:rsidRPr="007D04D7">
                    <w:rPr>
                      <w:rFonts w:cstheme="minorHAnsi"/>
                      <w:b/>
                      <w:color w:val="000000" w:themeColor="text1"/>
                      <w:sz w:val="22"/>
                      <w:szCs w:val="22"/>
                    </w:rPr>
                    <w:t>2</w:t>
                  </w:r>
                  <w:r w:rsidRPr="007D04D7">
                    <w:rPr>
                      <w:rFonts w:cstheme="minorHAnsi"/>
                      <w:b/>
                      <w:color w:val="000000" w:themeColor="text1"/>
                      <w:sz w:val="22"/>
                      <w:szCs w:val="22"/>
                      <w:vertAlign w:val="superscript"/>
                    </w:rPr>
                    <w:t>nd</w:t>
                  </w:r>
                  <w:r w:rsidRPr="007D04D7">
                    <w:rPr>
                      <w:rFonts w:cstheme="minorHAnsi"/>
                      <w:b/>
                      <w:color w:val="000000" w:themeColor="text1"/>
                      <w:sz w:val="22"/>
                      <w:szCs w:val="22"/>
                    </w:rPr>
                    <w:t xml:space="preserve"> Baseline</w:t>
                  </w:r>
                </w:p>
              </w:tc>
            </w:tr>
            <w:tr w:rsidR="00870D6A" w:rsidRPr="007D04D7" w14:paraId="0644A56F" w14:textId="77777777" w:rsidTr="0029763A">
              <w:tc>
                <w:tcPr>
                  <w:tcW w:w="1231" w:type="pct"/>
                  <w:vAlign w:val="center"/>
                </w:tcPr>
                <w:p w14:paraId="7EEE54A5" w14:textId="77777777" w:rsidR="00870D6A" w:rsidRPr="00A67EA8" w:rsidRDefault="00870D6A" w:rsidP="00870D6A">
                  <w:pPr>
                    <w:rPr>
                      <w:rFonts w:cstheme="minorHAnsi"/>
                      <w:color w:val="000000" w:themeColor="text1"/>
                      <w:sz w:val="22"/>
                      <w:szCs w:val="22"/>
                    </w:rPr>
                  </w:pPr>
                  <w:r w:rsidRPr="00A67EA8">
                    <w:rPr>
                      <w:rFonts w:cstheme="minorHAnsi"/>
                      <w:color w:val="000000" w:themeColor="text1"/>
                      <w:sz w:val="22"/>
                      <w:szCs w:val="22"/>
                    </w:rPr>
                    <w:t xml:space="preserve">REA, Direct Install </w:t>
                  </w:r>
                </w:p>
              </w:tc>
              <w:tc>
                <w:tcPr>
                  <w:tcW w:w="2209" w:type="pct"/>
                  <w:vAlign w:val="center"/>
                </w:tcPr>
                <w:p w14:paraId="18323E99" w14:textId="77777777" w:rsidR="00870D6A" w:rsidRPr="00A67EA8" w:rsidRDefault="00870D6A" w:rsidP="00870D6A">
                  <w:pPr>
                    <w:rPr>
                      <w:rFonts w:cstheme="minorHAnsi"/>
                      <w:color w:val="000000" w:themeColor="text1"/>
                      <w:sz w:val="22"/>
                      <w:szCs w:val="22"/>
                    </w:rPr>
                  </w:pPr>
                  <w:r w:rsidRPr="00A67EA8">
                    <w:rPr>
                      <w:rFonts w:cstheme="minorHAnsi"/>
                      <w:color w:val="000000" w:themeColor="text1"/>
                      <w:sz w:val="22"/>
                      <w:szCs w:val="22"/>
                    </w:rPr>
                    <w:t xml:space="preserve">$2.89/fixture + $4.28/fixture = </w:t>
                  </w:r>
                  <w:r w:rsidRPr="00A67EA8">
                    <w:rPr>
                      <w:rFonts w:cstheme="minorHAnsi"/>
                      <w:b/>
                      <w:color w:val="000000" w:themeColor="text1"/>
                      <w:sz w:val="22"/>
                      <w:szCs w:val="22"/>
                    </w:rPr>
                    <w:t>$7.17 per fixture</w:t>
                  </w:r>
                </w:p>
              </w:tc>
              <w:tc>
                <w:tcPr>
                  <w:tcW w:w="892" w:type="pct"/>
                  <w:vAlign w:val="center"/>
                </w:tcPr>
                <w:p w14:paraId="5A982269" w14:textId="77777777" w:rsidR="00870D6A" w:rsidRPr="00A67EA8" w:rsidRDefault="00870D6A" w:rsidP="00870D6A">
                  <w:pPr>
                    <w:rPr>
                      <w:rFonts w:cstheme="minorHAnsi"/>
                      <w:color w:val="000000" w:themeColor="text1"/>
                      <w:sz w:val="22"/>
                      <w:szCs w:val="22"/>
                    </w:rPr>
                  </w:pPr>
                  <w:r w:rsidRPr="00A67EA8">
                    <w:rPr>
                      <w:rFonts w:cstheme="minorHAnsi"/>
                      <w:color w:val="000000" w:themeColor="text1"/>
                      <w:sz w:val="22"/>
                      <w:szCs w:val="22"/>
                    </w:rPr>
                    <w:t>$7.17 per fixture</w:t>
                  </w:r>
                </w:p>
              </w:tc>
              <w:tc>
                <w:tcPr>
                  <w:tcW w:w="668" w:type="pct"/>
                  <w:vAlign w:val="center"/>
                </w:tcPr>
                <w:p w14:paraId="196D0424" w14:textId="77777777" w:rsidR="00870D6A" w:rsidRPr="007D04D7" w:rsidRDefault="00870D6A" w:rsidP="00870D6A">
                  <w:pPr>
                    <w:rPr>
                      <w:rFonts w:cstheme="minorHAnsi"/>
                      <w:color w:val="000000" w:themeColor="text1"/>
                      <w:sz w:val="22"/>
                      <w:szCs w:val="22"/>
                    </w:rPr>
                  </w:pPr>
                  <w:r w:rsidRPr="007D04D7">
                    <w:rPr>
                      <w:rFonts w:cstheme="minorHAnsi"/>
                      <w:color w:val="000000" w:themeColor="text1"/>
                      <w:sz w:val="22"/>
                      <w:szCs w:val="22"/>
                    </w:rPr>
                    <w:t>N/A</w:t>
                  </w:r>
                </w:p>
              </w:tc>
            </w:tr>
            <w:tr w:rsidR="00A67EA8" w:rsidRPr="007D04D7" w14:paraId="6530210E" w14:textId="77777777" w:rsidTr="0029763A">
              <w:tc>
                <w:tcPr>
                  <w:tcW w:w="1231" w:type="pct"/>
                  <w:vAlign w:val="center"/>
                </w:tcPr>
                <w:p w14:paraId="6392EB82" w14:textId="7EE8CF45" w:rsidR="00A67EA8" w:rsidRPr="00A67EA8" w:rsidRDefault="00A67EA8" w:rsidP="00870D6A">
                  <w:pPr>
                    <w:rPr>
                      <w:rFonts w:cstheme="minorHAnsi"/>
                      <w:color w:val="000000" w:themeColor="text1"/>
                      <w:sz w:val="22"/>
                      <w:szCs w:val="22"/>
                    </w:rPr>
                  </w:pPr>
                  <w:r w:rsidRPr="00A67EA8">
                    <w:rPr>
                      <w:rFonts w:cstheme="minorHAnsi"/>
                      <w:color w:val="000000" w:themeColor="text1"/>
                      <w:sz w:val="22"/>
                      <w:szCs w:val="22"/>
                    </w:rPr>
                    <w:t>REA, PreRebDown</w:t>
                  </w:r>
                </w:p>
              </w:tc>
              <w:tc>
                <w:tcPr>
                  <w:tcW w:w="2209" w:type="pct"/>
                  <w:vAlign w:val="center"/>
                </w:tcPr>
                <w:p w14:paraId="1661B771" w14:textId="45539F69" w:rsidR="00A67EA8" w:rsidRPr="00A67EA8" w:rsidRDefault="00A67EA8" w:rsidP="00870D6A">
                  <w:pPr>
                    <w:rPr>
                      <w:rFonts w:cstheme="minorHAnsi"/>
                      <w:color w:val="000000" w:themeColor="text1"/>
                      <w:sz w:val="22"/>
                      <w:szCs w:val="22"/>
                    </w:rPr>
                  </w:pPr>
                  <w:r w:rsidRPr="00A67EA8">
                    <w:rPr>
                      <w:rFonts w:cstheme="minorHAnsi"/>
                      <w:color w:val="000000" w:themeColor="text1"/>
                      <w:sz w:val="22"/>
                      <w:szCs w:val="22"/>
                    </w:rPr>
                    <w:t>$2.89/fixture + $</w:t>
                  </w:r>
                  <w:r>
                    <w:rPr>
                      <w:rFonts w:cstheme="minorHAnsi"/>
                      <w:color w:val="000000" w:themeColor="text1"/>
                      <w:sz w:val="22"/>
                      <w:szCs w:val="22"/>
                    </w:rPr>
                    <w:t>4.28</w:t>
                  </w:r>
                  <w:r w:rsidRPr="00A67EA8">
                    <w:rPr>
                      <w:rFonts w:cstheme="minorHAnsi"/>
                      <w:color w:val="000000" w:themeColor="text1"/>
                      <w:sz w:val="22"/>
                      <w:szCs w:val="22"/>
                    </w:rPr>
                    <w:t>/labor = $</w:t>
                  </w:r>
                  <w:r>
                    <w:rPr>
                      <w:rFonts w:cstheme="minorHAnsi"/>
                      <w:color w:val="000000" w:themeColor="text1"/>
                      <w:sz w:val="22"/>
                      <w:szCs w:val="22"/>
                    </w:rPr>
                    <w:t>7.17</w:t>
                  </w:r>
                  <w:r w:rsidRPr="00A67EA8">
                    <w:rPr>
                      <w:rFonts w:cstheme="minorHAnsi"/>
                      <w:color w:val="000000" w:themeColor="text1"/>
                      <w:sz w:val="22"/>
                      <w:szCs w:val="22"/>
                    </w:rPr>
                    <w:t xml:space="preserve"> per fixture</w:t>
                  </w:r>
                </w:p>
              </w:tc>
              <w:tc>
                <w:tcPr>
                  <w:tcW w:w="892" w:type="pct"/>
                  <w:vAlign w:val="center"/>
                </w:tcPr>
                <w:p w14:paraId="3DC71C07" w14:textId="1DEBA9C5" w:rsidR="00A67EA8" w:rsidRPr="00A67EA8" w:rsidRDefault="00A67EA8" w:rsidP="00870D6A">
                  <w:pPr>
                    <w:rPr>
                      <w:rFonts w:cstheme="minorHAnsi"/>
                      <w:color w:val="000000" w:themeColor="text1"/>
                      <w:sz w:val="22"/>
                      <w:szCs w:val="22"/>
                    </w:rPr>
                  </w:pPr>
                  <w:r w:rsidRPr="00A67EA8">
                    <w:rPr>
                      <w:rFonts w:cstheme="minorHAnsi"/>
                      <w:color w:val="000000" w:themeColor="text1"/>
                      <w:sz w:val="22"/>
                      <w:szCs w:val="22"/>
                    </w:rPr>
                    <w:t xml:space="preserve">$ </w:t>
                  </w:r>
                  <w:r>
                    <w:rPr>
                      <w:rFonts w:cstheme="minorHAnsi"/>
                      <w:color w:val="000000" w:themeColor="text1"/>
                      <w:sz w:val="22"/>
                      <w:szCs w:val="22"/>
                    </w:rPr>
                    <w:t xml:space="preserve">7.17 </w:t>
                  </w:r>
                  <w:r w:rsidRPr="00A67EA8">
                    <w:rPr>
                      <w:rFonts w:cstheme="minorHAnsi"/>
                      <w:color w:val="000000" w:themeColor="text1"/>
                      <w:sz w:val="22"/>
                      <w:szCs w:val="22"/>
                    </w:rPr>
                    <w:t>per fixture</w:t>
                  </w:r>
                </w:p>
              </w:tc>
              <w:tc>
                <w:tcPr>
                  <w:tcW w:w="668" w:type="pct"/>
                  <w:vAlign w:val="center"/>
                </w:tcPr>
                <w:p w14:paraId="1A8B184E" w14:textId="18E20469" w:rsidR="00A67EA8" w:rsidRPr="00A67EA8" w:rsidRDefault="00A67EA8" w:rsidP="00870D6A">
                  <w:pPr>
                    <w:rPr>
                      <w:rFonts w:cstheme="minorHAnsi"/>
                      <w:color w:val="000000" w:themeColor="text1"/>
                      <w:sz w:val="22"/>
                      <w:szCs w:val="22"/>
                    </w:rPr>
                  </w:pPr>
                  <w:r w:rsidRPr="00A67EA8">
                    <w:rPr>
                      <w:rFonts w:cstheme="minorHAnsi"/>
                      <w:color w:val="000000" w:themeColor="text1"/>
                      <w:sz w:val="22"/>
                      <w:szCs w:val="22"/>
                    </w:rPr>
                    <w:t>N/A</w:t>
                  </w:r>
                </w:p>
              </w:tc>
            </w:tr>
            <w:tr w:rsidR="006A7254" w:rsidRPr="007D04D7" w14:paraId="13FA6707" w14:textId="77777777" w:rsidTr="006A7254">
              <w:tc>
                <w:tcPr>
                  <w:tcW w:w="5000" w:type="pct"/>
                  <w:gridSpan w:val="4"/>
                  <w:vAlign w:val="center"/>
                </w:tcPr>
                <w:p w14:paraId="70EA573E" w14:textId="77777777" w:rsidR="006A7254" w:rsidRPr="007D04D7" w:rsidRDefault="006A7254" w:rsidP="00870D6A">
                  <w:pPr>
                    <w:rPr>
                      <w:rFonts w:cstheme="minorHAnsi"/>
                      <w:color w:val="000000" w:themeColor="text1"/>
                      <w:szCs w:val="22"/>
                    </w:rPr>
                  </w:pPr>
                </w:p>
                <w:p w14:paraId="47228FFB" w14:textId="69283010" w:rsidR="006A7254" w:rsidRPr="007D04D7" w:rsidRDefault="00F22842" w:rsidP="00870D6A">
                  <w:pPr>
                    <w:rPr>
                      <w:rFonts w:cstheme="minorHAnsi"/>
                      <w:color w:val="000000" w:themeColor="text1"/>
                      <w:szCs w:val="22"/>
                    </w:rPr>
                  </w:pPr>
                  <w:r>
                    <w:rPr>
                      <w:rFonts w:cstheme="minorHAnsi"/>
                      <w:color w:val="000000" w:themeColor="text1"/>
                      <w:szCs w:val="22"/>
                    </w:rPr>
                    <w:t>MeasureCost ID: “</w:t>
                  </w:r>
                  <w:r w:rsidRPr="00F22842">
                    <w:rPr>
                      <w:rFonts w:cstheme="minorHAnsi"/>
                      <w:color w:val="000000" w:themeColor="text1"/>
                      <w:szCs w:val="22"/>
                    </w:rPr>
                    <w:t>SDG-DHW-FaucetAerLowFlow-Com</w:t>
                  </w:r>
                  <w:r>
                    <w:rPr>
                      <w:rFonts w:cstheme="minorHAnsi"/>
                      <w:color w:val="000000" w:themeColor="text1"/>
                      <w:szCs w:val="22"/>
                    </w:rPr>
                    <w:t xml:space="preserve">”   </w:t>
                  </w:r>
                  <w:r w:rsidR="006A7254">
                    <w:rPr>
                      <w:rFonts w:cstheme="minorHAnsi"/>
                      <w:color w:val="000000" w:themeColor="text1"/>
                      <w:szCs w:val="22"/>
                    </w:rPr>
                    <w:t>= $7.17</w:t>
                  </w:r>
                </w:p>
              </w:tc>
            </w:tr>
          </w:tbl>
          <w:p w14:paraId="2B49F81C" w14:textId="77777777" w:rsidR="00870D6A" w:rsidRPr="007D04D7" w:rsidRDefault="00870D6A" w:rsidP="00870D6A">
            <w:pPr>
              <w:pStyle w:val="Caption"/>
              <w:keepNext/>
              <w:jc w:val="center"/>
              <w:rPr>
                <w:szCs w:val="22"/>
              </w:rPr>
            </w:pPr>
          </w:p>
        </w:tc>
      </w:tr>
    </w:tbl>
    <w:p w14:paraId="70923865" w14:textId="648A8B70" w:rsidR="00963EAB" w:rsidRDefault="00963EAB" w:rsidP="002F0110"/>
    <w:p w14:paraId="32142101" w14:textId="77777777" w:rsidR="00F22842" w:rsidRDefault="00F22842" w:rsidP="002F0110"/>
    <w:bookmarkEnd w:id="2"/>
    <w:sectPr w:rsidR="00F22842" w:rsidSect="00FA5C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355D9" w14:textId="77777777" w:rsidR="00BE7F63" w:rsidRDefault="00BE7F63" w:rsidP="00FE520B">
      <w:r>
        <w:separator/>
      </w:r>
    </w:p>
  </w:endnote>
  <w:endnote w:type="continuationSeparator" w:id="0">
    <w:p w14:paraId="5DF1BA91" w14:textId="77777777" w:rsidR="00BE7F63" w:rsidRDefault="00BE7F63"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80041" w14:textId="36271DA0" w:rsidR="00BE7F63" w:rsidRPr="00E47372" w:rsidRDefault="00BE7F63" w:rsidP="003933D2">
    <w:pPr>
      <w:pStyle w:val="Footer"/>
      <w:pBdr>
        <w:top w:val="single" w:sz="4" w:space="1" w:color="auto"/>
      </w:pBdr>
      <w:rPr>
        <w:b/>
      </w:rPr>
    </w:pPr>
    <w:r>
      <w:rPr>
        <w:b/>
      </w:rPr>
      <w:t xml:space="preserve">Short Form Workpaper </w:t>
    </w:r>
    <w:sdt>
      <w:sdtPr>
        <w:rPr>
          <w:b/>
        </w:rPr>
        <w:alias w:val="Title"/>
        <w:tag w:val=""/>
        <w:id w:val="-1600707824"/>
        <w:dataBinding w:prefixMappings="xmlns:ns0='http://purl.org/dc/elements/1.1/' xmlns:ns1='http://schemas.openxmlformats.org/package/2006/metadata/core-properties' " w:xpath="/ns1:coreProperties[1]/ns0:title[1]" w:storeItemID="{6C3C8BC8-F283-45AE-878A-BAB7291924A1}"/>
        <w:text/>
      </w:sdtPr>
      <w:sdtEndPr/>
      <w:sdtContent>
        <w:r>
          <w:rPr>
            <w:b/>
          </w:rPr>
          <w:t>WPS</w:t>
        </w:r>
        <w:r w:rsidR="0046316A">
          <w:rPr>
            <w:b/>
          </w:rPr>
          <w:t>DGENRWH001</w:t>
        </w:r>
        <w:r w:rsidR="007D04D7">
          <w:rPr>
            <w:b/>
          </w:rPr>
          <w:t>4</w:t>
        </w:r>
      </w:sdtContent>
    </w:sdt>
    <w:r w:rsidR="0046316A">
      <w:rPr>
        <w:b/>
      </w:rPr>
      <w:t>, Revision 0</w:t>
    </w:r>
    <w:r>
      <w:rPr>
        <w:b/>
      </w:rPr>
      <w:tab/>
    </w:r>
    <w:r w:rsidR="00E015CF">
      <w:rPr>
        <w:b/>
      </w:rPr>
      <w:t>January 2</w:t>
    </w:r>
    <w:r w:rsidRPr="00DC5C9B">
      <w:rPr>
        <w:b/>
      </w:rPr>
      <w:t>, 201</w:t>
    </w:r>
    <w:r w:rsidR="00E015CF">
      <w:rPr>
        <w:b/>
      </w:rPr>
      <w:t>8</w:t>
    </w:r>
  </w:p>
  <w:p w14:paraId="0AEE70B8" w14:textId="77777777" w:rsidR="00BE7F63" w:rsidRDefault="00BE7F63" w:rsidP="003933D2">
    <w:pPr>
      <w:pStyle w:val="Footer"/>
      <w:rPr>
        <w:b/>
      </w:rPr>
    </w:pPr>
    <w:r>
      <w:rPr>
        <w:b/>
      </w:rPr>
      <w:t>San Diego Gas &amp; Electric</w:t>
    </w:r>
  </w:p>
  <w:p w14:paraId="16284BD9" w14:textId="3770B45A" w:rsidR="00BE7F63" w:rsidRDefault="00BE7F63">
    <w:pPr>
      <w:pStyle w:val="Footer"/>
      <w:jc w:val="center"/>
    </w:pPr>
    <w:r>
      <w:t xml:space="preserve"> Page </w:t>
    </w:r>
    <w:sdt>
      <w:sdtPr>
        <w:id w:val="-41263165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015CF">
          <w:rPr>
            <w:noProof/>
          </w:rPr>
          <w:t>2</w:t>
        </w:r>
        <w:r>
          <w:rPr>
            <w:noProof/>
          </w:rPr>
          <w:fldChar w:fldCharType="end"/>
        </w:r>
      </w:sdtContent>
    </w:sdt>
  </w:p>
  <w:p w14:paraId="22AE6ABE" w14:textId="77777777" w:rsidR="00BE7F63" w:rsidRPr="009500DC" w:rsidRDefault="00BE7F63"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05466" w14:textId="77777777" w:rsidR="00BE7F63" w:rsidRDefault="00BE7F63" w:rsidP="00FE520B">
      <w:r>
        <w:separator/>
      </w:r>
    </w:p>
  </w:footnote>
  <w:footnote w:type="continuationSeparator" w:id="0">
    <w:p w14:paraId="40C37B36" w14:textId="77777777" w:rsidR="00BE7F63" w:rsidRDefault="00BE7F6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901136"/>
    <w:lvl w:ilvl="0">
      <w:start w:val="1"/>
      <w:numFmt w:val="decimal"/>
      <w:lvlText w:val="%1."/>
      <w:lvlJc w:val="left"/>
      <w:pPr>
        <w:tabs>
          <w:tab w:val="num" w:pos="1800"/>
        </w:tabs>
        <w:ind w:left="1800" w:hanging="360"/>
      </w:pPr>
    </w:lvl>
  </w:abstractNum>
  <w:abstractNum w:abstractNumId="1" w15:restartNumberingAfterBreak="0">
    <w:nsid w:val="0EE50C2C"/>
    <w:multiLevelType w:val="hybridMultilevel"/>
    <w:tmpl w:val="4E72E94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047623"/>
    <w:multiLevelType w:val="hybridMultilevel"/>
    <w:tmpl w:val="DD18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77138"/>
    <w:multiLevelType w:val="hybridMultilevel"/>
    <w:tmpl w:val="8AB827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4316BA"/>
    <w:multiLevelType w:val="multilevel"/>
    <w:tmpl w:val="407435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ADF5B3C"/>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323FF"/>
    <w:multiLevelType w:val="hybridMultilevel"/>
    <w:tmpl w:val="B3D68A70"/>
    <w:lvl w:ilvl="0" w:tplc="9C18BA7C">
      <w:start w:val="1"/>
      <w:numFmt w:val="decimal"/>
      <w:lvlText w:val="(%1)"/>
      <w:lvlJc w:val="left"/>
      <w:pPr>
        <w:ind w:left="1080" w:hanging="360"/>
      </w:pPr>
      <w:rPr>
        <w:rFonts w:cs="Times New Roma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881DEE"/>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4A670D"/>
    <w:multiLevelType w:val="hybridMultilevel"/>
    <w:tmpl w:val="49CA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696663"/>
    <w:multiLevelType w:val="hybridMultilevel"/>
    <w:tmpl w:val="494A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779511A"/>
    <w:multiLevelType w:val="hybridMultilevel"/>
    <w:tmpl w:val="14EE3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B48CB"/>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3"/>
  </w:num>
  <w:num w:numId="4">
    <w:abstractNumId w:val="13"/>
  </w:num>
  <w:num w:numId="5">
    <w:abstractNumId w:val="14"/>
  </w:num>
  <w:num w:numId="6">
    <w:abstractNumId w:val="2"/>
  </w:num>
  <w:num w:numId="7">
    <w:abstractNumId w:val="16"/>
  </w:num>
  <w:num w:numId="8">
    <w:abstractNumId w:val="20"/>
  </w:num>
  <w:num w:numId="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4">
    <w:abstractNumId w:val="1"/>
  </w:num>
  <w:num w:numId="15">
    <w:abstractNumId w:val="2"/>
    <w:lvlOverride w:ilvl="0">
      <w:startOverride w:val="1"/>
    </w:lvlOverride>
    <w:lvlOverride w:ilvl="1">
      <w:startOverride w:val="1"/>
    </w:lvlOverride>
    <w:lvlOverride w:ilvl="2">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21"/>
  </w:num>
  <w:num w:numId="21">
    <w:abstractNumId w:val="4"/>
  </w:num>
  <w:num w:numId="22">
    <w:abstractNumId w:val="10"/>
  </w:num>
  <w:num w:numId="23">
    <w:abstractNumId w:val="17"/>
  </w:num>
  <w:num w:numId="24">
    <w:abstractNumId w:val="12"/>
  </w:num>
  <w:num w:numId="25">
    <w:abstractNumId w:val="19"/>
  </w:num>
  <w:num w:numId="26">
    <w:abstractNumId w:val="15"/>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50C01"/>
    <w:rsid w:val="00052743"/>
    <w:rsid w:val="00052CE4"/>
    <w:rsid w:val="000821DF"/>
    <w:rsid w:val="000A602F"/>
    <w:rsid w:val="000B17A7"/>
    <w:rsid w:val="000E2E9B"/>
    <w:rsid w:val="000F5531"/>
    <w:rsid w:val="000F72EF"/>
    <w:rsid w:val="001104CA"/>
    <w:rsid w:val="0011063E"/>
    <w:rsid w:val="001158E9"/>
    <w:rsid w:val="00125989"/>
    <w:rsid w:val="001259FE"/>
    <w:rsid w:val="0018635C"/>
    <w:rsid w:val="001879C7"/>
    <w:rsid w:val="00191296"/>
    <w:rsid w:val="00192ACF"/>
    <w:rsid w:val="00193E56"/>
    <w:rsid w:val="001953D4"/>
    <w:rsid w:val="00196CA4"/>
    <w:rsid w:val="001B3C29"/>
    <w:rsid w:val="001D3AFC"/>
    <w:rsid w:val="001E4B3A"/>
    <w:rsid w:val="001E5E5C"/>
    <w:rsid w:val="001F21C7"/>
    <w:rsid w:val="002057A3"/>
    <w:rsid w:val="002137EC"/>
    <w:rsid w:val="00226262"/>
    <w:rsid w:val="00236DA6"/>
    <w:rsid w:val="00275512"/>
    <w:rsid w:val="002A33F6"/>
    <w:rsid w:val="002A4EAA"/>
    <w:rsid w:val="002C3A20"/>
    <w:rsid w:val="002C7FB3"/>
    <w:rsid w:val="002F0110"/>
    <w:rsid w:val="00316680"/>
    <w:rsid w:val="00353ECF"/>
    <w:rsid w:val="003933D2"/>
    <w:rsid w:val="003A7B4E"/>
    <w:rsid w:val="003C4D88"/>
    <w:rsid w:val="003C681B"/>
    <w:rsid w:val="003D3517"/>
    <w:rsid w:val="003D3CB0"/>
    <w:rsid w:val="003E122A"/>
    <w:rsid w:val="003E6FA5"/>
    <w:rsid w:val="00427A32"/>
    <w:rsid w:val="00434029"/>
    <w:rsid w:val="00437BE6"/>
    <w:rsid w:val="004537B4"/>
    <w:rsid w:val="0046316A"/>
    <w:rsid w:val="004B1B5F"/>
    <w:rsid w:val="004C44B9"/>
    <w:rsid w:val="004F0F5B"/>
    <w:rsid w:val="004F2982"/>
    <w:rsid w:val="00500D21"/>
    <w:rsid w:val="00504629"/>
    <w:rsid w:val="00505172"/>
    <w:rsid w:val="0053719E"/>
    <w:rsid w:val="00542511"/>
    <w:rsid w:val="00547A0B"/>
    <w:rsid w:val="005714FC"/>
    <w:rsid w:val="00574F70"/>
    <w:rsid w:val="005815D4"/>
    <w:rsid w:val="0059117D"/>
    <w:rsid w:val="005B2619"/>
    <w:rsid w:val="005B439A"/>
    <w:rsid w:val="005C2962"/>
    <w:rsid w:val="005E7861"/>
    <w:rsid w:val="006049AE"/>
    <w:rsid w:val="006063BE"/>
    <w:rsid w:val="0062702B"/>
    <w:rsid w:val="00636490"/>
    <w:rsid w:val="00654030"/>
    <w:rsid w:val="006843C6"/>
    <w:rsid w:val="00684ABA"/>
    <w:rsid w:val="00692BF3"/>
    <w:rsid w:val="006A6EAE"/>
    <w:rsid w:val="006A7254"/>
    <w:rsid w:val="006B2014"/>
    <w:rsid w:val="006B5381"/>
    <w:rsid w:val="006C514F"/>
    <w:rsid w:val="006E2AF2"/>
    <w:rsid w:val="0070412B"/>
    <w:rsid w:val="00711962"/>
    <w:rsid w:val="007123A8"/>
    <w:rsid w:val="007129E3"/>
    <w:rsid w:val="00724DE2"/>
    <w:rsid w:val="0074209B"/>
    <w:rsid w:val="00754473"/>
    <w:rsid w:val="00763E52"/>
    <w:rsid w:val="00776B39"/>
    <w:rsid w:val="007810E3"/>
    <w:rsid w:val="007B32FD"/>
    <w:rsid w:val="007D04D7"/>
    <w:rsid w:val="007F28EB"/>
    <w:rsid w:val="007F6B28"/>
    <w:rsid w:val="0080699B"/>
    <w:rsid w:val="008301C9"/>
    <w:rsid w:val="0083111B"/>
    <w:rsid w:val="0084491B"/>
    <w:rsid w:val="00861B74"/>
    <w:rsid w:val="00867C9A"/>
    <w:rsid w:val="00870D6A"/>
    <w:rsid w:val="008733BD"/>
    <w:rsid w:val="008C3D1E"/>
    <w:rsid w:val="008D560C"/>
    <w:rsid w:val="008E0122"/>
    <w:rsid w:val="008E784F"/>
    <w:rsid w:val="009452F7"/>
    <w:rsid w:val="009544BA"/>
    <w:rsid w:val="009604A3"/>
    <w:rsid w:val="00963A45"/>
    <w:rsid w:val="00963EAB"/>
    <w:rsid w:val="00982C1F"/>
    <w:rsid w:val="0098601C"/>
    <w:rsid w:val="009A0721"/>
    <w:rsid w:val="009A0F3E"/>
    <w:rsid w:val="009A57F0"/>
    <w:rsid w:val="009B29D0"/>
    <w:rsid w:val="009B3CEE"/>
    <w:rsid w:val="009D5C08"/>
    <w:rsid w:val="00A16023"/>
    <w:rsid w:val="00A40890"/>
    <w:rsid w:val="00A43405"/>
    <w:rsid w:val="00A54587"/>
    <w:rsid w:val="00A56374"/>
    <w:rsid w:val="00A573B4"/>
    <w:rsid w:val="00A64AB4"/>
    <w:rsid w:val="00A67EA8"/>
    <w:rsid w:val="00A75EDC"/>
    <w:rsid w:val="00A833B9"/>
    <w:rsid w:val="00AB537D"/>
    <w:rsid w:val="00AD41FF"/>
    <w:rsid w:val="00AD4275"/>
    <w:rsid w:val="00B044FB"/>
    <w:rsid w:val="00B76B3E"/>
    <w:rsid w:val="00B86725"/>
    <w:rsid w:val="00BA08D7"/>
    <w:rsid w:val="00BA188B"/>
    <w:rsid w:val="00BB5EFE"/>
    <w:rsid w:val="00BE7F63"/>
    <w:rsid w:val="00BF7104"/>
    <w:rsid w:val="00C079D4"/>
    <w:rsid w:val="00C13FDE"/>
    <w:rsid w:val="00C201B9"/>
    <w:rsid w:val="00C361B3"/>
    <w:rsid w:val="00C8339F"/>
    <w:rsid w:val="00C84A06"/>
    <w:rsid w:val="00C91AC2"/>
    <w:rsid w:val="00C936FB"/>
    <w:rsid w:val="00CB11C9"/>
    <w:rsid w:val="00CC12EC"/>
    <w:rsid w:val="00CD4890"/>
    <w:rsid w:val="00CD5F37"/>
    <w:rsid w:val="00CE25BE"/>
    <w:rsid w:val="00CF0DA9"/>
    <w:rsid w:val="00D172E6"/>
    <w:rsid w:val="00D17EAB"/>
    <w:rsid w:val="00D35C9C"/>
    <w:rsid w:val="00D41500"/>
    <w:rsid w:val="00D60240"/>
    <w:rsid w:val="00D619EC"/>
    <w:rsid w:val="00D63331"/>
    <w:rsid w:val="00D67814"/>
    <w:rsid w:val="00D75EED"/>
    <w:rsid w:val="00D77F05"/>
    <w:rsid w:val="00DB6775"/>
    <w:rsid w:val="00DC53A4"/>
    <w:rsid w:val="00DC7417"/>
    <w:rsid w:val="00DF6A32"/>
    <w:rsid w:val="00DF6FA0"/>
    <w:rsid w:val="00E00DCC"/>
    <w:rsid w:val="00E015CF"/>
    <w:rsid w:val="00E041B5"/>
    <w:rsid w:val="00E40E43"/>
    <w:rsid w:val="00E56CE7"/>
    <w:rsid w:val="00E70363"/>
    <w:rsid w:val="00E77D27"/>
    <w:rsid w:val="00E93B15"/>
    <w:rsid w:val="00EB0C05"/>
    <w:rsid w:val="00EC20C1"/>
    <w:rsid w:val="00ED4597"/>
    <w:rsid w:val="00EE19D6"/>
    <w:rsid w:val="00F117C6"/>
    <w:rsid w:val="00F11AF0"/>
    <w:rsid w:val="00F177CE"/>
    <w:rsid w:val="00F22842"/>
    <w:rsid w:val="00F55CAE"/>
    <w:rsid w:val="00F56D41"/>
    <w:rsid w:val="00F67972"/>
    <w:rsid w:val="00F77684"/>
    <w:rsid w:val="00F77C08"/>
    <w:rsid w:val="00F90D2E"/>
    <w:rsid w:val="00F934EC"/>
    <w:rsid w:val="00F95AC4"/>
    <w:rsid w:val="00FA1A85"/>
    <w:rsid w:val="00FA5C27"/>
    <w:rsid w:val="00FC0E20"/>
    <w:rsid w:val="00FE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B2E42"/>
  <w15:docId w15:val="{DE1B18E3-3701-46B8-94EE-2FBF32A2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F679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paragraph" w:styleId="EndnoteText">
    <w:name w:val="endnote text"/>
    <w:basedOn w:val="Normal"/>
    <w:link w:val="EndnoteTextChar"/>
    <w:rsid w:val="00E40E43"/>
    <w:rPr>
      <w:rFonts w:ascii="Times New Roman" w:hAnsi="Times New Roman"/>
      <w:sz w:val="20"/>
      <w:szCs w:val="20"/>
    </w:rPr>
  </w:style>
  <w:style w:type="character" w:customStyle="1" w:styleId="EndnoteTextChar">
    <w:name w:val="Endnote Text Char"/>
    <w:basedOn w:val="DefaultParagraphFont"/>
    <w:link w:val="EndnoteText"/>
    <w:rsid w:val="00E40E43"/>
    <w:rPr>
      <w:rFonts w:ascii="Times New Roman" w:eastAsia="Times New Roman" w:hAnsi="Times New Roman" w:cs="Times New Roman"/>
      <w:sz w:val="20"/>
      <w:szCs w:val="20"/>
    </w:rPr>
  </w:style>
  <w:style w:type="character" w:styleId="Strong">
    <w:name w:val="Strong"/>
    <w:qFormat/>
    <w:rsid w:val="00542511"/>
    <w:rPr>
      <w:b/>
      <w:bCs/>
    </w:rPr>
  </w:style>
  <w:style w:type="table" w:customStyle="1" w:styleId="TableGrid11">
    <w:name w:val="Table Grid11"/>
    <w:basedOn w:val="TableNormal"/>
    <w:next w:val="TableGrid"/>
    <w:rsid w:val="0054251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67972"/>
    <w:rPr>
      <w:rFonts w:asciiTheme="majorHAnsi" w:eastAsiaTheme="majorEastAsia" w:hAnsiTheme="majorHAnsi" w:cstheme="majorBidi"/>
      <w:b/>
      <w:bCs/>
      <w:color w:val="4F81BD"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062309"/>
    <w:rsid w:val="000E697B"/>
    <w:rsid w:val="00102DA5"/>
    <w:rsid w:val="00166D59"/>
    <w:rsid w:val="00184C22"/>
    <w:rsid w:val="001F1348"/>
    <w:rsid w:val="00306DAD"/>
    <w:rsid w:val="00344BC0"/>
    <w:rsid w:val="0037586B"/>
    <w:rsid w:val="004071DC"/>
    <w:rsid w:val="005C5C4F"/>
    <w:rsid w:val="006E695C"/>
    <w:rsid w:val="00780E3A"/>
    <w:rsid w:val="007E2A46"/>
    <w:rsid w:val="0081757C"/>
    <w:rsid w:val="008262D6"/>
    <w:rsid w:val="008715A6"/>
    <w:rsid w:val="008E1A68"/>
    <w:rsid w:val="00A27CF8"/>
    <w:rsid w:val="00AC1BF4"/>
    <w:rsid w:val="00C17C9C"/>
    <w:rsid w:val="00C25CB0"/>
    <w:rsid w:val="00D044EC"/>
    <w:rsid w:val="00D92837"/>
    <w:rsid w:val="00E947C7"/>
    <w:rsid w:val="00ED1317"/>
    <w:rsid w:val="00EE60A5"/>
    <w:rsid w:val="00F814FC"/>
    <w:rsid w:val="00F901C1"/>
    <w:rsid w:val="00FD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317"/>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 w:type="paragraph" w:customStyle="1" w:styleId="450E4005F0DD044EA9838BAF8414B1D2">
    <w:name w:val="450E4005F0DD044EA9838BAF8414B1D2"/>
    <w:rsid w:val="00ED1317"/>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B4078-FA13-4E77-A556-C4DC3D45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WPSDGENRWH0014</vt:lpstr>
    </vt:vector>
  </TitlesOfParts>
  <Company>San Diego Gas &amp; Electric</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WPSDGENRWH0014</dc:title>
  <dc:creator>Mark 2009</dc:creator>
  <cp:lastModifiedBy>Reynoso, Ed</cp:lastModifiedBy>
  <cp:revision>8</cp:revision>
  <dcterms:created xsi:type="dcterms:W3CDTF">2017-11-15T04:01:00Z</dcterms:created>
  <dcterms:modified xsi:type="dcterms:W3CDTF">2018-01-03T04:08:00Z</dcterms:modified>
  <cp:contentStatus>Revision 0</cp:contentStatus>
</cp:coreProperties>
</file>