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FFB47" w14:textId="77777777"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C14DCC">
        <w:t>WPSDG</w:t>
      </w:r>
      <w:r w:rsidR="002B2CB2">
        <w:t>E</w:t>
      </w:r>
      <w:r w:rsidR="00073668">
        <w:t>NR</w:t>
      </w:r>
      <w:r w:rsidR="00B1431E">
        <w:t>RN0017</w:t>
      </w:r>
    </w:p>
    <w:p w14:paraId="77177E06" w14:textId="77777777"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073668">
        <w:rPr>
          <w:rStyle w:val="CaptionChar"/>
          <w:b/>
          <w:bCs w:val="0"/>
        </w:rPr>
        <w:t>0</w:t>
      </w:r>
    </w:p>
    <w:bookmarkEnd w:id="0"/>
    <w:p w14:paraId="5B4AA4F6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14:paraId="59A76A13" w14:textId="77777777" w:rsidR="00E6385A" w:rsidRPr="00E6385A" w:rsidRDefault="006875B3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San Diego Gas &amp; Electric</w:t>
      </w:r>
    </w:p>
    <w:p w14:paraId="069D4CA6" w14:textId="77777777"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14:paraId="5B922570" w14:textId="77777777" w:rsidR="00F117C6" w:rsidRPr="00500C4E" w:rsidRDefault="00F117C6" w:rsidP="00F117C6">
      <w:pPr>
        <w:rPr>
          <w:rFonts w:cstheme="minorHAnsi"/>
        </w:rPr>
      </w:pPr>
    </w:p>
    <w:p w14:paraId="10B32F2E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4525A3FE" w14:textId="77777777" w:rsidR="00F117C6" w:rsidRPr="00500C4E" w:rsidRDefault="00F117C6" w:rsidP="00F117C6">
      <w:pPr>
        <w:rPr>
          <w:rFonts w:cstheme="minorHAnsi"/>
        </w:rPr>
      </w:pPr>
    </w:p>
    <w:p w14:paraId="50112E86" w14:textId="77777777" w:rsidR="00F117C6" w:rsidRPr="00500C4E" w:rsidRDefault="00F117C6" w:rsidP="00F117C6">
      <w:pPr>
        <w:rPr>
          <w:rFonts w:cstheme="minorHAnsi"/>
        </w:rPr>
      </w:pPr>
    </w:p>
    <w:p w14:paraId="3E32B00F" w14:textId="77777777" w:rsidR="00F117C6" w:rsidRPr="00500C4E" w:rsidRDefault="00F117C6" w:rsidP="00F117C6">
      <w:pPr>
        <w:rPr>
          <w:rFonts w:cstheme="minorHAnsi"/>
        </w:rPr>
      </w:pPr>
    </w:p>
    <w:p w14:paraId="39990013" w14:textId="77777777" w:rsidR="00F117C6" w:rsidRPr="00500C4E" w:rsidRDefault="00F117C6" w:rsidP="00F117C6">
      <w:pPr>
        <w:rPr>
          <w:rFonts w:cstheme="minorHAnsi"/>
        </w:rPr>
      </w:pPr>
    </w:p>
    <w:p w14:paraId="3DA49D76" w14:textId="77777777" w:rsidR="00F117C6" w:rsidRPr="00500C4E" w:rsidRDefault="00F117C6" w:rsidP="00F117C6">
      <w:pPr>
        <w:rPr>
          <w:rFonts w:cstheme="minorHAnsi"/>
        </w:rPr>
      </w:pPr>
    </w:p>
    <w:p w14:paraId="6F39996C" w14:textId="77777777" w:rsidR="003234D6" w:rsidRPr="00500C4E" w:rsidRDefault="003234D6" w:rsidP="003234D6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Refrigeration Floating Suction and Head Pressure Controls</w:t>
      </w:r>
      <w:r w:rsidRPr="00500C4E">
        <w:rPr>
          <w:rFonts w:cstheme="minorHAnsi"/>
          <w:b/>
          <w:sz w:val="72"/>
          <w:szCs w:val="72"/>
        </w:rPr>
        <w:t xml:space="preserve"> </w:t>
      </w:r>
    </w:p>
    <w:p w14:paraId="0FBFB11C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47FA2FCD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408A0E4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3A11275E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3F200123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49D87A33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0D4D23E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4F925496" w14:textId="2E2C0AB7" w:rsidR="000E19CA" w:rsidRDefault="00823175" w:rsidP="00823175">
      <w:pPr>
        <w:tabs>
          <w:tab w:val="left" w:pos="4040"/>
        </w:tabs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ab/>
      </w:r>
    </w:p>
    <w:p w14:paraId="3BC3E3F2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50C9281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E5D45AB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4B466CB0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7C48549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793A2A31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4771907D" w14:textId="77777777"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14:paraId="6AC0DA75" w14:textId="11B16BD2" w:rsidR="00E372B8" w:rsidRDefault="00823175" w:rsidP="00823175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March 2</w:t>
      </w:r>
      <w:r w:rsidR="00C477CA">
        <w:rPr>
          <w:rFonts w:cstheme="minorHAnsi"/>
          <w:b/>
          <w:sz w:val="28"/>
          <w:szCs w:val="28"/>
        </w:rPr>
        <w:t>, 2018</w:t>
      </w:r>
    </w:p>
    <w:p w14:paraId="49B63678" w14:textId="77777777"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6E548291" w14:textId="77777777" w:rsidR="003234D6" w:rsidRPr="003234D6" w:rsidRDefault="0059117D" w:rsidP="003234D6">
      <w:pPr>
        <w:rPr>
          <w:rFonts w:cstheme="minorHAnsi"/>
          <w:b/>
          <w:sz w:val="36"/>
          <w:szCs w:val="36"/>
        </w:rPr>
      </w:pPr>
      <w:r w:rsidRPr="003234D6">
        <w:rPr>
          <w:b/>
          <w:sz w:val="36"/>
          <w:szCs w:val="36"/>
        </w:rPr>
        <w:lastRenderedPageBreak/>
        <w:t xml:space="preserve">SDG&amp;E </w:t>
      </w:r>
      <w:bookmarkStart w:id="1" w:name="_Hlk500230861"/>
      <w:r w:rsidR="00555926" w:rsidRPr="003234D6">
        <w:rPr>
          <w:b/>
          <w:sz w:val="36"/>
          <w:szCs w:val="36"/>
        </w:rPr>
        <w:t xml:space="preserve">Energy Upgrade California – </w:t>
      </w:r>
      <w:r w:rsidR="003234D6" w:rsidRPr="003234D6">
        <w:rPr>
          <w:rFonts w:cstheme="minorHAnsi"/>
          <w:b/>
          <w:sz w:val="36"/>
          <w:szCs w:val="36"/>
        </w:rPr>
        <w:t xml:space="preserve">Refrigeration Floating Suction and Head Pressure Controls </w:t>
      </w:r>
    </w:p>
    <w:p w14:paraId="3B21E0DF" w14:textId="77777777" w:rsidR="00555926" w:rsidRPr="00555926" w:rsidRDefault="00555926" w:rsidP="00555926">
      <w:pPr>
        <w:pStyle w:val="WorkpaperName"/>
        <w:rPr>
          <w:sz w:val="36"/>
          <w:szCs w:val="36"/>
        </w:rPr>
      </w:pPr>
    </w:p>
    <w:p w14:paraId="1DBCAFF1" w14:textId="77777777" w:rsidR="002B2CB2" w:rsidRPr="002B2CB2" w:rsidRDefault="002B2CB2" w:rsidP="002B2CB2">
      <w:pPr>
        <w:rPr>
          <w:rFonts w:cstheme="minorHAnsi"/>
          <w:b/>
          <w:sz w:val="36"/>
          <w:szCs w:val="36"/>
        </w:rPr>
      </w:pPr>
    </w:p>
    <w:bookmarkEnd w:id="1"/>
    <w:p w14:paraId="6AB67DBA" w14:textId="77777777" w:rsidR="00413EF4" w:rsidRDefault="00413EF4" w:rsidP="00413EF4">
      <w:pPr>
        <w:pStyle w:val="Heading2"/>
      </w:pPr>
      <w:r>
        <w:t>Introduction</w:t>
      </w:r>
    </w:p>
    <w:p w14:paraId="760225DA" w14:textId="77777777" w:rsidR="003234D6" w:rsidRDefault="002B2CB2" w:rsidP="003234D6">
      <w:pPr>
        <w:rPr>
          <w:sz w:val="20"/>
          <w:szCs w:val="20"/>
        </w:rPr>
      </w:pPr>
      <w:r w:rsidRPr="003234D6">
        <w:rPr>
          <w:sz w:val="20"/>
          <w:szCs w:val="20"/>
        </w:rPr>
        <w:t>This short form workpaper docum</w:t>
      </w:r>
      <w:r w:rsidR="006A3AE7" w:rsidRPr="003234D6">
        <w:rPr>
          <w:sz w:val="20"/>
          <w:szCs w:val="20"/>
        </w:rPr>
        <w:t xml:space="preserve">ents the </w:t>
      </w:r>
      <w:r w:rsidR="0014591F" w:rsidRPr="003234D6">
        <w:rPr>
          <w:sz w:val="20"/>
          <w:szCs w:val="20"/>
        </w:rPr>
        <w:t>cost and energy impacts</w:t>
      </w:r>
      <w:r w:rsidR="006A3AE7" w:rsidRPr="003234D6">
        <w:rPr>
          <w:sz w:val="20"/>
          <w:szCs w:val="20"/>
        </w:rPr>
        <w:t xml:space="preserve"> adopted from SCE</w:t>
      </w:r>
      <w:r w:rsidRPr="003234D6">
        <w:rPr>
          <w:sz w:val="20"/>
          <w:szCs w:val="20"/>
        </w:rPr>
        <w:t>’s workpaper entitled “</w:t>
      </w:r>
      <w:r w:rsidR="003234D6" w:rsidRPr="003234D6">
        <w:rPr>
          <w:rFonts w:cstheme="minorHAnsi"/>
          <w:sz w:val="20"/>
          <w:szCs w:val="20"/>
        </w:rPr>
        <w:t>Refrigeration Floating Suction and Head Pressure Controls”</w:t>
      </w:r>
      <w:r w:rsidRPr="009778F6">
        <w:rPr>
          <w:sz w:val="20"/>
          <w:szCs w:val="20"/>
        </w:rPr>
        <w:t xml:space="preserve"> (</w:t>
      </w:r>
      <w:r w:rsidR="003234D6">
        <w:rPr>
          <w:sz w:val="20"/>
          <w:szCs w:val="20"/>
        </w:rPr>
        <w:t xml:space="preserve">SCE17RN023.1 </w:t>
      </w:r>
      <w:r w:rsidR="003234D6" w:rsidRPr="003234D6">
        <w:rPr>
          <w:sz w:val="20"/>
          <w:szCs w:val="20"/>
        </w:rPr>
        <w:t>- Refrigeration Floating Head Pressure Controls_Final</w:t>
      </w:r>
      <w:r w:rsidR="0014591F" w:rsidRPr="009778F6">
        <w:rPr>
          <w:sz w:val="20"/>
          <w:szCs w:val="20"/>
        </w:rPr>
        <w:t>.</w:t>
      </w:r>
      <w:r w:rsidRPr="009778F6">
        <w:rPr>
          <w:sz w:val="20"/>
          <w:szCs w:val="20"/>
        </w:rPr>
        <w:t>docx</w:t>
      </w:r>
      <w:r w:rsidR="00FD316B" w:rsidRPr="009778F6">
        <w:rPr>
          <w:sz w:val="20"/>
          <w:szCs w:val="20"/>
        </w:rPr>
        <w:t xml:space="preserve">).  SDG&amp;E adopts all the cost and energy impacts </w:t>
      </w:r>
      <w:r w:rsidRPr="009778F6">
        <w:rPr>
          <w:sz w:val="20"/>
          <w:szCs w:val="20"/>
        </w:rPr>
        <w:t xml:space="preserve">in </w:t>
      </w:r>
      <w:r w:rsidR="003234D6">
        <w:rPr>
          <w:sz w:val="20"/>
          <w:szCs w:val="20"/>
        </w:rPr>
        <w:t xml:space="preserve">SCE17RN023.1 </w:t>
      </w:r>
      <w:r w:rsidR="003234D6" w:rsidRPr="003234D6">
        <w:rPr>
          <w:sz w:val="20"/>
          <w:szCs w:val="20"/>
        </w:rPr>
        <w:t>- Refrigeration Floating Head Pressure Controls_Final</w:t>
      </w:r>
      <w:r w:rsidR="003234D6" w:rsidRPr="009778F6">
        <w:rPr>
          <w:sz w:val="20"/>
          <w:szCs w:val="20"/>
        </w:rPr>
        <w:t>.docx</w:t>
      </w:r>
      <w:r w:rsidRPr="009778F6">
        <w:rPr>
          <w:sz w:val="20"/>
          <w:szCs w:val="20"/>
        </w:rPr>
        <w:t xml:space="preserve">, with </w:t>
      </w:r>
      <w:r w:rsidR="003234D6">
        <w:rPr>
          <w:sz w:val="20"/>
          <w:szCs w:val="20"/>
        </w:rPr>
        <w:t>the following exceptions:</w:t>
      </w:r>
    </w:p>
    <w:p w14:paraId="4B7321DE" w14:textId="77777777" w:rsidR="003234D6" w:rsidRDefault="003234D6" w:rsidP="003234D6">
      <w:pPr>
        <w:pStyle w:val="ListParagraph"/>
        <w:numPr>
          <w:ilvl w:val="0"/>
          <w:numId w:val="25"/>
        </w:numPr>
        <w:rPr>
          <w:sz w:val="20"/>
          <w:szCs w:val="20"/>
        </w:rPr>
      </w:pPr>
      <w:r>
        <w:rPr>
          <w:sz w:val="20"/>
          <w:szCs w:val="20"/>
        </w:rPr>
        <w:t>Only SDGE climates zones are included in this workpaper.</w:t>
      </w:r>
    </w:p>
    <w:p w14:paraId="1AE71D4A" w14:textId="11DE45AC" w:rsidR="003234D6" w:rsidRPr="003234D6" w:rsidRDefault="003234D6" w:rsidP="003234D6">
      <w:pPr>
        <w:pStyle w:val="ListParagraph"/>
        <w:numPr>
          <w:ilvl w:val="0"/>
          <w:numId w:val="25"/>
        </w:numPr>
        <w:rPr>
          <w:sz w:val="20"/>
          <w:szCs w:val="20"/>
        </w:rPr>
      </w:pPr>
      <w:r>
        <w:rPr>
          <w:sz w:val="20"/>
          <w:szCs w:val="20"/>
        </w:rPr>
        <w:t xml:space="preserve">SDGE implantation IDs are </w:t>
      </w:r>
      <w:r w:rsidR="00AB03A3">
        <w:rPr>
          <w:sz w:val="20"/>
          <w:szCs w:val="20"/>
        </w:rPr>
        <w:t>used which are per DEER measure</w:t>
      </w:r>
      <w:r w:rsidR="00823175">
        <w:rPr>
          <w:sz w:val="20"/>
          <w:szCs w:val="20"/>
        </w:rPr>
        <w:t xml:space="preserve">s, therefore savings </w:t>
      </w:r>
      <w:r w:rsidR="00FF72AA">
        <w:rPr>
          <w:sz w:val="20"/>
          <w:szCs w:val="20"/>
        </w:rPr>
        <w:t xml:space="preserve">impacts </w:t>
      </w:r>
      <w:r w:rsidR="00AB03A3">
        <w:rPr>
          <w:sz w:val="20"/>
          <w:szCs w:val="20"/>
        </w:rPr>
        <w:t xml:space="preserve">are taken directly from DEER. The SCE workpaper averages some of the DEER measure savings because the SCE solution codes encompass multiple DEER measures. </w:t>
      </w:r>
    </w:p>
    <w:p w14:paraId="2F5B58FB" w14:textId="77777777" w:rsidR="003234D6" w:rsidRDefault="003234D6" w:rsidP="003234D6">
      <w:pPr>
        <w:rPr>
          <w:sz w:val="20"/>
          <w:szCs w:val="20"/>
        </w:rPr>
      </w:pPr>
    </w:p>
    <w:p w14:paraId="5E715865" w14:textId="77777777" w:rsidR="002B2CB2" w:rsidRPr="003234D6" w:rsidRDefault="00FD316B" w:rsidP="003234D6">
      <w:pPr>
        <w:rPr>
          <w:rFonts w:cstheme="minorHAnsi"/>
          <w:sz w:val="20"/>
          <w:szCs w:val="20"/>
        </w:rPr>
      </w:pPr>
      <w:r w:rsidRPr="009778F6">
        <w:rPr>
          <w:sz w:val="20"/>
          <w:szCs w:val="20"/>
        </w:rPr>
        <w:t xml:space="preserve"> </w:t>
      </w:r>
      <w:r w:rsidR="009778F6" w:rsidRPr="009778F6">
        <w:rPr>
          <w:sz w:val="20"/>
          <w:szCs w:val="20"/>
        </w:rPr>
        <w:t xml:space="preserve">The energy impacts are based on </w:t>
      </w:r>
      <w:r w:rsidR="003234D6">
        <w:rPr>
          <w:sz w:val="20"/>
          <w:szCs w:val="20"/>
        </w:rPr>
        <w:t>DEER measures</w:t>
      </w:r>
      <w:r w:rsidR="009778F6" w:rsidRPr="009778F6">
        <w:rPr>
          <w:sz w:val="20"/>
          <w:szCs w:val="20"/>
        </w:rPr>
        <w:t xml:space="preserve"> and the costs are based on Work Order 17 (WO</w:t>
      </w:r>
      <w:r w:rsidR="003234D6">
        <w:rPr>
          <w:sz w:val="20"/>
          <w:szCs w:val="20"/>
        </w:rPr>
        <w:t>017) Ex Ante Measure Cost Study.</w:t>
      </w:r>
    </w:p>
    <w:p w14:paraId="3D58F1E9" w14:textId="77777777" w:rsidR="00B57F32" w:rsidRDefault="002B2CB2" w:rsidP="00B57F32">
      <w:pPr>
        <w:pStyle w:val="Heading2"/>
      </w:pPr>
      <w:r>
        <w:t>D</w:t>
      </w:r>
      <w:r w:rsidR="00B57F32" w:rsidRPr="005734A4">
        <w:t>ocument Revision History</w:t>
      </w:r>
      <w:r w:rsidR="00B57F32"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66"/>
        <w:gridCol w:w="1894"/>
        <w:gridCol w:w="5666"/>
      </w:tblGrid>
      <w:tr w:rsidR="00B57F32" w:rsidRPr="00500C4E" w14:paraId="52BF1130" w14:textId="77777777" w:rsidTr="002917FE">
        <w:trPr>
          <w:trHeight w:val="20"/>
        </w:trPr>
        <w:tc>
          <w:tcPr>
            <w:tcW w:w="280" w:type="pct"/>
            <w:shd w:val="clear" w:color="auto" w:fill="D9D9D9" w:themeFill="background1" w:themeFillShade="D9"/>
          </w:tcPr>
          <w:p w14:paraId="18453B9B" w14:textId="77777777" w:rsidR="00B57F32" w:rsidRPr="000E2B6B" w:rsidRDefault="00B57F32" w:rsidP="007F3C21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330C797C" w14:textId="77777777" w:rsidR="00B57F32" w:rsidRPr="000E2B6B" w:rsidRDefault="00B57F32" w:rsidP="007F3C21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1013" w:type="pct"/>
            <w:shd w:val="clear" w:color="auto" w:fill="D9D9D9" w:themeFill="background1" w:themeFillShade="D9"/>
          </w:tcPr>
          <w:p w14:paraId="009D4B2A" w14:textId="77777777" w:rsidR="00B57F32" w:rsidRPr="000E2B6B" w:rsidRDefault="00B57F32" w:rsidP="007F3C21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030" w:type="pct"/>
            <w:shd w:val="clear" w:color="auto" w:fill="D9D9D9" w:themeFill="background1" w:themeFillShade="D9"/>
          </w:tcPr>
          <w:p w14:paraId="2D5937D1" w14:textId="77777777" w:rsidR="00B57F32" w:rsidRPr="000E2B6B" w:rsidRDefault="00B57F32" w:rsidP="007F3C21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305091" w:rsidRPr="00500C4E" w14:paraId="3AC27E71" w14:textId="77777777" w:rsidTr="002917FE">
        <w:trPr>
          <w:trHeight w:val="20"/>
        </w:trPr>
        <w:tc>
          <w:tcPr>
            <w:tcW w:w="280" w:type="pct"/>
          </w:tcPr>
          <w:p w14:paraId="07032FA0" w14:textId="77777777" w:rsidR="00305091" w:rsidRDefault="00305091" w:rsidP="00305091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2046CC5E" w14:textId="440C920A" w:rsidR="00305091" w:rsidRDefault="0062764F" w:rsidP="00305091">
            <w:pPr>
              <w:jc w:val="center"/>
              <w:rPr>
                <w:rFonts w:cstheme="minorHAnsi"/>
                <w:szCs w:val="20"/>
              </w:rPr>
            </w:pPr>
            <w:r>
              <w:rPr>
                <w:szCs w:val="20"/>
              </w:rPr>
              <w:t>0</w:t>
            </w:r>
            <w:r w:rsidR="00823175">
              <w:rPr>
                <w:szCs w:val="20"/>
              </w:rPr>
              <w:t>3</w:t>
            </w:r>
            <w:r>
              <w:rPr>
                <w:szCs w:val="20"/>
              </w:rPr>
              <w:t>/0</w:t>
            </w:r>
            <w:r w:rsidR="00823175">
              <w:rPr>
                <w:szCs w:val="20"/>
              </w:rPr>
              <w:t>2</w:t>
            </w:r>
            <w:r w:rsidR="00073668">
              <w:rPr>
                <w:szCs w:val="20"/>
              </w:rPr>
              <w:t>/18</w:t>
            </w:r>
          </w:p>
        </w:tc>
        <w:tc>
          <w:tcPr>
            <w:tcW w:w="1013" w:type="pct"/>
          </w:tcPr>
          <w:p w14:paraId="571AF150" w14:textId="77777777" w:rsidR="00305091" w:rsidRDefault="00073668" w:rsidP="00305091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Keith Valenzuela/SDGE Contractor</w:t>
            </w:r>
          </w:p>
        </w:tc>
        <w:tc>
          <w:tcPr>
            <w:tcW w:w="3030" w:type="pct"/>
          </w:tcPr>
          <w:p w14:paraId="3FA8689F" w14:textId="77777777" w:rsidR="00305091" w:rsidRDefault="00073668" w:rsidP="00305091">
            <w:pPr>
              <w:rPr>
                <w:rFonts w:cstheme="minorHAnsi"/>
                <w:szCs w:val="20"/>
              </w:rPr>
            </w:pPr>
            <w:r w:rsidRPr="00305091">
              <w:rPr>
                <w:bCs/>
                <w:szCs w:val="20"/>
              </w:rPr>
              <w:t>-</w:t>
            </w:r>
            <w:r>
              <w:rPr>
                <w:bCs/>
                <w:szCs w:val="20"/>
              </w:rPr>
              <w:t xml:space="preserve"> </w:t>
            </w:r>
            <w:r w:rsidRPr="00305091">
              <w:rPr>
                <w:bCs/>
                <w:szCs w:val="20"/>
              </w:rPr>
              <w:t xml:space="preserve">Adapted SCE’s workpaper </w:t>
            </w:r>
            <w:r w:rsidR="003234D6">
              <w:rPr>
                <w:szCs w:val="20"/>
              </w:rPr>
              <w:t>SCE17RN023.1</w:t>
            </w:r>
          </w:p>
        </w:tc>
      </w:tr>
      <w:tr w:rsidR="0035014F" w:rsidRPr="00500C4E" w14:paraId="798EC388" w14:textId="77777777" w:rsidTr="002917FE">
        <w:trPr>
          <w:trHeight w:val="20"/>
        </w:trPr>
        <w:tc>
          <w:tcPr>
            <w:tcW w:w="280" w:type="pct"/>
          </w:tcPr>
          <w:p w14:paraId="5279975B" w14:textId="77777777" w:rsidR="0035014F" w:rsidRPr="000E2B6B" w:rsidRDefault="0035014F" w:rsidP="0035014F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677" w:type="pct"/>
          </w:tcPr>
          <w:p w14:paraId="1DB063E3" w14:textId="77777777" w:rsidR="0035014F" w:rsidRPr="000E2B6B" w:rsidRDefault="0035014F" w:rsidP="0035014F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013" w:type="pct"/>
          </w:tcPr>
          <w:p w14:paraId="12F4CF8A" w14:textId="77777777" w:rsidR="0035014F" w:rsidRPr="000E2B6B" w:rsidRDefault="0035014F" w:rsidP="0035014F">
            <w:pPr>
              <w:rPr>
                <w:rFonts w:cstheme="minorHAnsi"/>
                <w:szCs w:val="20"/>
              </w:rPr>
            </w:pPr>
          </w:p>
        </w:tc>
        <w:tc>
          <w:tcPr>
            <w:tcW w:w="3030" w:type="pct"/>
          </w:tcPr>
          <w:p w14:paraId="54CA8CF7" w14:textId="77777777" w:rsidR="0035014F" w:rsidRPr="00305091" w:rsidRDefault="0035014F" w:rsidP="00305091">
            <w:pPr>
              <w:rPr>
                <w:rFonts w:cstheme="minorHAnsi"/>
                <w:szCs w:val="20"/>
              </w:rPr>
            </w:pPr>
          </w:p>
        </w:tc>
      </w:tr>
    </w:tbl>
    <w:p w14:paraId="74F03682" w14:textId="77777777" w:rsidR="00DB71F1" w:rsidRDefault="00DB71F1" w:rsidP="00413EF4"/>
    <w:p w14:paraId="3E680E0A" w14:textId="77777777" w:rsidR="00DB71F1" w:rsidRDefault="00DB71F1">
      <w:pPr>
        <w:spacing w:after="200" w:line="276" w:lineRule="auto"/>
      </w:pPr>
      <w:r>
        <w:br w:type="page"/>
      </w:r>
    </w:p>
    <w:p w14:paraId="38EF765E" w14:textId="77777777"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14:paraId="559CBABB" w14:textId="77777777" w:rsidR="00EE6CFE" w:rsidRPr="00EE6CFE" w:rsidRDefault="00EE6CFE" w:rsidP="0081521B"/>
    <w:p w14:paraId="78B475D1" w14:textId="77777777" w:rsidR="00DB71F1" w:rsidRDefault="00DB71F1" w:rsidP="00DB71F1">
      <w:pPr>
        <w:pStyle w:val="Caption"/>
        <w:keepNext/>
        <w:jc w:val="center"/>
      </w:pPr>
      <w:r>
        <w:t xml:space="preserve">Table </w:t>
      </w:r>
      <w:fldSimple w:instr=" SEQ Table \* ARABIC ">
        <w:r w:rsidR="00C6110B">
          <w:rPr>
            <w:noProof/>
          </w:rPr>
          <w:t>1</w:t>
        </w:r>
      </w:fldSimple>
      <w:r>
        <w:t>: Measure Summary Table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75"/>
        <w:gridCol w:w="7375"/>
      </w:tblGrid>
      <w:tr w:rsidR="00DB71F1" w14:paraId="6AE10F6A" w14:textId="77777777" w:rsidTr="00C20ED1">
        <w:trPr>
          <w:cantSplit/>
          <w:tblHeader/>
        </w:trPr>
        <w:tc>
          <w:tcPr>
            <w:tcW w:w="1975" w:type="dxa"/>
          </w:tcPr>
          <w:p w14:paraId="3E18C39E" w14:textId="77777777" w:rsidR="00DB71F1" w:rsidRPr="00D86243" w:rsidRDefault="00DB71F1" w:rsidP="007F3C21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7375" w:type="dxa"/>
          </w:tcPr>
          <w:p w14:paraId="5715656E" w14:textId="77777777" w:rsidR="00DB71F1" w:rsidRPr="00D86243" w:rsidRDefault="00DB71F1" w:rsidP="007F3C21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14:paraId="4C6E8063" w14:textId="77777777" w:rsidTr="00C20ED1">
        <w:trPr>
          <w:cantSplit/>
        </w:trPr>
        <w:tc>
          <w:tcPr>
            <w:tcW w:w="1975" w:type="dxa"/>
            <w:vAlign w:val="center"/>
          </w:tcPr>
          <w:p w14:paraId="57194945" w14:textId="77777777" w:rsidR="00DB71F1" w:rsidRPr="001D77F7" w:rsidRDefault="00DB71F1" w:rsidP="007F3C21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7375" w:type="dxa"/>
          </w:tcPr>
          <w:p w14:paraId="001CCE56" w14:textId="77777777" w:rsidR="00830121" w:rsidRPr="005616E7" w:rsidRDefault="00A9185E" w:rsidP="008E0850">
            <w:pPr>
              <w:jc w:val="both"/>
              <w:rPr>
                <w:sz w:val="20"/>
                <w:szCs w:val="20"/>
              </w:rPr>
            </w:pPr>
            <w:r w:rsidRPr="005616E7">
              <w:rPr>
                <w:sz w:val="20"/>
                <w:szCs w:val="20"/>
              </w:rPr>
              <w:t>The short form workpaper documents the adoption of the cost and energy impacts from SCE workpaper SCE17</w:t>
            </w:r>
            <w:r w:rsidR="00B96E46" w:rsidRPr="005616E7">
              <w:rPr>
                <w:sz w:val="20"/>
                <w:szCs w:val="20"/>
              </w:rPr>
              <w:t xml:space="preserve">RN023.1 </w:t>
            </w:r>
            <w:r w:rsidR="00B96E46" w:rsidRPr="005616E7">
              <w:rPr>
                <w:rFonts w:cstheme="minorHAnsi"/>
                <w:sz w:val="20"/>
                <w:szCs w:val="20"/>
              </w:rPr>
              <w:t xml:space="preserve">for commercial multiplex refrigeration systems retrofitted with </w:t>
            </w:r>
            <w:r w:rsidR="005616E7" w:rsidRPr="005616E7">
              <w:rPr>
                <w:rFonts w:cstheme="minorHAnsi"/>
                <w:sz w:val="20"/>
                <w:szCs w:val="20"/>
              </w:rPr>
              <w:t>floating head and/or suction pressure controls.</w:t>
            </w:r>
          </w:p>
          <w:p w14:paraId="6C246CCA" w14:textId="77777777" w:rsidR="00DB71F1" w:rsidRPr="00D86243" w:rsidRDefault="00DB71F1" w:rsidP="00A9185E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F368D" w14:paraId="28F23270" w14:textId="77777777" w:rsidTr="007F3C21">
        <w:trPr>
          <w:cantSplit/>
        </w:trPr>
        <w:tc>
          <w:tcPr>
            <w:tcW w:w="9350" w:type="dxa"/>
            <w:gridSpan w:val="2"/>
            <w:vAlign w:val="center"/>
          </w:tcPr>
          <w:p w14:paraId="464039B2" w14:textId="77777777" w:rsidR="00AF368D" w:rsidRPr="00241A1F" w:rsidRDefault="00AF368D" w:rsidP="00AF368D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1.1 Measure &amp; Baseline Data</w:t>
            </w:r>
          </w:p>
        </w:tc>
      </w:tr>
      <w:tr w:rsidR="00DB71F1" w14:paraId="69A64495" w14:textId="77777777" w:rsidTr="00C20ED1">
        <w:trPr>
          <w:cantSplit/>
        </w:trPr>
        <w:tc>
          <w:tcPr>
            <w:tcW w:w="1975" w:type="dxa"/>
            <w:vAlign w:val="center"/>
          </w:tcPr>
          <w:p w14:paraId="6E85C52E" w14:textId="77777777" w:rsidR="00DB71F1" w:rsidRPr="001D77F7" w:rsidRDefault="00DB71F1" w:rsidP="007F3C21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7375" w:type="dxa"/>
          </w:tcPr>
          <w:p w14:paraId="1CEA7564" w14:textId="77777777" w:rsidR="00F7235E" w:rsidRPr="005616E7" w:rsidRDefault="002D6173" w:rsidP="005616E7">
            <w:pPr>
              <w:pStyle w:val="Reminder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5616E7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The installation of floating head pressure controls reduces the compressor power draw by reducing the compressor discharge pressure when the ambient temperatures are lower than what the air-cooled (evap-cooled) refrigeration system was designed for. The refrigeration system is set to have a minimum saturated condensing temperature to maintain refrigerant pressure at the inlet of the expansion valve. </w:t>
            </w:r>
            <w:r w:rsidR="005616E7" w:rsidRPr="005616E7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The installation of floating suction pressure control similarly reduces the compressor power draw by increasing the compressor suction pressure based on the worst-case zone demand.</w:t>
            </w:r>
          </w:p>
        </w:tc>
      </w:tr>
      <w:tr w:rsidR="008775D7" w:rsidRPr="008775D7" w14:paraId="75FD1CAD" w14:textId="77777777" w:rsidTr="00C20ED1">
        <w:trPr>
          <w:cantSplit/>
        </w:trPr>
        <w:tc>
          <w:tcPr>
            <w:tcW w:w="1975" w:type="dxa"/>
          </w:tcPr>
          <w:p w14:paraId="2AA1FE5E" w14:textId="77777777"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7375" w:type="dxa"/>
          </w:tcPr>
          <w:p w14:paraId="23A827C1" w14:textId="77777777" w:rsidR="00AF368D" w:rsidRDefault="00AF368D" w:rsidP="00AF368D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 xml:space="preserve">Measure: </w:t>
            </w:r>
          </w:p>
          <w:p w14:paraId="0509D528" w14:textId="77777777" w:rsidR="00063796" w:rsidRDefault="00063796" w:rsidP="0006379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462353 - Grocery</w:t>
            </w:r>
            <w:r w:rsidRPr="006A706C">
              <w:rPr>
                <w:rFonts w:cs="Arial"/>
                <w:sz w:val="20"/>
                <w:szCs w:val="20"/>
              </w:rPr>
              <w:t>, Floating Suction Pressure</w:t>
            </w:r>
            <w:r>
              <w:rPr>
                <w:rFonts w:cs="Arial"/>
                <w:sz w:val="20"/>
                <w:szCs w:val="20"/>
              </w:rPr>
              <w:t xml:space="preserve"> (D03-220)</w:t>
            </w:r>
          </w:p>
          <w:p w14:paraId="6543224A" w14:textId="77777777" w:rsidR="008775D7" w:rsidRDefault="00073668" w:rsidP="0007366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462354 - </w:t>
            </w:r>
            <w:r w:rsidRPr="00073668">
              <w:rPr>
                <w:rFonts w:cs="Arial"/>
                <w:sz w:val="20"/>
                <w:szCs w:val="20"/>
              </w:rPr>
              <w:t>Grocery, Floating Head Pressure, Fixed Setpoint (air-cooled)</w:t>
            </w:r>
            <w:r>
              <w:rPr>
                <w:rFonts w:cs="Arial"/>
                <w:sz w:val="20"/>
                <w:szCs w:val="20"/>
              </w:rPr>
              <w:t xml:space="preserve"> (D03-221)</w:t>
            </w:r>
          </w:p>
          <w:p w14:paraId="5B876B04" w14:textId="77777777" w:rsidR="00073668" w:rsidRDefault="00073668" w:rsidP="0007366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462355 - </w:t>
            </w:r>
            <w:r w:rsidRPr="00073668">
              <w:rPr>
                <w:rFonts w:cs="Arial"/>
                <w:sz w:val="20"/>
                <w:szCs w:val="20"/>
              </w:rPr>
              <w:t>Grocery, Floating Head Pressure, Fixed Setpoint (evap-cooled)</w:t>
            </w:r>
            <w:r>
              <w:rPr>
                <w:rFonts w:cs="Arial"/>
                <w:sz w:val="20"/>
                <w:szCs w:val="20"/>
              </w:rPr>
              <w:t xml:space="preserve"> (D03-222)</w:t>
            </w:r>
          </w:p>
          <w:p w14:paraId="75215523" w14:textId="77777777" w:rsidR="00B1431E" w:rsidRDefault="00B1431E" w:rsidP="0007366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462665 - </w:t>
            </w:r>
            <w:r w:rsidRPr="00073668">
              <w:rPr>
                <w:rFonts w:cs="Arial"/>
                <w:sz w:val="20"/>
                <w:szCs w:val="20"/>
              </w:rPr>
              <w:t>Grocer</w:t>
            </w:r>
            <w:r>
              <w:rPr>
                <w:rFonts w:cs="Arial"/>
                <w:sz w:val="20"/>
                <w:szCs w:val="20"/>
              </w:rPr>
              <w:t>y, Floating Head Pressure, Variable</w:t>
            </w:r>
            <w:r w:rsidRPr="00073668">
              <w:rPr>
                <w:rFonts w:cs="Arial"/>
                <w:sz w:val="20"/>
                <w:szCs w:val="20"/>
              </w:rPr>
              <w:t xml:space="preserve"> Setpoint </w:t>
            </w:r>
            <w:r>
              <w:rPr>
                <w:rFonts w:cs="Arial"/>
                <w:sz w:val="20"/>
                <w:szCs w:val="20"/>
              </w:rPr>
              <w:t>(air</w:t>
            </w:r>
            <w:r w:rsidRPr="00073668">
              <w:rPr>
                <w:rFonts w:cs="Arial"/>
                <w:sz w:val="20"/>
                <w:szCs w:val="20"/>
              </w:rPr>
              <w:t>-cooled)</w:t>
            </w:r>
            <w:r>
              <w:rPr>
                <w:rFonts w:cs="Arial"/>
                <w:sz w:val="20"/>
                <w:szCs w:val="20"/>
              </w:rPr>
              <w:t xml:space="preserve"> (D03-223)</w:t>
            </w:r>
          </w:p>
          <w:p w14:paraId="1ACC1402" w14:textId="77777777" w:rsidR="00B1431E" w:rsidRDefault="00B1431E" w:rsidP="00B143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462666 - </w:t>
            </w:r>
            <w:r w:rsidRPr="00073668">
              <w:rPr>
                <w:rFonts w:cs="Arial"/>
                <w:sz w:val="20"/>
                <w:szCs w:val="20"/>
              </w:rPr>
              <w:t>Grocer</w:t>
            </w:r>
            <w:r>
              <w:rPr>
                <w:rFonts w:cs="Arial"/>
                <w:sz w:val="20"/>
                <w:szCs w:val="20"/>
              </w:rPr>
              <w:t>y, Floating Head Pressure, Variable</w:t>
            </w:r>
            <w:r w:rsidRPr="00073668">
              <w:rPr>
                <w:rFonts w:cs="Arial"/>
                <w:sz w:val="20"/>
                <w:szCs w:val="20"/>
              </w:rPr>
              <w:t xml:space="preserve"> Setpoint </w:t>
            </w:r>
            <w:r>
              <w:rPr>
                <w:rFonts w:cs="Arial"/>
                <w:sz w:val="20"/>
                <w:szCs w:val="20"/>
              </w:rPr>
              <w:t>(evap</w:t>
            </w:r>
            <w:r w:rsidRPr="00073668">
              <w:rPr>
                <w:rFonts w:cs="Arial"/>
                <w:sz w:val="20"/>
                <w:szCs w:val="20"/>
              </w:rPr>
              <w:t>-cooled)</w:t>
            </w:r>
            <w:r>
              <w:rPr>
                <w:rFonts w:cs="Arial"/>
                <w:sz w:val="20"/>
                <w:szCs w:val="20"/>
              </w:rPr>
              <w:t xml:space="preserve"> (D03-224)</w:t>
            </w:r>
          </w:p>
          <w:p w14:paraId="2228409C" w14:textId="77777777" w:rsidR="00B1431E" w:rsidRDefault="00C20ED1" w:rsidP="0007366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462846 - </w:t>
            </w:r>
            <w:r w:rsidRPr="00073668">
              <w:rPr>
                <w:rFonts w:cs="Arial"/>
                <w:sz w:val="20"/>
                <w:szCs w:val="20"/>
              </w:rPr>
              <w:t>Grocer</w:t>
            </w:r>
            <w:r>
              <w:rPr>
                <w:rFonts w:cs="Arial"/>
                <w:sz w:val="20"/>
                <w:szCs w:val="20"/>
              </w:rPr>
              <w:t>y, Floating Head Pressure, Variable Setpt &amp; Speed</w:t>
            </w:r>
            <w:r w:rsidRPr="0007366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(air</w:t>
            </w:r>
            <w:r w:rsidRPr="00073668">
              <w:rPr>
                <w:rFonts w:cs="Arial"/>
                <w:sz w:val="20"/>
                <w:szCs w:val="20"/>
              </w:rPr>
              <w:t>-cooled)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C20ED1">
              <w:rPr>
                <w:rFonts w:cs="Arial"/>
                <w:sz w:val="20"/>
                <w:szCs w:val="20"/>
              </w:rPr>
              <w:t>Ambient following SCT setpoint, 70°F minimum, variable-spd condenser fan</w:t>
            </w:r>
            <w:r>
              <w:rPr>
                <w:rFonts w:cs="Arial"/>
                <w:sz w:val="20"/>
                <w:szCs w:val="20"/>
              </w:rPr>
              <w:t xml:space="preserve"> (D03-225)</w:t>
            </w:r>
          </w:p>
          <w:p w14:paraId="7D4356C4" w14:textId="77777777" w:rsidR="00C20ED1" w:rsidRDefault="00C20ED1" w:rsidP="0007366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462993 </w:t>
            </w:r>
            <w:r w:rsidR="00BB6F64">
              <w:rPr>
                <w:rFonts w:cs="Arial"/>
                <w:sz w:val="20"/>
                <w:szCs w:val="20"/>
              </w:rPr>
              <w:t>–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BB6F64">
              <w:rPr>
                <w:rFonts w:cs="Arial"/>
                <w:sz w:val="20"/>
                <w:szCs w:val="20"/>
              </w:rPr>
              <w:t xml:space="preserve">Grocery, </w:t>
            </w:r>
            <w:r>
              <w:rPr>
                <w:rFonts w:cs="Arial"/>
                <w:sz w:val="20"/>
                <w:szCs w:val="20"/>
              </w:rPr>
              <w:t>Floating Head Pressure, Variable Setpt &amp; Speed</w:t>
            </w:r>
            <w:r w:rsidRPr="0007366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(evap</w:t>
            </w:r>
            <w:r w:rsidRPr="00073668">
              <w:rPr>
                <w:rFonts w:cs="Arial"/>
                <w:sz w:val="20"/>
                <w:szCs w:val="20"/>
              </w:rPr>
              <w:t>-cooled)</w:t>
            </w:r>
            <w:r>
              <w:rPr>
                <w:rFonts w:cs="Arial"/>
                <w:sz w:val="20"/>
                <w:szCs w:val="20"/>
              </w:rPr>
              <w:t xml:space="preserve"> (D03-226)</w:t>
            </w:r>
          </w:p>
          <w:p w14:paraId="1B64A2F4" w14:textId="77777777" w:rsidR="006A706C" w:rsidRDefault="006A706C" w:rsidP="0007366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462817 - </w:t>
            </w:r>
            <w:r w:rsidRPr="006A706C">
              <w:rPr>
                <w:rFonts w:cs="Arial"/>
                <w:sz w:val="20"/>
                <w:szCs w:val="20"/>
              </w:rPr>
              <w:t>Ref Wareh</w:t>
            </w:r>
            <w:r w:rsidR="00077886">
              <w:rPr>
                <w:rFonts w:cs="Arial"/>
                <w:sz w:val="20"/>
                <w:szCs w:val="20"/>
              </w:rPr>
              <w:t>ou</w:t>
            </w:r>
            <w:r w:rsidRPr="006A706C">
              <w:rPr>
                <w:rFonts w:cs="Arial"/>
                <w:sz w:val="20"/>
                <w:szCs w:val="20"/>
              </w:rPr>
              <w:t>se, Floating Suction Pressure</w:t>
            </w:r>
            <w:r>
              <w:rPr>
                <w:rFonts w:cs="Arial"/>
                <w:sz w:val="20"/>
                <w:szCs w:val="20"/>
              </w:rPr>
              <w:t xml:space="preserve"> (D03-306)</w:t>
            </w:r>
          </w:p>
          <w:p w14:paraId="7ECC26F4" w14:textId="77777777" w:rsidR="00073668" w:rsidRDefault="00073668" w:rsidP="00073668">
            <w:pPr>
              <w:rPr>
                <w:rFonts w:cs="Arial"/>
                <w:sz w:val="20"/>
                <w:szCs w:val="20"/>
              </w:rPr>
            </w:pPr>
            <w:r w:rsidRPr="00073668">
              <w:rPr>
                <w:rFonts w:cs="Arial"/>
                <w:sz w:val="20"/>
                <w:szCs w:val="20"/>
              </w:rPr>
              <w:t>462818</w:t>
            </w:r>
            <w:r>
              <w:rPr>
                <w:rFonts w:cs="Arial"/>
                <w:sz w:val="20"/>
                <w:szCs w:val="20"/>
              </w:rPr>
              <w:t xml:space="preserve"> - </w:t>
            </w:r>
            <w:r w:rsidRPr="00073668">
              <w:rPr>
                <w:rFonts w:cs="Arial"/>
                <w:sz w:val="20"/>
                <w:szCs w:val="20"/>
              </w:rPr>
              <w:t>Ref Wareh</w:t>
            </w:r>
            <w:r>
              <w:rPr>
                <w:rFonts w:cs="Arial"/>
                <w:sz w:val="20"/>
                <w:szCs w:val="20"/>
              </w:rPr>
              <w:t>ou</w:t>
            </w:r>
            <w:r w:rsidRPr="00073668">
              <w:rPr>
                <w:rFonts w:cs="Arial"/>
                <w:sz w:val="20"/>
                <w:szCs w:val="20"/>
              </w:rPr>
              <w:t>se, Floating Head Pressure, Fixed Setpoint (evap-cooled)</w:t>
            </w:r>
            <w:r>
              <w:rPr>
                <w:rFonts w:cs="Arial"/>
                <w:sz w:val="20"/>
                <w:szCs w:val="20"/>
              </w:rPr>
              <w:t xml:space="preserve"> (D03-307)</w:t>
            </w:r>
          </w:p>
          <w:p w14:paraId="78FF674F" w14:textId="77777777" w:rsidR="00063796" w:rsidRDefault="00063796" w:rsidP="0007366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463325 – Ref </w:t>
            </w:r>
            <w:r w:rsidR="00BB6F64">
              <w:rPr>
                <w:rFonts w:cs="Arial"/>
                <w:sz w:val="20"/>
                <w:szCs w:val="20"/>
              </w:rPr>
              <w:t>Warehouse</w:t>
            </w:r>
            <w:r>
              <w:rPr>
                <w:rFonts w:cs="Arial"/>
                <w:sz w:val="20"/>
                <w:szCs w:val="20"/>
              </w:rPr>
              <w:t>, Floating Head Pressure, Variable</w:t>
            </w:r>
            <w:r w:rsidRPr="00073668">
              <w:rPr>
                <w:rFonts w:cs="Arial"/>
                <w:sz w:val="20"/>
                <w:szCs w:val="20"/>
              </w:rPr>
              <w:t xml:space="preserve"> Setpoint </w:t>
            </w:r>
            <w:r>
              <w:rPr>
                <w:rFonts w:cs="Arial"/>
                <w:sz w:val="20"/>
                <w:szCs w:val="20"/>
              </w:rPr>
              <w:t>(evap</w:t>
            </w:r>
            <w:r w:rsidRPr="00073668">
              <w:rPr>
                <w:rFonts w:cs="Arial"/>
                <w:sz w:val="20"/>
                <w:szCs w:val="20"/>
              </w:rPr>
              <w:t>-cooled)</w:t>
            </w:r>
            <w:r>
              <w:rPr>
                <w:rFonts w:cs="Arial"/>
                <w:sz w:val="20"/>
                <w:szCs w:val="20"/>
              </w:rPr>
              <w:t xml:space="preserve"> (D03-</w:t>
            </w:r>
            <w:r w:rsidR="00BB6F64">
              <w:rPr>
                <w:rFonts w:cs="Arial"/>
                <w:sz w:val="20"/>
                <w:szCs w:val="20"/>
              </w:rPr>
              <w:t>308</w:t>
            </w:r>
            <w:r>
              <w:rPr>
                <w:rFonts w:cs="Arial"/>
                <w:sz w:val="20"/>
                <w:szCs w:val="20"/>
              </w:rPr>
              <w:t>)</w:t>
            </w:r>
          </w:p>
          <w:p w14:paraId="792B2786" w14:textId="77777777" w:rsidR="00BB6F64" w:rsidRDefault="00BB6F64" w:rsidP="00BB6F6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463329 – Ref Warehouse, Floating Head Pressure, Variable Setpt &amp; Speed</w:t>
            </w:r>
            <w:r w:rsidRPr="0007366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(evap</w:t>
            </w:r>
            <w:r w:rsidRPr="00073668">
              <w:rPr>
                <w:rFonts w:cs="Arial"/>
                <w:sz w:val="20"/>
                <w:szCs w:val="20"/>
              </w:rPr>
              <w:t>-cooled)</w:t>
            </w:r>
            <w:r>
              <w:rPr>
                <w:rFonts w:cs="Arial"/>
                <w:sz w:val="20"/>
                <w:szCs w:val="20"/>
              </w:rPr>
              <w:t xml:space="preserve"> (D03-309)</w:t>
            </w:r>
          </w:p>
          <w:p w14:paraId="07983A31" w14:textId="77777777" w:rsidR="00BB6F64" w:rsidRPr="00E733C7" w:rsidRDefault="00BB6F64" w:rsidP="00073668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14:paraId="66A6DF7D" w14:textId="77777777" w:rsidTr="00C20ED1">
        <w:trPr>
          <w:cantSplit/>
        </w:trPr>
        <w:tc>
          <w:tcPr>
            <w:tcW w:w="1975" w:type="dxa"/>
          </w:tcPr>
          <w:p w14:paraId="0A41FF81" w14:textId="77777777" w:rsidR="008775D7" w:rsidRPr="00653C4B" w:rsidRDefault="008775D7" w:rsidP="00241A1F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t>Code for All Measures</w:t>
            </w:r>
          </w:p>
        </w:tc>
        <w:tc>
          <w:tcPr>
            <w:tcW w:w="7375" w:type="dxa"/>
          </w:tcPr>
          <w:p w14:paraId="20F3A5A6" w14:textId="77777777" w:rsidR="002D6173" w:rsidRPr="002D6173" w:rsidRDefault="002D6173" w:rsidP="002D6173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Per the SCE workpaper “</w:t>
            </w:r>
            <w:r w:rsidRPr="002D6173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This work paper deals with REA-type measures whose savings are not </w:t>
            </w:r>
            <w: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impacted by code standards.”</w:t>
            </w:r>
          </w:p>
          <w:p w14:paraId="3E26841B" w14:textId="77777777" w:rsidR="000E65D6" w:rsidRPr="00653C4B" w:rsidRDefault="000E65D6" w:rsidP="005C1518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84938" w14:paraId="6C33CA48" w14:textId="77777777" w:rsidTr="00C20ED1">
        <w:trPr>
          <w:cantSplit/>
        </w:trPr>
        <w:tc>
          <w:tcPr>
            <w:tcW w:w="1975" w:type="dxa"/>
          </w:tcPr>
          <w:p w14:paraId="2AD8BCE4" w14:textId="77777777"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lastRenderedPageBreak/>
              <w:t>Requirements</w:t>
            </w:r>
          </w:p>
        </w:tc>
        <w:tc>
          <w:tcPr>
            <w:tcW w:w="7375" w:type="dxa"/>
          </w:tcPr>
          <w:p w14:paraId="57D341AE" w14:textId="77777777" w:rsidR="007E7E00" w:rsidRPr="002D6173" w:rsidRDefault="00F7235E" w:rsidP="001D6A64">
            <w:pPr>
              <w:jc w:val="both"/>
              <w:rPr>
                <w:rFonts w:cstheme="minorHAnsi"/>
                <w:sz w:val="20"/>
                <w:szCs w:val="20"/>
              </w:rPr>
            </w:pPr>
            <w:r w:rsidRPr="002D6173">
              <w:rPr>
                <w:rFonts w:cstheme="minorHAnsi"/>
                <w:sz w:val="20"/>
                <w:szCs w:val="20"/>
              </w:rPr>
              <w:t>Per the SCE workpaper</w:t>
            </w:r>
            <w:r w:rsidR="006C5EDB" w:rsidRPr="002D6173">
              <w:rPr>
                <w:rFonts w:cstheme="minorHAnsi"/>
                <w:sz w:val="20"/>
                <w:szCs w:val="20"/>
              </w:rPr>
              <w:t>:</w:t>
            </w:r>
          </w:p>
          <w:p w14:paraId="5E8B9BA8" w14:textId="77777777" w:rsidR="002D6173" w:rsidRPr="002D6173" w:rsidRDefault="002D6173" w:rsidP="002D6173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2D6173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Proposed head pressure controls must operate the refrigeration systems according to:</w:t>
            </w:r>
          </w:p>
          <w:p w14:paraId="2CDF6801" w14:textId="77777777" w:rsidR="002D6173" w:rsidRPr="002D6173" w:rsidRDefault="002D6173" w:rsidP="002D6173">
            <w:pPr>
              <w:pStyle w:val="Reminders"/>
              <w:numPr>
                <w:ilvl w:val="0"/>
                <w:numId w:val="27"/>
              </w:numP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2D6173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12°F temperature difference (TD) between Tdb and SCT for air-cooled commercial systems on all building types except refrigerated warehouse</w:t>
            </w:r>
          </w:p>
          <w:p w14:paraId="11A5BE64" w14:textId="77777777" w:rsidR="002D6173" w:rsidRPr="002D6173" w:rsidRDefault="002D6173" w:rsidP="002D6173">
            <w:pPr>
              <w:pStyle w:val="Reminders"/>
              <w:numPr>
                <w:ilvl w:val="0"/>
                <w:numId w:val="27"/>
              </w:numP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2D6173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17°F TD between Twb and SCT for evap-cooled commercial systems on all building types except refrigerated warehouse</w:t>
            </w:r>
          </w:p>
          <w:p w14:paraId="1E85B582" w14:textId="77777777" w:rsidR="002D6173" w:rsidRPr="006A706C" w:rsidRDefault="002D6173" w:rsidP="002D6173">
            <w:pPr>
              <w:pStyle w:val="Reminders"/>
              <w:numPr>
                <w:ilvl w:val="0"/>
                <w:numId w:val="27"/>
              </w:numP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6A706C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9°F TD between Twb and SCT for evap-cooled process systems on refrigerated warehouses</w:t>
            </w:r>
          </w:p>
          <w:p w14:paraId="0A90F207" w14:textId="77777777" w:rsidR="002D6173" w:rsidRPr="006A706C" w:rsidRDefault="002D6173" w:rsidP="002D6173">
            <w:pPr>
              <w:pStyle w:val="Reminders"/>
              <w:numPr>
                <w:ilvl w:val="0"/>
                <w:numId w:val="27"/>
              </w:numP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6A706C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Minimum SCT of 70</w:t>
            </w:r>
            <w:r w:rsidRPr="006A706C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  <w:vertAlign w:val="superscript"/>
              </w:rPr>
              <w:t>o</w:t>
            </w:r>
            <w:r w:rsidRPr="006A706C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F</w:t>
            </w:r>
          </w:p>
          <w:p w14:paraId="75A1BA0D" w14:textId="77777777" w:rsidR="006A706C" w:rsidRPr="006A706C" w:rsidRDefault="006A706C" w:rsidP="006A706C">
            <w:pPr>
              <w:pStyle w:val="Reminders"/>
              <w:ind w:left="72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</w:p>
          <w:p w14:paraId="586B77D0" w14:textId="77777777" w:rsidR="006A706C" w:rsidRPr="006A706C" w:rsidRDefault="006A706C" w:rsidP="006A706C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6A706C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The proposed suction pressure controls must operate the refrigeration systems according to:</w:t>
            </w:r>
          </w:p>
          <w:p w14:paraId="2DE04067" w14:textId="77777777" w:rsidR="006A706C" w:rsidRPr="006A706C" w:rsidRDefault="006A706C" w:rsidP="006A706C">
            <w:pPr>
              <w:pStyle w:val="Reminders"/>
              <w:numPr>
                <w:ilvl w:val="0"/>
                <w:numId w:val="28"/>
              </w:numP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6A706C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Worst zone demand. The maximum suction setpoint is 5</w:t>
            </w:r>
            <w:r w:rsidRPr="006A706C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  <w:vertAlign w:val="superscript"/>
              </w:rPr>
              <w:t>o</w:t>
            </w:r>
            <w:r w:rsidRPr="006A706C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F above the design temperature. The minimum is the same as the base case.</w:t>
            </w:r>
          </w:p>
          <w:p w14:paraId="0F138118" w14:textId="77777777" w:rsidR="002D6173" w:rsidRPr="006A706C" w:rsidRDefault="002D6173" w:rsidP="006A706C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</w:p>
          <w:p w14:paraId="7A4C28BE" w14:textId="77777777" w:rsidR="002D6173" w:rsidRPr="006A706C" w:rsidRDefault="002D6173" w:rsidP="002D6173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6A706C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The following are ineligible:</w:t>
            </w:r>
          </w:p>
          <w:p w14:paraId="56C3F59C" w14:textId="77777777" w:rsidR="002D6173" w:rsidRPr="002D6173" w:rsidRDefault="002D6173" w:rsidP="002D6173">
            <w:pPr>
              <w:pStyle w:val="Reminders"/>
              <w:numPr>
                <w:ilvl w:val="0"/>
                <w:numId w:val="26"/>
              </w:numP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2D6173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New construction installations.</w:t>
            </w:r>
          </w:p>
          <w:p w14:paraId="36B253CA" w14:textId="77777777" w:rsidR="002D6173" w:rsidRPr="002D6173" w:rsidRDefault="002D6173" w:rsidP="002D6173">
            <w:pPr>
              <w:pStyle w:val="Reminders"/>
              <w:numPr>
                <w:ilvl w:val="0"/>
                <w:numId w:val="26"/>
              </w:numP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2D6173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Floating head pressure controls on air-cooled process refrigeration systems.</w:t>
            </w:r>
          </w:p>
          <w:p w14:paraId="7245385B" w14:textId="77777777" w:rsidR="002D6173" w:rsidRPr="002D6173" w:rsidRDefault="002D6173" w:rsidP="002D6173">
            <w:pPr>
              <w:pStyle w:val="Reminders"/>
              <w:numPr>
                <w:ilvl w:val="0"/>
                <w:numId w:val="26"/>
              </w:numP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2D6173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Floating suction pressure controls on refrigeration systems with variable speed evaporator fans.</w:t>
            </w:r>
          </w:p>
          <w:p w14:paraId="6490024D" w14:textId="77777777" w:rsidR="002D6173" w:rsidRPr="002D6173" w:rsidRDefault="002D6173" w:rsidP="002D6173">
            <w:pPr>
              <w:pStyle w:val="Reminders"/>
              <w:numPr>
                <w:ilvl w:val="0"/>
                <w:numId w:val="26"/>
              </w:numP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2D6173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Any improvements which results in increased system energy use</w:t>
            </w:r>
          </w:p>
          <w:p w14:paraId="03B53EEF" w14:textId="77777777" w:rsidR="002D6173" w:rsidRPr="002D6173" w:rsidRDefault="002D6173" w:rsidP="002D6173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</w:p>
          <w:p w14:paraId="5B3C0D12" w14:textId="77777777" w:rsidR="002D6173" w:rsidRPr="002D6173" w:rsidRDefault="002D6173" w:rsidP="002D6173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2D6173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Additionally, calculation of the design cooling load (tons) is to be based on connected display cases, walk-in coolers and freezers, cooled storage and prep areas only.  Subcooler loads and air conditioning loads are ineligible for consideration.</w:t>
            </w:r>
          </w:p>
          <w:p w14:paraId="29CE58DC" w14:textId="77777777" w:rsidR="00AF368D" w:rsidRPr="00555671" w:rsidRDefault="00AF368D" w:rsidP="001D6A64">
            <w:pPr>
              <w:jc w:val="both"/>
              <w:rPr>
                <w:sz w:val="20"/>
                <w:szCs w:val="20"/>
              </w:rPr>
            </w:pPr>
          </w:p>
        </w:tc>
      </w:tr>
      <w:tr w:rsidR="00AF368D" w14:paraId="61DCD34A" w14:textId="77777777" w:rsidTr="007F3C21">
        <w:trPr>
          <w:cantSplit/>
        </w:trPr>
        <w:tc>
          <w:tcPr>
            <w:tcW w:w="9350" w:type="dxa"/>
            <w:gridSpan w:val="2"/>
          </w:tcPr>
          <w:p w14:paraId="19E42E9C" w14:textId="77777777" w:rsidR="00AF368D" w:rsidRPr="00D86243" w:rsidRDefault="00AF368D" w:rsidP="007F3C21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</w:tr>
      <w:tr w:rsidR="00DB71F1" w14:paraId="351B1728" w14:textId="77777777" w:rsidTr="00C20ED1">
        <w:trPr>
          <w:cantSplit/>
        </w:trPr>
        <w:tc>
          <w:tcPr>
            <w:tcW w:w="1975" w:type="dxa"/>
            <w:vAlign w:val="center"/>
          </w:tcPr>
          <w:p w14:paraId="6FA295B2" w14:textId="77777777" w:rsidR="00DB71F1" w:rsidRPr="00822B6F" w:rsidRDefault="00DB71F1" w:rsidP="007F3C2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7375" w:type="dxa"/>
          </w:tcPr>
          <w:p w14:paraId="4B55C95F" w14:textId="77777777" w:rsidR="006C5EDB" w:rsidRPr="006C5EDB" w:rsidRDefault="00EE6D53" w:rsidP="002D6173">
            <w:pPr>
              <w:rPr>
                <w:rFonts w:cs="Arial"/>
                <w:sz w:val="20"/>
                <w:szCs w:val="20"/>
              </w:rPr>
            </w:pPr>
            <w:r>
              <w:rPr>
                <w:sz w:val="18"/>
                <w:szCs w:val="18"/>
              </w:rPr>
              <w:t>Retrofit Add-on (REA</w:t>
            </w:r>
            <w:r w:rsidR="002D6173" w:rsidRPr="00075F4B">
              <w:rPr>
                <w:sz w:val="18"/>
                <w:szCs w:val="18"/>
              </w:rPr>
              <w:t>)</w:t>
            </w:r>
          </w:p>
        </w:tc>
      </w:tr>
      <w:tr w:rsidR="00DB71F1" w14:paraId="178F8915" w14:textId="77777777" w:rsidTr="00C20ED1">
        <w:trPr>
          <w:cantSplit/>
        </w:trPr>
        <w:tc>
          <w:tcPr>
            <w:tcW w:w="1975" w:type="dxa"/>
            <w:vAlign w:val="center"/>
          </w:tcPr>
          <w:p w14:paraId="6B54249B" w14:textId="77777777" w:rsidR="00DB71F1" w:rsidRPr="00822B6F" w:rsidRDefault="00DB71F1" w:rsidP="007F3C2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7375" w:type="dxa"/>
          </w:tcPr>
          <w:p w14:paraId="160D4EAA" w14:textId="77777777" w:rsidR="00B9551F" w:rsidRPr="00FE636E" w:rsidRDefault="002D6173" w:rsidP="00FE636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PreRe</w:t>
            </w:r>
            <w:r w:rsidR="00EE6D53">
              <w:rPr>
                <w:rFonts w:cs="Arial"/>
                <w:sz w:val="20"/>
                <w:szCs w:val="20"/>
              </w:rPr>
              <w:t>bDown</w:t>
            </w:r>
          </w:p>
        </w:tc>
      </w:tr>
      <w:tr w:rsidR="00DD2F3D" w14:paraId="789E2674" w14:textId="77777777" w:rsidTr="007F3C21">
        <w:trPr>
          <w:cantSplit/>
        </w:trPr>
        <w:tc>
          <w:tcPr>
            <w:tcW w:w="9350" w:type="dxa"/>
            <w:gridSpan w:val="2"/>
          </w:tcPr>
          <w:p w14:paraId="788A9C61" w14:textId="77777777" w:rsidR="00DD2F3D" w:rsidRDefault="00DD2F3D" w:rsidP="007F3C21">
            <w:r w:rsidRPr="001D77F7">
              <w:rPr>
                <w:b/>
              </w:rPr>
              <w:t>1.4.1 DEER Data</w:t>
            </w:r>
          </w:p>
        </w:tc>
      </w:tr>
      <w:tr w:rsidR="00A61271" w14:paraId="34E94CFA" w14:textId="77777777" w:rsidTr="00C20ED1">
        <w:trPr>
          <w:cantSplit/>
        </w:trPr>
        <w:tc>
          <w:tcPr>
            <w:tcW w:w="1975" w:type="dxa"/>
            <w:vAlign w:val="center"/>
          </w:tcPr>
          <w:p w14:paraId="66361BA9" w14:textId="77777777" w:rsidR="00A61271" w:rsidRPr="00822B6F" w:rsidRDefault="00A61271" w:rsidP="007F3C2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7375" w:type="dxa"/>
          </w:tcPr>
          <w:p w14:paraId="44D01569" w14:textId="77777777" w:rsidR="006C5EDB" w:rsidRDefault="006C5EDB" w:rsidP="006C5EDB">
            <w:pPr>
              <w:rPr>
                <w:sz w:val="20"/>
                <w:szCs w:val="20"/>
              </w:rPr>
            </w:pPr>
            <w:r w:rsidRPr="006C5EDB"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</w:rPr>
              <w:t xml:space="preserve">Net-to-Gross Ratio </w:t>
            </w:r>
            <w:r w:rsidRPr="006C5EDB">
              <w:rPr>
                <w:sz w:val="20"/>
                <w:szCs w:val="20"/>
              </w:rPr>
              <w:t>is</w:t>
            </w:r>
            <w:r>
              <w:rPr>
                <w:sz w:val="20"/>
                <w:szCs w:val="20"/>
              </w:rPr>
              <w:t xml:space="preserve"> from </w:t>
            </w:r>
            <w:r w:rsidRPr="006C5EDB"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</w:rPr>
              <w:t>SCE workpaper. The table is included for reference:</w:t>
            </w:r>
          </w:p>
          <w:p w14:paraId="7DD23003" w14:textId="77777777" w:rsidR="006C5EDB" w:rsidRDefault="00340396" w:rsidP="006C5ED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4545965" cy="895985"/>
                  <wp:effectExtent l="0" t="0" r="6985" b="0"/>
                  <wp:docPr id="3" name="Picture 3" descr="Screen Clipp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908423B.t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5965" cy="895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88DF40" w14:textId="77777777" w:rsidR="0090016E" w:rsidRPr="00D86243" w:rsidRDefault="0090016E" w:rsidP="006C5EDB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14:paraId="2227F81C" w14:textId="77777777" w:rsidTr="00C20ED1">
        <w:trPr>
          <w:cantSplit/>
          <w:trHeight w:val="845"/>
        </w:trPr>
        <w:tc>
          <w:tcPr>
            <w:tcW w:w="1975" w:type="dxa"/>
            <w:vAlign w:val="center"/>
          </w:tcPr>
          <w:p w14:paraId="753AEB88" w14:textId="77777777" w:rsidR="00A61271" w:rsidRPr="00822B6F" w:rsidRDefault="00A61271" w:rsidP="007F3C2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lastRenderedPageBreak/>
              <w:t>Effective and Remaining Useful Life</w:t>
            </w:r>
          </w:p>
        </w:tc>
        <w:tc>
          <w:tcPr>
            <w:tcW w:w="7375" w:type="dxa"/>
          </w:tcPr>
          <w:p w14:paraId="706AC301" w14:textId="77777777" w:rsidR="006C5EDB" w:rsidRPr="006C5EDB" w:rsidRDefault="006C5EDB" w:rsidP="006C5EDB">
            <w:pPr>
              <w:rPr>
                <w:sz w:val="20"/>
                <w:szCs w:val="20"/>
              </w:rPr>
            </w:pPr>
            <w:r w:rsidRPr="006C5EDB">
              <w:rPr>
                <w:sz w:val="20"/>
                <w:szCs w:val="20"/>
              </w:rPr>
              <w:t xml:space="preserve">The EUL and RUL values </w:t>
            </w:r>
            <w:r w:rsidR="001646CF">
              <w:rPr>
                <w:sz w:val="20"/>
                <w:szCs w:val="20"/>
              </w:rPr>
              <w:t xml:space="preserve">are </w:t>
            </w:r>
            <w:r w:rsidRPr="006C5EDB">
              <w:rPr>
                <w:sz w:val="20"/>
                <w:szCs w:val="20"/>
              </w:rPr>
              <w:t>summarized in the SCE workpaper. The table is included for reference:</w:t>
            </w:r>
          </w:p>
          <w:p w14:paraId="4AC7EE48" w14:textId="77777777" w:rsidR="006C5EDB" w:rsidRDefault="00340396" w:rsidP="004748B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drawing>
                <wp:inline distT="0" distB="0" distL="0" distR="0">
                  <wp:extent cx="4545965" cy="1120140"/>
                  <wp:effectExtent l="0" t="0" r="6985" b="3810"/>
                  <wp:docPr id="5" name="Picture 5" descr="Screen Clipp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9083CF7.t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5965" cy="1120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0D0FCD" w14:textId="77777777" w:rsidR="004748BE" w:rsidRDefault="004748BE" w:rsidP="004748B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57242EE5" w14:textId="77777777" w:rsidR="006C5EDB" w:rsidRPr="00D86243" w:rsidRDefault="006C5EDB" w:rsidP="004748B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2D7807" w14:paraId="4A48127C" w14:textId="77777777" w:rsidTr="00C20ED1">
        <w:trPr>
          <w:cantSplit/>
          <w:trHeight w:val="287"/>
        </w:trPr>
        <w:tc>
          <w:tcPr>
            <w:tcW w:w="1975" w:type="dxa"/>
            <w:vAlign w:val="center"/>
          </w:tcPr>
          <w:p w14:paraId="726619BE" w14:textId="77777777" w:rsidR="002D7807" w:rsidRPr="00822B6F" w:rsidRDefault="002D7807" w:rsidP="00433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GSIA</w:t>
            </w:r>
          </w:p>
        </w:tc>
        <w:tc>
          <w:tcPr>
            <w:tcW w:w="7375" w:type="dxa"/>
          </w:tcPr>
          <w:p w14:paraId="51F68A7B" w14:textId="77777777" w:rsidR="001646CF" w:rsidRDefault="001646CF" w:rsidP="001646CF">
            <w:pPr>
              <w:rPr>
                <w:sz w:val="20"/>
                <w:szCs w:val="20"/>
              </w:rPr>
            </w:pPr>
            <w:r w:rsidRPr="006C5EDB"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</w:rPr>
              <w:t>GSIA</w:t>
            </w:r>
            <w:r w:rsidRPr="006C5EDB">
              <w:rPr>
                <w:sz w:val="20"/>
                <w:szCs w:val="20"/>
              </w:rPr>
              <w:t xml:space="preserve"> values </w:t>
            </w:r>
            <w:r>
              <w:rPr>
                <w:sz w:val="20"/>
                <w:szCs w:val="20"/>
              </w:rPr>
              <w:t>are</w:t>
            </w:r>
            <w:r w:rsidRPr="006C5EDB">
              <w:rPr>
                <w:sz w:val="20"/>
                <w:szCs w:val="20"/>
              </w:rPr>
              <w:t xml:space="preserve"> summarized in the SCE workpaper. The table is included for reference:</w:t>
            </w:r>
          </w:p>
          <w:p w14:paraId="7A2B5F48" w14:textId="77777777" w:rsidR="001646CF" w:rsidRDefault="00340396" w:rsidP="001646C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4545965" cy="295275"/>
                  <wp:effectExtent l="0" t="0" r="6985" b="9525"/>
                  <wp:docPr id="11" name="Picture 11" descr="Screen Clipp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908369B.t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5965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F33BBF" w14:textId="77777777" w:rsidR="00132B69" w:rsidRPr="00F80937" w:rsidRDefault="00132B69" w:rsidP="00340396">
            <w:pPr>
              <w:rPr>
                <w:rFonts w:cs="Arial"/>
                <w:sz w:val="20"/>
                <w:szCs w:val="20"/>
              </w:rPr>
            </w:pPr>
          </w:p>
        </w:tc>
      </w:tr>
      <w:tr w:rsidR="00AF368D" w14:paraId="1726DE9F" w14:textId="77777777" w:rsidTr="00AF368D">
        <w:trPr>
          <w:cantSplit/>
          <w:trHeight w:val="458"/>
        </w:trPr>
        <w:tc>
          <w:tcPr>
            <w:tcW w:w="9350" w:type="dxa"/>
            <w:gridSpan w:val="2"/>
            <w:vAlign w:val="center"/>
          </w:tcPr>
          <w:p w14:paraId="49FA01E1" w14:textId="77777777" w:rsidR="00AF368D" w:rsidRPr="00241A1F" w:rsidRDefault="00AF368D" w:rsidP="00AF368D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Section 2. Calculation Methodology</w:t>
            </w:r>
          </w:p>
        </w:tc>
      </w:tr>
      <w:tr w:rsidR="00A61271" w14:paraId="2C1C0865" w14:textId="77777777" w:rsidTr="00C20ED1">
        <w:trPr>
          <w:cantSplit/>
        </w:trPr>
        <w:tc>
          <w:tcPr>
            <w:tcW w:w="1975" w:type="dxa"/>
            <w:vAlign w:val="center"/>
          </w:tcPr>
          <w:p w14:paraId="493730FC" w14:textId="77777777" w:rsidR="00A61271" w:rsidRDefault="00A61271" w:rsidP="00787D7C">
            <w:pPr>
              <w:jc w:val="right"/>
            </w:pPr>
            <w:r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7375" w:type="dxa"/>
          </w:tcPr>
          <w:p w14:paraId="655F085D" w14:textId="77777777" w:rsidR="00A6176C" w:rsidRPr="00AE0E36" w:rsidRDefault="00A6176C" w:rsidP="00A6176C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Electrical energy and demand as well a</w:t>
            </w:r>
            <w:r w:rsidR="00ED0D45"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s natural gas savings for the </w:t>
            </w:r>
            <w:r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SDGE measures we</w:t>
            </w:r>
            <w:r w:rsidR="00961EC9"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re based on the following </w:t>
            </w:r>
            <w:r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DEER17 measures for the SDGE California climate zones (CZs): </w:t>
            </w:r>
          </w:p>
          <w:p w14:paraId="09D0C94E" w14:textId="77777777" w:rsidR="00AE0E36" w:rsidRPr="00AE0E36" w:rsidRDefault="00AE0E36" w:rsidP="00AE0E36">
            <w:pPr>
              <w:pStyle w:val="Reminder"/>
              <w:numPr>
                <w:ilvl w:val="0"/>
                <w:numId w:val="29"/>
              </w:numPr>
              <w:spacing w:before="120" w:after="0"/>
              <w:ind w:left="547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D03-220: Commercial Refrigeration Floating Suction Pressure</w:t>
            </w:r>
          </w:p>
          <w:p w14:paraId="29C76FEE" w14:textId="77777777" w:rsidR="00AE0E36" w:rsidRPr="00AE0E36" w:rsidRDefault="00AE0E36" w:rsidP="00AE0E36">
            <w:pPr>
              <w:pStyle w:val="Reminder"/>
              <w:numPr>
                <w:ilvl w:val="0"/>
                <w:numId w:val="29"/>
              </w:numPr>
              <w:ind w:left="54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D03-221: Commercial Refrigeration Floating Head Pressure, Fixed Setpoint (air-cooled)</w:t>
            </w:r>
          </w:p>
          <w:p w14:paraId="631DD8F2" w14:textId="77777777" w:rsidR="00AE0E36" w:rsidRPr="00AE0E36" w:rsidRDefault="00AE0E36" w:rsidP="00AE0E36">
            <w:pPr>
              <w:pStyle w:val="Reminder"/>
              <w:numPr>
                <w:ilvl w:val="0"/>
                <w:numId w:val="29"/>
              </w:numPr>
              <w:ind w:left="54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D03-222: Commercial Refrigeration Floating Head Pressure, Fixed Setpoint (evap-cooled)</w:t>
            </w:r>
          </w:p>
          <w:p w14:paraId="0B18B3CE" w14:textId="77777777" w:rsidR="00AE0E36" w:rsidRPr="00AE0E36" w:rsidRDefault="00AE0E36" w:rsidP="00AE0E36">
            <w:pPr>
              <w:pStyle w:val="Reminder"/>
              <w:numPr>
                <w:ilvl w:val="0"/>
                <w:numId w:val="29"/>
              </w:numPr>
              <w:ind w:left="54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D03-223: Commercial Refrigeration Floating Head Pressure, Variable Setpoint (air-cooled)</w:t>
            </w:r>
          </w:p>
          <w:p w14:paraId="4DB68AED" w14:textId="77777777" w:rsidR="00AE0E36" w:rsidRPr="00AE0E36" w:rsidRDefault="00AE0E36" w:rsidP="00AE0E36">
            <w:pPr>
              <w:pStyle w:val="Reminder"/>
              <w:numPr>
                <w:ilvl w:val="0"/>
                <w:numId w:val="29"/>
              </w:numPr>
              <w:ind w:left="54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D03-224:  Commercial Refrigeration Floating Head Pressure, Variable Setpoint (evap-cooled)</w:t>
            </w:r>
          </w:p>
          <w:p w14:paraId="6EFC7C90" w14:textId="77777777" w:rsidR="00AE0E36" w:rsidRPr="00AE0E36" w:rsidRDefault="00AE0E36" w:rsidP="00AE0E36">
            <w:pPr>
              <w:pStyle w:val="Reminder"/>
              <w:numPr>
                <w:ilvl w:val="0"/>
                <w:numId w:val="29"/>
              </w:numPr>
              <w:ind w:left="54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D03-225: Commercial Refrigeration Floating Head Pressure, Variable Setpt &amp; Speed (air-cooled)</w:t>
            </w:r>
          </w:p>
          <w:p w14:paraId="674391AD" w14:textId="77777777" w:rsidR="00AE0E36" w:rsidRPr="00AE0E36" w:rsidRDefault="00AE0E36" w:rsidP="00AE0E36">
            <w:pPr>
              <w:pStyle w:val="Reminder"/>
              <w:numPr>
                <w:ilvl w:val="0"/>
                <w:numId w:val="29"/>
              </w:numPr>
              <w:ind w:left="54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D03</w:t>
            </w:r>
            <w: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-226: Commercial Refrigeration </w:t>
            </w:r>
            <w:r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Floating Head Pressure, Variable Setpt &amp; Speed (evap-cooled)</w:t>
            </w:r>
          </w:p>
          <w:p w14:paraId="2638934F" w14:textId="77777777" w:rsidR="00AE0E36" w:rsidRPr="00AE0E36" w:rsidRDefault="00AE0E36" w:rsidP="00AE0E36">
            <w:pPr>
              <w:pStyle w:val="Reminder"/>
              <w:numPr>
                <w:ilvl w:val="0"/>
                <w:numId w:val="29"/>
              </w:numPr>
              <w:ind w:left="54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D03-306: Process Refrigeration Floating Suction Pressure</w:t>
            </w:r>
          </w:p>
          <w:p w14:paraId="63780208" w14:textId="77777777" w:rsidR="00AE0E36" w:rsidRPr="00AE0E36" w:rsidRDefault="00AE0E36" w:rsidP="00AE0E36">
            <w:pPr>
              <w:pStyle w:val="Reminder"/>
              <w:numPr>
                <w:ilvl w:val="0"/>
                <w:numId w:val="29"/>
              </w:numPr>
              <w:ind w:left="54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D03-307: Process Refrigeration </w:t>
            </w:r>
            <w:r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Floating Head Pressure, Fixed Setpoint (evap-cooled)</w:t>
            </w:r>
          </w:p>
          <w:p w14:paraId="0DF2DFED" w14:textId="77777777" w:rsidR="00AE0E36" w:rsidRPr="00AE0E36" w:rsidRDefault="00AE0E36" w:rsidP="00AE0E36">
            <w:pPr>
              <w:pStyle w:val="Reminder"/>
              <w:numPr>
                <w:ilvl w:val="0"/>
                <w:numId w:val="29"/>
              </w:numPr>
              <w:ind w:left="54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D03-308: Process Refrigeration Floating Head Pressure, Variable Setpoint (evap-cooled)</w:t>
            </w:r>
          </w:p>
          <w:p w14:paraId="3985339B" w14:textId="77777777" w:rsidR="00AE0E36" w:rsidRPr="00AE0E36" w:rsidRDefault="00AE0E36" w:rsidP="00AE0E36">
            <w:pPr>
              <w:pStyle w:val="Reminder"/>
              <w:numPr>
                <w:ilvl w:val="0"/>
                <w:numId w:val="29"/>
              </w:numPr>
              <w:ind w:left="54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D03-309: Process Refrigeration Floating Head Pressure, Variable Setpt &amp; Speed (evap-cooled)</w:t>
            </w:r>
          </w:p>
          <w:p w14:paraId="4619971A" w14:textId="77777777" w:rsidR="00A6176C" w:rsidRPr="00AE0E36" w:rsidRDefault="00A6176C" w:rsidP="00A6176C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</w:p>
          <w:p w14:paraId="5EC69975" w14:textId="77777777" w:rsidR="00A6176C" w:rsidRPr="00AE0E36" w:rsidRDefault="00A6176C" w:rsidP="00A6176C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AE0E36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The energy impacts were taken directly from the DEER READI v2.4.7 tool.</w:t>
            </w:r>
          </w:p>
          <w:p w14:paraId="03FA159E" w14:textId="77777777" w:rsidR="00EB2DBB" w:rsidRPr="00853385" w:rsidRDefault="00EB2DBB" w:rsidP="00853385"/>
        </w:tc>
      </w:tr>
      <w:tr w:rsidR="00DD2F3D" w14:paraId="6542623C" w14:textId="77777777" w:rsidTr="007F3C21">
        <w:trPr>
          <w:cantSplit/>
        </w:trPr>
        <w:tc>
          <w:tcPr>
            <w:tcW w:w="9350" w:type="dxa"/>
            <w:gridSpan w:val="2"/>
            <w:vAlign w:val="center"/>
          </w:tcPr>
          <w:p w14:paraId="4A7AD4CC" w14:textId="77777777" w:rsidR="00DD2F3D" w:rsidRPr="00476F40" w:rsidRDefault="00DD2F3D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Section 3. Load Shapes</w:t>
            </w:r>
          </w:p>
        </w:tc>
      </w:tr>
      <w:tr w:rsidR="00DD2F3D" w14:paraId="09828490" w14:textId="77777777" w:rsidTr="00C20ED1">
        <w:trPr>
          <w:cantSplit/>
        </w:trPr>
        <w:tc>
          <w:tcPr>
            <w:tcW w:w="1975" w:type="dxa"/>
            <w:vAlign w:val="center"/>
          </w:tcPr>
          <w:p w14:paraId="3EBF869E" w14:textId="77777777" w:rsidR="00DD2F3D" w:rsidRPr="00DD2F3D" w:rsidRDefault="00DD2F3D" w:rsidP="007F3C21">
            <w:r>
              <w:t>Load Shape</w:t>
            </w:r>
          </w:p>
        </w:tc>
        <w:tc>
          <w:tcPr>
            <w:tcW w:w="7375" w:type="dxa"/>
          </w:tcPr>
          <w:p w14:paraId="549C27AD" w14:textId="77777777" w:rsidR="00DD2F3D" w:rsidRDefault="00C83055">
            <w:pPr>
              <w:tabs>
                <w:tab w:val="right" w:pos="6732"/>
              </w:tabs>
              <w:rPr>
                <w:rFonts w:cstheme="minorHAnsi"/>
                <w:bCs/>
                <w:noProof/>
                <w:sz w:val="20"/>
              </w:rPr>
            </w:pPr>
            <w:r>
              <w:rPr>
                <w:rFonts w:cstheme="minorHAnsi"/>
                <w:bCs/>
                <w:noProof/>
                <w:sz w:val="20"/>
              </w:rPr>
              <w:t>SDGE:09-GRO-Grocery-REFG</w:t>
            </w:r>
            <w:r w:rsidR="00070844">
              <w:rPr>
                <w:rFonts w:cstheme="minorHAnsi"/>
                <w:bCs/>
                <w:noProof/>
                <w:sz w:val="20"/>
              </w:rPr>
              <w:t xml:space="preserve"> (D03-220 to D03-</w:t>
            </w:r>
            <w:r w:rsidR="0017655B">
              <w:rPr>
                <w:rFonts w:cstheme="minorHAnsi"/>
                <w:bCs/>
                <w:noProof/>
                <w:sz w:val="20"/>
              </w:rPr>
              <w:t>226)</w:t>
            </w:r>
          </w:p>
          <w:p w14:paraId="05AAEE3E" w14:textId="77777777" w:rsidR="00C83055" w:rsidRDefault="00C83055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noProof/>
                <w:sz w:val="20"/>
              </w:rPr>
              <w:t>SDGE:29-WRF-Storage-Refrigerated-Cooling</w:t>
            </w:r>
            <w:r w:rsidR="0017655B">
              <w:rPr>
                <w:rFonts w:cstheme="minorHAnsi"/>
                <w:bCs/>
                <w:noProof/>
                <w:sz w:val="20"/>
              </w:rPr>
              <w:t xml:space="preserve"> (D03-306 to D03-309)</w:t>
            </w:r>
          </w:p>
        </w:tc>
      </w:tr>
      <w:tr w:rsidR="00AF368D" w14:paraId="5BAF0AB6" w14:textId="77777777" w:rsidTr="007F3C21">
        <w:trPr>
          <w:cantSplit/>
        </w:trPr>
        <w:tc>
          <w:tcPr>
            <w:tcW w:w="9350" w:type="dxa"/>
            <w:gridSpan w:val="2"/>
            <w:vAlign w:val="center"/>
          </w:tcPr>
          <w:p w14:paraId="6F243917" w14:textId="77777777" w:rsidR="00AF368D" w:rsidRDefault="00AF368D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b/>
              </w:rPr>
              <w:t>Section 4</w:t>
            </w:r>
            <w:r w:rsidRPr="00244805">
              <w:rPr>
                <w:b/>
              </w:rPr>
              <w:t xml:space="preserve">. </w:t>
            </w:r>
            <w:r>
              <w:rPr>
                <w:b/>
              </w:rPr>
              <w:t>Cost</w:t>
            </w:r>
          </w:p>
        </w:tc>
      </w:tr>
      <w:tr w:rsidR="00AF368D" w14:paraId="1960AEFD" w14:textId="77777777" w:rsidTr="007F3C21">
        <w:trPr>
          <w:cantSplit/>
        </w:trPr>
        <w:tc>
          <w:tcPr>
            <w:tcW w:w="9350" w:type="dxa"/>
            <w:gridSpan w:val="2"/>
            <w:vAlign w:val="center"/>
          </w:tcPr>
          <w:p w14:paraId="653ABC8F" w14:textId="77777777" w:rsidR="00AF368D" w:rsidRPr="00381D5C" w:rsidRDefault="00AF368D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 w:rsidRPr="00381D5C">
              <w:rPr>
                <w:b/>
              </w:rPr>
              <w:lastRenderedPageBreak/>
              <w:t>Section 4.1 Base and Measure Costs</w:t>
            </w:r>
          </w:p>
        </w:tc>
      </w:tr>
      <w:tr w:rsidR="00244805" w14:paraId="67F49F8E" w14:textId="77777777" w:rsidTr="00C20ED1">
        <w:trPr>
          <w:cantSplit/>
        </w:trPr>
        <w:tc>
          <w:tcPr>
            <w:tcW w:w="1975" w:type="dxa"/>
          </w:tcPr>
          <w:p w14:paraId="2D25EF1C" w14:textId="77777777" w:rsidR="00244805" w:rsidRPr="00D91B6C" w:rsidRDefault="00244805" w:rsidP="00244805">
            <w:r w:rsidRPr="00D91B6C">
              <w:t>Base Cost</w:t>
            </w:r>
          </w:p>
        </w:tc>
        <w:tc>
          <w:tcPr>
            <w:tcW w:w="7375" w:type="dxa"/>
          </w:tcPr>
          <w:p w14:paraId="2352DECA" w14:textId="77777777" w:rsidR="00DA7694" w:rsidRPr="00DA7694" w:rsidRDefault="004D6A0C" w:rsidP="00DA7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 the SCE workpaper </w:t>
            </w:r>
            <w:r w:rsidR="00DA7694" w:rsidRPr="00DA7694">
              <w:rPr>
                <w:sz w:val="20"/>
                <w:szCs w:val="20"/>
              </w:rPr>
              <w:t xml:space="preserve">the base case cost is assumed to be zero because </w:t>
            </w:r>
            <w:r w:rsidR="00101F7F">
              <w:rPr>
                <w:sz w:val="20"/>
                <w:szCs w:val="20"/>
              </w:rPr>
              <w:t>the measure is a discretionary modification</w:t>
            </w:r>
            <w:r w:rsidR="00DA7694" w:rsidRPr="00DA7694">
              <w:rPr>
                <w:sz w:val="20"/>
                <w:szCs w:val="20"/>
              </w:rPr>
              <w:t xml:space="preserve"> to the customers’ existing equipment (REA). Their alternative is to make no changes to their existing system. </w:t>
            </w:r>
          </w:p>
          <w:p w14:paraId="3D39A826" w14:textId="77777777" w:rsidR="00244805" w:rsidRPr="003B7A13" w:rsidRDefault="00244805" w:rsidP="00244805">
            <w:pPr>
              <w:rPr>
                <w:highlight w:val="yellow"/>
              </w:rPr>
            </w:pPr>
          </w:p>
        </w:tc>
      </w:tr>
      <w:tr w:rsidR="00244805" w14:paraId="2D47DBEB" w14:textId="77777777" w:rsidTr="00C20ED1">
        <w:trPr>
          <w:cantSplit/>
        </w:trPr>
        <w:tc>
          <w:tcPr>
            <w:tcW w:w="1975" w:type="dxa"/>
          </w:tcPr>
          <w:p w14:paraId="2E99FE0D" w14:textId="77777777" w:rsidR="00244805" w:rsidRPr="00D91B6C" w:rsidRDefault="00244805" w:rsidP="00244805">
            <w:r w:rsidRPr="00D91B6C">
              <w:t xml:space="preserve">Measure Cost </w:t>
            </w:r>
          </w:p>
        </w:tc>
        <w:tc>
          <w:tcPr>
            <w:tcW w:w="7375" w:type="dxa"/>
          </w:tcPr>
          <w:p w14:paraId="64B40F0A" w14:textId="77777777" w:rsidR="00954DE6" w:rsidRPr="00954DE6" w:rsidRDefault="009E1FCC" w:rsidP="00954DE6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 </w:t>
            </w:r>
            <w:r w:rsidR="00954DE6" w:rsidRPr="00954DE6">
              <w:rPr>
                <w:rFonts w:cstheme="minorHAnsi"/>
                <w:sz w:val="20"/>
                <w:szCs w:val="20"/>
              </w:rPr>
              <w:t>measure costs are based on cost data extracted from WO017</w:t>
            </w:r>
            <w:r w:rsidR="00954DE6">
              <w:rPr>
                <w:rFonts w:cstheme="minorHAnsi"/>
                <w:sz w:val="20"/>
                <w:szCs w:val="20"/>
              </w:rPr>
              <w:t xml:space="preserve">. </w:t>
            </w:r>
            <w:r w:rsidR="00954DE6" w:rsidRPr="00954DE6">
              <w:rPr>
                <w:rFonts w:cstheme="minorHAnsi"/>
                <w:sz w:val="20"/>
                <w:szCs w:val="20"/>
              </w:rPr>
              <w:t xml:space="preserve">The table below summarizes the measure cost. </w:t>
            </w:r>
            <w:r w:rsidR="00954DE6">
              <w:rPr>
                <w:rFonts w:cstheme="minorHAnsi"/>
                <w:sz w:val="20"/>
                <w:szCs w:val="20"/>
              </w:rPr>
              <w:t>Per the SCE workpaper: “</w:t>
            </w:r>
            <w:r w:rsidR="00954DE6" w:rsidRPr="00954DE6">
              <w:rPr>
                <w:rFonts w:cstheme="minorHAnsi"/>
                <w:sz w:val="20"/>
                <w:szCs w:val="20"/>
              </w:rPr>
              <w:t xml:space="preserve">The cost for the air-cooled floating head pressure controls measure is the average of three values from the WO017 cost data. The cost for the two evaporative-cooled floating heat pressure controls measures is the average of three values from the WO017 cost data. </w:t>
            </w:r>
            <w:r w:rsidR="00954DE6">
              <w:rPr>
                <w:rFonts w:cstheme="minorHAnsi"/>
                <w:sz w:val="20"/>
                <w:szCs w:val="20"/>
              </w:rPr>
              <w:t>“</w:t>
            </w:r>
          </w:p>
          <w:p w14:paraId="6AB1D60F" w14:textId="77777777" w:rsidR="00381D5C" w:rsidRDefault="00381D5C" w:rsidP="00B90F97">
            <w:pPr>
              <w:rPr>
                <w:sz w:val="20"/>
                <w:szCs w:val="20"/>
              </w:rPr>
            </w:pPr>
          </w:p>
          <w:p w14:paraId="436DFF13" w14:textId="77777777" w:rsidR="00954DE6" w:rsidRDefault="00954DE6" w:rsidP="00B90F9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4545965" cy="994410"/>
                  <wp:effectExtent l="0" t="0" r="6985" b="0"/>
                  <wp:docPr id="1" name="Picture 1" descr="Screen Clipp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243BE3.t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5965" cy="994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646971" w14:textId="77777777" w:rsidR="00E6262B" w:rsidRDefault="00E6262B" w:rsidP="00B90F97">
            <w:pPr>
              <w:rPr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28"/>
              <w:gridCol w:w="2970"/>
            </w:tblGrid>
            <w:tr w:rsidR="00FF72AA" w14:paraId="47DAC0DA" w14:textId="77777777" w:rsidTr="001767BB">
              <w:tc>
                <w:tcPr>
                  <w:tcW w:w="3128" w:type="dxa"/>
                  <w:shd w:val="clear" w:color="auto" w:fill="D9D9D9" w:themeFill="background1" w:themeFillShade="D9"/>
                </w:tcPr>
                <w:p w14:paraId="462EE7D8" w14:textId="0DBB292B" w:rsidR="00FF72AA" w:rsidRPr="004A5BFD" w:rsidRDefault="001767BB" w:rsidP="00B90F97">
                  <w:pPr>
                    <w:rPr>
                      <w:b/>
                      <w:sz w:val="16"/>
                      <w:szCs w:val="16"/>
                    </w:rPr>
                  </w:pPr>
                  <w:r w:rsidRPr="004A5BFD">
                    <w:rPr>
                      <w:b/>
                      <w:sz w:val="16"/>
                      <w:szCs w:val="16"/>
                    </w:rPr>
                    <w:t>Measure CostID</w:t>
                  </w:r>
                </w:p>
              </w:tc>
              <w:tc>
                <w:tcPr>
                  <w:tcW w:w="2970" w:type="dxa"/>
                  <w:shd w:val="clear" w:color="auto" w:fill="D9D9D9" w:themeFill="background1" w:themeFillShade="D9"/>
                </w:tcPr>
                <w:p w14:paraId="108134FE" w14:textId="0835CD5A" w:rsidR="00FF72AA" w:rsidRPr="004A5BFD" w:rsidRDefault="001767BB" w:rsidP="00B90F97">
                  <w:pPr>
                    <w:rPr>
                      <w:b/>
                      <w:sz w:val="16"/>
                      <w:szCs w:val="16"/>
                    </w:rPr>
                  </w:pPr>
                  <w:r w:rsidRPr="004A5BFD">
                    <w:rPr>
                      <w:b/>
                      <w:sz w:val="16"/>
                      <w:szCs w:val="16"/>
                    </w:rPr>
                    <w:t>DEER MsrID</w:t>
                  </w:r>
                </w:p>
              </w:tc>
            </w:tr>
            <w:tr w:rsidR="00FF72AA" w14:paraId="249D7647" w14:textId="77777777" w:rsidTr="001767BB">
              <w:tc>
                <w:tcPr>
                  <w:tcW w:w="3128" w:type="dxa"/>
                </w:tcPr>
                <w:p w14:paraId="2E253719" w14:textId="14895543" w:rsidR="00FF72AA" w:rsidRPr="001767BB" w:rsidRDefault="001767BB" w:rsidP="00B90F97">
                  <w:pPr>
                    <w:rPr>
                      <w:sz w:val="16"/>
                      <w:szCs w:val="16"/>
                    </w:rPr>
                  </w:pPr>
                  <w:r w:rsidRPr="001767BB">
                    <w:rPr>
                      <w:sz w:val="16"/>
                      <w:szCs w:val="16"/>
                    </w:rPr>
                    <w:t>SDG-GrocSys_FltHdPres_AirCooled</w:t>
                  </w:r>
                </w:p>
              </w:tc>
              <w:tc>
                <w:tcPr>
                  <w:tcW w:w="2970" w:type="dxa"/>
                </w:tcPr>
                <w:p w14:paraId="64BF93FE" w14:textId="2CE92618" w:rsidR="00FF72AA" w:rsidRPr="001767BB" w:rsidRDefault="001767BB" w:rsidP="00B90F97">
                  <w:pPr>
                    <w:rPr>
                      <w:sz w:val="16"/>
                      <w:szCs w:val="16"/>
                    </w:rPr>
                  </w:pPr>
                  <w:r w:rsidRPr="001767BB">
                    <w:rPr>
                      <w:sz w:val="16"/>
                      <w:szCs w:val="16"/>
                    </w:rPr>
                    <w:t>D03-221,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767BB">
                    <w:rPr>
                      <w:sz w:val="16"/>
                      <w:szCs w:val="16"/>
                    </w:rPr>
                    <w:t>D03-223, and D03-225</w:t>
                  </w:r>
                  <w:bookmarkStart w:id="2" w:name="_GoBack"/>
                  <w:bookmarkEnd w:id="2"/>
                </w:p>
              </w:tc>
            </w:tr>
            <w:tr w:rsidR="00FF72AA" w14:paraId="0F60DDBE" w14:textId="77777777" w:rsidTr="001767BB">
              <w:tc>
                <w:tcPr>
                  <w:tcW w:w="3128" w:type="dxa"/>
                </w:tcPr>
                <w:p w14:paraId="47CF5710" w14:textId="202C6022" w:rsidR="00FF72AA" w:rsidRPr="001767BB" w:rsidRDefault="001767BB" w:rsidP="00B90F97">
                  <w:pPr>
                    <w:rPr>
                      <w:sz w:val="16"/>
                      <w:szCs w:val="16"/>
                    </w:rPr>
                  </w:pPr>
                  <w:r w:rsidRPr="001767BB">
                    <w:rPr>
                      <w:sz w:val="16"/>
                      <w:szCs w:val="16"/>
                    </w:rPr>
                    <w:t>SDG-GrocSys_FltHdPres_EvapCooled</w:t>
                  </w:r>
                </w:p>
              </w:tc>
              <w:tc>
                <w:tcPr>
                  <w:tcW w:w="2970" w:type="dxa"/>
                </w:tcPr>
                <w:p w14:paraId="784BCF69" w14:textId="64D3FDCA" w:rsidR="00FF72AA" w:rsidRPr="001767BB" w:rsidRDefault="001767BB" w:rsidP="00B90F97">
                  <w:pPr>
                    <w:rPr>
                      <w:sz w:val="16"/>
                      <w:szCs w:val="16"/>
                    </w:rPr>
                  </w:pPr>
                  <w:r w:rsidRPr="001767BB">
                    <w:rPr>
                      <w:sz w:val="16"/>
                      <w:szCs w:val="16"/>
                    </w:rPr>
                    <w:t>D03-22</w:t>
                  </w:r>
                  <w:r>
                    <w:rPr>
                      <w:sz w:val="16"/>
                      <w:szCs w:val="16"/>
                    </w:rPr>
                    <w:t>2</w:t>
                  </w:r>
                  <w:r w:rsidRPr="001767BB">
                    <w:rPr>
                      <w:sz w:val="16"/>
                      <w:szCs w:val="16"/>
                    </w:rPr>
                    <w:t>,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767BB">
                    <w:rPr>
                      <w:sz w:val="16"/>
                      <w:szCs w:val="16"/>
                    </w:rPr>
                    <w:t>D03-22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1767BB">
                    <w:rPr>
                      <w:sz w:val="16"/>
                      <w:szCs w:val="16"/>
                    </w:rPr>
                    <w:t>, and D03-22</w:t>
                  </w:r>
                  <w:r>
                    <w:rPr>
                      <w:sz w:val="16"/>
                      <w:szCs w:val="16"/>
                    </w:rPr>
                    <w:t>6</w:t>
                  </w:r>
                </w:p>
              </w:tc>
            </w:tr>
            <w:tr w:rsidR="00FF72AA" w14:paraId="495CD0B0" w14:textId="77777777" w:rsidTr="001767BB">
              <w:tc>
                <w:tcPr>
                  <w:tcW w:w="3128" w:type="dxa"/>
                </w:tcPr>
                <w:p w14:paraId="12277966" w14:textId="44943E1D" w:rsidR="00FF72AA" w:rsidRPr="001767BB" w:rsidRDefault="001767BB" w:rsidP="00B90F97">
                  <w:pPr>
                    <w:rPr>
                      <w:sz w:val="16"/>
                      <w:szCs w:val="16"/>
                    </w:rPr>
                  </w:pPr>
                  <w:r w:rsidRPr="001767BB">
                    <w:rPr>
                      <w:sz w:val="16"/>
                      <w:szCs w:val="16"/>
                    </w:rPr>
                    <w:t>SDG-RefgWrhs_FltHdPres_EvapCooled</w:t>
                  </w:r>
                </w:p>
              </w:tc>
              <w:tc>
                <w:tcPr>
                  <w:tcW w:w="2970" w:type="dxa"/>
                </w:tcPr>
                <w:p w14:paraId="0F68FA73" w14:textId="067742A4" w:rsidR="00FF72AA" w:rsidRPr="001767BB" w:rsidRDefault="001767BB" w:rsidP="00B90F97">
                  <w:pPr>
                    <w:rPr>
                      <w:sz w:val="16"/>
                      <w:szCs w:val="16"/>
                    </w:rPr>
                  </w:pPr>
                  <w:r w:rsidRPr="001767BB">
                    <w:rPr>
                      <w:sz w:val="16"/>
                      <w:szCs w:val="16"/>
                    </w:rPr>
                    <w:t>D03-</w:t>
                  </w:r>
                  <w:r>
                    <w:rPr>
                      <w:sz w:val="16"/>
                      <w:szCs w:val="16"/>
                    </w:rPr>
                    <w:t>307</w:t>
                  </w:r>
                  <w:r w:rsidRPr="001767BB">
                    <w:rPr>
                      <w:sz w:val="16"/>
                      <w:szCs w:val="16"/>
                    </w:rPr>
                    <w:t>,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1767BB">
                    <w:rPr>
                      <w:sz w:val="16"/>
                      <w:szCs w:val="16"/>
                    </w:rPr>
                    <w:t>D03-3</w:t>
                  </w:r>
                  <w:r>
                    <w:rPr>
                      <w:sz w:val="16"/>
                      <w:szCs w:val="16"/>
                    </w:rPr>
                    <w:t>08</w:t>
                  </w:r>
                  <w:r w:rsidRPr="001767BB">
                    <w:rPr>
                      <w:sz w:val="16"/>
                      <w:szCs w:val="16"/>
                    </w:rPr>
                    <w:t>, and D03-</w:t>
                  </w:r>
                  <w:r>
                    <w:rPr>
                      <w:sz w:val="16"/>
                      <w:szCs w:val="16"/>
                    </w:rPr>
                    <w:t>309</w:t>
                  </w:r>
                </w:p>
              </w:tc>
            </w:tr>
            <w:tr w:rsidR="00FF72AA" w14:paraId="37F353A4" w14:textId="77777777" w:rsidTr="001767BB">
              <w:tc>
                <w:tcPr>
                  <w:tcW w:w="3128" w:type="dxa"/>
                </w:tcPr>
                <w:p w14:paraId="08BED1A6" w14:textId="12D9A462" w:rsidR="00FF72AA" w:rsidRPr="001767BB" w:rsidRDefault="001767BB" w:rsidP="00B90F97">
                  <w:pPr>
                    <w:rPr>
                      <w:sz w:val="16"/>
                      <w:szCs w:val="16"/>
                    </w:rPr>
                  </w:pPr>
                  <w:r w:rsidRPr="001767BB">
                    <w:rPr>
                      <w:sz w:val="16"/>
                      <w:szCs w:val="16"/>
                    </w:rPr>
                    <w:t>SDG-GrocSys_FltSucPres</w:t>
                  </w:r>
                </w:p>
              </w:tc>
              <w:tc>
                <w:tcPr>
                  <w:tcW w:w="2970" w:type="dxa"/>
                </w:tcPr>
                <w:p w14:paraId="1B7D7B63" w14:textId="4154B2C6" w:rsidR="00FF72AA" w:rsidRPr="001767BB" w:rsidRDefault="001767BB" w:rsidP="00B90F9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D03-220</w:t>
                  </w:r>
                </w:p>
              </w:tc>
            </w:tr>
            <w:tr w:rsidR="001767BB" w14:paraId="02C6F289" w14:textId="77777777" w:rsidTr="001767BB">
              <w:tc>
                <w:tcPr>
                  <w:tcW w:w="3128" w:type="dxa"/>
                </w:tcPr>
                <w:p w14:paraId="06A0298D" w14:textId="3406164E" w:rsidR="001767BB" w:rsidRPr="001767BB" w:rsidRDefault="001767BB" w:rsidP="00B90F97">
                  <w:pPr>
                    <w:rPr>
                      <w:sz w:val="16"/>
                      <w:szCs w:val="16"/>
                    </w:rPr>
                  </w:pPr>
                  <w:r w:rsidRPr="001767BB">
                    <w:rPr>
                      <w:sz w:val="16"/>
                      <w:szCs w:val="16"/>
                    </w:rPr>
                    <w:t>SDG-RefgWrhs_FltSucPres</w:t>
                  </w:r>
                </w:p>
              </w:tc>
              <w:tc>
                <w:tcPr>
                  <w:tcW w:w="2970" w:type="dxa"/>
                </w:tcPr>
                <w:p w14:paraId="4966AB50" w14:textId="1C5E6C85" w:rsidR="001767BB" w:rsidRPr="001767BB" w:rsidRDefault="001767BB" w:rsidP="00B90F9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D03-306</w:t>
                  </w:r>
                </w:p>
              </w:tc>
            </w:tr>
          </w:tbl>
          <w:p w14:paraId="6DDF5EE1" w14:textId="21947343" w:rsidR="00FF72AA" w:rsidRPr="00381D5C" w:rsidRDefault="00FF72AA" w:rsidP="00B90F97">
            <w:pPr>
              <w:rPr>
                <w:sz w:val="20"/>
                <w:szCs w:val="20"/>
              </w:rPr>
            </w:pPr>
          </w:p>
        </w:tc>
      </w:tr>
    </w:tbl>
    <w:p w14:paraId="38CC9BB7" w14:textId="77777777" w:rsidR="00C228B0" w:rsidRDefault="00C228B0" w:rsidP="004B01C6"/>
    <w:p w14:paraId="1C7E910D" w14:textId="77777777" w:rsidR="00954DE6" w:rsidRDefault="00954DE6" w:rsidP="004B01C6"/>
    <w:p w14:paraId="3E8F63D5" w14:textId="77777777" w:rsidR="00954DE6" w:rsidRPr="00FD3D43" w:rsidRDefault="00954DE6" w:rsidP="004B01C6"/>
    <w:sectPr w:rsidR="00954DE6" w:rsidRPr="00FD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0409C" w14:textId="77777777" w:rsidR="00B04040" w:rsidRDefault="00B04040" w:rsidP="00FE520B">
      <w:r>
        <w:separator/>
      </w:r>
    </w:p>
  </w:endnote>
  <w:endnote w:type="continuationSeparator" w:id="0">
    <w:p w14:paraId="652B8466" w14:textId="77777777" w:rsidR="00B04040" w:rsidRDefault="00B04040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D3BDE" w14:textId="5017CE19" w:rsidR="00DA7694" w:rsidRPr="00B1431E" w:rsidRDefault="00DA7694" w:rsidP="00241A1F">
    <w:pPr>
      <w:pStyle w:val="Footer"/>
      <w:rPr>
        <w:rFonts w:cstheme="minorHAnsi"/>
        <w:b/>
        <w:szCs w:val="22"/>
      </w:rPr>
    </w:pPr>
    <w:r w:rsidRPr="00B1431E">
      <w:rPr>
        <w:rFonts w:cstheme="minorHAnsi"/>
        <w:b/>
        <w:szCs w:val="22"/>
      </w:rPr>
      <w:t>Workpaper</w:t>
    </w:r>
    <w:r w:rsidR="00D07759" w:rsidRPr="00B1431E">
      <w:rPr>
        <w:rFonts w:cstheme="minorHAnsi"/>
        <w:b/>
        <w:szCs w:val="22"/>
      </w:rPr>
      <w:t xml:space="preserve"> </w:t>
    </w:r>
    <w:r w:rsidR="00B1431E" w:rsidRPr="00B1431E">
      <w:rPr>
        <w:b/>
      </w:rPr>
      <w:t>WPSDGENRRN0017</w:t>
    </w:r>
    <w:r w:rsidRPr="00B1431E">
      <w:rPr>
        <w:rFonts w:cstheme="minorHAnsi"/>
        <w:b/>
        <w:szCs w:val="22"/>
      </w:rPr>
      <w:t xml:space="preserve">, Revision </w:t>
    </w:r>
    <w:r w:rsidR="00B1431E" w:rsidRPr="00B1431E">
      <w:rPr>
        <w:rFonts w:cstheme="minorHAnsi"/>
        <w:b/>
        <w:szCs w:val="22"/>
      </w:rPr>
      <w:t>0</w:t>
    </w:r>
    <w:r w:rsidRPr="00B1431E">
      <w:rPr>
        <w:rFonts w:cstheme="minorHAnsi"/>
        <w:b/>
        <w:szCs w:val="22"/>
      </w:rPr>
      <w:tab/>
    </w:r>
    <w:r w:rsidRPr="00B1431E">
      <w:rPr>
        <w:rFonts w:cstheme="minorHAnsi"/>
        <w:b/>
        <w:szCs w:val="22"/>
      </w:rPr>
      <w:tab/>
    </w:r>
    <w:r w:rsidR="00823175">
      <w:rPr>
        <w:rFonts w:cstheme="minorHAnsi"/>
        <w:b/>
        <w:szCs w:val="22"/>
      </w:rPr>
      <w:t>March</w:t>
    </w:r>
    <w:r w:rsidRPr="00B1431E">
      <w:rPr>
        <w:rFonts w:cstheme="minorHAnsi"/>
        <w:b/>
        <w:szCs w:val="22"/>
      </w:rPr>
      <w:t xml:space="preserve"> </w:t>
    </w:r>
    <w:r w:rsidR="00823175">
      <w:rPr>
        <w:rFonts w:cstheme="minorHAnsi"/>
        <w:b/>
        <w:szCs w:val="22"/>
      </w:rPr>
      <w:t>2</w:t>
    </w:r>
    <w:r w:rsidR="003C6643" w:rsidRPr="00B1431E">
      <w:rPr>
        <w:rFonts w:cstheme="minorHAnsi"/>
        <w:b/>
        <w:szCs w:val="22"/>
      </w:rPr>
      <w:t>, 2018</w:t>
    </w:r>
  </w:p>
  <w:p w14:paraId="37DE98A7" w14:textId="6E5B057E" w:rsidR="00DA7694" w:rsidRPr="009500DC" w:rsidRDefault="00DA7694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 w:rsidRPr="00B1431E">
      <w:rPr>
        <w:rFonts w:cstheme="minorHAnsi"/>
        <w:b/>
        <w:szCs w:val="22"/>
      </w:rPr>
      <w:t>San Diego Gas &amp; Electric</w:t>
    </w:r>
    <w:r>
      <w:rPr>
        <w:b/>
      </w:rPr>
      <w:tab/>
    </w:r>
    <w:r w:rsidRPr="00C7215A">
      <w:rPr>
        <w:b/>
      </w:rPr>
      <w:fldChar w:fldCharType="begin"/>
    </w:r>
    <w:r w:rsidRPr="00C7215A">
      <w:rPr>
        <w:b/>
      </w:rPr>
      <w:instrText xml:space="preserve"> PAGE   \* MERGEFORMAT </w:instrText>
    </w:r>
    <w:r w:rsidRPr="00C7215A">
      <w:rPr>
        <w:b/>
      </w:rPr>
      <w:fldChar w:fldCharType="separate"/>
    </w:r>
    <w:r w:rsidR="004A5BFD">
      <w:rPr>
        <w:b/>
        <w:noProof/>
      </w:rPr>
      <w:t>2</w:t>
    </w:r>
    <w:r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5C07E" w14:textId="77777777" w:rsidR="00B04040" w:rsidRDefault="00B04040" w:rsidP="00FE520B">
      <w:r>
        <w:separator/>
      </w:r>
    </w:p>
  </w:footnote>
  <w:footnote w:type="continuationSeparator" w:id="0">
    <w:p w14:paraId="77E65AA4" w14:textId="77777777" w:rsidR="00B04040" w:rsidRDefault="00B04040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6F85"/>
    <w:multiLevelType w:val="hybridMultilevel"/>
    <w:tmpl w:val="DEA2A312"/>
    <w:lvl w:ilvl="0" w:tplc="D19CF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034BD3"/>
    <w:multiLevelType w:val="hybridMultilevel"/>
    <w:tmpl w:val="42BCA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E006E"/>
    <w:multiLevelType w:val="hybridMultilevel"/>
    <w:tmpl w:val="4816EB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3448DF"/>
    <w:multiLevelType w:val="hybridMultilevel"/>
    <w:tmpl w:val="D3481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332DD1"/>
    <w:multiLevelType w:val="hybridMultilevel"/>
    <w:tmpl w:val="71AEA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17E23"/>
    <w:multiLevelType w:val="hybridMultilevel"/>
    <w:tmpl w:val="B68A63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579B7"/>
    <w:multiLevelType w:val="hybridMultilevel"/>
    <w:tmpl w:val="1C6838F8"/>
    <w:lvl w:ilvl="0" w:tplc="1500155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34A65"/>
    <w:multiLevelType w:val="hybridMultilevel"/>
    <w:tmpl w:val="9F10B4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 w15:restartNumberingAfterBreak="0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92E4B"/>
    <w:multiLevelType w:val="hybridMultilevel"/>
    <w:tmpl w:val="DA28CA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93DAC"/>
    <w:multiLevelType w:val="hybridMultilevel"/>
    <w:tmpl w:val="49E2B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E7A2A"/>
    <w:multiLevelType w:val="hybridMultilevel"/>
    <w:tmpl w:val="E45A16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64252B"/>
    <w:multiLevelType w:val="hybridMultilevel"/>
    <w:tmpl w:val="03F4E6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D4D5E"/>
    <w:multiLevelType w:val="hybridMultilevel"/>
    <w:tmpl w:val="9AAC1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5383E"/>
    <w:multiLevelType w:val="hybridMultilevel"/>
    <w:tmpl w:val="2C6A2934"/>
    <w:lvl w:ilvl="0" w:tplc="B9382A18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E85003"/>
    <w:multiLevelType w:val="hybridMultilevel"/>
    <w:tmpl w:val="D23253D2"/>
    <w:lvl w:ilvl="0" w:tplc="85A802E2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2"/>
  </w:num>
  <w:num w:numId="5">
    <w:abstractNumId w:val="17"/>
  </w:num>
  <w:num w:numId="6">
    <w:abstractNumId w:val="8"/>
  </w:num>
  <w:num w:numId="7">
    <w:abstractNumId w:val="25"/>
  </w:num>
  <w:num w:numId="8">
    <w:abstractNumId w:val="21"/>
  </w:num>
  <w:num w:numId="9">
    <w:abstractNumId w:val="9"/>
  </w:num>
  <w:num w:numId="10">
    <w:abstractNumId w:val="22"/>
  </w:num>
  <w:num w:numId="11">
    <w:abstractNumId w:val="24"/>
  </w:num>
  <w:num w:numId="12">
    <w:abstractNumId w:val="15"/>
  </w:num>
  <w:num w:numId="13">
    <w:abstractNumId w:val="26"/>
  </w:num>
  <w:num w:numId="14">
    <w:abstractNumId w:val="14"/>
  </w:num>
  <w:num w:numId="15">
    <w:abstractNumId w:val="16"/>
  </w:num>
  <w:num w:numId="16">
    <w:abstractNumId w:val="20"/>
  </w:num>
  <w:num w:numId="17">
    <w:abstractNumId w:val="13"/>
  </w:num>
  <w:num w:numId="18">
    <w:abstractNumId w:val="0"/>
  </w:num>
  <w:num w:numId="19">
    <w:abstractNumId w:val="10"/>
  </w:num>
  <w:num w:numId="20">
    <w:abstractNumId w:val="1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1"/>
  </w:num>
  <w:num w:numId="22">
    <w:abstractNumId w:val="5"/>
  </w:num>
  <w:num w:numId="23">
    <w:abstractNumId w:val="28"/>
  </w:num>
  <w:num w:numId="24">
    <w:abstractNumId w:val="27"/>
  </w:num>
  <w:num w:numId="25">
    <w:abstractNumId w:val="3"/>
  </w:num>
  <w:num w:numId="26">
    <w:abstractNumId w:val="18"/>
  </w:num>
  <w:num w:numId="27">
    <w:abstractNumId w:val="1"/>
  </w:num>
  <w:num w:numId="28">
    <w:abstractNumId w:val="23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7C6"/>
    <w:rsid w:val="00004D4E"/>
    <w:rsid w:val="0000540F"/>
    <w:rsid w:val="00023C32"/>
    <w:rsid w:val="00031221"/>
    <w:rsid w:val="00031BA0"/>
    <w:rsid w:val="000359E4"/>
    <w:rsid w:val="00036A2C"/>
    <w:rsid w:val="00051762"/>
    <w:rsid w:val="00052743"/>
    <w:rsid w:val="00052CE4"/>
    <w:rsid w:val="00062F50"/>
    <w:rsid w:val="00063796"/>
    <w:rsid w:val="00067315"/>
    <w:rsid w:val="00067AF1"/>
    <w:rsid w:val="00070844"/>
    <w:rsid w:val="000719BF"/>
    <w:rsid w:val="00072971"/>
    <w:rsid w:val="00072C19"/>
    <w:rsid w:val="00072E01"/>
    <w:rsid w:val="00073668"/>
    <w:rsid w:val="000777C2"/>
    <w:rsid w:val="00077886"/>
    <w:rsid w:val="000A2B83"/>
    <w:rsid w:val="000A3A47"/>
    <w:rsid w:val="000B6542"/>
    <w:rsid w:val="000C13AE"/>
    <w:rsid w:val="000C19C4"/>
    <w:rsid w:val="000C441A"/>
    <w:rsid w:val="000D243C"/>
    <w:rsid w:val="000E19CA"/>
    <w:rsid w:val="000E2CA6"/>
    <w:rsid w:val="000E65D6"/>
    <w:rsid w:val="000F6BA3"/>
    <w:rsid w:val="000F72EF"/>
    <w:rsid w:val="00101F7F"/>
    <w:rsid w:val="001036A0"/>
    <w:rsid w:val="001039B0"/>
    <w:rsid w:val="001046CB"/>
    <w:rsid w:val="00111105"/>
    <w:rsid w:val="00121B4E"/>
    <w:rsid w:val="0012271D"/>
    <w:rsid w:val="00125AA4"/>
    <w:rsid w:val="00131C78"/>
    <w:rsid w:val="00132B69"/>
    <w:rsid w:val="00143843"/>
    <w:rsid w:val="0014591F"/>
    <w:rsid w:val="001505DA"/>
    <w:rsid w:val="001518E0"/>
    <w:rsid w:val="0016189C"/>
    <w:rsid w:val="001646CF"/>
    <w:rsid w:val="001752E5"/>
    <w:rsid w:val="0017655B"/>
    <w:rsid w:val="001767BB"/>
    <w:rsid w:val="00183A2F"/>
    <w:rsid w:val="00194466"/>
    <w:rsid w:val="001979FF"/>
    <w:rsid w:val="001A11C1"/>
    <w:rsid w:val="001A17DF"/>
    <w:rsid w:val="001A4875"/>
    <w:rsid w:val="001B09CD"/>
    <w:rsid w:val="001B1C8A"/>
    <w:rsid w:val="001B5D24"/>
    <w:rsid w:val="001B5D6C"/>
    <w:rsid w:val="001B75A8"/>
    <w:rsid w:val="001C1AC2"/>
    <w:rsid w:val="001C3663"/>
    <w:rsid w:val="001C4F82"/>
    <w:rsid w:val="001D0AB9"/>
    <w:rsid w:val="001D57D7"/>
    <w:rsid w:val="001D6A64"/>
    <w:rsid w:val="001E18C3"/>
    <w:rsid w:val="001F64F8"/>
    <w:rsid w:val="001F723A"/>
    <w:rsid w:val="00200310"/>
    <w:rsid w:val="00201A3F"/>
    <w:rsid w:val="00215828"/>
    <w:rsid w:val="00231DE1"/>
    <w:rsid w:val="0023360D"/>
    <w:rsid w:val="00235AFB"/>
    <w:rsid w:val="00241A1F"/>
    <w:rsid w:val="00244447"/>
    <w:rsid w:val="00244805"/>
    <w:rsid w:val="002917FE"/>
    <w:rsid w:val="00291B2B"/>
    <w:rsid w:val="002A2A93"/>
    <w:rsid w:val="002B2CB2"/>
    <w:rsid w:val="002B3259"/>
    <w:rsid w:val="002C1030"/>
    <w:rsid w:val="002C15E6"/>
    <w:rsid w:val="002D0BD6"/>
    <w:rsid w:val="002D6173"/>
    <w:rsid w:val="002D7807"/>
    <w:rsid w:val="002D7B3E"/>
    <w:rsid w:val="002E0948"/>
    <w:rsid w:val="002E24BE"/>
    <w:rsid w:val="002F24CE"/>
    <w:rsid w:val="00305091"/>
    <w:rsid w:val="0031363D"/>
    <w:rsid w:val="003234D6"/>
    <w:rsid w:val="00323C28"/>
    <w:rsid w:val="0032761E"/>
    <w:rsid w:val="00340396"/>
    <w:rsid w:val="0034557D"/>
    <w:rsid w:val="0035014F"/>
    <w:rsid w:val="00360CFA"/>
    <w:rsid w:val="00373EC5"/>
    <w:rsid w:val="00381D5C"/>
    <w:rsid w:val="00390A76"/>
    <w:rsid w:val="003A0D2B"/>
    <w:rsid w:val="003A4277"/>
    <w:rsid w:val="003A7B4E"/>
    <w:rsid w:val="003B5806"/>
    <w:rsid w:val="003B5DCF"/>
    <w:rsid w:val="003B6A2A"/>
    <w:rsid w:val="003B7A13"/>
    <w:rsid w:val="003C2EE4"/>
    <w:rsid w:val="003C6643"/>
    <w:rsid w:val="003D1C21"/>
    <w:rsid w:val="003E035B"/>
    <w:rsid w:val="003E0DC8"/>
    <w:rsid w:val="003E122A"/>
    <w:rsid w:val="003E6E57"/>
    <w:rsid w:val="003E6FA5"/>
    <w:rsid w:val="003F1F0D"/>
    <w:rsid w:val="00402B3D"/>
    <w:rsid w:val="00404A43"/>
    <w:rsid w:val="00406481"/>
    <w:rsid w:val="00413EF4"/>
    <w:rsid w:val="00416118"/>
    <w:rsid w:val="00430D89"/>
    <w:rsid w:val="00431763"/>
    <w:rsid w:val="004336A8"/>
    <w:rsid w:val="004402EE"/>
    <w:rsid w:val="004452CE"/>
    <w:rsid w:val="0044686E"/>
    <w:rsid w:val="00446BE5"/>
    <w:rsid w:val="004519B4"/>
    <w:rsid w:val="00467DB3"/>
    <w:rsid w:val="004748BE"/>
    <w:rsid w:val="00483C3F"/>
    <w:rsid w:val="00492365"/>
    <w:rsid w:val="004A5BFD"/>
    <w:rsid w:val="004A5E1F"/>
    <w:rsid w:val="004A6215"/>
    <w:rsid w:val="004A75BC"/>
    <w:rsid w:val="004B01C6"/>
    <w:rsid w:val="004D0326"/>
    <w:rsid w:val="004D5D19"/>
    <w:rsid w:val="004D6A0C"/>
    <w:rsid w:val="004E13B2"/>
    <w:rsid w:val="004E374E"/>
    <w:rsid w:val="004E553C"/>
    <w:rsid w:val="005029A5"/>
    <w:rsid w:val="00513723"/>
    <w:rsid w:val="00517D47"/>
    <w:rsid w:val="005248E2"/>
    <w:rsid w:val="005428E1"/>
    <w:rsid w:val="00543687"/>
    <w:rsid w:val="00546928"/>
    <w:rsid w:val="00555671"/>
    <w:rsid w:val="00555926"/>
    <w:rsid w:val="005613FC"/>
    <w:rsid w:val="005616E7"/>
    <w:rsid w:val="00567FEF"/>
    <w:rsid w:val="00580664"/>
    <w:rsid w:val="0059117D"/>
    <w:rsid w:val="00591D85"/>
    <w:rsid w:val="005957C3"/>
    <w:rsid w:val="0059663B"/>
    <w:rsid w:val="005A0AA4"/>
    <w:rsid w:val="005A7E71"/>
    <w:rsid w:val="005B5614"/>
    <w:rsid w:val="005C1518"/>
    <w:rsid w:val="005D5D5A"/>
    <w:rsid w:val="005E18A1"/>
    <w:rsid w:val="00621061"/>
    <w:rsid w:val="00621786"/>
    <w:rsid w:val="0062489A"/>
    <w:rsid w:val="0062764F"/>
    <w:rsid w:val="0063052D"/>
    <w:rsid w:val="00636490"/>
    <w:rsid w:val="006374F1"/>
    <w:rsid w:val="00650C31"/>
    <w:rsid w:val="00650F0D"/>
    <w:rsid w:val="00653C4B"/>
    <w:rsid w:val="00666CDA"/>
    <w:rsid w:val="006820F0"/>
    <w:rsid w:val="00682E19"/>
    <w:rsid w:val="00684ABA"/>
    <w:rsid w:val="00686789"/>
    <w:rsid w:val="006875B3"/>
    <w:rsid w:val="00695478"/>
    <w:rsid w:val="006A03BF"/>
    <w:rsid w:val="006A2C49"/>
    <w:rsid w:val="006A3AE7"/>
    <w:rsid w:val="006A3E63"/>
    <w:rsid w:val="006A706C"/>
    <w:rsid w:val="006B0D5C"/>
    <w:rsid w:val="006B13BC"/>
    <w:rsid w:val="006B4F62"/>
    <w:rsid w:val="006C5EDB"/>
    <w:rsid w:val="006D03F9"/>
    <w:rsid w:val="006D2B70"/>
    <w:rsid w:val="006E7C39"/>
    <w:rsid w:val="00707736"/>
    <w:rsid w:val="00711B58"/>
    <w:rsid w:val="0072183E"/>
    <w:rsid w:val="00722C9C"/>
    <w:rsid w:val="00727839"/>
    <w:rsid w:val="00730A52"/>
    <w:rsid w:val="00752529"/>
    <w:rsid w:val="00757057"/>
    <w:rsid w:val="007620F7"/>
    <w:rsid w:val="00762A8D"/>
    <w:rsid w:val="00762D81"/>
    <w:rsid w:val="00764A26"/>
    <w:rsid w:val="00764AAE"/>
    <w:rsid w:val="007661C6"/>
    <w:rsid w:val="00774911"/>
    <w:rsid w:val="0078006D"/>
    <w:rsid w:val="007833EC"/>
    <w:rsid w:val="00785AC8"/>
    <w:rsid w:val="00786E32"/>
    <w:rsid w:val="00787D7C"/>
    <w:rsid w:val="00792928"/>
    <w:rsid w:val="00795D88"/>
    <w:rsid w:val="00797B54"/>
    <w:rsid w:val="007B18FE"/>
    <w:rsid w:val="007D1A21"/>
    <w:rsid w:val="007D1F1E"/>
    <w:rsid w:val="007D3A21"/>
    <w:rsid w:val="007D4F8E"/>
    <w:rsid w:val="007D6FF1"/>
    <w:rsid w:val="007E7E00"/>
    <w:rsid w:val="007F3039"/>
    <w:rsid w:val="007F3C21"/>
    <w:rsid w:val="007F3C7A"/>
    <w:rsid w:val="007F572A"/>
    <w:rsid w:val="007F5782"/>
    <w:rsid w:val="008043F4"/>
    <w:rsid w:val="008137B0"/>
    <w:rsid w:val="0081521B"/>
    <w:rsid w:val="00823175"/>
    <w:rsid w:val="00830121"/>
    <w:rsid w:val="008301EC"/>
    <w:rsid w:val="008400F7"/>
    <w:rsid w:val="00853385"/>
    <w:rsid w:val="00856FA4"/>
    <w:rsid w:val="00862113"/>
    <w:rsid w:val="00870139"/>
    <w:rsid w:val="008724D6"/>
    <w:rsid w:val="008775D7"/>
    <w:rsid w:val="00884B9C"/>
    <w:rsid w:val="00895D80"/>
    <w:rsid w:val="00897C0D"/>
    <w:rsid w:val="008A1557"/>
    <w:rsid w:val="008A1D1C"/>
    <w:rsid w:val="008A4224"/>
    <w:rsid w:val="008B5184"/>
    <w:rsid w:val="008B55C2"/>
    <w:rsid w:val="008C01F7"/>
    <w:rsid w:val="008C1BDA"/>
    <w:rsid w:val="008C2C8A"/>
    <w:rsid w:val="008C4F03"/>
    <w:rsid w:val="008D0B3C"/>
    <w:rsid w:val="008E0850"/>
    <w:rsid w:val="008E5CD5"/>
    <w:rsid w:val="008F537E"/>
    <w:rsid w:val="0090016E"/>
    <w:rsid w:val="00902348"/>
    <w:rsid w:val="00910D54"/>
    <w:rsid w:val="00916355"/>
    <w:rsid w:val="00920B07"/>
    <w:rsid w:val="00925509"/>
    <w:rsid w:val="0093657B"/>
    <w:rsid w:val="009374BC"/>
    <w:rsid w:val="0094026C"/>
    <w:rsid w:val="0094267E"/>
    <w:rsid w:val="00950249"/>
    <w:rsid w:val="00951FEF"/>
    <w:rsid w:val="00954DE6"/>
    <w:rsid w:val="00957C01"/>
    <w:rsid w:val="009609CB"/>
    <w:rsid w:val="00960E39"/>
    <w:rsid w:val="009618BA"/>
    <w:rsid w:val="00961EC9"/>
    <w:rsid w:val="009778F6"/>
    <w:rsid w:val="00985CB7"/>
    <w:rsid w:val="00986A83"/>
    <w:rsid w:val="00986AD1"/>
    <w:rsid w:val="009A1283"/>
    <w:rsid w:val="009B4CA0"/>
    <w:rsid w:val="009B5DD3"/>
    <w:rsid w:val="009C3F2D"/>
    <w:rsid w:val="009C6AE8"/>
    <w:rsid w:val="009E1662"/>
    <w:rsid w:val="009E1FCC"/>
    <w:rsid w:val="009F3770"/>
    <w:rsid w:val="009F43E7"/>
    <w:rsid w:val="00A051D9"/>
    <w:rsid w:val="00A216CC"/>
    <w:rsid w:val="00A21710"/>
    <w:rsid w:val="00A218F8"/>
    <w:rsid w:val="00A2724F"/>
    <w:rsid w:val="00A3401B"/>
    <w:rsid w:val="00A5769B"/>
    <w:rsid w:val="00A578F7"/>
    <w:rsid w:val="00A61271"/>
    <w:rsid w:val="00A6176C"/>
    <w:rsid w:val="00A704C1"/>
    <w:rsid w:val="00A75EDC"/>
    <w:rsid w:val="00A827AB"/>
    <w:rsid w:val="00A854EE"/>
    <w:rsid w:val="00A90F14"/>
    <w:rsid w:val="00A9185E"/>
    <w:rsid w:val="00A9441E"/>
    <w:rsid w:val="00A95FFD"/>
    <w:rsid w:val="00A96751"/>
    <w:rsid w:val="00AA43C4"/>
    <w:rsid w:val="00AB03A3"/>
    <w:rsid w:val="00AB5449"/>
    <w:rsid w:val="00AC3C21"/>
    <w:rsid w:val="00AD034F"/>
    <w:rsid w:val="00AD1606"/>
    <w:rsid w:val="00AD3663"/>
    <w:rsid w:val="00AD74B2"/>
    <w:rsid w:val="00AE0E36"/>
    <w:rsid w:val="00AE4353"/>
    <w:rsid w:val="00AF0D5A"/>
    <w:rsid w:val="00AF368D"/>
    <w:rsid w:val="00B00846"/>
    <w:rsid w:val="00B04040"/>
    <w:rsid w:val="00B046B7"/>
    <w:rsid w:val="00B079DA"/>
    <w:rsid w:val="00B1431E"/>
    <w:rsid w:val="00B15564"/>
    <w:rsid w:val="00B16652"/>
    <w:rsid w:val="00B2228F"/>
    <w:rsid w:val="00B231B5"/>
    <w:rsid w:val="00B26A01"/>
    <w:rsid w:val="00B26A30"/>
    <w:rsid w:val="00B43315"/>
    <w:rsid w:val="00B471CC"/>
    <w:rsid w:val="00B47B58"/>
    <w:rsid w:val="00B521D4"/>
    <w:rsid w:val="00B57F32"/>
    <w:rsid w:val="00B61FCD"/>
    <w:rsid w:val="00B75260"/>
    <w:rsid w:val="00B7668F"/>
    <w:rsid w:val="00B90F97"/>
    <w:rsid w:val="00B9234D"/>
    <w:rsid w:val="00B9551F"/>
    <w:rsid w:val="00B96E46"/>
    <w:rsid w:val="00BA05BF"/>
    <w:rsid w:val="00BA1B6B"/>
    <w:rsid w:val="00BB2D80"/>
    <w:rsid w:val="00BB642E"/>
    <w:rsid w:val="00BB66E1"/>
    <w:rsid w:val="00BB6F64"/>
    <w:rsid w:val="00BC237D"/>
    <w:rsid w:val="00BC4F13"/>
    <w:rsid w:val="00BC6454"/>
    <w:rsid w:val="00BD4AFD"/>
    <w:rsid w:val="00BD5433"/>
    <w:rsid w:val="00BF5D50"/>
    <w:rsid w:val="00C00767"/>
    <w:rsid w:val="00C048F4"/>
    <w:rsid w:val="00C05E32"/>
    <w:rsid w:val="00C06B9E"/>
    <w:rsid w:val="00C076DA"/>
    <w:rsid w:val="00C131CB"/>
    <w:rsid w:val="00C14DCC"/>
    <w:rsid w:val="00C15F66"/>
    <w:rsid w:val="00C20ED1"/>
    <w:rsid w:val="00C228B0"/>
    <w:rsid w:val="00C23CAB"/>
    <w:rsid w:val="00C30DCC"/>
    <w:rsid w:val="00C34C79"/>
    <w:rsid w:val="00C414A6"/>
    <w:rsid w:val="00C44E5A"/>
    <w:rsid w:val="00C462C1"/>
    <w:rsid w:val="00C477CA"/>
    <w:rsid w:val="00C52867"/>
    <w:rsid w:val="00C54AC6"/>
    <w:rsid w:val="00C6110B"/>
    <w:rsid w:val="00C62A00"/>
    <w:rsid w:val="00C63F7C"/>
    <w:rsid w:val="00C7215A"/>
    <w:rsid w:val="00C75814"/>
    <w:rsid w:val="00C83055"/>
    <w:rsid w:val="00C9186F"/>
    <w:rsid w:val="00CA1C3F"/>
    <w:rsid w:val="00CA48A0"/>
    <w:rsid w:val="00CB10BC"/>
    <w:rsid w:val="00CC5312"/>
    <w:rsid w:val="00CD0996"/>
    <w:rsid w:val="00CD0F98"/>
    <w:rsid w:val="00CD70EB"/>
    <w:rsid w:val="00CF023D"/>
    <w:rsid w:val="00CF295D"/>
    <w:rsid w:val="00CF2ABA"/>
    <w:rsid w:val="00D02F02"/>
    <w:rsid w:val="00D07759"/>
    <w:rsid w:val="00D12206"/>
    <w:rsid w:val="00D204BF"/>
    <w:rsid w:val="00D22EF5"/>
    <w:rsid w:val="00D33B3A"/>
    <w:rsid w:val="00D4142C"/>
    <w:rsid w:val="00D470C5"/>
    <w:rsid w:val="00D60240"/>
    <w:rsid w:val="00D645DB"/>
    <w:rsid w:val="00D70A5E"/>
    <w:rsid w:val="00D73600"/>
    <w:rsid w:val="00D73723"/>
    <w:rsid w:val="00D81E12"/>
    <w:rsid w:val="00DA40FC"/>
    <w:rsid w:val="00DA4D9F"/>
    <w:rsid w:val="00DA5D17"/>
    <w:rsid w:val="00DA7694"/>
    <w:rsid w:val="00DB544A"/>
    <w:rsid w:val="00DB71F1"/>
    <w:rsid w:val="00DC42DE"/>
    <w:rsid w:val="00DC7243"/>
    <w:rsid w:val="00DD2F3D"/>
    <w:rsid w:val="00DD3D2A"/>
    <w:rsid w:val="00DD7BCB"/>
    <w:rsid w:val="00DE1C5D"/>
    <w:rsid w:val="00DE364E"/>
    <w:rsid w:val="00DE5AC3"/>
    <w:rsid w:val="00E048EA"/>
    <w:rsid w:val="00E05871"/>
    <w:rsid w:val="00E05B9C"/>
    <w:rsid w:val="00E11D7C"/>
    <w:rsid w:val="00E159C8"/>
    <w:rsid w:val="00E165FC"/>
    <w:rsid w:val="00E21FEA"/>
    <w:rsid w:val="00E312AA"/>
    <w:rsid w:val="00E33C12"/>
    <w:rsid w:val="00E372B8"/>
    <w:rsid w:val="00E408A9"/>
    <w:rsid w:val="00E455B7"/>
    <w:rsid w:val="00E46EDB"/>
    <w:rsid w:val="00E56CE7"/>
    <w:rsid w:val="00E5791A"/>
    <w:rsid w:val="00E6262B"/>
    <w:rsid w:val="00E6385A"/>
    <w:rsid w:val="00E6631C"/>
    <w:rsid w:val="00E72567"/>
    <w:rsid w:val="00E733C7"/>
    <w:rsid w:val="00E76853"/>
    <w:rsid w:val="00E826C6"/>
    <w:rsid w:val="00E84938"/>
    <w:rsid w:val="00E859F0"/>
    <w:rsid w:val="00EA26A3"/>
    <w:rsid w:val="00EB2DBB"/>
    <w:rsid w:val="00EB3A74"/>
    <w:rsid w:val="00EC34A0"/>
    <w:rsid w:val="00EC38B0"/>
    <w:rsid w:val="00EC550F"/>
    <w:rsid w:val="00ED0D45"/>
    <w:rsid w:val="00ED3B34"/>
    <w:rsid w:val="00ED65C0"/>
    <w:rsid w:val="00EE38DA"/>
    <w:rsid w:val="00EE5997"/>
    <w:rsid w:val="00EE6CFE"/>
    <w:rsid w:val="00EE6D53"/>
    <w:rsid w:val="00F00FEB"/>
    <w:rsid w:val="00F117C6"/>
    <w:rsid w:val="00F22251"/>
    <w:rsid w:val="00F3167F"/>
    <w:rsid w:val="00F326B3"/>
    <w:rsid w:val="00F4328B"/>
    <w:rsid w:val="00F466E1"/>
    <w:rsid w:val="00F52060"/>
    <w:rsid w:val="00F66B1B"/>
    <w:rsid w:val="00F712B3"/>
    <w:rsid w:val="00F7209B"/>
    <w:rsid w:val="00F7235E"/>
    <w:rsid w:val="00F72C1A"/>
    <w:rsid w:val="00F77C08"/>
    <w:rsid w:val="00F80937"/>
    <w:rsid w:val="00F855DD"/>
    <w:rsid w:val="00F915C5"/>
    <w:rsid w:val="00FA3359"/>
    <w:rsid w:val="00FA36CC"/>
    <w:rsid w:val="00FB3F41"/>
    <w:rsid w:val="00FB4B16"/>
    <w:rsid w:val="00FB6C42"/>
    <w:rsid w:val="00FC1793"/>
    <w:rsid w:val="00FC6ADD"/>
    <w:rsid w:val="00FD0565"/>
    <w:rsid w:val="00FD0726"/>
    <w:rsid w:val="00FD316B"/>
    <w:rsid w:val="00FD3D43"/>
    <w:rsid w:val="00FE520B"/>
    <w:rsid w:val="00FE636E"/>
    <w:rsid w:val="00FF31F5"/>
    <w:rsid w:val="00FF38A8"/>
    <w:rsid w:val="00FF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0D48D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45DB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7E7E00"/>
    <w:rPr>
      <w:rFonts w:ascii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7E7E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EndnoteReference">
    <w:name w:val="endnote reference"/>
    <w:semiHidden/>
    <w:rsid w:val="007E7E00"/>
    <w:rPr>
      <w:vertAlign w:val="superscript"/>
    </w:rPr>
  </w:style>
  <w:style w:type="table" w:styleId="TableContemporary">
    <w:name w:val="Table Contemporary"/>
    <w:aliases w:val="WP Table"/>
    <w:basedOn w:val="TableNormal"/>
    <w:unhideWhenUsed/>
    <w:rsid w:val="000B6542"/>
    <w:pPr>
      <w:spacing w:after="0"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Spacing">
    <w:name w:val="No Spacing"/>
    <w:uiPriority w:val="1"/>
    <w:qFormat/>
    <w:rsid w:val="00D4142C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90F97"/>
    <w:rPr>
      <w:color w:val="800080" w:themeColor="followedHyperlink"/>
      <w:u w:val="single"/>
    </w:rPr>
  </w:style>
  <w:style w:type="paragraph" w:customStyle="1" w:styleId="WorkpaperName">
    <w:name w:val="Workpaper Name"/>
    <w:basedOn w:val="Normal"/>
    <w:qFormat/>
    <w:rsid w:val="00C477CA"/>
    <w:rPr>
      <w:rFonts w:cstheme="minorHAnsi"/>
      <w:b/>
      <w:sz w:val="72"/>
      <w:szCs w:val="72"/>
    </w:rPr>
  </w:style>
  <w:style w:type="paragraph" w:customStyle="1" w:styleId="Reminder">
    <w:name w:val="Reminder"/>
    <w:basedOn w:val="Reminders"/>
    <w:link w:val="ReminderChar"/>
    <w:rsid w:val="002D6173"/>
  </w:style>
  <w:style w:type="character" w:customStyle="1" w:styleId="ReminderChar">
    <w:name w:val="Reminder Char"/>
    <w:basedOn w:val="RemindersChar"/>
    <w:link w:val="Reminder"/>
    <w:rsid w:val="002D6173"/>
    <w:rPr>
      <w:rFonts w:ascii="Trebuchet MS" w:eastAsia="Times New Roman" w:hAnsi="Trebuchet MS" w:cs="Times New Roman"/>
      <w:i/>
      <w:color w:val="FF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tmp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tmp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tmp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tmp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B7343D7-4615-40F7-9D94-923EF484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2018-03-06T00:14:00Z</dcterms:created>
  <dcterms:modified xsi:type="dcterms:W3CDTF">2018-03-06T00:16:00Z</dcterms:modified>
</cp:coreProperties>
</file>