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19CA" w:rsidRPr="00500C4E" w:rsidRDefault="00E6385A" w:rsidP="000E19CA">
      <w:pPr>
        <w:pStyle w:val="WPnumber"/>
      </w:pPr>
      <w:bookmarkStart w:id="0" w:name="_Toc153189647"/>
      <w:r>
        <w:t xml:space="preserve">Short Form </w:t>
      </w:r>
      <w:r w:rsidR="00F117C6" w:rsidRPr="00500C4E">
        <w:t>Work Paper</w:t>
      </w:r>
      <w:r>
        <w:t xml:space="preserve"> </w:t>
      </w:r>
      <w:r w:rsidR="00FA3359" w:rsidRPr="00FA3359">
        <w:t>WPSDGE</w:t>
      </w:r>
      <w:r w:rsidR="00123B74" w:rsidRPr="00123B74">
        <w:t>NRLG0106</w:t>
      </w:r>
    </w:p>
    <w:p w:rsidR="00E6385A" w:rsidRPr="00500C4E" w:rsidRDefault="00E6385A" w:rsidP="00F117C6">
      <w:pPr>
        <w:pStyle w:val="WPnumber"/>
      </w:pPr>
      <w:r>
        <w:tab/>
      </w:r>
      <w:r w:rsidR="000E19CA">
        <w:rPr>
          <w:rStyle w:val="CaptionChar"/>
          <w:b/>
          <w:bCs w:val="0"/>
        </w:rPr>
        <w:t xml:space="preserve">Revision </w:t>
      </w:r>
      <w:r w:rsidR="00B1624B">
        <w:rPr>
          <w:rStyle w:val="CaptionChar"/>
          <w:b/>
          <w:bCs w:val="0"/>
        </w:rPr>
        <w:t>5</w:t>
      </w:r>
    </w:p>
    <w:bookmarkEnd w:id="0"/>
    <w:p w:rsidR="00F117C6" w:rsidRPr="00500C4E" w:rsidRDefault="00F117C6" w:rsidP="00F117C6">
      <w:pPr>
        <w:jc w:val="right"/>
        <w:rPr>
          <w:rFonts w:cstheme="minorHAnsi"/>
          <w:b/>
          <w:sz w:val="48"/>
          <w:szCs w:val="48"/>
        </w:rPr>
      </w:pPr>
    </w:p>
    <w:p w:rsidR="00E6385A" w:rsidRPr="00E6385A" w:rsidRDefault="006875B3" w:rsidP="00E6385A">
      <w:pPr>
        <w:pBdr>
          <w:bottom w:val="single" w:sz="4" w:space="1" w:color="auto"/>
        </w:pBdr>
        <w:rPr>
          <w:rFonts w:cstheme="minorHAnsi"/>
          <w:b/>
          <w:sz w:val="36"/>
          <w:szCs w:val="36"/>
        </w:rPr>
      </w:pPr>
      <w:r>
        <w:rPr>
          <w:rFonts w:cstheme="minorHAnsi"/>
          <w:b/>
          <w:sz w:val="36"/>
          <w:szCs w:val="36"/>
        </w:rPr>
        <w:t>San Diego Gas &amp; Electric</w:t>
      </w:r>
    </w:p>
    <w:p w:rsidR="00E6385A" w:rsidRPr="00E6385A" w:rsidRDefault="00E6385A" w:rsidP="00E6385A">
      <w:pPr>
        <w:rPr>
          <w:rFonts w:cstheme="minorHAnsi"/>
          <w:b/>
          <w:sz w:val="32"/>
        </w:rPr>
      </w:pPr>
      <w:r w:rsidRPr="00E6385A">
        <w:rPr>
          <w:rFonts w:cstheme="minorHAnsi"/>
          <w:b/>
          <w:sz w:val="32"/>
        </w:rPr>
        <w:t>Energy Efficiency Engineering</w:t>
      </w:r>
    </w:p>
    <w:p w:rsidR="00F117C6" w:rsidRPr="00500C4E" w:rsidRDefault="00F117C6" w:rsidP="00F117C6">
      <w:pPr>
        <w:rPr>
          <w:rFonts w:cstheme="minorHAnsi"/>
        </w:rPr>
      </w:pPr>
    </w:p>
    <w:p w:rsidR="00F117C6" w:rsidRPr="00500C4E" w:rsidRDefault="00F117C6" w:rsidP="00F117C6">
      <w:pPr>
        <w:tabs>
          <w:tab w:val="left" w:pos="8190"/>
        </w:tabs>
        <w:rPr>
          <w:rFonts w:cstheme="minorHAnsi"/>
        </w:rPr>
      </w:pPr>
      <w:r w:rsidRPr="00500C4E">
        <w:rPr>
          <w:rFonts w:cstheme="minorHAnsi"/>
        </w:rPr>
        <w:tab/>
      </w:r>
    </w:p>
    <w:p w:rsidR="00F117C6" w:rsidRPr="00500C4E" w:rsidRDefault="00F117C6" w:rsidP="00F117C6">
      <w:pPr>
        <w:rPr>
          <w:rFonts w:cstheme="minorHAnsi"/>
        </w:rPr>
      </w:pPr>
    </w:p>
    <w:p w:rsidR="00F117C6" w:rsidRPr="00500C4E" w:rsidRDefault="00F117C6" w:rsidP="00F117C6">
      <w:pPr>
        <w:rPr>
          <w:rFonts w:cstheme="minorHAnsi"/>
        </w:rPr>
      </w:pPr>
    </w:p>
    <w:p w:rsidR="00F117C6" w:rsidRPr="00500C4E" w:rsidRDefault="00F117C6" w:rsidP="00F117C6">
      <w:pPr>
        <w:rPr>
          <w:rFonts w:cstheme="minorHAnsi"/>
        </w:rPr>
      </w:pPr>
    </w:p>
    <w:p w:rsidR="00F117C6" w:rsidRPr="00500C4E" w:rsidRDefault="00F117C6" w:rsidP="00F117C6">
      <w:pPr>
        <w:rPr>
          <w:rFonts w:cstheme="minorHAnsi"/>
        </w:rPr>
      </w:pPr>
    </w:p>
    <w:p w:rsidR="00F117C6" w:rsidRPr="00500C4E" w:rsidRDefault="00F117C6" w:rsidP="00F117C6">
      <w:pPr>
        <w:rPr>
          <w:rFonts w:cstheme="minorHAnsi"/>
        </w:rPr>
      </w:pPr>
    </w:p>
    <w:p w:rsidR="000E19CA" w:rsidRDefault="00123B74" w:rsidP="00884B9C">
      <w:pPr>
        <w:rPr>
          <w:rFonts w:cstheme="minorHAnsi"/>
          <w:b/>
          <w:sz w:val="28"/>
          <w:szCs w:val="28"/>
        </w:rPr>
      </w:pPr>
      <w:r>
        <w:rPr>
          <w:b/>
          <w:sz w:val="72"/>
          <w:szCs w:val="72"/>
        </w:rPr>
        <w:t>Integral LED Lamps</w:t>
      </w: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E372B8" w:rsidRDefault="00E372B8" w:rsidP="000E19CA">
      <w:pPr>
        <w:jc w:val="right"/>
        <w:rPr>
          <w:rFonts w:cstheme="minorHAnsi"/>
          <w:b/>
          <w:sz w:val="28"/>
          <w:szCs w:val="28"/>
        </w:rPr>
      </w:pPr>
    </w:p>
    <w:p w:rsidR="00E372B8" w:rsidRDefault="000158AB" w:rsidP="00241A1F">
      <w:pPr>
        <w:jc w:val="right"/>
        <w:rPr>
          <w:rFonts w:cstheme="minorHAnsi"/>
          <w:b/>
          <w:sz w:val="28"/>
          <w:szCs w:val="28"/>
        </w:rPr>
      </w:pPr>
      <w:r>
        <w:rPr>
          <w:rFonts w:cstheme="minorHAnsi"/>
          <w:b/>
          <w:sz w:val="28"/>
          <w:szCs w:val="28"/>
        </w:rPr>
        <w:t>June 30, 2017</w:t>
      </w:r>
    </w:p>
    <w:p w:rsidR="00E372B8" w:rsidRPr="000F72EF" w:rsidRDefault="00E372B8" w:rsidP="00241A1F">
      <w:pPr>
        <w:jc w:val="right"/>
        <w:rPr>
          <w:rFonts w:cstheme="minorHAnsi"/>
          <w:b/>
          <w:sz w:val="72"/>
          <w:szCs w:val="72"/>
        </w:rPr>
        <w:sectPr w:rsidR="00E372B8" w:rsidRPr="000F72EF" w:rsidSect="00241A1F">
          <w:footerReference w:type="default" r:id="rId9"/>
          <w:pgSz w:w="12240" w:h="15840"/>
          <w:pgMar w:top="1440" w:right="1440" w:bottom="1440" w:left="1440" w:header="720" w:footer="720" w:gutter="0"/>
          <w:cols w:space="720"/>
          <w:titlePg/>
          <w:docGrid w:linePitch="360"/>
        </w:sectPr>
      </w:pPr>
    </w:p>
    <w:p w:rsidR="00FE520B" w:rsidRDefault="0059117D" w:rsidP="00FE520B">
      <w:pPr>
        <w:pStyle w:val="Heading1"/>
      </w:pPr>
      <w:r>
        <w:lastRenderedPageBreak/>
        <w:t xml:space="preserve">SDG&amp;E </w:t>
      </w:r>
      <w:r w:rsidR="00123B74" w:rsidRPr="00123B74">
        <w:t>Integral LED Lamps</w:t>
      </w:r>
    </w:p>
    <w:p w:rsidR="00413EF4" w:rsidRDefault="00413EF4" w:rsidP="00413EF4">
      <w:pPr>
        <w:pStyle w:val="Heading2"/>
      </w:pPr>
      <w:r>
        <w:t>Introduction</w:t>
      </w:r>
    </w:p>
    <w:p w:rsidR="003B18D4" w:rsidRPr="003B18D4" w:rsidRDefault="003B18D4" w:rsidP="003B18D4">
      <w:pPr>
        <w:jc w:val="both"/>
        <w:rPr>
          <w:szCs w:val="22"/>
        </w:rPr>
      </w:pPr>
      <w:r w:rsidRPr="003B18D4">
        <w:rPr>
          <w:szCs w:val="22"/>
        </w:rPr>
        <w:t>This short form workpaper (WP) documents the updates addressing the May 26, 2017 screw-in lighting disposition.  The updates include creating new measure codes that are based on EISA bins and CEC spec for A-lamps.  The bins also define new LPW requirement and delta watt methodology for A-lamps.  Changes to the measure and baseline costs for A-lamps are also included.  For reflector lamps, there were updates to both savings and base costs.  SDG&amp;E adopts PG&amp;E’s PGECOLTG165 R4 LED A-lamps, base costs but utilize its own MSRPs costs from its contracted manufacturer</w:t>
      </w:r>
      <w:r>
        <w:rPr>
          <w:szCs w:val="22"/>
        </w:rPr>
        <w:t>/distributor for both A-lamps and reflectors.</w:t>
      </w:r>
    </w:p>
    <w:p w:rsidR="00B57F32" w:rsidRDefault="00B57F32" w:rsidP="00B57F32">
      <w:pPr>
        <w:pStyle w:val="Heading2"/>
      </w:pPr>
      <w:r w:rsidRPr="005734A4">
        <w:t>Document Revision History</w:t>
      </w:r>
      <w:r w:rsidRPr="0025216C">
        <w:t xml:space="preserve"> </w:t>
      </w:r>
    </w:p>
    <w:tbl>
      <w:tblPr>
        <w:tblStyle w:val="TableGrid11"/>
        <w:tblW w:w="5000" w:type="pct"/>
        <w:tblLook w:val="01E0" w:firstRow="1" w:lastRow="1" w:firstColumn="1" w:lastColumn="1" w:noHBand="0" w:noVBand="0"/>
      </w:tblPr>
      <w:tblGrid>
        <w:gridCol w:w="524"/>
        <w:gridCol w:w="1266"/>
        <w:gridCol w:w="1754"/>
        <w:gridCol w:w="5806"/>
      </w:tblGrid>
      <w:tr w:rsidR="00B57F32" w:rsidRPr="00500C4E" w:rsidTr="00241A1F">
        <w:trPr>
          <w:trHeight w:val="20"/>
        </w:trPr>
        <w:tc>
          <w:tcPr>
            <w:tcW w:w="274" w:type="pct"/>
            <w:shd w:val="clear" w:color="auto" w:fill="D9D9D9" w:themeFill="background1" w:themeFillShade="D9"/>
          </w:tcPr>
          <w:p w:rsidR="00B57F32" w:rsidRPr="000E2B6B" w:rsidRDefault="00B57F32" w:rsidP="00393EC8">
            <w:pPr>
              <w:rPr>
                <w:rStyle w:val="Strong"/>
                <w:bCs w:val="0"/>
              </w:rPr>
            </w:pPr>
            <w:r w:rsidRPr="000E2B6B">
              <w:rPr>
                <w:rStyle w:val="Strong"/>
              </w:rPr>
              <w:t>Rev</w:t>
            </w:r>
          </w:p>
        </w:tc>
        <w:tc>
          <w:tcPr>
            <w:tcW w:w="684" w:type="pct"/>
            <w:shd w:val="clear" w:color="auto" w:fill="D9D9D9" w:themeFill="background1" w:themeFillShade="D9"/>
          </w:tcPr>
          <w:p w:rsidR="00B57F32" w:rsidRPr="000E2B6B" w:rsidRDefault="00B57F32" w:rsidP="00393EC8">
            <w:pPr>
              <w:rPr>
                <w:rStyle w:val="Strong"/>
                <w:bCs w:val="0"/>
              </w:rPr>
            </w:pPr>
            <w:r w:rsidRPr="000E2B6B">
              <w:rPr>
                <w:rStyle w:val="Strong"/>
              </w:rPr>
              <w:t>Date</w:t>
            </w:r>
          </w:p>
        </w:tc>
        <w:tc>
          <w:tcPr>
            <w:tcW w:w="931" w:type="pct"/>
            <w:shd w:val="clear" w:color="auto" w:fill="D9D9D9" w:themeFill="background1" w:themeFillShade="D9"/>
          </w:tcPr>
          <w:p w:rsidR="00B57F32" w:rsidRPr="000E2B6B" w:rsidRDefault="00B57F32" w:rsidP="00393EC8">
            <w:pPr>
              <w:rPr>
                <w:rStyle w:val="Strong"/>
                <w:bCs w:val="0"/>
              </w:rPr>
            </w:pPr>
            <w:r w:rsidRPr="000E2B6B">
              <w:rPr>
                <w:rStyle w:val="Strong"/>
              </w:rPr>
              <w:t>Author</w:t>
            </w:r>
          </w:p>
        </w:tc>
        <w:tc>
          <w:tcPr>
            <w:tcW w:w="3111" w:type="pct"/>
            <w:shd w:val="clear" w:color="auto" w:fill="D9D9D9" w:themeFill="background1" w:themeFillShade="D9"/>
          </w:tcPr>
          <w:p w:rsidR="00B57F32" w:rsidRPr="000E2B6B" w:rsidRDefault="00B57F32" w:rsidP="00393EC8">
            <w:pPr>
              <w:rPr>
                <w:rStyle w:val="Strong"/>
                <w:bCs w:val="0"/>
              </w:rPr>
            </w:pPr>
            <w:r w:rsidRPr="000E2B6B">
              <w:rPr>
                <w:rStyle w:val="Strong"/>
              </w:rPr>
              <w:t>Summary of Changes</w:t>
            </w:r>
          </w:p>
        </w:tc>
      </w:tr>
      <w:tr w:rsidR="00884B9C" w:rsidRPr="00500C4E" w:rsidTr="00241A1F">
        <w:trPr>
          <w:trHeight w:val="20"/>
        </w:trPr>
        <w:tc>
          <w:tcPr>
            <w:tcW w:w="274" w:type="pct"/>
          </w:tcPr>
          <w:p w:rsidR="00884B9C" w:rsidRPr="000E2B6B" w:rsidRDefault="00762D81">
            <w:pPr>
              <w:jc w:val="center"/>
              <w:rPr>
                <w:rFonts w:cstheme="minorHAnsi"/>
                <w:szCs w:val="20"/>
              </w:rPr>
            </w:pPr>
            <w:r>
              <w:t>0</w:t>
            </w:r>
          </w:p>
        </w:tc>
        <w:tc>
          <w:tcPr>
            <w:tcW w:w="684" w:type="pct"/>
          </w:tcPr>
          <w:p w:rsidR="00884B9C" w:rsidRPr="000E2B6B" w:rsidRDefault="00123B74" w:rsidP="00393EC8">
            <w:pPr>
              <w:jc w:val="center"/>
              <w:rPr>
                <w:rFonts w:cstheme="minorHAnsi"/>
                <w:szCs w:val="20"/>
              </w:rPr>
            </w:pPr>
            <w:r>
              <w:t>02/17/2012</w:t>
            </w:r>
          </w:p>
        </w:tc>
        <w:tc>
          <w:tcPr>
            <w:tcW w:w="931" w:type="pct"/>
          </w:tcPr>
          <w:p w:rsidR="00884B9C" w:rsidRPr="000E2B6B" w:rsidRDefault="00123B74" w:rsidP="00393EC8">
            <w:pPr>
              <w:rPr>
                <w:rFonts w:cstheme="minorHAnsi"/>
                <w:szCs w:val="20"/>
              </w:rPr>
            </w:pPr>
            <w:r>
              <w:t>Charles Harmstead/SDGE</w:t>
            </w:r>
          </w:p>
        </w:tc>
        <w:tc>
          <w:tcPr>
            <w:tcW w:w="3111" w:type="pct"/>
          </w:tcPr>
          <w:p w:rsidR="00884B9C" w:rsidRPr="005734A4" w:rsidRDefault="00123B74" w:rsidP="00762D81">
            <w:pPr>
              <w:rPr>
                <w:rFonts w:cstheme="minorHAnsi"/>
                <w:szCs w:val="20"/>
              </w:rPr>
            </w:pPr>
            <w:r>
              <w:t xml:space="preserve">Original work paper adapted from SCE work </w:t>
            </w:r>
            <w:proofErr w:type="gramStart"/>
            <w:r>
              <w:t>paper  WPSCNRLF</w:t>
            </w:r>
            <w:proofErr w:type="gramEnd"/>
            <w:r>
              <w:t>0106 -1. For SDGE climate zones and DEER V 3.02 Interactive effects</w:t>
            </w:r>
          </w:p>
        </w:tc>
      </w:tr>
      <w:tr w:rsidR="00123B74" w:rsidRPr="00500C4E" w:rsidTr="00241A1F">
        <w:trPr>
          <w:trHeight w:val="20"/>
        </w:trPr>
        <w:tc>
          <w:tcPr>
            <w:tcW w:w="274" w:type="pct"/>
          </w:tcPr>
          <w:p w:rsidR="00123B74" w:rsidRPr="000E2B6B" w:rsidRDefault="00123B74">
            <w:pPr>
              <w:jc w:val="center"/>
              <w:rPr>
                <w:rStyle w:val="Strong"/>
                <w:b w:val="0"/>
              </w:rPr>
            </w:pPr>
            <w:r>
              <w:t>1</w:t>
            </w:r>
          </w:p>
        </w:tc>
        <w:tc>
          <w:tcPr>
            <w:tcW w:w="684" w:type="pct"/>
          </w:tcPr>
          <w:p w:rsidR="00123B74" w:rsidRDefault="00123B74" w:rsidP="00123B74">
            <w:pPr>
              <w:jc w:val="center"/>
              <w:rPr>
                <w:rFonts w:cstheme="minorHAnsi"/>
                <w:i/>
                <w:szCs w:val="20"/>
              </w:rPr>
            </w:pPr>
            <w:r>
              <w:rPr>
                <w:szCs w:val="20"/>
              </w:rPr>
              <w:t>6/25/2012</w:t>
            </w:r>
          </w:p>
          <w:p w:rsidR="00123B74" w:rsidRPr="000E2B6B" w:rsidRDefault="00123B74" w:rsidP="00393EC8">
            <w:pPr>
              <w:jc w:val="center"/>
              <w:rPr>
                <w:rStyle w:val="Strong"/>
                <w:b w:val="0"/>
              </w:rPr>
            </w:pPr>
          </w:p>
        </w:tc>
        <w:tc>
          <w:tcPr>
            <w:tcW w:w="931" w:type="pct"/>
          </w:tcPr>
          <w:p w:rsidR="00123B74" w:rsidRPr="000E2B6B" w:rsidRDefault="00123B74" w:rsidP="000969FD">
            <w:pPr>
              <w:rPr>
                <w:rFonts w:cstheme="minorHAnsi"/>
                <w:szCs w:val="20"/>
              </w:rPr>
            </w:pPr>
            <w:r>
              <w:t>Charles Harmstead/SDGE</w:t>
            </w:r>
          </w:p>
        </w:tc>
        <w:tc>
          <w:tcPr>
            <w:tcW w:w="3111" w:type="pct"/>
          </w:tcPr>
          <w:p w:rsidR="00123B74" w:rsidRPr="00762D81" w:rsidRDefault="00123B74" w:rsidP="00762D81">
            <w:pPr>
              <w:rPr>
                <w:rStyle w:val="Strong"/>
                <w:b w:val="0"/>
                <w:szCs w:val="20"/>
              </w:rPr>
            </w:pPr>
            <w:r>
              <w:t>Revised NTGR to DEER 2011. Revised Wattage Savings per CPUC ED direction.  Added attachment defining revised  incremental costs</w:t>
            </w:r>
          </w:p>
        </w:tc>
      </w:tr>
      <w:tr w:rsidR="00123B74" w:rsidRPr="00500C4E" w:rsidTr="00241A1F">
        <w:trPr>
          <w:trHeight w:val="20"/>
        </w:trPr>
        <w:tc>
          <w:tcPr>
            <w:tcW w:w="274" w:type="pct"/>
          </w:tcPr>
          <w:p w:rsidR="00123B74" w:rsidRPr="00F2079F" w:rsidRDefault="00123B74" w:rsidP="008C2C8A">
            <w:pPr>
              <w:jc w:val="center"/>
            </w:pPr>
            <w:r>
              <w:t>2</w:t>
            </w:r>
          </w:p>
        </w:tc>
        <w:tc>
          <w:tcPr>
            <w:tcW w:w="684" w:type="pct"/>
          </w:tcPr>
          <w:p w:rsidR="00123B74" w:rsidRDefault="00123B74" w:rsidP="00393EC8">
            <w:pPr>
              <w:jc w:val="center"/>
              <w:rPr>
                <w:szCs w:val="20"/>
              </w:rPr>
            </w:pPr>
            <w:r>
              <w:t>01/30/2014</w:t>
            </w:r>
          </w:p>
        </w:tc>
        <w:tc>
          <w:tcPr>
            <w:tcW w:w="931" w:type="pct"/>
          </w:tcPr>
          <w:p w:rsidR="00123B74" w:rsidRDefault="00123B74" w:rsidP="00393EC8">
            <w:pPr>
              <w:rPr>
                <w:szCs w:val="20"/>
              </w:rPr>
            </w:pPr>
            <w:r>
              <w:t>Phillip Hasley/Hasley Consulting</w:t>
            </w:r>
          </w:p>
        </w:tc>
        <w:tc>
          <w:tcPr>
            <w:tcW w:w="3111" w:type="pct"/>
          </w:tcPr>
          <w:p w:rsidR="00123B74" w:rsidRDefault="00123B74" w:rsidP="00123B74">
            <w:r>
              <w:t>Updated to new Template.</w:t>
            </w:r>
          </w:p>
          <w:p w:rsidR="00123B74" w:rsidRDefault="00123B74" w:rsidP="00123B74">
            <w:r>
              <w:t>-Added PAR-20, Globe, Candelabra and R-30 lamps</w:t>
            </w:r>
          </w:p>
          <w:p w:rsidR="00123B74" w:rsidRDefault="00123B74" w:rsidP="00123B74">
            <w:r>
              <w:t xml:space="preserve">-Revised measure savings calculation methodology per CPUC ED Disposition </w:t>
            </w:r>
          </w:p>
          <w:p w:rsidR="00123B74" w:rsidRPr="006A478E" w:rsidRDefault="00123B74" w:rsidP="00123B74">
            <w:pPr>
              <w:rPr>
                <w:bCs/>
                <w:szCs w:val="20"/>
              </w:rPr>
            </w:pPr>
            <w:r>
              <w:t>-Updated EUL per CPUC ED Disposition</w:t>
            </w:r>
          </w:p>
        </w:tc>
      </w:tr>
      <w:tr w:rsidR="00123B74" w:rsidRPr="00500C4E" w:rsidTr="00241A1F">
        <w:trPr>
          <w:trHeight w:val="20"/>
        </w:trPr>
        <w:tc>
          <w:tcPr>
            <w:tcW w:w="274" w:type="pct"/>
          </w:tcPr>
          <w:p w:rsidR="00123B74" w:rsidRDefault="00123B74" w:rsidP="008C2C8A">
            <w:pPr>
              <w:jc w:val="center"/>
            </w:pPr>
            <w:r>
              <w:t>3</w:t>
            </w:r>
          </w:p>
        </w:tc>
        <w:tc>
          <w:tcPr>
            <w:tcW w:w="684" w:type="pct"/>
          </w:tcPr>
          <w:p w:rsidR="00123B74" w:rsidRDefault="00123B74" w:rsidP="00393EC8">
            <w:pPr>
              <w:jc w:val="center"/>
              <w:rPr>
                <w:szCs w:val="20"/>
              </w:rPr>
            </w:pPr>
            <w:r>
              <w:t>06/25/2014</w:t>
            </w:r>
          </w:p>
        </w:tc>
        <w:tc>
          <w:tcPr>
            <w:tcW w:w="931" w:type="pct"/>
          </w:tcPr>
          <w:p w:rsidR="00123B74" w:rsidRDefault="00123B74" w:rsidP="00393EC8">
            <w:pPr>
              <w:rPr>
                <w:szCs w:val="20"/>
              </w:rPr>
            </w:pPr>
            <w:r>
              <w:t>Phillip Hasley/Hasley Consulting</w:t>
            </w:r>
          </w:p>
        </w:tc>
        <w:tc>
          <w:tcPr>
            <w:tcW w:w="3111" w:type="pct"/>
          </w:tcPr>
          <w:p w:rsidR="006A0F17" w:rsidRDefault="006A0F17" w:rsidP="006A0F17">
            <w:r>
              <w:t>-Updated energy and demand savings calculations using the DEER 2014 Lighting HVAC Interactive Effects workbook [D] and updated measure wattages based on May 30, 2014 lighting disposition for all applicable integral LED installation applications.</w:t>
            </w:r>
          </w:p>
          <w:p w:rsidR="006A0F17" w:rsidRDefault="006A0F17" w:rsidP="006A0F17"/>
          <w:p w:rsidR="006A0F17" w:rsidRDefault="006A0F17" w:rsidP="006A0F17">
            <w:r>
              <w:t>-Updated GSIA ID and Load Shape ID</w:t>
            </w:r>
          </w:p>
          <w:p w:rsidR="006A0F17" w:rsidRDefault="006A0F17" w:rsidP="006A0F17"/>
          <w:p w:rsidR="006A0F17" w:rsidRDefault="006A0F17" w:rsidP="006A0F17">
            <w:r>
              <w:t>-Updated EUL discussion to reference EUL IDs provided by the CPUC</w:t>
            </w:r>
          </w:p>
          <w:p w:rsidR="00123B74" w:rsidRDefault="00123B74" w:rsidP="00DB544A">
            <w:pPr>
              <w:rPr>
                <w:bCs/>
                <w:szCs w:val="20"/>
              </w:rPr>
            </w:pPr>
          </w:p>
        </w:tc>
      </w:tr>
      <w:tr w:rsidR="00123B74" w:rsidRPr="00500C4E" w:rsidTr="00241A1F">
        <w:trPr>
          <w:trHeight w:val="20"/>
        </w:trPr>
        <w:tc>
          <w:tcPr>
            <w:tcW w:w="274" w:type="pct"/>
          </w:tcPr>
          <w:p w:rsidR="00123B74" w:rsidRDefault="00123B74" w:rsidP="008C2C8A">
            <w:pPr>
              <w:jc w:val="center"/>
            </w:pPr>
            <w:r>
              <w:t>4</w:t>
            </w:r>
          </w:p>
        </w:tc>
        <w:tc>
          <w:tcPr>
            <w:tcW w:w="684" w:type="pct"/>
          </w:tcPr>
          <w:p w:rsidR="00123B74" w:rsidRDefault="00123B74" w:rsidP="00123B74">
            <w:pPr>
              <w:jc w:val="center"/>
              <w:rPr>
                <w:szCs w:val="20"/>
              </w:rPr>
            </w:pPr>
            <w:r>
              <w:rPr>
                <w:szCs w:val="20"/>
              </w:rPr>
              <w:t>12/29/2016</w:t>
            </w:r>
          </w:p>
        </w:tc>
        <w:tc>
          <w:tcPr>
            <w:tcW w:w="931" w:type="pct"/>
          </w:tcPr>
          <w:p w:rsidR="00123B74" w:rsidRDefault="00123B74" w:rsidP="00393EC8">
            <w:pPr>
              <w:rPr>
                <w:szCs w:val="20"/>
              </w:rPr>
            </w:pPr>
            <w:r>
              <w:rPr>
                <w:szCs w:val="20"/>
              </w:rPr>
              <w:t>Kelvin Valenzuela/SDG&amp;E</w:t>
            </w:r>
            <w:r w:rsidR="008E71C1">
              <w:rPr>
                <w:szCs w:val="20"/>
              </w:rPr>
              <w:t xml:space="preserve"> &amp; Mark McNulty Consulting</w:t>
            </w:r>
          </w:p>
        </w:tc>
        <w:tc>
          <w:tcPr>
            <w:tcW w:w="3111" w:type="pct"/>
          </w:tcPr>
          <w:p w:rsidR="00123B74" w:rsidRDefault="008E71C1" w:rsidP="009269CE">
            <w:pPr>
              <w:rPr>
                <w:bCs/>
                <w:szCs w:val="20"/>
              </w:rPr>
            </w:pPr>
            <w:r>
              <w:rPr>
                <w:bCs/>
                <w:szCs w:val="20"/>
              </w:rPr>
              <w:t>-Updated integral LED lamp impacts from READI.</w:t>
            </w:r>
          </w:p>
          <w:p w:rsidR="008E71C1" w:rsidRDefault="008E71C1" w:rsidP="009269CE">
            <w:pPr>
              <w:rPr>
                <w:bCs/>
                <w:szCs w:val="20"/>
              </w:rPr>
            </w:pPr>
            <w:r>
              <w:rPr>
                <w:bCs/>
                <w:szCs w:val="20"/>
              </w:rPr>
              <w:t>-Updated integral LED lamp impacts with supporting documentation, where data is not available in READI</w:t>
            </w:r>
          </w:p>
          <w:p w:rsidR="008E71C1" w:rsidRDefault="008E71C1" w:rsidP="009269CE">
            <w:pPr>
              <w:rPr>
                <w:bCs/>
                <w:szCs w:val="20"/>
              </w:rPr>
            </w:pPr>
            <w:r>
              <w:rPr>
                <w:bCs/>
                <w:szCs w:val="20"/>
              </w:rPr>
              <w:t>-Updated costs</w:t>
            </w:r>
          </w:p>
        </w:tc>
      </w:tr>
      <w:tr w:rsidR="00B1624B" w:rsidRPr="00500C4E" w:rsidTr="00241A1F">
        <w:trPr>
          <w:trHeight w:val="20"/>
        </w:trPr>
        <w:tc>
          <w:tcPr>
            <w:tcW w:w="274" w:type="pct"/>
          </w:tcPr>
          <w:p w:rsidR="00B1624B" w:rsidRDefault="00B1624B" w:rsidP="008C2C8A">
            <w:pPr>
              <w:jc w:val="center"/>
            </w:pPr>
            <w:r>
              <w:t>5</w:t>
            </w:r>
          </w:p>
        </w:tc>
        <w:tc>
          <w:tcPr>
            <w:tcW w:w="684" w:type="pct"/>
          </w:tcPr>
          <w:p w:rsidR="00B1624B" w:rsidRDefault="00B1624B" w:rsidP="00123B74">
            <w:pPr>
              <w:jc w:val="center"/>
              <w:rPr>
                <w:szCs w:val="20"/>
              </w:rPr>
            </w:pPr>
            <w:r>
              <w:rPr>
                <w:szCs w:val="20"/>
              </w:rPr>
              <w:t>6/30/2017</w:t>
            </w:r>
          </w:p>
        </w:tc>
        <w:tc>
          <w:tcPr>
            <w:tcW w:w="931" w:type="pct"/>
          </w:tcPr>
          <w:p w:rsidR="00B1624B" w:rsidRDefault="00B1624B" w:rsidP="00393EC8">
            <w:pPr>
              <w:rPr>
                <w:szCs w:val="20"/>
              </w:rPr>
            </w:pPr>
            <w:r>
              <w:rPr>
                <w:szCs w:val="20"/>
              </w:rPr>
              <w:t>Kelvin Valenzuela/SDGE</w:t>
            </w:r>
          </w:p>
        </w:tc>
        <w:tc>
          <w:tcPr>
            <w:tcW w:w="3111" w:type="pct"/>
          </w:tcPr>
          <w:p w:rsidR="00B1624B" w:rsidRDefault="00B1624B" w:rsidP="009269CE">
            <w:pPr>
              <w:rPr>
                <w:bCs/>
                <w:szCs w:val="20"/>
              </w:rPr>
            </w:pPr>
            <w:r>
              <w:rPr>
                <w:bCs/>
                <w:szCs w:val="20"/>
              </w:rPr>
              <w:t>-Updated for May 26, 2017 screw-in lighting disposition.</w:t>
            </w:r>
          </w:p>
          <w:p w:rsidR="00B1624B" w:rsidRDefault="00B1624B" w:rsidP="009269CE">
            <w:pPr>
              <w:rPr>
                <w:bCs/>
                <w:szCs w:val="20"/>
              </w:rPr>
            </w:pPr>
            <w:r>
              <w:rPr>
                <w:bCs/>
                <w:szCs w:val="20"/>
              </w:rPr>
              <w:t>-Created new measure codes, savings, and costs to account for EISA bin and CEC Specification</w:t>
            </w:r>
          </w:p>
          <w:p w:rsidR="00B1624B" w:rsidRDefault="00B1624B" w:rsidP="009269CE">
            <w:pPr>
              <w:rPr>
                <w:bCs/>
                <w:szCs w:val="20"/>
              </w:rPr>
            </w:pPr>
            <w:r>
              <w:rPr>
                <w:bCs/>
                <w:szCs w:val="20"/>
              </w:rPr>
              <w:t>-Adjusted savings</w:t>
            </w:r>
            <w:r w:rsidR="000158AB">
              <w:rPr>
                <w:bCs/>
                <w:szCs w:val="20"/>
              </w:rPr>
              <w:t xml:space="preserve"> and baseline costs</w:t>
            </w:r>
            <w:r>
              <w:rPr>
                <w:bCs/>
                <w:szCs w:val="20"/>
              </w:rPr>
              <w:t xml:space="preserve"> for “reflector” lamps based on revised WRR</w:t>
            </w:r>
          </w:p>
          <w:p w:rsidR="00B1624B" w:rsidRDefault="00B1624B" w:rsidP="009269CE">
            <w:pPr>
              <w:rPr>
                <w:bCs/>
                <w:szCs w:val="20"/>
              </w:rPr>
            </w:pPr>
            <w:r>
              <w:rPr>
                <w:bCs/>
                <w:szCs w:val="20"/>
              </w:rPr>
              <w:t>-SDG&amp;E used actual MSRP costs from contracted manufacturer/distributor</w:t>
            </w:r>
            <w:r w:rsidR="000158AB">
              <w:rPr>
                <w:bCs/>
                <w:szCs w:val="20"/>
              </w:rPr>
              <w:t xml:space="preserve"> to create new measure costs</w:t>
            </w:r>
          </w:p>
          <w:p w:rsidR="00B1624B" w:rsidRDefault="00B1624B" w:rsidP="009269CE">
            <w:pPr>
              <w:rPr>
                <w:bCs/>
                <w:szCs w:val="20"/>
              </w:rPr>
            </w:pPr>
            <w:r>
              <w:rPr>
                <w:bCs/>
                <w:szCs w:val="20"/>
              </w:rPr>
              <w:t>-Updated NTG values</w:t>
            </w:r>
          </w:p>
        </w:tc>
      </w:tr>
    </w:tbl>
    <w:p w:rsidR="00DB71F1" w:rsidRDefault="00DB71F1" w:rsidP="00413EF4"/>
    <w:p w:rsidR="00DB71F1" w:rsidRDefault="00DB71F1">
      <w:pPr>
        <w:spacing w:after="200" w:line="276" w:lineRule="auto"/>
      </w:pPr>
      <w:r>
        <w:br w:type="page"/>
      </w:r>
    </w:p>
    <w:p w:rsidR="00DB71F1" w:rsidRDefault="00DB71F1" w:rsidP="00DB71F1">
      <w:pPr>
        <w:pStyle w:val="Heading2"/>
      </w:pPr>
      <w:r>
        <w:lastRenderedPageBreak/>
        <w:t>Measure Summary</w:t>
      </w:r>
      <w:r w:rsidRPr="0025216C">
        <w:t xml:space="preserve"> </w:t>
      </w:r>
    </w:p>
    <w:p w:rsidR="00EE6CFE" w:rsidRPr="00EE6CFE" w:rsidRDefault="00EE6CFE" w:rsidP="0081521B"/>
    <w:p w:rsidR="00DB71F1" w:rsidRDefault="00DB71F1" w:rsidP="00DB71F1">
      <w:pPr>
        <w:pStyle w:val="Caption"/>
        <w:keepNext/>
        <w:jc w:val="center"/>
      </w:pPr>
      <w:r>
        <w:t xml:space="preserve">Table </w:t>
      </w:r>
      <w:r w:rsidR="008E71C1">
        <w:fldChar w:fldCharType="begin"/>
      </w:r>
      <w:r w:rsidR="008E71C1">
        <w:instrText xml:space="preserve"> SEQ Table \* ARABIC </w:instrText>
      </w:r>
      <w:r w:rsidR="008E71C1">
        <w:fldChar w:fldCharType="separate"/>
      </w:r>
      <w:r w:rsidR="000719BF">
        <w:rPr>
          <w:noProof/>
        </w:rPr>
        <w:t>1</w:t>
      </w:r>
      <w:r w:rsidR="008E71C1">
        <w:rPr>
          <w:noProof/>
        </w:rPr>
        <w:fldChar w:fldCharType="end"/>
      </w:r>
      <w:r>
        <w:t>: Measure Summary Table</w:t>
      </w:r>
    </w:p>
    <w:tbl>
      <w:tblPr>
        <w:tblStyle w:val="TableGrid"/>
        <w:tblW w:w="0" w:type="auto"/>
        <w:tblLook w:val="04A0" w:firstRow="1" w:lastRow="0" w:firstColumn="1" w:lastColumn="0" w:noHBand="0" w:noVBand="1"/>
      </w:tblPr>
      <w:tblGrid>
        <w:gridCol w:w="1440"/>
        <w:gridCol w:w="7910"/>
      </w:tblGrid>
      <w:tr w:rsidR="00DB71F1" w:rsidTr="009412A4">
        <w:trPr>
          <w:cantSplit/>
          <w:tblHeader/>
        </w:trPr>
        <w:tc>
          <w:tcPr>
            <w:tcW w:w="1440" w:type="dxa"/>
          </w:tcPr>
          <w:p w:rsidR="00DB71F1" w:rsidRPr="00D86243" w:rsidRDefault="00DB71F1" w:rsidP="00393EC8">
            <w:pPr>
              <w:jc w:val="center"/>
              <w:rPr>
                <w:b/>
              </w:rPr>
            </w:pPr>
            <w:r w:rsidRPr="00D86243">
              <w:rPr>
                <w:b/>
              </w:rPr>
              <w:t>Section</w:t>
            </w:r>
          </w:p>
        </w:tc>
        <w:tc>
          <w:tcPr>
            <w:tcW w:w="7910" w:type="dxa"/>
          </w:tcPr>
          <w:p w:rsidR="00DB71F1" w:rsidRPr="00D86243" w:rsidRDefault="00DB71F1" w:rsidP="00393EC8">
            <w:pPr>
              <w:jc w:val="center"/>
              <w:rPr>
                <w:b/>
              </w:rPr>
            </w:pPr>
            <w:r w:rsidRPr="00D86243">
              <w:rPr>
                <w:b/>
              </w:rPr>
              <w:t>Value</w:t>
            </w:r>
          </w:p>
        </w:tc>
      </w:tr>
      <w:tr w:rsidR="00DB71F1" w:rsidTr="009412A4">
        <w:trPr>
          <w:cantSplit/>
        </w:trPr>
        <w:tc>
          <w:tcPr>
            <w:tcW w:w="1440" w:type="dxa"/>
            <w:vAlign w:val="center"/>
          </w:tcPr>
          <w:p w:rsidR="00DB71F1" w:rsidRPr="001D77F7" w:rsidRDefault="00DB71F1" w:rsidP="00393EC8">
            <w:pPr>
              <w:rPr>
                <w:b/>
              </w:rPr>
            </w:pPr>
            <w:r>
              <w:rPr>
                <w:b/>
              </w:rPr>
              <w:t>Summary &amp; Purpose</w:t>
            </w:r>
          </w:p>
        </w:tc>
        <w:tc>
          <w:tcPr>
            <w:tcW w:w="7910" w:type="dxa"/>
          </w:tcPr>
          <w:p w:rsidR="00F20CD6" w:rsidRPr="00F20CD6" w:rsidRDefault="00F20CD6" w:rsidP="00F20CD6">
            <w:pPr>
              <w:jc w:val="both"/>
              <w:rPr>
                <w:sz w:val="20"/>
                <w:szCs w:val="20"/>
              </w:rPr>
            </w:pPr>
            <w:r w:rsidRPr="00F20CD6">
              <w:rPr>
                <w:sz w:val="20"/>
                <w:szCs w:val="20"/>
              </w:rPr>
              <w:t>Thi</w:t>
            </w:r>
            <w:r>
              <w:rPr>
                <w:sz w:val="20"/>
                <w:szCs w:val="20"/>
              </w:rPr>
              <w:t>s short form workpaper</w:t>
            </w:r>
            <w:r w:rsidRPr="00F20CD6">
              <w:rPr>
                <w:sz w:val="20"/>
                <w:szCs w:val="20"/>
              </w:rPr>
              <w:t xml:space="preserve"> (WP)</w:t>
            </w:r>
            <w:r>
              <w:rPr>
                <w:sz w:val="20"/>
                <w:szCs w:val="20"/>
              </w:rPr>
              <w:t xml:space="preserve"> documents</w:t>
            </w:r>
            <w:r w:rsidRPr="00F20CD6">
              <w:rPr>
                <w:sz w:val="20"/>
                <w:szCs w:val="20"/>
              </w:rPr>
              <w:t xml:space="preserve"> the updates addressing the May 26, 2017 screw-in lighting disposition.  The updates include creating new measure codes that are based on EISA bins and CEC spec for A-lamps.  The bins also define new LPW requirement and delta watt methodology for A-lamps.  Changes to the measure and baseline costs for A-lamps are also included.  For reflector lamps, there were updates to both savings and base costs.</w:t>
            </w:r>
            <w:r w:rsidR="003B18D4">
              <w:rPr>
                <w:sz w:val="20"/>
                <w:szCs w:val="20"/>
              </w:rPr>
              <w:t xml:space="preserve">  SDG&amp;E adopts PG&amp;E’s PGECOLTG165 R4 LED A-lamps, base costs but utilize its own MSRPs costs from its contracted manufacturer/distributor for both A-lamps and reflectors.</w:t>
            </w:r>
          </w:p>
          <w:p w:rsidR="00DB71F1" w:rsidRPr="00D86243" w:rsidRDefault="00DB71F1" w:rsidP="00555671">
            <w:pPr>
              <w:jc w:val="both"/>
              <w:rPr>
                <w:rFonts w:cs="Arial"/>
                <w:sz w:val="20"/>
                <w:szCs w:val="20"/>
              </w:rPr>
            </w:pPr>
          </w:p>
        </w:tc>
      </w:tr>
      <w:tr w:rsidR="009412A4" w:rsidTr="009412A4">
        <w:trPr>
          <w:cantSplit/>
        </w:trPr>
        <w:tc>
          <w:tcPr>
            <w:tcW w:w="1440" w:type="dxa"/>
            <w:vAlign w:val="center"/>
          </w:tcPr>
          <w:p w:rsidR="009412A4" w:rsidRPr="001D77F7" w:rsidRDefault="009412A4" w:rsidP="009412A4">
            <w:pPr>
              <w:rPr>
                <w:b/>
              </w:rPr>
            </w:pPr>
            <w:r w:rsidRPr="001D77F7">
              <w:rPr>
                <w:b/>
              </w:rPr>
              <w:t>1.1 Measure &amp; Baseline Data</w:t>
            </w:r>
          </w:p>
        </w:tc>
        <w:tc>
          <w:tcPr>
            <w:tcW w:w="7910" w:type="dxa"/>
          </w:tcPr>
          <w:p w:rsidR="009412A4" w:rsidRPr="00555671" w:rsidRDefault="009412A4" w:rsidP="009412A4">
            <w:pPr>
              <w:tabs>
                <w:tab w:val="right" w:pos="6732"/>
              </w:tabs>
              <w:jc w:val="both"/>
              <w:rPr>
                <w:rFonts w:cs="Arial"/>
                <w:sz w:val="20"/>
                <w:szCs w:val="20"/>
              </w:rPr>
            </w:pPr>
            <w:r w:rsidRPr="00CD265D">
              <w:rPr>
                <w:rFonts w:cs="Arial"/>
                <w:sz w:val="20"/>
                <w:szCs w:val="20"/>
              </w:rPr>
              <w:t>See Excel workbook entitled “</w:t>
            </w:r>
            <w:r w:rsidR="00E65078" w:rsidRPr="00E65078">
              <w:rPr>
                <w:rFonts w:cs="Arial"/>
                <w:sz w:val="20"/>
                <w:szCs w:val="20"/>
              </w:rPr>
              <w:t>WPSDGENRLG0106-Rev05_workbook</w:t>
            </w:r>
            <w:r w:rsidR="00C96A4C">
              <w:rPr>
                <w:rFonts w:cs="Arial"/>
                <w:sz w:val="20"/>
                <w:szCs w:val="20"/>
              </w:rPr>
              <w:t>” for SDG&amp;E sourced</w:t>
            </w:r>
            <w:r w:rsidRPr="00CD265D">
              <w:rPr>
                <w:rFonts w:cs="Arial"/>
                <w:sz w:val="20"/>
                <w:szCs w:val="20"/>
              </w:rPr>
              <w:t xml:space="preserve"> documentation.</w:t>
            </w:r>
          </w:p>
        </w:tc>
      </w:tr>
      <w:tr w:rsidR="009412A4" w:rsidTr="009412A4">
        <w:trPr>
          <w:cantSplit/>
        </w:trPr>
        <w:tc>
          <w:tcPr>
            <w:tcW w:w="1440" w:type="dxa"/>
            <w:vAlign w:val="center"/>
          </w:tcPr>
          <w:p w:rsidR="009412A4" w:rsidRPr="001D77F7" w:rsidRDefault="009412A4" w:rsidP="009412A4">
            <w:pPr>
              <w:rPr>
                <w:b/>
              </w:rPr>
            </w:pPr>
            <w:r w:rsidRPr="001D77F7">
              <w:rPr>
                <w:b/>
              </w:rPr>
              <w:t xml:space="preserve">1.2 Technical Description </w:t>
            </w:r>
          </w:p>
        </w:tc>
        <w:tc>
          <w:tcPr>
            <w:tcW w:w="7910" w:type="dxa"/>
          </w:tcPr>
          <w:p w:rsidR="009412A4" w:rsidRPr="00241A1F" w:rsidRDefault="009412A4" w:rsidP="009412A4">
            <w:pPr>
              <w:rPr>
                <w:rFonts w:cs="Arial"/>
                <w:sz w:val="20"/>
                <w:szCs w:val="20"/>
              </w:rPr>
            </w:pPr>
          </w:p>
        </w:tc>
      </w:tr>
      <w:tr w:rsidR="009412A4" w:rsidRPr="008775D7" w:rsidTr="009412A4">
        <w:trPr>
          <w:cantSplit/>
        </w:trPr>
        <w:tc>
          <w:tcPr>
            <w:tcW w:w="1440" w:type="dxa"/>
          </w:tcPr>
          <w:p w:rsidR="009412A4" w:rsidRPr="00241A1F" w:rsidRDefault="009412A4" w:rsidP="009412A4">
            <w:pPr>
              <w:jc w:val="right"/>
              <w:rPr>
                <w:sz w:val="20"/>
                <w:szCs w:val="20"/>
              </w:rPr>
            </w:pPr>
            <w:r w:rsidRPr="00241A1F">
              <w:rPr>
                <w:sz w:val="20"/>
                <w:szCs w:val="20"/>
              </w:rPr>
              <w:t>Measures</w:t>
            </w:r>
          </w:p>
        </w:tc>
        <w:tc>
          <w:tcPr>
            <w:tcW w:w="7910" w:type="dxa"/>
          </w:tcPr>
          <w:p w:rsidR="009412A4" w:rsidRPr="00E733C7" w:rsidRDefault="009412A4" w:rsidP="009412A4">
            <w:pPr>
              <w:rPr>
                <w:rFonts w:cs="Arial"/>
                <w:sz w:val="20"/>
                <w:szCs w:val="20"/>
              </w:rPr>
            </w:pPr>
            <w:r>
              <w:rPr>
                <w:rFonts w:cs="Arial"/>
                <w:sz w:val="20"/>
                <w:szCs w:val="20"/>
              </w:rPr>
              <w:t xml:space="preserve">A-lamps, PARs, R/BR; MR16, Candelabra, and Globe types were unchanged. </w:t>
            </w:r>
          </w:p>
        </w:tc>
      </w:tr>
      <w:tr w:rsidR="009412A4" w:rsidRPr="008775D7" w:rsidTr="009412A4">
        <w:trPr>
          <w:cantSplit/>
        </w:trPr>
        <w:tc>
          <w:tcPr>
            <w:tcW w:w="1440" w:type="dxa"/>
          </w:tcPr>
          <w:p w:rsidR="009412A4" w:rsidRPr="00653C4B" w:rsidRDefault="009412A4" w:rsidP="009412A4">
            <w:pPr>
              <w:jc w:val="right"/>
              <w:rPr>
                <w:sz w:val="20"/>
                <w:szCs w:val="20"/>
              </w:rPr>
            </w:pPr>
            <w:r w:rsidRPr="00653C4B">
              <w:rPr>
                <w:sz w:val="20"/>
                <w:szCs w:val="20"/>
              </w:rPr>
              <w:t>Code for All Measures</w:t>
            </w:r>
          </w:p>
        </w:tc>
        <w:tc>
          <w:tcPr>
            <w:tcW w:w="7910" w:type="dxa"/>
          </w:tcPr>
          <w:p w:rsidR="009412A4" w:rsidRPr="00653C4B" w:rsidRDefault="009412A4" w:rsidP="009412A4">
            <w:pPr>
              <w:jc w:val="both"/>
              <w:rPr>
                <w:rFonts w:cs="Arial"/>
                <w:sz w:val="20"/>
                <w:szCs w:val="20"/>
              </w:rPr>
            </w:pPr>
            <w:r>
              <w:rPr>
                <w:rFonts w:cs="Arial"/>
                <w:sz w:val="20"/>
                <w:szCs w:val="20"/>
              </w:rPr>
              <w:t>Halogen Incandescent or CFL A-lamp</w:t>
            </w:r>
          </w:p>
        </w:tc>
      </w:tr>
      <w:tr w:rsidR="009412A4" w:rsidTr="009412A4">
        <w:trPr>
          <w:cantSplit/>
        </w:trPr>
        <w:tc>
          <w:tcPr>
            <w:tcW w:w="1440" w:type="dxa"/>
          </w:tcPr>
          <w:p w:rsidR="009412A4" w:rsidRPr="001D77F7" w:rsidRDefault="009412A4" w:rsidP="009412A4">
            <w:pPr>
              <w:jc w:val="right"/>
              <w:rPr>
                <w:b/>
              </w:rPr>
            </w:pPr>
            <w:r w:rsidRPr="00197677">
              <w:rPr>
                <w:rFonts w:cs="Arial"/>
                <w:sz w:val="20"/>
                <w:szCs w:val="20"/>
              </w:rPr>
              <w:lastRenderedPageBreak/>
              <w:t>Requirements</w:t>
            </w:r>
          </w:p>
        </w:tc>
        <w:tc>
          <w:tcPr>
            <w:tcW w:w="7910" w:type="dxa"/>
          </w:tcPr>
          <w:p w:rsidR="009412A4" w:rsidRPr="00F96BF5" w:rsidRDefault="009412A4" w:rsidP="009412A4">
            <w:pPr>
              <w:ind w:left="288"/>
              <w:jc w:val="both"/>
              <w:rPr>
                <w:b/>
                <w:sz w:val="20"/>
                <w:szCs w:val="20"/>
                <w:u w:val="single"/>
              </w:rPr>
            </w:pPr>
            <w:r w:rsidRPr="00F96BF5">
              <w:rPr>
                <w:b/>
                <w:sz w:val="20"/>
                <w:szCs w:val="20"/>
                <w:u w:val="single"/>
              </w:rPr>
              <w:t>A-Lamp requirements as of July 1, 2017:</w:t>
            </w:r>
          </w:p>
          <w:p w:rsidR="009412A4" w:rsidRPr="00F20CD6" w:rsidRDefault="009412A4" w:rsidP="009412A4">
            <w:pPr>
              <w:numPr>
                <w:ilvl w:val="0"/>
                <w:numId w:val="15"/>
              </w:numPr>
              <w:jc w:val="both"/>
              <w:rPr>
                <w:sz w:val="20"/>
                <w:szCs w:val="20"/>
              </w:rPr>
            </w:pPr>
            <w:r w:rsidRPr="00F20CD6">
              <w:rPr>
                <w:sz w:val="20"/>
                <w:szCs w:val="20"/>
              </w:rPr>
              <w:t xml:space="preserve">Must replace an incandescent, incandescent halogen, or CFL A-lamp </w:t>
            </w:r>
          </w:p>
          <w:p w:rsidR="009412A4" w:rsidRDefault="009412A4" w:rsidP="009412A4">
            <w:pPr>
              <w:numPr>
                <w:ilvl w:val="0"/>
                <w:numId w:val="15"/>
              </w:numPr>
              <w:jc w:val="both"/>
              <w:rPr>
                <w:sz w:val="20"/>
                <w:szCs w:val="20"/>
              </w:rPr>
            </w:pPr>
            <w:r w:rsidRPr="00F20CD6">
              <w:rPr>
                <w:sz w:val="20"/>
                <w:szCs w:val="20"/>
              </w:rPr>
              <w:t>Must be on the ENERGY STAR qualified product list and be</w:t>
            </w:r>
            <w:r>
              <w:rPr>
                <w:sz w:val="20"/>
                <w:szCs w:val="20"/>
              </w:rPr>
              <w:t xml:space="preserve"> listed with the Department of </w:t>
            </w:r>
            <w:r w:rsidRPr="00F20CD6">
              <w:rPr>
                <w:sz w:val="20"/>
                <w:szCs w:val="20"/>
              </w:rPr>
              <w:t xml:space="preserve">Energy Lighting Facts Program. </w:t>
            </w:r>
          </w:p>
          <w:p w:rsidR="009412A4" w:rsidRPr="001B08AC" w:rsidRDefault="009412A4" w:rsidP="009412A4">
            <w:pPr>
              <w:numPr>
                <w:ilvl w:val="0"/>
                <w:numId w:val="15"/>
              </w:numPr>
              <w:jc w:val="both"/>
              <w:rPr>
                <w:sz w:val="20"/>
                <w:szCs w:val="20"/>
              </w:rPr>
            </w:pPr>
            <w:r w:rsidRPr="001B08AC">
              <w:rPr>
                <w:sz w:val="20"/>
                <w:szCs w:val="20"/>
              </w:rPr>
              <w:t>Close to or meets full CEC Spec by meeting the following requirements:</w:t>
            </w:r>
          </w:p>
          <w:p w:rsidR="009412A4" w:rsidRPr="001B08AC" w:rsidRDefault="009412A4" w:rsidP="009412A4">
            <w:pPr>
              <w:numPr>
                <w:ilvl w:val="0"/>
                <w:numId w:val="15"/>
              </w:numPr>
              <w:jc w:val="both"/>
              <w:rPr>
                <w:sz w:val="20"/>
                <w:szCs w:val="20"/>
              </w:rPr>
            </w:pPr>
            <w:r w:rsidRPr="001B08AC">
              <w:rPr>
                <w:sz w:val="20"/>
                <w:szCs w:val="20"/>
              </w:rPr>
              <w:t>Luminous Efficacy ≥ 68 Lumens per Watt till 12/31/2017</w:t>
            </w:r>
          </w:p>
          <w:p w:rsidR="009412A4" w:rsidRPr="001B08AC" w:rsidRDefault="009412A4" w:rsidP="009412A4">
            <w:pPr>
              <w:numPr>
                <w:ilvl w:val="0"/>
                <w:numId w:val="15"/>
              </w:numPr>
              <w:jc w:val="both"/>
              <w:rPr>
                <w:sz w:val="20"/>
                <w:szCs w:val="20"/>
              </w:rPr>
            </w:pPr>
            <w:r w:rsidRPr="001B08AC">
              <w:rPr>
                <w:sz w:val="20"/>
                <w:szCs w:val="20"/>
              </w:rPr>
              <w:t xml:space="preserve">Reported CCT of 2200K, 2500K, 2700K, 3000K, 3500K, 4000/4100K, 5000K, or 6500K </w:t>
            </w:r>
          </w:p>
          <w:p w:rsidR="009412A4" w:rsidRPr="001B08AC" w:rsidRDefault="009412A4" w:rsidP="009412A4">
            <w:pPr>
              <w:numPr>
                <w:ilvl w:val="0"/>
                <w:numId w:val="15"/>
              </w:numPr>
              <w:jc w:val="both"/>
              <w:rPr>
                <w:sz w:val="20"/>
                <w:szCs w:val="20"/>
              </w:rPr>
            </w:pPr>
            <w:r w:rsidRPr="001B08AC">
              <w:rPr>
                <w:sz w:val="20"/>
                <w:szCs w:val="20"/>
              </w:rPr>
              <w:t>Combined Efficacy Score (efficacy in LPW + 2.3 × CRI) ≥ 282* (“best in lamp class and channel</w:t>
            </w:r>
            <w:proofErr w:type="gramStart"/>
            <w:r w:rsidRPr="001B08AC">
              <w:rPr>
                <w:sz w:val="20"/>
                <w:szCs w:val="20"/>
              </w:rPr>
              <w:t>”)*</w:t>
            </w:r>
            <w:proofErr w:type="gramEnd"/>
            <w:r w:rsidRPr="001B08AC">
              <w:rPr>
                <w:sz w:val="20"/>
                <w:szCs w:val="20"/>
              </w:rPr>
              <w:t>*</w:t>
            </w:r>
          </w:p>
          <w:p w:rsidR="009412A4" w:rsidRPr="001B08AC" w:rsidRDefault="009412A4" w:rsidP="009412A4">
            <w:pPr>
              <w:numPr>
                <w:ilvl w:val="0"/>
                <w:numId w:val="15"/>
              </w:numPr>
              <w:jc w:val="both"/>
              <w:rPr>
                <w:sz w:val="20"/>
                <w:szCs w:val="20"/>
              </w:rPr>
            </w:pPr>
            <w:r w:rsidRPr="001B08AC">
              <w:rPr>
                <w:sz w:val="20"/>
                <w:szCs w:val="20"/>
              </w:rPr>
              <w:t>CRI ≥ 82 and individual color scores for R1-R8 ≥72</w:t>
            </w:r>
          </w:p>
          <w:p w:rsidR="009412A4" w:rsidRPr="001B08AC" w:rsidRDefault="009412A4" w:rsidP="009412A4">
            <w:pPr>
              <w:numPr>
                <w:ilvl w:val="0"/>
                <w:numId w:val="15"/>
              </w:numPr>
              <w:jc w:val="both"/>
              <w:rPr>
                <w:sz w:val="20"/>
                <w:szCs w:val="20"/>
              </w:rPr>
            </w:pPr>
            <w:r w:rsidRPr="001B08AC">
              <w:rPr>
                <w:sz w:val="20"/>
                <w:szCs w:val="20"/>
              </w:rPr>
              <w:t xml:space="preserve">R9 &gt; 0 </w:t>
            </w:r>
          </w:p>
          <w:p w:rsidR="009412A4" w:rsidRPr="001B08AC" w:rsidRDefault="009412A4" w:rsidP="009412A4">
            <w:pPr>
              <w:numPr>
                <w:ilvl w:val="0"/>
                <w:numId w:val="15"/>
              </w:numPr>
              <w:jc w:val="both"/>
              <w:rPr>
                <w:sz w:val="20"/>
                <w:szCs w:val="20"/>
              </w:rPr>
            </w:pPr>
            <w:r w:rsidRPr="001B08AC">
              <w:rPr>
                <w:sz w:val="20"/>
                <w:szCs w:val="20"/>
              </w:rPr>
              <w:t>Omnidirectional light distribution meeting ENERGY STAR version 2.0 requirement</w:t>
            </w:r>
          </w:p>
          <w:p w:rsidR="009412A4" w:rsidRPr="001B08AC" w:rsidRDefault="009412A4" w:rsidP="009412A4">
            <w:pPr>
              <w:numPr>
                <w:ilvl w:val="0"/>
                <w:numId w:val="15"/>
              </w:numPr>
              <w:jc w:val="both"/>
              <w:rPr>
                <w:sz w:val="20"/>
                <w:szCs w:val="20"/>
              </w:rPr>
            </w:pPr>
            <w:r w:rsidRPr="001B08AC">
              <w:rPr>
                <w:sz w:val="20"/>
                <w:szCs w:val="20"/>
              </w:rPr>
              <w:t>Chromaticity and color consistency meeting requirements of Table 1 of Annex B of ANSI C78.377-2015</w:t>
            </w:r>
          </w:p>
          <w:p w:rsidR="009412A4" w:rsidRPr="001B08AC" w:rsidRDefault="009412A4" w:rsidP="009412A4">
            <w:pPr>
              <w:numPr>
                <w:ilvl w:val="0"/>
                <w:numId w:val="15"/>
              </w:numPr>
              <w:jc w:val="both"/>
              <w:rPr>
                <w:sz w:val="20"/>
                <w:szCs w:val="20"/>
              </w:rPr>
            </w:pPr>
            <w:r>
              <w:rPr>
                <w:sz w:val="20"/>
                <w:szCs w:val="20"/>
              </w:rPr>
              <w:t xml:space="preserve">Rated life </w:t>
            </w:r>
            <w:r w:rsidRPr="001B08AC">
              <w:rPr>
                <w:sz w:val="20"/>
                <w:szCs w:val="20"/>
              </w:rPr>
              <w:t>≥ 15,000 hours</w:t>
            </w:r>
          </w:p>
          <w:p w:rsidR="009412A4" w:rsidRPr="001B08AC" w:rsidRDefault="009412A4" w:rsidP="009412A4">
            <w:pPr>
              <w:numPr>
                <w:ilvl w:val="0"/>
                <w:numId w:val="15"/>
              </w:numPr>
              <w:jc w:val="both"/>
              <w:rPr>
                <w:sz w:val="20"/>
                <w:szCs w:val="20"/>
              </w:rPr>
            </w:pPr>
            <w:r w:rsidRPr="001B08AC">
              <w:rPr>
                <w:sz w:val="20"/>
                <w:szCs w:val="20"/>
              </w:rPr>
              <w:t>Power Factor ≥ 0.7</w:t>
            </w:r>
          </w:p>
          <w:p w:rsidR="009412A4" w:rsidRPr="001B08AC" w:rsidRDefault="009412A4" w:rsidP="009412A4">
            <w:pPr>
              <w:numPr>
                <w:ilvl w:val="0"/>
                <w:numId w:val="15"/>
              </w:numPr>
              <w:jc w:val="both"/>
              <w:rPr>
                <w:sz w:val="20"/>
                <w:szCs w:val="20"/>
              </w:rPr>
            </w:pPr>
            <w:r w:rsidRPr="001B08AC">
              <w:rPr>
                <w:sz w:val="20"/>
                <w:szCs w:val="20"/>
              </w:rPr>
              <w:t>Standby Power ≤ 0.2 Watts. Lamps without integral controls shall not draw power in the off mode.</w:t>
            </w:r>
          </w:p>
          <w:p w:rsidR="009412A4" w:rsidRPr="001B08AC" w:rsidRDefault="009412A4" w:rsidP="009412A4">
            <w:pPr>
              <w:numPr>
                <w:ilvl w:val="0"/>
                <w:numId w:val="15"/>
              </w:numPr>
              <w:jc w:val="both"/>
              <w:rPr>
                <w:sz w:val="20"/>
                <w:szCs w:val="20"/>
              </w:rPr>
            </w:pPr>
            <w:r w:rsidRPr="001B08AC">
              <w:rPr>
                <w:sz w:val="20"/>
                <w:szCs w:val="20"/>
              </w:rPr>
              <w:t xml:space="preserve">If Manufacturer claims </w:t>
            </w:r>
            <w:proofErr w:type="spellStart"/>
            <w:r w:rsidRPr="001B08AC">
              <w:rPr>
                <w:sz w:val="20"/>
                <w:szCs w:val="20"/>
              </w:rPr>
              <w:t>dimmability</w:t>
            </w:r>
            <w:proofErr w:type="spellEnd"/>
            <w:r w:rsidRPr="001B08AC">
              <w:rPr>
                <w:sz w:val="20"/>
                <w:szCs w:val="20"/>
              </w:rPr>
              <w:t xml:space="preserve"> or incandescent equivalence, the product must meet the applicable California Quality Specification requirements for Product Packaging, flicker and noise</w:t>
            </w:r>
          </w:p>
          <w:p w:rsidR="009412A4" w:rsidRPr="001B08AC" w:rsidRDefault="009412A4" w:rsidP="009412A4">
            <w:pPr>
              <w:numPr>
                <w:ilvl w:val="0"/>
                <w:numId w:val="15"/>
              </w:numPr>
              <w:jc w:val="both"/>
              <w:rPr>
                <w:sz w:val="20"/>
                <w:szCs w:val="20"/>
              </w:rPr>
            </w:pPr>
            <w:r w:rsidRPr="001B08AC">
              <w:rPr>
                <w:sz w:val="20"/>
                <w:szCs w:val="20"/>
              </w:rPr>
              <w:t xml:space="preserve">Must either be on THE ENERGY STAR Qualified Products List (QPL), or have begun ENERGY STAR Rated Life testing, and continue in testing until the product is accepted for the QPL. </w:t>
            </w:r>
          </w:p>
          <w:p w:rsidR="009412A4" w:rsidRDefault="009412A4" w:rsidP="009412A4">
            <w:pPr>
              <w:numPr>
                <w:ilvl w:val="0"/>
                <w:numId w:val="15"/>
              </w:numPr>
              <w:jc w:val="both"/>
              <w:rPr>
                <w:sz w:val="20"/>
                <w:szCs w:val="20"/>
              </w:rPr>
            </w:pPr>
            <w:r w:rsidRPr="001B08AC">
              <w:rPr>
                <w:sz w:val="20"/>
                <w:szCs w:val="20"/>
              </w:rPr>
              <w:t>Must be listed on the QPL within 9 months of the applicable IOU's allocation begin/confirmation date. Must be listed on the Department of Energy LED Lighting Facts Product List within 9 months of the applicable IOU's allocation begin/confirmation date.</w:t>
            </w:r>
          </w:p>
          <w:p w:rsidR="009412A4" w:rsidRPr="001B08AC" w:rsidRDefault="009412A4" w:rsidP="009412A4">
            <w:pPr>
              <w:numPr>
                <w:ilvl w:val="0"/>
                <w:numId w:val="15"/>
              </w:numPr>
              <w:jc w:val="both"/>
              <w:rPr>
                <w:sz w:val="20"/>
                <w:szCs w:val="20"/>
              </w:rPr>
            </w:pPr>
            <w:r w:rsidRPr="001B08AC">
              <w:rPr>
                <w:sz w:val="20"/>
                <w:szCs w:val="20"/>
              </w:rPr>
              <w:t>Meets ENERGY STAR Plus lamp specifications, plus at least:</w:t>
            </w:r>
          </w:p>
          <w:p w:rsidR="009412A4" w:rsidRPr="001B08AC" w:rsidRDefault="009412A4" w:rsidP="009412A4">
            <w:pPr>
              <w:numPr>
                <w:ilvl w:val="0"/>
                <w:numId w:val="15"/>
              </w:numPr>
              <w:jc w:val="both"/>
              <w:rPr>
                <w:sz w:val="20"/>
                <w:szCs w:val="20"/>
              </w:rPr>
            </w:pPr>
            <w:r w:rsidRPr="001B08AC">
              <w:rPr>
                <w:sz w:val="20"/>
                <w:szCs w:val="20"/>
              </w:rPr>
              <w:t>Luminous Efficacy ≥ 70 Lumens per Watt for CRI ≥ 90</w:t>
            </w:r>
          </w:p>
          <w:p w:rsidR="009412A4" w:rsidRPr="001B08AC" w:rsidRDefault="009412A4" w:rsidP="009412A4">
            <w:pPr>
              <w:numPr>
                <w:ilvl w:val="0"/>
                <w:numId w:val="15"/>
              </w:numPr>
              <w:jc w:val="both"/>
              <w:rPr>
                <w:sz w:val="20"/>
                <w:szCs w:val="20"/>
              </w:rPr>
            </w:pPr>
            <w:r w:rsidRPr="001B08AC">
              <w:rPr>
                <w:sz w:val="20"/>
                <w:szCs w:val="20"/>
              </w:rPr>
              <w:t>Luminous Efficacy ≥ 80 Lumens per Watt for CRI &lt; 90</w:t>
            </w:r>
          </w:p>
          <w:p w:rsidR="009412A4" w:rsidRPr="001B08AC" w:rsidRDefault="009412A4" w:rsidP="009412A4">
            <w:pPr>
              <w:numPr>
                <w:ilvl w:val="0"/>
                <w:numId w:val="15"/>
              </w:numPr>
              <w:jc w:val="both"/>
              <w:rPr>
                <w:sz w:val="20"/>
                <w:szCs w:val="20"/>
              </w:rPr>
            </w:pPr>
            <w:r w:rsidRPr="001B08AC">
              <w:rPr>
                <w:sz w:val="20"/>
                <w:szCs w:val="20"/>
              </w:rPr>
              <w:t>Combined Efficacy Score (efficacy in LPW + 2.3 × CRI) ≥ 282* (“best in lamp class and channel</w:t>
            </w:r>
            <w:proofErr w:type="gramStart"/>
            <w:r w:rsidRPr="001B08AC">
              <w:rPr>
                <w:sz w:val="20"/>
                <w:szCs w:val="20"/>
              </w:rPr>
              <w:t>”)*</w:t>
            </w:r>
            <w:proofErr w:type="gramEnd"/>
            <w:r w:rsidRPr="001B08AC">
              <w:rPr>
                <w:sz w:val="20"/>
                <w:szCs w:val="20"/>
              </w:rPr>
              <w:t xml:space="preserve"> *</w:t>
            </w:r>
          </w:p>
          <w:p w:rsidR="009412A4" w:rsidRPr="001B08AC" w:rsidRDefault="009412A4" w:rsidP="009412A4">
            <w:pPr>
              <w:numPr>
                <w:ilvl w:val="0"/>
                <w:numId w:val="15"/>
              </w:numPr>
              <w:jc w:val="both"/>
              <w:rPr>
                <w:sz w:val="20"/>
                <w:szCs w:val="20"/>
              </w:rPr>
            </w:pPr>
            <w:r w:rsidRPr="001B08AC">
              <w:rPr>
                <w:sz w:val="20"/>
                <w:szCs w:val="20"/>
              </w:rPr>
              <w:t>CRI ≥ 82 and individual color scores for R1-R8 ≥72</w:t>
            </w:r>
          </w:p>
          <w:p w:rsidR="009412A4" w:rsidRPr="001B08AC" w:rsidRDefault="009412A4" w:rsidP="009412A4">
            <w:pPr>
              <w:numPr>
                <w:ilvl w:val="0"/>
                <w:numId w:val="15"/>
              </w:numPr>
              <w:jc w:val="both"/>
              <w:rPr>
                <w:sz w:val="20"/>
                <w:szCs w:val="20"/>
              </w:rPr>
            </w:pPr>
            <w:r w:rsidRPr="001B08AC">
              <w:rPr>
                <w:sz w:val="20"/>
                <w:szCs w:val="20"/>
              </w:rPr>
              <w:t>Chromaticity and color consistency meeting requirements of Table 1 of Annex B of ANSI C78.377-2015</w:t>
            </w:r>
          </w:p>
          <w:p w:rsidR="009412A4" w:rsidRPr="001B08AC" w:rsidRDefault="009412A4" w:rsidP="009412A4">
            <w:pPr>
              <w:numPr>
                <w:ilvl w:val="0"/>
                <w:numId w:val="15"/>
              </w:numPr>
              <w:jc w:val="both"/>
              <w:rPr>
                <w:sz w:val="20"/>
                <w:szCs w:val="20"/>
              </w:rPr>
            </w:pPr>
            <w:r w:rsidRPr="001B08AC">
              <w:rPr>
                <w:sz w:val="20"/>
                <w:szCs w:val="20"/>
              </w:rPr>
              <w:t>Power Factor ≥ 0.7</w:t>
            </w:r>
          </w:p>
          <w:p w:rsidR="009412A4" w:rsidRDefault="009412A4" w:rsidP="009412A4">
            <w:pPr>
              <w:numPr>
                <w:ilvl w:val="0"/>
                <w:numId w:val="15"/>
              </w:numPr>
              <w:jc w:val="both"/>
              <w:rPr>
                <w:sz w:val="20"/>
                <w:szCs w:val="20"/>
              </w:rPr>
            </w:pPr>
            <w:r w:rsidRPr="001B08AC">
              <w:rPr>
                <w:sz w:val="20"/>
                <w:szCs w:val="20"/>
              </w:rPr>
              <w:t>Standby Power ≤ 0.2 Watts.</w:t>
            </w:r>
          </w:p>
          <w:p w:rsidR="009412A4" w:rsidRPr="001B08AC" w:rsidRDefault="009412A4" w:rsidP="009412A4">
            <w:pPr>
              <w:numPr>
                <w:ilvl w:val="0"/>
                <w:numId w:val="15"/>
              </w:numPr>
              <w:jc w:val="both"/>
              <w:rPr>
                <w:sz w:val="20"/>
                <w:szCs w:val="20"/>
              </w:rPr>
            </w:pPr>
            <w:r w:rsidRPr="001B08AC">
              <w:rPr>
                <w:sz w:val="20"/>
                <w:szCs w:val="20"/>
              </w:rPr>
              <w:t xml:space="preserve">If Manufacturer claims </w:t>
            </w:r>
            <w:proofErr w:type="spellStart"/>
            <w:r w:rsidRPr="001B08AC">
              <w:rPr>
                <w:sz w:val="20"/>
                <w:szCs w:val="20"/>
              </w:rPr>
              <w:t>dimmability</w:t>
            </w:r>
            <w:proofErr w:type="spellEnd"/>
            <w:r w:rsidRPr="001B08AC">
              <w:rPr>
                <w:sz w:val="20"/>
                <w:szCs w:val="20"/>
              </w:rPr>
              <w:t xml:space="preserve"> or incandescent equivalence, the product must meet the applicable California Quality Specification requirements for Product Packaging, flicker and noise</w:t>
            </w:r>
          </w:p>
          <w:p w:rsidR="009412A4" w:rsidRPr="001B08AC" w:rsidRDefault="009412A4" w:rsidP="009412A4">
            <w:pPr>
              <w:numPr>
                <w:ilvl w:val="0"/>
                <w:numId w:val="15"/>
              </w:numPr>
              <w:jc w:val="both"/>
              <w:rPr>
                <w:sz w:val="20"/>
                <w:szCs w:val="20"/>
              </w:rPr>
            </w:pPr>
            <w:r w:rsidRPr="001B08AC">
              <w:rPr>
                <w:sz w:val="20"/>
                <w:szCs w:val="20"/>
              </w:rPr>
              <w:t xml:space="preserve">Must either be on THE ENERGY STAR Qualified Products List (QPL), or have begun ENERGY STAR Rated Life testing, and continue in testing until the product is accepted for the QPL. </w:t>
            </w:r>
          </w:p>
          <w:p w:rsidR="009412A4" w:rsidRPr="001B08AC" w:rsidRDefault="009412A4" w:rsidP="009412A4">
            <w:pPr>
              <w:numPr>
                <w:ilvl w:val="0"/>
                <w:numId w:val="15"/>
              </w:numPr>
              <w:jc w:val="both"/>
              <w:rPr>
                <w:sz w:val="20"/>
                <w:szCs w:val="20"/>
              </w:rPr>
            </w:pPr>
            <w:r w:rsidRPr="001B08AC">
              <w:rPr>
                <w:sz w:val="20"/>
                <w:szCs w:val="20"/>
              </w:rPr>
              <w:t>Must be listed on the QPL within 9 months of the applicable IOU's allocation begin/confirmation date.</w:t>
            </w:r>
          </w:p>
          <w:p w:rsidR="009412A4" w:rsidRDefault="009412A4" w:rsidP="009412A4">
            <w:pPr>
              <w:numPr>
                <w:ilvl w:val="0"/>
                <w:numId w:val="15"/>
              </w:numPr>
              <w:jc w:val="both"/>
              <w:rPr>
                <w:sz w:val="20"/>
                <w:szCs w:val="20"/>
              </w:rPr>
            </w:pPr>
            <w:r w:rsidRPr="001B08AC">
              <w:rPr>
                <w:sz w:val="20"/>
                <w:szCs w:val="20"/>
              </w:rPr>
              <w:t>Must be listed on the Department of Energy LED Lighting Facts Product List within 9 months of the applicable IOU's allocation begin/confirmation date.</w:t>
            </w:r>
          </w:p>
          <w:p w:rsidR="009412A4" w:rsidRDefault="009412A4" w:rsidP="009412A4">
            <w:pPr>
              <w:jc w:val="both"/>
              <w:rPr>
                <w:sz w:val="20"/>
                <w:szCs w:val="20"/>
              </w:rPr>
            </w:pPr>
          </w:p>
          <w:p w:rsidR="009412A4" w:rsidRPr="001B08AC" w:rsidRDefault="009412A4" w:rsidP="009412A4">
            <w:pPr>
              <w:jc w:val="both"/>
              <w:rPr>
                <w:sz w:val="20"/>
                <w:szCs w:val="20"/>
              </w:rPr>
            </w:pPr>
            <w:r w:rsidRPr="001B08AC">
              <w:rPr>
                <w:sz w:val="20"/>
                <w:szCs w:val="20"/>
              </w:rPr>
              <w:t>* For Rebate Programs effective 1/1/2018, efficacy minimum is 80 LPW and combined efficacy score of 297.</w:t>
            </w:r>
          </w:p>
          <w:p w:rsidR="009412A4" w:rsidRDefault="009412A4" w:rsidP="009412A4">
            <w:pPr>
              <w:jc w:val="both"/>
              <w:rPr>
                <w:sz w:val="20"/>
                <w:szCs w:val="20"/>
              </w:rPr>
            </w:pPr>
            <w:r w:rsidRPr="001B08AC">
              <w:rPr>
                <w:sz w:val="20"/>
                <w:szCs w:val="20"/>
              </w:rPr>
              <w:t>**Best in lamp class and channel - Utility managers will choose the products that are “best in class”. What represents “best in class” will change depending on the specific product and channel. Furthermore, channels with more choices of energy efficient lighting (i.e. large home improvement stores) will be held to a higher standard than other categories with fewer options (i.e. mom and pop hardware stores).</w:t>
            </w:r>
          </w:p>
          <w:p w:rsidR="009412A4" w:rsidRPr="0098739E" w:rsidRDefault="009412A4" w:rsidP="009412A4">
            <w:pPr>
              <w:jc w:val="both"/>
              <w:rPr>
                <w:b/>
                <w:sz w:val="20"/>
                <w:szCs w:val="20"/>
                <w:u w:val="single"/>
              </w:rPr>
            </w:pPr>
            <w:r w:rsidRPr="0098739E">
              <w:rPr>
                <w:b/>
                <w:sz w:val="20"/>
                <w:szCs w:val="20"/>
                <w:u w:val="single"/>
              </w:rPr>
              <w:lastRenderedPageBreak/>
              <w:t>R/BR requirements as of July 1, 2017</w:t>
            </w:r>
          </w:p>
          <w:p w:rsidR="009412A4" w:rsidRPr="0098739E" w:rsidRDefault="009412A4" w:rsidP="009412A4">
            <w:pPr>
              <w:numPr>
                <w:ilvl w:val="0"/>
                <w:numId w:val="16"/>
              </w:numPr>
              <w:jc w:val="both"/>
              <w:rPr>
                <w:sz w:val="20"/>
                <w:szCs w:val="20"/>
              </w:rPr>
            </w:pPr>
            <w:bookmarkStart w:id="1" w:name="bookmark2"/>
            <w:bookmarkStart w:id="2" w:name="bookmark0"/>
            <w:bookmarkStart w:id="3" w:name="bookmark1"/>
            <w:bookmarkEnd w:id="1"/>
            <w:bookmarkEnd w:id="2"/>
            <w:bookmarkEnd w:id="3"/>
            <w:r w:rsidRPr="0098739E">
              <w:rPr>
                <w:sz w:val="20"/>
                <w:szCs w:val="20"/>
              </w:rPr>
              <w:t>Must replace an incandescent or CFL R/BR lamp</w:t>
            </w:r>
          </w:p>
          <w:p w:rsidR="009412A4" w:rsidRPr="0098739E" w:rsidRDefault="009412A4" w:rsidP="009412A4">
            <w:pPr>
              <w:numPr>
                <w:ilvl w:val="0"/>
                <w:numId w:val="16"/>
              </w:numPr>
              <w:jc w:val="both"/>
              <w:rPr>
                <w:sz w:val="20"/>
                <w:szCs w:val="20"/>
              </w:rPr>
            </w:pPr>
            <w:r w:rsidRPr="0098739E">
              <w:rPr>
                <w:sz w:val="20"/>
                <w:szCs w:val="20"/>
              </w:rPr>
              <w:t>Must be on the ENERGY STAR qualified product list and be listed with the Department of Energy Lighting Facts Program</w:t>
            </w:r>
          </w:p>
          <w:p w:rsidR="009412A4" w:rsidRPr="0098739E" w:rsidRDefault="009412A4" w:rsidP="009412A4">
            <w:pPr>
              <w:numPr>
                <w:ilvl w:val="0"/>
                <w:numId w:val="16"/>
              </w:numPr>
              <w:jc w:val="both"/>
              <w:rPr>
                <w:sz w:val="20"/>
                <w:szCs w:val="20"/>
              </w:rPr>
            </w:pPr>
            <w:r w:rsidRPr="0098739E">
              <w:rPr>
                <w:sz w:val="20"/>
                <w:szCs w:val="20"/>
              </w:rPr>
              <w:t>Close to or meets full CEC Spec by having at least:</w:t>
            </w:r>
          </w:p>
          <w:p w:rsidR="009412A4" w:rsidRPr="0098739E" w:rsidRDefault="009412A4" w:rsidP="009412A4">
            <w:pPr>
              <w:numPr>
                <w:ilvl w:val="0"/>
                <w:numId w:val="16"/>
              </w:numPr>
              <w:jc w:val="both"/>
              <w:rPr>
                <w:sz w:val="20"/>
                <w:szCs w:val="20"/>
              </w:rPr>
            </w:pPr>
            <w:r w:rsidRPr="0098739E">
              <w:rPr>
                <w:sz w:val="20"/>
                <w:szCs w:val="20"/>
              </w:rPr>
              <w:t>CA beam shape requirements</w:t>
            </w:r>
          </w:p>
          <w:p w:rsidR="009412A4" w:rsidRPr="0098739E" w:rsidRDefault="009412A4" w:rsidP="009412A4">
            <w:pPr>
              <w:numPr>
                <w:ilvl w:val="0"/>
                <w:numId w:val="16"/>
              </w:numPr>
              <w:jc w:val="both"/>
              <w:rPr>
                <w:sz w:val="20"/>
                <w:szCs w:val="20"/>
              </w:rPr>
            </w:pPr>
            <w:r w:rsidRPr="0098739E">
              <w:rPr>
                <w:sz w:val="20"/>
                <w:szCs w:val="20"/>
              </w:rPr>
              <w:t>CCT of 2700K or 3000K</w:t>
            </w:r>
          </w:p>
          <w:p w:rsidR="009412A4" w:rsidRPr="0098739E" w:rsidRDefault="009412A4" w:rsidP="009412A4">
            <w:pPr>
              <w:numPr>
                <w:ilvl w:val="0"/>
                <w:numId w:val="16"/>
              </w:numPr>
              <w:jc w:val="both"/>
              <w:rPr>
                <w:sz w:val="20"/>
                <w:szCs w:val="20"/>
              </w:rPr>
            </w:pPr>
            <w:r w:rsidRPr="0098739E">
              <w:rPr>
                <w:sz w:val="20"/>
                <w:szCs w:val="20"/>
              </w:rPr>
              <w:t>CRI&gt;=90</w:t>
            </w:r>
          </w:p>
          <w:p w:rsidR="009412A4" w:rsidRPr="0098739E" w:rsidRDefault="009412A4" w:rsidP="009412A4">
            <w:pPr>
              <w:numPr>
                <w:ilvl w:val="0"/>
                <w:numId w:val="16"/>
              </w:numPr>
              <w:jc w:val="both"/>
              <w:rPr>
                <w:sz w:val="20"/>
                <w:szCs w:val="20"/>
              </w:rPr>
            </w:pPr>
            <w:r w:rsidRPr="0098739E">
              <w:rPr>
                <w:sz w:val="20"/>
                <w:szCs w:val="20"/>
              </w:rPr>
              <w:t>R9&gt;0 (“best in lamp class and channel</w:t>
            </w:r>
            <w:proofErr w:type="gramStart"/>
            <w:r w:rsidRPr="0098739E">
              <w:rPr>
                <w:sz w:val="20"/>
                <w:szCs w:val="20"/>
              </w:rPr>
              <w:t>”)*</w:t>
            </w:r>
            <w:proofErr w:type="gramEnd"/>
          </w:p>
          <w:p w:rsidR="009412A4" w:rsidRPr="0098739E" w:rsidRDefault="009412A4" w:rsidP="009412A4">
            <w:pPr>
              <w:numPr>
                <w:ilvl w:val="0"/>
                <w:numId w:val="16"/>
              </w:numPr>
              <w:jc w:val="both"/>
              <w:rPr>
                <w:sz w:val="20"/>
                <w:szCs w:val="20"/>
              </w:rPr>
            </w:pPr>
            <w:r w:rsidRPr="0098739E">
              <w:rPr>
                <w:sz w:val="20"/>
                <w:szCs w:val="20"/>
              </w:rPr>
              <w:t>Dimmable</w:t>
            </w:r>
          </w:p>
          <w:p w:rsidR="009412A4" w:rsidRPr="0098739E" w:rsidRDefault="009412A4" w:rsidP="009412A4">
            <w:pPr>
              <w:numPr>
                <w:ilvl w:val="0"/>
                <w:numId w:val="16"/>
              </w:numPr>
              <w:jc w:val="both"/>
              <w:rPr>
                <w:sz w:val="20"/>
                <w:szCs w:val="20"/>
              </w:rPr>
            </w:pPr>
            <w:r w:rsidRPr="0098739E">
              <w:rPr>
                <w:sz w:val="20"/>
                <w:szCs w:val="20"/>
              </w:rPr>
              <w:t xml:space="preserve">Must either be on THE ENERGY STAR Qualified Products List (QPL), or have begun ENERGY STAR Rated </w:t>
            </w:r>
          </w:p>
          <w:p w:rsidR="009412A4" w:rsidRPr="0098739E" w:rsidRDefault="009412A4" w:rsidP="009412A4">
            <w:pPr>
              <w:numPr>
                <w:ilvl w:val="0"/>
                <w:numId w:val="16"/>
              </w:numPr>
              <w:jc w:val="both"/>
              <w:rPr>
                <w:sz w:val="20"/>
                <w:szCs w:val="20"/>
              </w:rPr>
            </w:pPr>
            <w:r w:rsidRPr="0098739E">
              <w:rPr>
                <w:sz w:val="20"/>
                <w:szCs w:val="20"/>
              </w:rPr>
              <w:t>Life testing, and continue in testing until the product is accepted for the QPL.</w:t>
            </w:r>
          </w:p>
          <w:p w:rsidR="009412A4" w:rsidRPr="0098739E" w:rsidRDefault="009412A4" w:rsidP="009412A4">
            <w:pPr>
              <w:numPr>
                <w:ilvl w:val="0"/>
                <w:numId w:val="16"/>
              </w:numPr>
              <w:jc w:val="both"/>
              <w:rPr>
                <w:sz w:val="20"/>
                <w:szCs w:val="20"/>
              </w:rPr>
            </w:pPr>
            <w:r w:rsidRPr="0098739E">
              <w:rPr>
                <w:sz w:val="20"/>
                <w:szCs w:val="20"/>
              </w:rPr>
              <w:t xml:space="preserve">Must be listed on the QPL within 9 months of the applicable IOU's allocation begin/confirmation </w:t>
            </w:r>
          </w:p>
          <w:p w:rsidR="009412A4" w:rsidRPr="0098739E" w:rsidRDefault="009412A4" w:rsidP="009412A4">
            <w:pPr>
              <w:numPr>
                <w:ilvl w:val="0"/>
                <w:numId w:val="16"/>
              </w:numPr>
              <w:jc w:val="both"/>
              <w:rPr>
                <w:sz w:val="20"/>
                <w:szCs w:val="20"/>
              </w:rPr>
            </w:pPr>
            <w:r w:rsidRPr="0098739E">
              <w:rPr>
                <w:sz w:val="20"/>
                <w:szCs w:val="20"/>
              </w:rPr>
              <w:t>date.</w:t>
            </w:r>
          </w:p>
          <w:p w:rsidR="009412A4" w:rsidRDefault="009412A4" w:rsidP="009412A4">
            <w:pPr>
              <w:numPr>
                <w:ilvl w:val="0"/>
                <w:numId w:val="16"/>
              </w:numPr>
              <w:jc w:val="both"/>
              <w:rPr>
                <w:sz w:val="20"/>
                <w:szCs w:val="20"/>
              </w:rPr>
            </w:pPr>
            <w:r w:rsidRPr="0098739E">
              <w:rPr>
                <w:sz w:val="20"/>
                <w:szCs w:val="20"/>
              </w:rPr>
              <w:t>Must be listed on the Department of Energy LED Lighting Facts Product List within 9 months of the applicable IOU's allocation begin/confirmation date.</w:t>
            </w:r>
          </w:p>
          <w:p w:rsidR="009412A4" w:rsidRDefault="009412A4" w:rsidP="009412A4">
            <w:pPr>
              <w:ind w:left="188"/>
              <w:jc w:val="both"/>
              <w:rPr>
                <w:sz w:val="20"/>
                <w:szCs w:val="20"/>
              </w:rPr>
            </w:pPr>
          </w:p>
          <w:p w:rsidR="009412A4" w:rsidRPr="00204EFC" w:rsidRDefault="009412A4" w:rsidP="009412A4">
            <w:pPr>
              <w:ind w:left="188"/>
              <w:jc w:val="both"/>
              <w:rPr>
                <w:sz w:val="20"/>
                <w:szCs w:val="20"/>
              </w:rPr>
            </w:pPr>
            <w:r w:rsidRPr="00204EFC">
              <w:rPr>
                <w:sz w:val="20"/>
                <w:szCs w:val="20"/>
              </w:rPr>
              <w:t>Meets ENERGY STAR Plus lamp specifications, plus at least:</w:t>
            </w:r>
          </w:p>
          <w:p w:rsidR="009412A4" w:rsidRPr="00204EFC" w:rsidRDefault="009412A4" w:rsidP="009412A4">
            <w:pPr>
              <w:numPr>
                <w:ilvl w:val="0"/>
                <w:numId w:val="16"/>
              </w:numPr>
              <w:jc w:val="both"/>
              <w:rPr>
                <w:sz w:val="20"/>
                <w:szCs w:val="20"/>
              </w:rPr>
            </w:pPr>
            <w:r w:rsidRPr="00204EFC">
              <w:rPr>
                <w:sz w:val="20"/>
                <w:szCs w:val="20"/>
              </w:rPr>
              <w:t>CA beam shape requirements</w:t>
            </w:r>
          </w:p>
          <w:p w:rsidR="009412A4" w:rsidRPr="00204EFC" w:rsidRDefault="009412A4" w:rsidP="009412A4">
            <w:pPr>
              <w:numPr>
                <w:ilvl w:val="0"/>
                <w:numId w:val="16"/>
              </w:numPr>
              <w:jc w:val="both"/>
              <w:rPr>
                <w:sz w:val="20"/>
                <w:szCs w:val="20"/>
              </w:rPr>
            </w:pPr>
            <w:r w:rsidRPr="00204EFC">
              <w:rPr>
                <w:sz w:val="20"/>
                <w:szCs w:val="20"/>
              </w:rPr>
              <w:t>CCT of 2700K or 3000K</w:t>
            </w:r>
          </w:p>
          <w:p w:rsidR="009412A4" w:rsidRPr="00204EFC" w:rsidRDefault="009412A4" w:rsidP="009412A4">
            <w:pPr>
              <w:numPr>
                <w:ilvl w:val="0"/>
                <w:numId w:val="16"/>
              </w:numPr>
              <w:jc w:val="both"/>
              <w:rPr>
                <w:sz w:val="20"/>
                <w:szCs w:val="20"/>
              </w:rPr>
            </w:pPr>
            <w:r w:rsidRPr="00204EFC">
              <w:rPr>
                <w:sz w:val="20"/>
                <w:szCs w:val="20"/>
              </w:rPr>
              <w:t>CRI&gt;=80 (“best in lamp class and channel”)</w:t>
            </w:r>
          </w:p>
          <w:p w:rsidR="009412A4" w:rsidRPr="00204EFC" w:rsidRDefault="009412A4" w:rsidP="009412A4">
            <w:pPr>
              <w:numPr>
                <w:ilvl w:val="0"/>
                <w:numId w:val="16"/>
              </w:numPr>
              <w:jc w:val="both"/>
              <w:rPr>
                <w:sz w:val="20"/>
                <w:szCs w:val="20"/>
              </w:rPr>
            </w:pPr>
            <w:r w:rsidRPr="00204EFC">
              <w:rPr>
                <w:sz w:val="20"/>
                <w:szCs w:val="20"/>
              </w:rPr>
              <w:t>R9&gt;0 (“best in lamp class and channel”)</w:t>
            </w:r>
          </w:p>
          <w:p w:rsidR="009412A4" w:rsidRPr="00204EFC" w:rsidRDefault="009412A4" w:rsidP="009412A4">
            <w:pPr>
              <w:numPr>
                <w:ilvl w:val="0"/>
                <w:numId w:val="16"/>
              </w:numPr>
              <w:jc w:val="both"/>
              <w:rPr>
                <w:sz w:val="20"/>
                <w:szCs w:val="20"/>
              </w:rPr>
            </w:pPr>
            <w:r w:rsidRPr="00204EFC">
              <w:rPr>
                <w:sz w:val="20"/>
                <w:szCs w:val="20"/>
              </w:rPr>
              <w:t>Dimmable</w:t>
            </w:r>
          </w:p>
          <w:p w:rsidR="009412A4" w:rsidRPr="00204EFC" w:rsidRDefault="009412A4" w:rsidP="009412A4">
            <w:pPr>
              <w:numPr>
                <w:ilvl w:val="0"/>
                <w:numId w:val="16"/>
              </w:numPr>
              <w:jc w:val="both"/>
              <w:rPr>
                <w:sz w:val="20"/>
                <w:szCs w:val="20"/>
              </w:rPr>
            </w:pPr>
            <w:r w:rsidRPr="00204EFC">
              <w:rPr>
                <w:sz w:val="20"/>
                <w:szCs w:val="20"/>
              </w:rPr>
              <w:t xml:space="preserve">Must either be on THE ENERGY STAR Qualified Products List (QPL), or have begun ENERGY STAR Rated </w:t>
            </w:r>
          </w:p>
          <w:p w:rsidR="009412A4" w:rsidRPr="00204EFC" w:rsidRDefault="009412A4" w:rsidP="009412A4">
            <w:pPr>
              <w:numPr>
                <w:ilvl w:val="0"/>
                <w:numId w:val="16"/>
              </w:numPr>
              <w:jc w:val="both"/>
              <w:rPr>
                <w:sz w:val="20"/>
                <w:szCs w:val="20"/>
              </w:rPr>
            </w:pPr>
            <w:r w:rsidRPr="00204EFC">
              <w:rPr>
                <w:sz w:val="20"/>
                <w:szCs w:val="20"/>
              </w:rPr>
              <w:t>Life testing, and continue in testing until the product is accepted for the QPL.</w:t>
            </w:r>
          </w:p>
          <w:p w:rsidR="009412A4" w:rsidRPr="00204EFC" w:rsidRDefault="009412A4" w:rsidP="009412A4">
            <w:pPr>
              <w:numPr>
                <w:ilvl w:val="0"/>
                <w:numId w:val="16"/>
              </w:numPr>
              <w:jc w:val="both"/>
              <w:rPr>
                <w:sz w:val="20"/>
                <w:szCs w:val="20"/>
              </w:rPr>
            </w:pPr>
            <w:r w:rsidRPr="00204EFC">
              <w:rPr>
                <w:sz w:val="20"/>
                <w:szCs w:val="20"/>
              </w:rPr>
              <w:t xml:space="preserve">Must be listed on the QPL within 9 months of the applicable IOU's allocation begin/confirmation </w:t>
            </w:r>
          </w:p>
          <w:p w:rsidR="009412A4" w:rsidRPr="00204EFC" w:rsidRDefault="009412A4" w:rsidP="009412A4">
            <w:pPr>
              <w:numPr>
                <w:ilvl w:val="0"/>
                <w:numId w:val="16"/>
              </w:numPr>
              <w:jc w:val="both"/>
              <w:rPr>
                <w:sz w:val="20"/>
                <w:szCs w:val="20"/>
              </w:rPr>
            </w:pPr>
            <w:r w:rsidRPr="00204EFC">
              <w:rPr>
                <w:sz w:val="20"/>
                <w:szCs w:val="20"/>
              </w:rPr>
              <w:t>date.</w:t>
            </w:r>
          </w:p>
          <w:p w:rsidR="009412A4" w:rsidRDefault="009412A4" w:rsidP="009412A4">
            <w:pPr>
              <w:numPr>
                <w:ilvl w:val="0"/>
                <w:numId w:val="16"/>
              </w:numPr>
              <w:jc w:val="both"/>
              <w:rPr>
                <w:sz w:val="20"/>
                <w:szCs w:val="20"/>
              </w:rPr>
            </w:pPr>
            <w:r w:rsidRPr="00204EFC">
              <w:rPr>
                <w:sz w:val="20"/>
                <w:szCs w:val="20"/>
              </w:rPr>
              <w:t>Must be listed on the Department of Energy LED Lighting Facts Product List within 9 months of the</w:t>
            </w:r>
            <w:r>
              <w:rPr>
                <w:sz w:val="20"/>
                <w:szCs w:val="20"/>
              </w:rPr>
              <w:t xml:space="preserve"> </w:t>
            </w:r>
            <w:r w:rsidRPr="00204EFC">
              <w:rPr>
                <w:sz w:val="20"/>
                <w:szCs w:val="20"/>
              </w:rPr>
              <w:t>applicable IOU's allocation begin/confirmation date.</w:t>
            </w:r>
          </w:p>
          <w:p w:rsidR="009412A4" w:rsidRDefault="009412A4" w:rsidP="009412A4">
            <w:pPr>
              <w:ind w:left="188"/>
              <w:jc w:val="both"/>
              <w:rPr>
                <w:sz w:val="20"/>
                <w:szCs w:val="20"/>
              </w:rPr>
            </w:pPr>
          </w:p>
          <w:p w:rsidR="009412A4" w:rsidRPr="00204EFC" w:rsidRDefault="009412A4" w:rsidP="009412A4">
            <w:pPr>
              <w:ind w:left="188"/>
              <w:jc w:val="both"/>
              <w:rPr>
                <w:sz w:val="20"/>
                <w:szCs w:val="20"/>
              </w:rPr>
            </w:pPr>
            <w:r w:rsidRPr="00204EFC">
              <w:rPr>
                <w:sz w:val="20"/>
                <w:szCs w:val="20"/>
              </w:rPr>
              <w:t>*Best in lamp class and channel - Utility managers will choose the products that are “best in class”. What represents “best in class” will change depending on the specific product and channel. Thus, categories with a greater number of high-CRI products available (i.e. PARs and retrofit kits) will be held to a higher standard than other categories with fewer options (i.e. A-Lamps and BRs). Furthermore, channels with more choices of energy efficient lighting (i.e. large home improvement stores) will be held to a higher</w:t>
            </w:r>
          </w:p>
          <w:p w:rsidR="009412A4" w:rsidRPr="00204EFC" w:rsidRDefault="009412A4" w:rsidP="009412A4">
            <w:pPr>
              <w:ind w:left="188"/>
              <w:jc w:val="both"/>
              <w:rPr>
                <w:sz w:val="20"/>
                <w:szCs w:val="20"/>
              </w:rPr>
            </w:pPr>
            <w:r w:rsidRPr="00204EFC">
              <w:rPr>
                <w:sz w:val="20"/>
                <w:szCs w:val="20"/>
              </w:rPr>
              <w:t>standard than other categories with fewer options (i.e. mom and pop hardware stores).</w:t>
            </w:r>
          </w:p>
          <w:p w:rsidR="009412A4" w:rsidRPr="00204EFC" w:rsidRDefault="009412A4" w:rsidP="009412A4">
            <w:pPr>
              <w:ind w:left="188"/>
              <w:jc w:val="both"/>
              <w:rPr>
                <w:sz w:val="20"/>
                <w:szCs w:val="20"/>
              </w:rPr>
            </w:pPr>
          </w:p>
          <w:p w:rsidR="009412A4" w:rsidRPr="001B08AC" w:rsidRDefault="009412A4" w:rsidP="009412A4">
            <w:pPr>
              <w:jc w:val="both"/>
              <w:rPr>
                <w:sz w:val="20"/>
                <w:szCs w:val="20"/>
              </w:rPr>
            </w:pPr>
          </w:p>
          <w:p w:rsidR="009412A4" w:rsidRPr="00555671" w:rsidRDefault="009412A4" w:rsidP="009412A4">
            <w:pPr>
              <w:jc w:val="both"/>
              <w:rPr>
                <w:sz w:val="20"/>
                <w:szCs w:val="20"/>
              </w:rPr>
            </w:pPr>
          </w:p>
        </w:tc>
      </w:tr>
      <w:tr w:rsidR="009412A4" w:rsidTr="009412A4">
        <w:trPr>
          <w:cantSplit/>
        </w:trPr>
        <w:tc>
          <w:tcPr>
            <w:tcW w:w="1440" w:type="dxa"/>
          </w:tcPr>
          <w:p w:rsidR="009412A4" w:rsidRPr="001D77F7" w:rsidRDefault="009412A4" w:rsidP="009412A4">
            <w:pPr>
              <w:rPr>
                <w:b/>
              </w:rPr>
            </w:pPr>
            <w:r w:rsidRPr="001D77F7">
              <w:rPr>
                <w:b/>
              </w:rPr>
              <w:lastRenderedPageBreak/>
              <w:t>1.3 Installation Type and Delivery Mechanisms</w:t>
            </w:r>
          </w:p>
        </w:tc>
        <w:tc>
          <w:tcPr>
            <w:tcW w:w="7910" w:type="dxa"/>
          </w:tcPr>
          <w:p w:rsidR="009412A4" w:rsidRPr="00D86243" w:rsidRDefault="009412A4" w:rsidP="009412A4">
            <w:pPr>
              <w:rPr>
                <w:rFonts w:cs="Arial"/>
                <w:sz w:val="20"/>
                <w:szCs w:val="20"/>
              </w:rPr>
            </w:pPr>
          </w:p>
        </w:tc>
      </w:tr>
      <w:tr w:rsidR="009412A4" w:rsidTr="009412A4">
        <w:trPr>
          <w:cantSplit/>
        </w:trPr>
        <w:tc>
          <w:tcPr>
            <w:tcW w:w="1440" w:type="dxa"/>
            <w:vAlign w:val="center"/>
          </w:tcPr>
          <w:p w:rsidR="009412A4" w:rsidRPr="00822B6F" w:rsidRDefault="009412A4" w:rsidP="009412A4">
            <w:pPr>
              <w:jc w:val="right"/>
              <w:rPr>
                <w:sz w:val="20"/>
                <w:szCs w:val="20"/>
              </w:rPr>
            </w:pPr>
            <w:r w:rsidRPr="00822B6F">
              <w:rPr>
                <w:sz w:val="20"/>
                <w:szCs w:val="20"/>
              </w:rPr>
              <w:t>Installation Type</w:t>
            </w:r>
          </w:p>
        </w:tc>
        <w:tc>
          <w:tcPr>
            <w:tcW w:w="7910" w:type="dxa"/>
          </w:tcPr>
          <w:p w:rsidR="009412A4" w:rsidRPr="00393EC8" w:rsidRDefault="009412A4" w:rsidP="009412A4">
            <w:pPr>
              <w:rPr>
                <w:rFonts w:cs="Arial"/>
                <w:sz w:val="20"/>
                <w:szCs w:val="20"/>
              </w:rPr>
            </w:pPr>
            <w:r w:rsidRPr="00FE636E">
              <w:rPr>
                <w:rFonts w:cs="Arial"/>
                <w:sz w:val="20"/>
                <w:szCs w:val="20"/>
              </w:rPr>
              <w:t xml:space="preserve">Replace on Burn-out (ROB) </w:t>
            </w:r>
          </w:p>
        </w:tc>
      </w:tr>
      <w:tr w:rsidR="009412A4" w:rsidTr="009412A4">
        <w:trPr>
          <w:cantSplit/>
        </w:trPr>
        <w:tc>
          <w:tcPr>
            <w:tcW w:w="1440" w:type="dxa"/>
            <w:vAlign w:val="center"/>
          </w:tcPr>
          <w:p w:rsidR="009412A4" w:rsidRPr="00822B6F" w:rsidRDefault="009412A4" w:rsidP="009412A4">
            <w:pPr>
              <w:jc w:val="right"/>
              <w:rPr>
                <w:sz w:val="20"/>
                <w:szCs w:val="20"/>
              </w:rPr>
            </w:pPr>
            <w:r w:rsidRPr="00822B6F">
              <w:rPr>
                <w:sz w:val="20"/>
                <w:szCs w:val="20"/>
              </w:rPr>
              <w:lastRenderedPageBreak/>
              <w:t>Delivery Mechanisms</w:t>
            </w:r>
          </w:p>
        </w:tc>
        <w:tc>
          <w:tcPr>
            <w:tcW w:w="7910" w:type="dxa"/>
          </w:tcPr>
          <w:p w:rsidR="009412A4" w:rsidRDefault="009412A4" w:rsidP="009412A4">
            <w:pPr>
              <w:rPr>
                <w:rFonts w:cs="Arial"/>
                <w:sz w:val="20"/>
                <w:szCs w:val="20"/>
              </w:rPr>
            </w:pPr>
            <w:r>
              <w:rPr>
                <w:rFonts w:cs="Arial"/>
                <w:sz w:val="20"/>
                <w:szCs w:val="20"/>
              </w:rPr>
              <w:t>Upstream Incentives</w:t>
            </w:r>
          </w:p>
          <w:p w:rsidR="009412A4" w:rsidRDefault="009412A4" w:rsidP="009412A4">
            <w:pPr>
              <w:rPr>
                <w:rFonts w:cs="Arial"/>
                <w:sz w:val="20"/>
                <w:szCs w:val="20"/>
              </w:rPr>
            </w:pPr>
            <w:r w:rsidRPr="00FE636E">
              <w:rPr>
                <w:rFonts w:cs="Arial"/>
                <w:sz w:val="20"/>
                <w:szCs w:val="20"/>
              </w:rPr>
              <w:t>Downstream Rebate</w:t>
            </w:r>
          </w:p>
          <w:p w:rsidR="009412A4" w:rsidRDefault="009412A4" w:rsidP="009412A4">
            <w:pPr>
              <w:rPr>
                <w:rFonts w:cs="Arial"/>
                <w:sz w:val="20"/>
                <w:szCs w:val="20"/>
              </w:rPr>
            </w:pPr>
            <w:r>
              <w:rPr>
                <w:rFonts w:cs="Arial"/>
                <w:sz w:val="20"/>
                <w:szCs w:val="20"/>
              </w:rPr>
              <w:t>Direct Install</w:t>
            </w:r>
          </w:p>
          <w:p w:rsidR="009412A4" w:rsidRPr="00FE636E" w:rsidRDefault="009412A4" w:rsidP="009412A4">
            <w:pPr>
              <w:rPr>
                <w:rFonts w:cs="Arial"/>
                <w:sz w:val="20"/>
                <w:szCs w:val="20"/>
              </w:rPr>
            </w:pPr>
          </w:p>
        </w:tc>
      </w:tr>
      <w:tr w:rsidR="009412A4" w:rsidTr="009412A4">
        <w:trPr>
          <w:cantSplit/>
        </w:trPr>
        <w:tc>
          <w:tcPr>
            <w:tcW w:w="1440" w:type="dxa"/>
          </w:tcPr>
          <w:p w:rsidR="009412A4" w:rsidRPr="001D77F7" w:rsidRDefault="009412A4" w:rsidP="009412A4">
            <w:pPr>
              <w:rPr>
                <w:b/>
              </w:rPr>
            </w:pPr>
            <w:r w:rsidRPr="001D77F7">
              <w:rPr>
                <w:b/>
              </w:rPr>
              <w:t>1.4.1 DEER Data</w:t>
            </w:r>
          </w:p>
        </w:tc>
        <w:tc>
          <w:tcPr>
            <w:tcW w:w="7910" w:type="dxa"/>
          </w:tcPr>
          <w:p w:rsidR="009412A4" w:rsidRDefault="009412A4" w:rsidP="009412A4"/>
        </w:tc>
      </w:tr>
      <w:tr w:rsidR="009412A4" w:rsidTr="009412A4">
        <w:trPr>
          <w:cantSplit/>
        </w:trPr>
        <w:tc>
          <w:tcPr>
            <w:tcW w:w="1440" w:type="dxa"/>
            <w:vAlign w:val="center"/>
          </w:tcPr>
          <w:p w:rsidR="009412A4" w:rsidRPr="00822B6F" w:rsidRDefault="009412A4" w:rsidP="009412A4">
            <w:pPr>
              <w:jc w:val="right"/>
              <w:rPr>
                <w:sz w:val="20"/>
                <w:szCs w:val="20"/>
              </w:rPr>
            </w:pPr>
            <w:r w:rsidRPr="00822B6F">
              <w:rPr>
                <w:sz w:val="20"/>
                <w:szCs w:val="20"/>
              </w:rPr>
              <w:t>Net-to-Gross Ratio</w:t>
            </w:r>
          </w:p>
        </w:tc>
        <w:tc>
          <w:tcPr>
            <w:tcW w:w="7910" w:type="dxa"/>
          </w:tcPr>
          <w:p w:rsidR="009412A4" w:rsidRDefault="009412A4" w:rsidP="009412A4">
            <w:pPr>
              <w:tabs>
                <w:tab w:val="right" w:pos="6732"/>
              </w:tabs>
              <w:rPr>
                <w:rFonts w:cs="Arial"/>
                <w:sz w:val="20"/>
                <w:szCs w:val="20"/>
              </w:rPr>
            </w:pPr>
            <w:r>
              <w:rPr>
                <w:rFonts w:cs="Arial"/>
                <w:sz w:val="20"/>
                <w:szCs w:val="20"/>
              </w:rPr>
              <w:t xml:space="preserve">In SDG&amp;E/SCG bi-weekly call, the Commission Staff provided details to their </w:t>
            </w:r>
            <w:proofErr w:type="spellStart"/>
            <w:r>
              <w:rPr>
                <w:rFonts w:cs="Arial"/>
                <w:sz w:val="20"/>
                <w:szCs w:val="20"/>
              </w:rPr>
              <w:t>PEARdb</w:t>
            </w:r>
            <w:proofErr w:type="spellEnd"/>
            <w:r>
              <w:rPr>
                <w:rFonts w:cs="Arial"/>
                <w:sz w:val="20"/>
                <w:szCs w:val="20"/>
              </w:rPr>
              <w:t xml:space="preserve"> values, including new NTG values reflective of the screw-in disposition.  These NTG IDs are used for both A-lamps and reflectors.</w:t>
            </w:r>
          </w:p>
          <w:p w:rsidR="009412A4" w:rsidRDefault="009412A4" w:rsidP="009412A4">
            <w:pPr>
              <w:tabs>
                <w:tab w:val="right" w:pos="6732"/>
              </w:tabs>
              <w:rPr>
                <w:rFonts w:cs="Arial"/>
                <w:sz w:val="20"/>
                <w:szCs w:val="20"/>
              </w:rPr>
            </w:pPr>
          </w:p>
          <w:p w:rsidR="009412A4" w:rsidRPr="00CD265D" w:rsidRDefault="009412A4" w:rsidP="009412A4">
            <w:pPr>
              <w:tabs>
                <w:tab w:val="right" w:pos="6732"/>
              </w:tabs>
              <w:rPr>
                <w:rFonts w:cs="Arial"/>
                <w:sz w:val="20"/>
                <w:szCs w:val="20"/>
              </w:rPr>
            </w:pPr>
            <w:proofErr w:type="spellStart"/>
            <w:r w:rsidRPr="00CD265D">
              <w:rPr>
                <w:rFonts w:cs="Arial"/>
                <w:sz w:val="20"/>
                <w:szCs w:val="20"/>
              </w:rPr>
              <w:t>NonRes-sAll-mLEDARefl</w:t>
            </w:r>
            <w:proofErr w:type="spellEnd"/>
            <w:r w:rsidRPr="00CD265D">
              <w:rPr>
                <w:rFonts w:cs="Arial"/>
                <w:sz w:val="20"/>
                <w:szCs w:val="20"/>
              </w:rPr>
              <w:t xml:space="preserve"> for nonresidential LED A-lamp and screw-in reflector, 0.91</w:t>
            </w:r>
          </w:p>
          <w:p w:rsidR="009412A4" w:rsidRPr="00CD265D" w:rsidRDefault="009412A4" w:rsidP="009412A4">
            <w:pPr>
              <w:tabs>
                <w:tab w:val="right" w:pos="6732"/>
              </w:tabs>
              <w:rPr>
                <w:rFonts w:cs="Arial"/>
                <w:sz w:val="20"/>
                <w:szCs w:val="20"/>
              </w:rPr>
            </w:pPr>
            <w:r w:rsidRPr="00CD265D">
              <w:rPr>
                <w:rFonts w:cs="Arial"/>
                <w:sz w:val="20"/>
                <w:szCs w:val="20"/>
              </w:rPr>
              <w:t>Res-</w:t>
            </w:r>
            <w:proofErr w:type="spellStart"/>
            <w:r w:rsidRPr="00CD265D">
              <w:rPr>
                <w:rFonts w:cs="Arial"/>
                <w:sz w:val="20"/>
                <w:szCs w:val="20"/>
              </w:rPr>
              <w:t>sAll</w:t>
            </w:r>
            <w:proofErr w:type="spellEnd"/>
            <w:r w:rsidRPr="00CD265D">
              <w:rPr>
                <w:rFonts w:cs="Arial"/>
                <w:sz w:val="20"/>
                <w:szCs w:val="20"/>
              </w:rPr>
              <w:t>-</w:t>
            </w:r>
            <w:proofErr w:type="spellStart"/>
            <w:r w:rsidRPr="00CD265D">
              <w:rPr>
                <w:rFonts w:cs="Arial"/>
                <w:sz w:val="20"/>
                <w:szCs w:val="20"/>
              </w:rPr>
              <w:t>mLEDARefl</w:t>
            </w:r>
            <w:proofErr w:type="spellEnd"/>
            <w:r w:rsidRPr="00CD265D">
              <w:rPr>
                <w:rFonts w:cs="Arial"/>
                <w:sz w:val="20"/>
                <w:szCs w:val="20"/>
              </w:rPr>
              <w:t xml:space="preserve"> for residential LED A-lamp and screw-in reflector, 0.91</w:t>
            </w:r>
          </w:p>
          <w:p w:rsidR="009412A4" w:rsidRDefault="009412A4" w:rsidP="009412A4">
            <w:pPr>
              <w:tabs>
                <w:tab w:val="right" w:pos="6732"/>
              </w:tabs>
              <w:rPr>
                <w:rFonts w:cs="Arial"/>
                <w:sz w:val="20"/>
                <w:szCs w:val="20"/>
              </w:rPr>
            </w:pPr>
          </w:p>
          <w:p w:rsidR="009412A4" w:rsidRPr="00D86243" w:rsidRDefault="009412A4" w:rsidP="009412A4">
            <w:pPr>
              <w:tabs>
                <w:tab w:val="right" w:pos="6732"/>
              </w:tabs>
              <w:rPr>
                <w:rFonts w:cs="Arial"/>
                <w:sz w:val="20"/>
                <w:szCs w:val="20"/>
              </w:rPr>
            </w:pPr>
          </w:p>
        </w:tc>
      </w:tr>
      <w:tr w:rsidR="009412A4" w:rsidTr="009412A4">
        <w:trPr>
          <w:cantSplit/>
        </w:trPr>
        <w:tc>
          <w:tcPr>
            <w:tcW w:w="1440" w:type="dxa"/>
            <w:vAlign w:val="center"/>
          </w:tcPr>
          <w:p w:rsidR="009412A4" w:rsidRPr="00822B6F" w:rsidRDefault="009412A4" w:rsidP="009412A4">
            <w:pPr>
              <w:jc w:val="right"/>
              <w:rPr>
                <w:sz w:val="20"/>
                <w:szCs w:val="20"/>
              </w:rPr>
            </w:pPr>
            <w:r w:rsidRPr="00822B6F">
              <w:rPr>
                <w:sz w:val="20"/>
                <w:szCs w:val="20"/>
              </w:rPr>
              <w:t>Effective and Remaining Useful Life</w:t>
            </w:r>
          </w:p>
        </w:tc>
        <w:tc>
          <w:tcPr>
            <w:tcW w:w="7910" w:type="dxa"/>
          </w:tcPr>
          <w:p w:rsidR="009412A4" w:rsidRDefault="009412A4" w:rsidP="009412A4">
            <w:pPr>
              <w:tabs>
                <w:tab w:val="right" w:pos="6732"/>
              </w:tabs>
              <w:rPr>
                <w:rFonts w:cs="Arial"/>
                <w:sz w:val="20"/>
                <w:szCs w:val="20"/>
              </w:rPr>
            </w:pPr>
            <w:r>
              <w:rPr>
                <w:rFonts w:ascii="Times New Roman" w:hAnsi="Times New Roman"/>
                <w:sz w:val="20"/>
                <w:szCs w:val="20"/>
              </w:rPr>
              <w:t>ILtg-Com</w:t>
            </w:r>
            <w:r w:rsidRPr="00EE7718">
              <w:rPr>
                <w:rFonts w:ascii="Times New Roman" w:hAnsi="Times New Roman"/>
                <w:sz w:val="20"/>
                <w:szCs w:val="20"/>
              </w:rPr>
              <w:t>-LED-20000hr</w:t>
            </w:r>
            <w:r>
              <w:rPr>
                <w:rFonts w:ascii="Times New Roman" w:hAnsi="Times New Roman"/>
                <w:sz w:val="20"/>
                <w:szCs w:val="20"/>
              </w:rPr>
              <w:t>;</w:t>
            </w:r>
            <w:r>
              <w:rPr>
                <w:rFonts w:cs="Arial"/>
                <w:sz w:val="20"/>
                <w:szCs w:val="20"/>
              </w:rPr>
              <w:t xml:space="preserve"> Varies based on READI linking</w:t>
            </w:r>
          </w:p>
          <w:p w:rsidR="009412A4" w:rsidRPr="00D86243" w:rsidRDefault="009412A4" w:rsidP="009412A4">
            <w:pPr>
              <w:tabs>
                <w:tab w:val="right" w:pos="6732"/>
              </w:tabs>
              <w:rPr>
                <w:rFonts w:cs="Arial"/>
                <w:sz w:val="20"/>
                <w:szCs w:val="20"/>
              </w:rPr>
            </w:pPr>
            <w:r w:rsidRPr="00EE7718">
              <w:rPr>
                <w:rFonts w:ascii="Times New Roman" w:hAnsi="Times New Roman"/>
                <w:sz w:val="20"/>
                <w:szCs w:val="20"/>
              </w:rPr>
              <w:t>ILtg-Res-LED-20000hr</w:t>
            </w:r>
            <w:r>
              <w:rPr>
                <w:rFonts w:ascii="Times New Roman" w:hAnsi="Times New Roman"/>
                <w:sz w:val="20"/>
                <w:szCs w:val="20"/>
              </w:rPr>
              <w:t>; 16 years</w:t>
            </w:r>
          </w:p>
        </w:tc>
      </w:tr>
      <w:tr w:rsidR="009412A4" w:rsidTr="009412A4">
        <w:trPr>
          <w:cantSplit/>
        </w:trPr>
        <w:tc>
          <w:tcPr>
            <w:tcW w:w="1440" w:type="dxa"/>
            <w:vAlign w:val="center"/>
          </w:tcPr>
          <w:p w:rsidR="009412A4" w:rsidRPr="001D77F7" w:rsidRDefault="009412A4" w:rsidP="009412A4">
            <w:pPr>
              <w:rPr>
                <w:b/>
              </w:rPr>
            </w:pPr>
            <w:r w:rsidRPr="001D77F7">
              <w:rPr>
                <w:b/>
              </w:rPr>
              <w:lastRenderedPageBreak/>
              <w:t>Section 2. Calculation Methodology</w:t>
            </w:r>
          </w:p>
        </w:tc>
        <w:tc>
          <w:tcPr>
            <w:tcW w:w="7910" w:type="dxa"/>
            <w:vAlign w:val="center"/>
          </w:tcPr>
          <w:p w:rsidR="009412A4" w:rsidRDefault="009412A4" w:rsidP="009412A4">
            <w:pPr>
              <w:rPr>
                <w:sz w:val="20"/>
                <w:szCs w:val="20"/>
              </w:rPr>
            </w:pPr>
            <w:r w:rsidRPr="00F96BF5">
              <w:rPr>
                <w:sz w:val="20"/>
                <w:szCs w:val="20"/>
              </w:rPr>
              <w:t>Based on the May 26, 2017 screw-in lighting disposition, this table represents the minimum LPW requirement per EISA bin</w:t>
            </w:r>
          </w:p>
          <w:p w:rsidR="009412A4" w:rsidRPr="00F96BF5" w:rsidRDefault="009412A4" w:rsidP="009412A4">
            <w:pPr>
              <w:rPr>
                <w:sz w:val="20"/>
                <w:szCs w:val="20"/>
              </w:rPr>
            </w:pPr>
          </w:p>
          <w:p w:rsidR="009412A4" w:rsidRDefault="009412A4" w:rsidP="009412A4">
            <w:pPr>
              <w:jc w:val="center"/>
              <w:rPr>
                <w:b/>
                <w:sz w:val="20"/>
                <w:szCs w:val="20"/>
              </w:rPr>
            </w:pPr>
            <w:r w:rsidRPr="00F96BF5">
              <w:rPr>
                <w:b/>
                <w:sz w:val="20"/>
                <w:szCs w:val="20"/>
              </w:rPr>
              <w:t xml:space="preserve">Table 1 – Minimum Efficacy Requirements </w:t>
            </w:r>
          </w:p>
          <w:p w:rsidR="009412A4" w:rsidRPr="00F96BF5" w:rsidRDefault="009412A4" w:rsidP="009412A4">
            <w:pPr>
              <w:jc w:val="center"/>
              <w:rPr>
                <w:b/>
                <w:sz w:val="20"/>
                <w:szCs w:val="20"/>
              </w:rPr>
            </w:pPr>
          </w:p>
          <w:tbl>
            <w:tblPr>
              <w:tblStyle w:val="TableGrid"/>
              <w:tblW w:w="7737" w:type="dxa"/>
              <w:jc w:val="center"/>
              <w:tblLook w:val="04A0" w:firstRow="1" w:lastRow="0" w:firstColumn="1" w:lastColumn="0" w:noHBand="0" w:noVBand="1"/>
            </w:tblPr>
            <w:tblGrid>
              <w:gridCol w:w="1801"/>
              <w:gridCol w:w="2258"/>
              <w:gridCol w:w="1839"/>
              <w:gridCol w:w="1839"/>
            </w:tblGrid>
            <w:tr w:rsidR="009412A4" w:rsidRPr="0034275C" w:rsidTr="002638DA">
              <w:trPr>
                <w:jc w:val="center"/>
              </w:trPr>
              <w:tc>
                <w:tcPr>
                  <w:tcW w:w="1801" w:type="dxa"/>
                  <w:shd w:val="clear" w:color="auto" w:fill="D9D9D9" w:themeFill="background1" w:themeFillShade="D9"/>
                </w:tcPr>
                <w:p w:rsidR="009412A4" w:rsidRPr="0034275C" w:rsidRDefault="009412A4" w:rsidP="009412A4">
                  <w:pPr>
                    <w:jc w:val="center"/>
                    <w:rPr>
                      <w:rFonts w:ascii="Arial" w:hAnsi="Arial" w:cs="Arial"/>
                      <w:b/>
                      <w:sz w:val="20"/>
                      <w:szCs w:val="20"/>
                    </w:rPr>
                  </w:pPr>
                  <w:r>
                    <w:rPr>
                      <w:rFonts w:ascii="Arial" w:hAnsi="Arial" w:cs="Arial"/>
                      <w:b/>
                      <w:sz w:val="20"/>
                      <w:szCs w:val="20"/>
                    </w:rPr>
                    <w:t>EISA Wattages (W)</w:t>
                  </w:r>
                </w:p>
              </w:tc>
              <w:tc>
                <w:tcPr>
                  <w:tcW w:w="2258" w:type="dxa"/>
                  <w:shd w:val="clear" w:color="auto" w:fill="D9D9D9" w:themeFill="background1" w:themeFillShade="D9"/>
                </w:tcPr>
                <w:p w:rsidR="009412A4" w:rsidRPr="0034275C" w:rsidRDefault="009412A4" w:rsidP="009412A4">
                  <w:pPr>
                    <w:jc w:val="center"/>
                    <w:rPr>
                      <w:rFonts w:ascii="Arial" w:hAnsi="Arial" w:cs="Arial"/>
                      <w:b/>
                      <w:sz w:val="20"/>
                      <w:szCs w:val="20"/>
                    </w:rPr>
                  </w:pPr>
                  <w:r>
                    <w:rPr>
                      <w:rFonts w:ascii="Arial" w:hAnsi="Arial" w:cs="Arial"/>
                      <w:b/>
                      <w:sz w:val="20"/>
                      <w:szCs w:val="20"/>
                    </w:rPr>
                    <w:t>2017 efficacy (LPW)</w:t>
                  </w:r>
                </w:p>
              </w:tc>
              <w:tc>
                <w:tcPr>
                  <w:tcW w:w="1839" w:type="dxa"/>
                  <w:shd w:val="clear" w:color="auto" w:fill="D9D9D9" w:themeFill="background1" w:themeFillShade="D9"/>
                </w:tcPr>
                <w:p w:rsidR="009412A4" w:rsidRPr="0034275C" w:rsidRDefault="009412A4" w:rsidP="009412A4">
                  <w:pPr>
                    <w:jc w:val="center"/>
                    <w:rPr>
                      <w:rFonts w:ascii="Arial" w:hAnsi="Arial" w:cs="Arial"/>
                      <w:b/>
                      <w:sz w:val="20"/>
                      <w:szCs w:val="20"/>
                    </w:rPr>
                  </w:pPr>
                  <w:r>
                    <w:rPr>
                      <w:rFonts w:ascii="Arial" w:hAnsi="Arial" w:cs="Arial"/>
                      <w:b/>
                      <w:sz w:val="20"/>
                      <w:szCs w:val="20"/>
                    </w:rPr>
                    <w:t>2018 efficacy (LPW)</w:t>
                  </w:r>
                </w:p>
              </w:tc>
              <w:tc>
                <w:tcPr>
                  <w:tcW w:w="1839" w:type="dxa"/>
                  <w:shd w:val="clear" w:color="auto" w:fill="D9D9D9" w:themeFill="background1" w:themeFillShade="D9"/>
                </w:tcPr>
                <w:p w:rsidR="009412A4" w:rsidRPr="0034275C" w:rsidRDefault="009412A4" w:rsidP="009412A4">
                  <w:pPr>
                    <w:jc w:val="center"/>
                    <w:rPr>
                      <w:rFonts w:ascii="Arial" w:hAnsi="Arial" w:cs="Arial"/>
                      <w:b/>
                      <w:sz w:val="20"/>
                      <w:szCs w:val="20"/>
                    </w:rPr>
                  </w:pPr>
                  <w:r>
                    <w:rPr>
                      <w:rFonts w:ascii="Arial" w:hAnsi="Arial" w:cs="Arial"/>
                      <w:b/>
                      <w:sz w:val="20"/>
                      <w:szCs w:val="20"/>
                    </w:rPr>
                    <w:t>2019 efficacy (LPW)</w:t>
                  </w:r>
                </w:p>
              </w:tc>
            </w:tr>
            <w:tr w:rsidR="009412A4" w:rsidRPr="00C54DA9" w:rsidTr="002638DA">
              <w:trPr>
                <w:jc w:val="center"/>
              </w:trPr>
              <w:tc>
                <w:tcPr>
                  <w:tcW w:w="1801" w:type="dxa"/>
                </w:tcPr>
                <w:p w:rsidR="009412A4" w:rsidRPr="00C54DA9" w:rsidRDefault="009412A4" w:rsidP="009412A4">
                  <w:pPr>
                    <w:pStyle w:val="Reminders"/>
                    <w:tabs>
                      <w:tab w:val="num" w:pos="360"/>
                    </w:tabs>
                    <w:spacing w:before="0" w:after="0"/>
                    <w:jc w:val="center"/>
                    <w:rPr>
                      <w:rFonts w:ascii="Times New Roman" w:hAnsi="Times New Roman"/>
                      <w:i w:val="0"/>
                      <w:color w:val="auto"/>
                      <w:sz w:val="20"/>
                      <w:szCs w:val="20"/>
                    </w:rPr>
                  </w:pPr>
                  <w:r>
                    <w:rPr>
                      <w:rFonts w:ascii="Times New Roman" w:hAnsi="Times New Roman"/>
                      <w:i w:val="0"/>
                      <w:color w:val="auto"/>
                      <w:sz w:val="20"/>
                      <w:szCs w:val="20"/>
                    </w:rPr>
                    <w:t>40</w:t>
                  </w:r>
                </w:p>
              </w:tc>
              <w:tc>
                <w:tcPr>
                  <w:tcW w:w="2258" w:type="dxa"/>
                </w:tcPr>
                <w:p w:rsidR="009412A4" w:rsidRPr="00C54DA9" w:rsidRDefault="009412A4" w:rsidP="009412A4">
                  <w:pPr>
                    <w:pStyle w:val="Reminders"/>
                    <w:tabs>
                      <w:tab w:val="num" w:pos="360"/>
                    </w:tabs>
                    <w:spacing w:before="0" w:after="0"/>
                    <w:jc w:val="center"/>
                    <w:rPr>
                      <w:rFonts w:ascii="Times New Roman" w:hAnsi="Times New Roman"/>
                      <w:i w:val="0"/>
                      <w:color w:val="auto"/>
                      <w:sz w:val="20"/>
                      <w:szCs w:val="20"/>
                    </w:rPr>
                  </w:pPr>
                  <w:r>
                    <w:rPr>
                      <w:rFonts w:ascii="Times New Roman" w:hAnsi="Times New Roman"/>
                      <w:i w:val="0"/>
                      <w:color w:val="auto"/>
                      <w:sz w:val="20"/>
                      <w:szCs w:val="20"/>
                    </w:rPr>
                    <w:t>68</w:t>
                  </w:r>
                </w:p>
              </w:tc>
              <w:tc>
                <w:tcPr>
                  <w:tcW w:w="1839" w:type="dxa"/>
                </w:tcPr>
                <w:p w:rsidR="009412A4" w:rsidRPr="00C54DA9" w:rsidRDefault="009412A4" w:rsidP="009412A4">
                  <w:pPr>
                    <w:pStyle w:val="Reminders"/>
                    <w:tabs>
                      <w:tab w:val="num" w:pos="360"/>
                    </w:tabs>
                    <w:spacing w:before="0" w:after="0"/>
                    <w:jc w:val="center"/>
                    <w:rPr>
                      <w:rFonts w:ascii="Times New Roman" w:hAnsi="Times New Roman"/>
                      <w:i w:val="0"/>
                      <w:color w:val="auto"/>
                      <w:sz w:val="20"/>
                      <w:szCs w:val="20"/>
                    </w:rPr>
                  </w:pPr>
                  <w:r>
                    <w:rPr>
                      <w:rFonts w:ascii="Times New Roman" w:hAnsi="Times New Roman"/>
                      <w:i w:val="0"/>
                      <w:color w:val="auto"/>
                      <w:sz w:val="20"/>
                      <w:szCs w:val="20"/>
                    </w:rPr>
                    <w:t>80</w:t>
                  </w:r>
                </w:p>
              </w:tc>
              <w:tc>
                <w:tcPr>
                  <w:tcW w:w="1839" w:type="dxa"/>
                </w:tcPr>
                <w:p w:rsidR="009412A4" w:rsidRPr="00C54DA9" w:rsidRDefault="009412A4" w:rsidP="009412A4">
                  <w:pPr>
                    <w:pStyle w:val="Reminders"/>
                    <w:tabs>
                      <w:tab w:val="num" w:pos="360"/>
                    </w:tabs>
                    <w:spacing w:before="0" w:after="0"/>
                    <w:jc w:val="center"/>
                    <w:rPr>
                      <w:rFonts w:ascii="Times New Roman" w:hAnsi="Times New Roman"/>
                      <w:i w:val="0"/>
                      <w:color w:val="auto"/>
                      <w:sz w:val="20"/>
                      <w:szCs w:val="20"/>
                    </w:rPr>
                  </w:pPr>
                  <w:r>
                    <w:rPr>
                      <w:rFonts w:ascii="Times New Roman" w:hAnsi="Times New Roman"/>
                      <w:i w:val="0"/>
                      <w:color w:val="auto"/>
                      <w:sz w:val="20"/>
                      <w:szCs w:val="20"/>
                    </w:rPr>
                    <w:t>95</w:t>
                  </w:r>
                </w:p>
              </w:tc>
            </w:tr>
            <w:tr w:rsidR="009412A4" w:rsidRPr="00C54DA9" w:rsidTr="002638DA">
              <w:trPr>
                <w:jc w:val="center"/>
              </w:trPr>
              <w:tc>
                <w:tcPr>
                  <w:tcW w:w="1801" w:type="dxa"/>
                </w:tcPr>
                <w:p w:rsidR="009412A4" w:rsidRPr="00C54DA9" w:rsidRDefault="009412A4" w:rsidP="009412A4">
                  <w:pPr>
                    <w:pStyle w:val="Reminders"/>
                    <w:tabs>
                      <w:tab w:val="num" w:pos="360"/>
                    </w:tabs>
                    <w:spacing w:before="0" w:after="0"/>
                    <w:jc w:val="center"/>
                    <w:rPr>
                      <w:rFonts w:ascii="Times New Roman" w:hAnsi="Times New Roman"/>
                      <w:i w:val="0"/>
                      <w:color w:val="auto"/>
                      <w:sz w:val="20"/>
                      <w:szCs w:val="20"/>
                    </w:rPr>
                  </w:pPr>
                  <w:r>
                    <w:rPr>
                      <w:rFonts w:ascii="Times New Roman" w:hAnsi="Times New Roman"/>
                      <w:i w:val="0"/>
                      <w:color w:val="auto"/>
                      <w:sz w:val="20"/>
                      <w:szCs w:val="20"/>
                    </w:rPr>
                    <w:t>60</w:t>
                  </w:r>
                </w:p>
              </w:tc>
              <w:tc>
                <w:tcPr>
                  <w:tcW w:w="2258" w:type="dxa"/>
                </w:tcPr>
                <w:p w:rsidR="009412A4" w:rsidRPr="00C54DA9" w:rsidRDefault="009412A4" w:rsidP="009412A4">
                  <w:pPr>
                    <w:pStyle w:val="Reminders"/>
                    <w:tabs>
                      <w:tab w:val="num" w:pos="360"/>
                    </w:tabs>
                    <w:spacing w:before="0" w:after="0"/>
                    <w:jc w:val="center"/>
                    <w:rPr>
                      <w:rFonts w:ascii="Times New Roman" w:hAnsi="Times New Roman"/>
                      <w:i w:val="0"/>
                      <w:color w:val="auto"/>
                      <w:sz w:val="20"/>
                      <w:szCs w:val="20"/>
                    </w:rPr>
                  </w:pPr>
                  <w:r>
                    <w:rPr>
                      <w:rFonts w:ascii="Times New Roman" w:hAnsi="Times New Roman"/>
                      <w:i w:val="0"/>
                      <w:color w:val="auto"/>
                      <w:sz w:val="20"/>
                      <w:szCs w:val="20"/>
                    </w:rPr>
                    <w:t>80</w:t>
                  </w:r>
                </w:p>
              </w:tc>
              <w:tc>
                <w:tcPr>
                  <w:tcW w:w="1839" w:type="dxa"/>
                </w:tcPr>
                <w:p w:rsidR="009412A4" w:rsidRPr="00C54DA9" w:rsidRDefault="009412A4" w:rsidP="009412A4">
                  <w:pPr>
                    <w:pStyle w:val="Reminders"/>
                    <w:tabs>
                      <w:tab w:val="num" w:pos="360"/>
                    </w:tabs>
                    <w:spacing w:before="0" w:after="0"/>
                    <w:jc w:val="center"/>
                    <w:rPr>
                      <w:rFonts w:ascii="Times New Roman" w:hAnsi="Times New Roman"/>
                      <w:i w:val="0"/>
                      <w:color w:val="auto"/>
                      <w:sz w:val="20"/>
                      <w:szCs w:val="20"/>
                    </w:rPr>
                  </w:pPr>
                  <w:r>
                    <w:rPr>
                      <w:rFonts w:ascii="Times New Roman" w:hAnsi="Times New Roman"/>
                      <w:i w:val="0"/>
                      <w:color w:val="auto"/>
                      <w:sz w:val="20"/>
                      <w:szCs w:val="20"/>
                    </w:rPr>
                    <w:t>90</w:t>
                  </w:r>
                </w:p>
              </w:tc>
              <w:tc>
                <w:tcPr>
                  <w:tcW w:w="1839" w:type="dxa"/>
                </w:tcPr>
                <w:p w:rsidR="009412A4" w:rsidRPr="00C54DA9" w:rsidRDefault="009412A4" w:rsidP="009412A4">
                  <w:pPr>
                    <w:pStyle w:val="Reminders"/>
                    <w:tabs>
                      <w:tab w:val="num" w:pos="360"/>
                    </w:tabs>
                    <w:spacing w:before="0" w:after="0"/>
                    <w:jc w:val="center"/>
                    <w:rPr>
                      <w:rFonts w:ascii="Times New Roman" w:hAnsi="Times New Roman"/>
                      <w:i w:val="0"/>
                      <w:color w:val="auto"/>
                      <w:sz w:val="20"/>
                      <w:szCs w:val="20"/>
                    </w:rPr>
                  </w:pPr>
                  <w:r>
                    <w:rPr>
                      <w:rFonts w:ascii="Times New Roman" w:hAnsi="Times New Roman"/>
                      <w:i w:val="0"/>
                      <w:color w:val="auto"/>
                      <w:sz w:val="20"/>
                      <w:szCs w:val="20"/>
                    </w:rPr>
                    <w:t>100</w:t>
                  </w:r>
                </w:p>
              </w:tc>
            </w:tr>
            <w:tr w:rsidR="009412A4" w:rsidRPr="00C54DA9" w:rsidTr="002638DA">
              <w:trPr>
                <w:jc w:val="center"/>
              </w:trPr>
              <w:tc>
                <w:tcPr>
                  <w:tcW w:w="1801" w:type="dxa"/>
                </w:tcPr>
                <w:p w:rsidR="009412A4" w:rsidRPr="00C54DA9" w:rsidRDefault="009412A4" w:rsidP="009412A4">
                  <w:pPr>
                    <w:pStyle w:val="Reminders"/>
                    <w:tabs>
                      <w:tab w:val="num" w:pos="360"/>
                    </w:tabs>
                    <w:spacing w:before="0" w:after="0"/>
                    <w:jc w:val="center"/>
                    <w:rPr>
                      <w:rFonts w:ascii="Times New Roman" w:hAnsi="Times New Roman"/>
                      <w:i w:val="0"/>
                      <w:color w:val="auto"/>
                      <w:sz w:val="20"/>
                      <w:szCs w:val="20"/>
                    </w:rPr>
                  </w:pPr>
                  <w:r>
                    <w:rPr>
                      <w:rFonts w:ascii="Times New Roman" w:hAnsi="Times New Roman"/>
                      <w:i w:val="0"/>
                      <w:color w:val="auto"/>
                      <w:sz w:val="20"/>
                      <w:szCs w:val="20"/>
                    </w:rPr>
                    <w:t>75</w:t>
                  </w:r>
                </w:p>
              </w:tc>
              <w:tc>
                <w:tcPr>
                  <w:tcW w:w="2258" w:type="dxa"/>
                </w:tcPr>
                <w:p w:rsidR="009412A4" w:rsidRPr="00C54DA9" w:rsidRDefault="009412A4" w:rsidP="009412A4">
                  <w:pPr>
                    <w:pStyle w:val="Reminders"/>
                    <w:tabs>
                      <w:tab w:val="num" w:pos="360"/>
                    </w:tabs>
                    <w:spacing w:before="0" w:after="0"/>
                    <w:jc w:val="center"/>
                    <w:rPr>
                      <w:rFonts w:ascii="Times New Roman" w:hAnsi="Times New Roman"/>
                      <w:i w:val="0"/>
                      <w:color w:val="auto"/>
                      <w:sz w:val="20"/>
                      <w:szCs w:val="20"/>
                    </w:rPr>
                  </w:pPr>
                  <w:r>
                    <w:rPr>
                      <w:rFonts w:ascii="Times New Roman" w:hAnsi="Times New Roman"/>
                      <w:i w:val="0"/>
                      <w:color w:val="auto"/>
                      <w:sz w:val="20"/>
                      <w:szCs w:val="20"/>
                    </w:rPr>
                    <w:t>90</w:t>
                  </w:r>
                </w:p>
              </w:tc>
              <w:tc>
                <w:tcPr>
                  <w:tcW w:w="1839" w:type="dxa"/>
                </w:tcPr>
                <w:p w:rsidR="009412A4" w:rsidRPr="00C54DA9" w:rsidRDefault="009412A4" w:rsidP="009412A4">
                  <w:pPr>
                    <w:pStyle w:val="Reminders"/>
                    <w:tabs>
                      <w:tab w:val="num" w:pos="360"/>
                    </w:tabs>
                    <w:spacing w:before="0" w:after="0"/>
                    <w:jc w:val="center"/>
                    <w:rPr>
                      <w:rFonts w:ascii="Times New Roman" w:hAnsi="Times New Roman"/>
                      <w:i w:val="0"/>
                      <w:color w:val="auto"/>
                      <w:sz w:val="20"/>
                      <w:szCs w:val="20"/>
                    </w:rPr>
                  </w:pPr>
                  <w:r>
                    <w:rPr>
                      <w:rFonts w:ascii="Times New Roman" w:hAnsi="Times New Roman"/>
                      <w:i w:val="0"/>
                      <w:color w:val="auto"/>
                      <w:sz w:val="20"/>
                      <w:szCs w:val="20"/>
                    </w:rPr>
                    <w:t>90</w:t>
                  </w:r>
                </w:p>
              </w:tc>
              <w:tc>
                <w:tcPr>
                  <w:tcW w:w="1839" w:type="dxa"/>
                </w:tcPr>
                <w:p w:rsidR="009412A4" w:rsidRPr="00C54DA9" w:rsidRDefault="009412A4" w:rsidP="009412A4">
                  <w:pPr>
                    <w:pStyle w:val="Reminders"/>
                    <w:tabs>
                      <w:tab w:val="num" w:pos="360"/>
                    </w:tabs>
                    <w:spacing w:before="0" w:after="0"/>
                    <w:jc w:val="center"/>
                    <w:rPr>
                      <w:rFonts w:ascii="Times New Roman" w:hAnsi="Times New Roman"/>
                      <w:i w:val="0"/>
                      <w:color w:val="auto"/>
                      <w:sz w:val="20"/>
                      <w:szCs w:val="20"/>
                    </w:rPr>
                  </w:pPr>
                  <w:r>
                    <w:rPr>
                      <w:rFonts w:ascii="Times New Roman" w:hAnsi="Times New Roman"/>
                      <w:i w:val="0"/>
                      <w:color w:val="auto"/>
                      <w:sz w:val="20"/>
                      <w:szCs w:val="20"/>
                    </w:rPr>
                    <w:t>110</w:t>
                  </w:r>
                </w:p>
              </w:tc>
            </w:tr>
            <w:tr w:rsidR="009412A4" w:rsidRPr="00C54DA9" w:rsidTr="002638DA">
              <w:trPr>
                <w:jc w:val="center"/>
              </w:trPr>
              <w:tc>
                <w:tcPr>
                  <w:tcW w:w="1801" w:type="dxa"/>
                </w:tcPr>
                <w:p w:rsidR="009412A4" w:rsidRDefault="009412A4" w:rsidP="009412A4">
                  <w:pPr>
                    <w:pStyle w:val="Reminders"/>
                    <w:tabs>
                      <w:tab w:val="num" w:pos="360"/>
                    </w:tabs>
                    <w:spacing w:before="0" w:after="0"/>
                    <w:jc w:val="center"/>
                    <w:rPr>
                      <w:rFonts w:ascii="Times New Roman" w:hAnsi="Times New Roman"/>
                      <w:i w:val="0"/>
                      <w:color w:val="auto"/>
                      <w:sz w:val="20"/>
                      <w:szCs w:val="20"/>
                    </w:rPr>
                  </w:pPr>
                  <w:r>
                    <w:rPr>
                      <w:rFonts w:ascii="Times New Roman" w:hAnsi="Times New Roman"/>
                      <w:i w:val="0"/>
                      <w:color w:val="auto"/>
                      <w:sz w:val="20"/>
                      <w:szCs w:val="20"/>
                    </w:rPr>
                    <w:t>100</w:t>
                  </w:r>
                </w:p>
              </w:tc>
              <w:tc>
                <w:tcPr>
                  <w:tcW w:w="2258" w:type="dxa"/>
                </w:tcPr>
                <w:p w:rsidR="009412A4" w:rsidRDefault="009412A4" w:rsidP="009412A4">
                  <w:pPr>
                    <w:pStyle w:val="Reminders"/>
                    <w:tabs>
                      <w:tab w:val="num" w:pos="360"/>
                    </w:tabs>
                    <w:spacing w:before="0" w:after="0"/>
                    <w:jc w:val="center"/>
                    <w:rPr>
                      <w:rFonts w:ascii="Times New Roman" w:hAnsi="Times New Roman"/>
                      <w:i w:val="0"/>
                      <w:color w:val="auto"/>
                      <w:sz w:val="20"/>
                      <w:szCs w:val="20"/>
                    </w:rPr>
                  </w:pPr>
                  <w:r>
                    <w:rPr>
                      <w:rFonts w:ascii="Times New Roman" w:hAnsi="Times New Roman"/>
                      <w:i w:val="0"/>
                      <w:color w:val="auto"/>
                      <w:sz w:val="20"/>
                      <w:szCs w:val="20"/>
                    </w:rPr>
                    <w:t>90</w:t>
                  </w:r>
                </w:p>
              </w:tc>
              <w:tc>
                <w:tcPr>
                  <w:tcW w:w="1839" w:type="dxa"/>
                </w:tcPr>
                <w:p w:rsidR="009412A4" w:rsidRPr="00C54DA9" w:rsidRDefault="009412A4" w:rsidP="009412A4">
                  <w:pPr>
                    <w:pStyle w:val="Reminders"/>
                    <w:tabs>
                      <w:tab w:val="num" w:pos="360"/>
                    </w:tabs>
                    <w:spacing w:before="0" w:after="0"/>
                    <w:jc w:val="center"/>
                    <w:rPr>
                      <w:rFonts w:ascii="Times New Roman" w:hAnsi="Times New Roman"/>
                      <w:i w:val="0"/>
                      <w:color w:val="auto"/>
                      <w:sz w:val="20"/>
                      <w:szCs w:val="20"/>
                    </w:rPr>
                  </w:pPr>
                  <w:r>
                    <w:rPr>
                      <w:rFonts w:ascii="Times New Roman" w:hAnsi="Times New Roman"/>
                      <w:i w:val="0"/>
                      <w:color w:val="auto"/>
                      <w:sz w:val="20"/>
                      <w:szCs w:val="20"/>
                    </w:rPr>
                    <w:t>90</w:t>
                  </w:r>
                </w:p>
              </w:tc>
              <w:tc>
                <w:tcPr>
                  <w:tcW w:w="1839" w:type="dxa"/>
                </w:tcPr>
                <w:p w:rsidR="009412A4" w:rsidRPr="00C54DA9" w:rsidRDefault="009412A4" w:rsidP="009412A4">
                  <w:pPr>
                    <w:pStyle w:val="Reminders"/>
                    <w:tabs>
                      <w:tab w:val="num" w:pos="360"/>
                    </w:tabs>
                    <w:spacing w:before="0" w:after="0"/>
                    <w:jc w:val="center"/>
                    <w:rPr>
                      <w:rFonts w:ascii="Times New Roman" w:hAnsi="Times New Roman"/>
                      <w:i w:val="0"/>
                      <w:color w:val="auto"/>
                      <w:sz w:val="20"/>
                      <w:szCs w:val="20"/>
                    </w:rPr>
                  </w:pPr>
                  <w:r>
                    <w:rPr>
                      <w:rFonts w:ascii="Times New Roman" w:hAnsi="Times New Roman"/>
                      <w:i w:val="0"/>
                      <w:color w:val="auto"/>
                      <w:sz w:val="20"/>
                      <w:szCs w:val="20"/>
                    </w:rPr>
                    <w:t>110</w:t>
                  </w:r>
                </w:p>
              </w:tc>
            </w:tr>
          </w:tbl>
          <w:p w:rsidR="009412A4" w:rsidRDefault="009412A4" w:rsidP="009412A4">
            <w:pPr>
              <w:rPr>
                <w:rFonts w:cs="Arial"/>
                <w:sz w:val="20"/>
                <w:szCs w:val="20"/>
              </w:rPr>
            </w:pPr>
          </w:p>
          <w:p w:rsidR="009412A4" w:rsidRDefault="009412A4" w:rsidP="009412A4">
            <w:pPr>
              <w:rPr>
                <w:rFonts w:cs="Arial"/>
                <w:sz w:val="20"/>
                <w:szCs w:val="20"/>
              </w:rPr>
            </w:pPr>
            <w:r w:rsidRPr="00F96BF5">
              <w:rPr>
                <w:rFonts w:cs="Arial"/>
                <w:sz w:val="20"/>
                <w:szCs w:val="20"/>
              </w:rPr>
              <w:t>Based on these requirements, the disposition generated revised savings at each new measure definition.</w:t>
            </w:r>
          </w:p>
          <w:p w:rsidR="009412A4" w:rsidRDefault="009412A4" w:rsidP="009412A4">
            <w:pPr>
              <w:rPr>
                <w:rFonts w:cs="Arial"/>
                <w:sz w:val="20"/>
                <w:szCs w:val="20"/>
              </w:rPr>
            </w:pPr>
          </w:p>
          <w:p w:rsidR="009412A4" w:rsidRPr="00F96BF5" w:rsidRDefault="009412A4" w:rsidP="009412A4">
            <w:pPr>
              <w:jc w:val="center"/>
              <w:rPr>
                <w:rFonts w:cs="Arial"/>
                <w:b/>
                <w:sz w:val="20"/>
                <w:szCs w:val="20"/>
              </w:rPr>
            </w:pPr>
            <w:r w:rsidRPr="00F96BF5">
              <w:rPr>
                <w:rFonts w:cs="Arial"/>
                <w:b/>
                <w:sz w:val="20"/>
                <w:szCs w:val="20"/>
              </w:rPr>
              <w:t>Table 2 – Approved LED A-Lamp Measure Definitions</w:t>
            </w:r>
          </w:p>
          <w:p w:rsidR="009412A4" w:rsidRPr="00F96BF5" w:rsidRDefault="009412A4" w:rsidP="009412A4">
            <w:pPr>
              <w:jc w:val="center"/>
              <w:rPr>
                <w:rFonts w:cs="Arial"/>
                <w:sz w:val="20"/>
                <w:szCs w:val="20"/>
              </w:rPr>
            </w:pPr>
          </w:p>
          <w:tbl>
            <w:tblPr>
              <w:tblStyle w:val="TableGrid"/>
              <w:tblW w:w="0" w:type="auto"/>
              <w:jc w:val="center"/>
              <w:tblLook w:val="04A0" w:firstRow="1" w:lastRow="0" w:firstColumn="1" w:lastColumn="0" w:noHBand="0" w:noVBand="1"/>
            </w:tblPr>
            <w:tblGrid>
              <w:gridCol w:w="1368"/>
              <w:gridCol w:w="1428"/>
              <w:gridCol w:w="1278"/>
            </w:tblGrid>
            <w:tr w:rsidR="009412A4" w:rsidTr="002638DA">
              <w:trPr>
                <w:jc w:val="center"/>
              </w:trPr>
              <w:tc>
                <w:tcPr>
                  <w:tcW w:w="1368" w:type="dxa"/>
                </w:tcPr>
                <w:p w:rsidR="009412A4" w:rsidRDefault="009412A4" w:rsidP="009412A4">
                  <w:pPr>
                    <w:pStyle w:val="Body1"/>
                    <w:spacing w:after="0"/>
                    <w:jc w:val="center"/>
                  </w:pPr>
                  <w:r>
                    <w:t>EISA Bin</w:t>
                  </w:r>
                </w:p>
              </w:tc>
              <w:tc>
                <w:tcPr>
                  <w:tcW w:w="1428" w:type="dxa"/>
                </w:tcPr>
                <w:p w:rsidR="009412A4" w:rsidRDefault="009412A4" w:rsidP="009412A4">
                  <w:pPr>
                    <w:pStyle w:val="Body1"/>
                    <w:spacing w:after="0"/>
                    <w:jc w:val="center"/>
                  </w:pPr>
                  <w:r>
                    <w:t>LPW</w:t>
                  </w:r>
                </w:p>
              </w:tc>
              <w:tc>
                <w:tcPr>
                  <w:tcW w:w="1278" w:type="dxa"/>
                </w:tcPr>
                <w:p w:rsidR="009412A4" w:rsidRDefault="009412A4" w:rsidP="009412A4">
                  <w:pPr>
                    <w:pStyle w:val="Body1"/>
                    <w:spacing w:after="0"/>
                    <w:jc w:val="center"/>
                  </w:pPr>
                  <w:r>
                    <w:rPr>
                      <w:rFonts w:ascii="Times New Roman" w:hAnsi="Times New Roman"/>
                    </w:rPr>
                    <w:t>∆</w:t>
                  </w:r>
                  <w:r>
                    <w:t>Watts</w:t>
                  </w:r>
                </w:p>
              </w:tc>
            </w:tr>
            <w:tr w:rsidR="009412A4" w:rsidTr="002638DA">
              <w:trPr>
                <w:jc w:val="center"/>
              </w:trPr>
              <w:tc>
                <w:tcPr>
                  <w:tcW w:w="1368" w:type="dxa"/>
                  <w:vMerge w:val="restart"/>
                  <w:vAlign w:val="center"/>
                </w:tcPr>
                <w:p w:rsidR="009412A4" w:rsidRDefault="009412A4" w:rsidP="009412A4">
                  <w:pPr>
                    <w:pStyle w:val="Body1"/>
                    <w:spacing w:after="0"/>
                    <w:jc w:val="center"/>
                  </w:pPr>
                  <w:r>
                    <w:t>40</w:t>
                  </w:r>
                </w:p>
              </w:tc>
              <w:tc>
                <w:tcPr>
                  <w:tcW w:w="1428" w:type="dxa"/>
                </w:tcPr>
                <w:p w:rsidR="009412A4" w:rsidRDefault="009412A4" w:rsidP="009412A4">
                  <w:pPr>
                    <w:pStyle w:val="Body1"/>
                    <w:spacing w:after="0"/>
                    <w:jc w:val="center"/>
                  </w:pPr>
                  <w:r>
                    <w:t>70</w:t>
                  </w:r>
                </w:p>
              </w:tc>
              <w:tc>
                <w:tcPr>
                  <w:tcW w:w="1278" w:type="dxa"/>
                </w:tcPr>
                <w:p w:rsidR="009412A4" w:rsidRDefault="009412A4" w:rsidP="009412A4">
                  <w:pPr>
                    <w:pStyle w:val="Body1"/>
                    <w:spacing w:after="0"/>
                    <w:jc w:val="center"/>
                  </w:pPr>
                  <w:r w:rsidRPr="00982F4B">
                    <w:t>6.8</w:t>
                  </w:r>
                </w:p>
              </w:tc>
            </w:tr>
            <w:tr w:rsidR="009412A4" w:rsidTr="002638DA">
              <w:trPr>
                <w:jc w:val="center"/>
              </w:trPr>
              <w:tc>
                <w:tcPr>
                  <w:tcW w:w="1368" w:type="dxa"/>
                  <w:vMerge/>
                  <w:vAlign w:val="center"/>
                </w:tcPr>
                <w:p w:rsidR="009412A4" w:rsidRDefault="009412A4" w:rsidP="009412A4">
                  <w:pPr>
                    <w:pStyle w:val="Body1"/>
                    <w:spacing w:after="0"/>
                    <w:jc w:val="center"/>
                  </w:pPr>
                </w:p>
              </w:tc>
              <w:tc>
                <w:tcPr>
                  <w:tcW w:w="1428" w:type="dxa"/>
                </w:tcPr>
                <w:p w:rsidR="009412A4" w:rsidRDefault="009412A4" w:rsidP="009412A4">
                  <w:pPr>
                    <w:pStyle w:val="Body1"/>
                    <w:spacing w:after="0"/>
                    <w:jc w:val="center"/>
                  </w:pPr>
                  <w:r>
                    <w:t>80</w:t>
                  </w:r>
                </w:p>
              </w:tc>
              <w:tc>
                <w:tcPr>
                  <w:tcW w:w="1278" w:type="dxa"/>
                </w:tcPr>
                <w:p w:rsidR="009412A4" w:rsidRDefault="009412A4" w:rsidP="009412A4">
                  <w:pPr>
                    <w:pStyle w:val="Body1"/>
                    <w:spacing w:after="0"/>
                    <w:jc w:val="center"/>
                  </w:pPr>
                  <w:r w:rsidRPr="00982F4B">
                    <w:t>7.6</w:t>
                  </w:r>
                </w:p>
              </w:tc>
            </w:tr>
            <w:tr w:rsidR="009412A4" w:rsidTr="002638DA">
              <w:trPr>
                <w:jc w:val="center"/>
              </w:trPr>
              <w:tc>
                <w:tcPr>
                  <w:tcW w:w="1368" w:type="dxa"/>
                  <w:vMerge/>
                  <w:vAlign w:val="center"/>
                </w:tcPr>
                <w:p w:rsidR="009412A4" w:rsidRDefault="009412A4" w:rsidP="009412A4">
                  <w:pPr>
                    <w:pStyle w:val="Body1"/>
                    <w:spacing w:after="0"/>
                    <w:jc w:val="center"/>
                  </w:pPr>
                </w:p>
              </w:tc>
              <w:tc>
                <w:tcPr>
                  <w:tcW w:w="1428" w:type="dxa"/>
                </w:tcPr>
                <w:p w:rsidR="009412A4" w:rsidRDefault="009412A4" w:rsidP="009412A4">
                  <w:pPr>
                    <w:pStyle w:val="Body1"/>
                    <w:spacing w:after="0"/>
                    <w:jc w:val="center"/>
                  </w:pPr>
                  <w:r>
                    <w:t>90</w:t>
                  </w:r>
                </w:p>
              </w:tc>
              <w:tc>
                <w:tcPr>
                  <w:tcW w:w="1278" w:type="dxa"/>
                </w:tcPr>
                <w:p w:rsidR="009412A4" w:rsidRDefault="009412A4" w:rsidP="009412A4">
                  <w:pPr>
                    <w:pStyle w:val="Body1"/>
                    <w:spacing w:after="0"/>
                    <w:jc w:val="center"/>
                  </w:pPr>
                  <w:r w:rsidRPr="00982F4B">
                    <w:t>8.7</w:t>
                  </w:r>
                </w:p>
              </w:tc>
            </w:tr>
            <w:tr w:rsidR="009412A4" w:rsidTr="002638DA">
              <w:trPr>
                <w:jc w:val="center"/>
              </w:trPr>
              <w:tc>
                <w:tcPr>
                  <w:tcW w:w="1368" w:type="dxa"/>
                  <w:vMerge/>
                  <w:vAlign w:val="center"/>
                </w:tcPr>
                <w:p w:rsidR="009412A4" w:rsidRDefault="009412A4" w:rsidP="009412A4">
                  <w:pPr>
                    <w:pStyle w:val="Body1"/>
                    <w:spacing w:after="0"/>
                    <w:jc w:val="center"/>
                  </w:pPr>
                </w:p>
              </w:tc>
              <w:tc>
                <w:tcPr>
                  <w:tcW w:w="1428" w:type="dxa"/>
                </w:tcPr>
                <w:p w:rsidR="009412A4" w:rsidRDefault="009412A4" w:rsidP="009412A4">
                  <w:pPr>
                    <w:pStyle w:val="Body1"/>
                    <w:spacing w:after="0"/>
                    <w:jc w:val="center"/>
                  </w:pPr>
                  <w:r>
                    <w:t>100</w:t>
                  </w:r>
                </w:p>
              </w:tc>
              <w:tc>
                <w:tcPr>
                  <w:tcW w:w="1278" w:type="dxa"/>
                </w:tcPr>
                <w:p w:rsidR="009412A4" w:rsidRDefault="009412A4" w:rsidP="009412A4">
                  <w:pPr>
                    <w:pStyle w:val="Body1"/>
                    <w:spacing w:after="0"/>
                    <w:jc w:val="center"/>
                  </w:pPr>
                  <w:r w:rsidRPr="00982F4B">
                    <w:t>8.8</w:t>
                  </w:r>
                </w:p>
              </w:tc>
            </w:tr>
            <w:tr w:rsidR="009412A4" w:rsidTr="002638DA">
              <w:trPr>
                <w:jc w:val="center"/>
              </w:trPr>
              <w:tc>
                <w:tcPr>
                  <w:tcW w:w="1368" w:type="dxa"/>
                  <w:vMerge w:val="restart"/>
                  <w:vAlign w:val="center"/>
                </w:tcPr>
                <w:p w:rsidR="009412A4" w:rsidRDefault="009412A4" w:rsidP="009412A4">
                  <w:pPr>
                    <w:pStyle w:val="Body1"/>
                    <w:spacing w:after="0"/>
                    <w:jc w:val="center"/>
                  </w:pPr>
                  <w:r>
                    <w:t>60</w:t>
                  </w:r>
                </w:p>
              </w:tc>
              <w:tc>
                <w:tcPr>
                  <w:tcW w:w="1428" w:type="dxa"/>
                </w:tcPr>
                <w:p w:rsidR="009412A4" w:rsidRDefault="009412A4" w:rsidP="009412A4">
                  <w:pPr>
                    <w:pStyle w:val="Body1"/>
                    <w:spacing w:after="0"/>
                    <w:jc w:val="center"/>
                  </w:pPr>
                  <w:r>
                    <w:t>70</w:t>
                  </w:r>
                </w:p>
              </w:tc>
              <w:tc>
                <w:tcPr>
                  <w:tcW w:w="1278" w:type="dxa"/>
                </w:tcPr>
                <w:p w:rsidR="009412A4" w:rsidRDefault="009412A4" w:rsidP="009412A4">
                  <w:pPr>
                    <w:pStyle w:val="Body1"/>
                    <w:spacing w:after="0"/>
                    <w:jc w:val="center"/>
                  </w:pPr>
                  <w:r w:rsidRPr="004130EC">
                    <w:t>6.6</w:t>
                  </w:r>
                </w:p>
              </w:tc>
            </w:tr>
            <w:tr w:rsidR="009412A4" w:rsidTr="002638DA">
              <w:trPr>
                <w:jc w:val="center"/>
              </w:trPr>
              <w:tc>
                <w:tcPr>
                  <w:tcW w:w="1368" w:type="dxa"/>
                  <w:vMerge/>
                  <w:vAlign w:val="center"/>
                </w:tcPr>
                <w:p w:rsidR="009412A4" w:rsidRDefault="009412A4" w:rsidP="009412A4">
                  <w:pPr>
                    <w:pStyle w:val="Body1"/>
                    <w:spacing w:after="0"/>
                    <w:jc w:val="center"/>
                  </w:pPr>
                </w:p>
              </w:tc>
              <w:tc>
                <w:tcPr>
                  <w:tcW w:w="1428" w:type="dxa"/>
                </w:tcPr>
                <w:p w:rsidR="009412A4" w:rsidRDefault="009412A4" w:rsidP="009412A4">
                  <w:pPr>
                    <w:pStyle w:val="Body1"/>
                    <w:spacing w:after="0"/>
                    <w:jc w:val="center"/>
                  </w:pPr>
                  <w:r>
                    <w:t>80</w:t>
                  </w:r>
                </w:p>
              </w:tc>
              <w:tc>
                <w:tcPr>
                  <w:tcW w:w="1278" w:type="dxa"/>
                </w:tcPr>
                <w:p w:rsidR="009412A4" w:rsidRDefault="009412A4" w:rsidP="009412A4">
                  <w:pPr>
                    <w:pStyle w:val="Body1"/>
                    <w:spacing w:after="0"/>
                    <w:jc w:val="center"/>
                  </w:pPr>
                  <w:r w:rsidRPr="004130EC">
                    <w:t>7.8</w:t>
                  </w:r>
                </w:p>
              </w:tc>
            </w:tr>
            <w:tr w:rsidR="009412A4" w:rsidTr="002638DA">
              <w:trPr>
                <w:jc w:val="center"/>
              </w:trPr>
              <w:tc>
                <w:tcPr>
                  <w:tcW w:w="1368" w:type="dxa"/>
                  <w:vMerge/>
                  <w:vAlign w:val="center"/>
                </w:tcPr>
                <w:p w:rsidR="009412A4" w:rsidRDefault="009412A4" w:rsidP="009412A4">
                  <w:pPr>
                    <w:pStyle w:val="Body1"/>
                    <w:spacing w:after="0"/>
                    <w:jc w:val="center"/>
                  </w:pPr>
                </w:p>
              </w:tc>
              <w:tc>
                <w:tcPr>
                  <w:tcW w:w="1428" w:type="dxa"/>
                </w:tcPr>
                <w:p w:rsidR="009412A4" w:rsidRDefault="009412A4" w:rsidP="009412A4">
                  <w:pPr>
                    <w:pStyle w:val="Body1"/>
                    <w:spacing w:after="0"/>
                    <w:jc w:val="center"/>
                  </w:pPr>
                  <w:r>
                    <w:t>90</w:t>
                  </w:r>
                </w:p>
              </w:tc>
              <w:tc>
                <w:tcPr>
                  <w:tcW w:w="1278" w:type="dxa"/>
                </w:tcPr>
                <w:p w:rsidR="009412A4" w:rsidRDefault="009412A4" w:rsidP="009412A4">
                  <w:pPr>
                    <w:pStyle w:val="Body1"/>
                    <w:spacing w:after="0"/>
                    <w:jc w:val="center"/>
                  </w:pPr>
                  <w:r w:rsidRPr="004130EC">
                    <w:t>9.2</w:t>
                  </w:r>
                </w:p>
              </w:tc>
            </w:tr>
            <w:tr w:rsidR="009412A4" w:rsidTr="002638DA">
              <w:trPr>
                <w:jc w:val="center"/>
              </w:trPr>
              <w:tc>
                <w:tcPr>
                  <w:tcW w:w="1368" w:type="dxa"/>
                  <w:vMerge/>
                  <w:vAlign w:val="center"/>
                </w:tcPr>
                <w:p w:rsidR="009412A4" w:rsidRDefault="009412A4" w:rsidP="009412A4">
                  <w:pPr>
                    <w:pStyle w:val="Body1"/>
                    <w:spacing w:after="0"/>
                    <w:jc w:val="center"/>
                  </w:pPr>
                </w:p>
              </w:tc>
              <w:tc>
                <w:tcPr>
                  <w:tcW w:w="1428" w:type="dxa"/>
                </w:tcPr>
                <w:p w:rsidR="009412A4" w:rsidRDefault="009412A4" w:rsidP="009412A4">
                  <w:pPr>
                    <w:pStyle w:val="Body1"/>
                    <w:spacing w:after="0"/>
                    <w:jc w:val="center"/>
                  </w:pPr>
                  <w:r>
                    <w:t>100</w:t>
                  </w:r>
                </w:p>
              </w:tc>
              <w:tc>
                <w:tcPr>
                  <w:tcW w:w="1278" w:type="dxa"/>
                </w:tcPr>
                <w:p w:rsidR="009412A4" w:rsidRDefault="009412A4" w:rsidP="009412A4">
                  <w:pPr>
                    <w:pStyle w:val="Body1"/>
                    <w:spacing w:after="0"/>
                    <w:jc w:val="center"/>
                  </w:pPr>
                  <w:r w:rsidRPr="004130EC">
                    <w:t>10.9</w:t>
                  </w:r>
                </w:p>
              </w:tc>
            </w:tr>
            <w:tr w:rsidR="009412A4" w:rsidTr="002638DA">
              <w:trPr>
                <w:jc w:val="center"/>
              </w:trPr>
              <w:tc>
                <w:tcPr>
                  <w:tcW w:w="1368" w:type="dxa"/>
                  <w:vMerge/>
                  <w:vAlign w:val="center"/>
                </w:tcPr>
                <w:p w:rsidR="009412A4" w:rsidRDefault="009412A4" w:rsidP="009412A4">
                  <w:pPr>
                    <w:pStyle w:val="Body1"/>
                    <w:spacing w:after="0"/>
                    <w:jc w:val="center"/>
                  </w:pPr>
                </w:p>
              </w:tc>
              <w:tc>
                <w:tcPr>
                  <w:tcW w:w="1428" w:type="dxa"/>
                </w:tcPr>
                <w:p w:rsidR="009412A4" w:rsidRDefault="009412A4" w:rsidP="009412A4">
                  <w:pPr>
                    <w:pStyle w:val="Body1"/>
                    <w:spacing w:after="0"/>
                    <w:jc w:val="center"/>
                  </w:pPr>
                  <w:r>
                    <w:t>110</w:t>
                  </w:r>
                </w:p>
              </w:tc>
              <w:tc>
                <w:tcPr>
                  <w:tcW w:w="1278" w:type="dxa"/>
                </w:tcPr>
                <w:p w:rsidR="009412A4" w:rsidRDefault="009412A4" w:rsidP="009412A4">
                  <w:pPr>
                    <w:pStyle w:val="Body1"/>
                    <w:spacing w:after="0"/>
                    <w:jc w:val="center"/>
                  </w:pPr>
                  <w:r w:rsidRPr="004130EC">
                    <w:t>1</w:t>
                  </w:r>
                  <w:r>
                    <w:t>1</w:t>
                  </w:r>
                  <w:r w:rsidRPr="004130EC">
                    <w:t>.</w:t>
                  </w:r>
                  <w:r>
                    <w:t>0</w:t>
                  </w:r>
                </w:p>
              </w:tc>
            </w:tr>
            <w:tr w:rsidR="009412A4" w:rsidTr="002638DA">
              <w:trPr>
                <w:jc w:val="center"/>
              </w:trPr>
              <w:tc>
                <w:tcPr>
                  <w:tcW w:w="1368" w:type="dxa"/>
                  <w:vMerge w:val="restart"/>
                  <w:vAlign w:val="center"/>
                </w:tcPr>
                <w:p w:rsidR="009412A4" w:rsidRDefault="009412A4" w:rsidP="009412A4">
                  <w:pPr>
                    <w:pStyle w:val="Body1"/>
                    <w:spacing w:after="0"/>
                    <w:jc w:val="center"/>
                  </w:pPr>
                  <w:r>
                    <w:t>75</w:t>
                  </w:r>
                </w:p>
              </w:tc>
              <w:tc>
                <w:tcPr>
                  <w:tcW w:w="1428" w:type="dxa"/>
                </w:tcPr>
                <w:p w:rsidR="009412A4" w:rsidRDefault="009412A4" w:rsidP="009412A4">
                  <w:pPr>
                    <w:pStyle w:val="Body1"/>
                    <w:spacing w:after="0"/>
                    <w:jc w:val="center"/>
                  </w:pPr>
                  <w:r>
                    <w:t>70</w:t>
                  </w:r>
                </w:p>
              </w:tc>
              <w:tc>
                <w:tcPr>
                  <w:tcW w:w="1278" w:type="dxa"/>
                </w:tcPr>
                <w:p w:rsidR="009412A4" w:rsidRDefault="009412A4" w:rsidP="009412A4">
                  <w:pPr>
                    <w:pStyle w:val="Body1"/>
                    <w:spacing w:after="0"/>
                    <w:jc w:val="center"/>
                  </w:pPr>
                  <w:r w:rsidRPr="000F22AB">
                    <w:t>8.9</w:t>
                  </w:r>
                </w:p>
              </w:tc>
            </w:tr>
            <w:tr w:rsidR="009412A4" w:rsidTr="002638DA">
              <w:trPr>
                <w:jc w:val="center"/>
              </w:trPr>
              <w:tc>
                <w:tcPr>
                  <w:tcW w:w="1368" w:type="dxa"/>
                  <w:vMerge/>
                  <w:vAlign w:val="center"/>
                </w:tcPr>
                <w:p w:rsidR="009412A4" w:rsidRDefault="009412A4" w:rsidP="009412A4">
                  <w:pPr>
                    <w:pStyle w:val="Body1"/>
                    <w:spacing w:after="0"/>
                    <w:jc w:val="center"/>
                  </w:pPr>
                </w:p>
              </w:tc>
              <w:tc>
                <w:tcPr>
                  <w:tcW w:w="1428" w:type="dxa"/>
                </w:tcPr>
                <w:p w:rsidR="009412A4" w:rsidRDefault="009412A4" w:rsidP="009412A4">
                  <w:pPr>
                    <w:pStyle w:val="Body1"/>
                    <w:spacing w:after="0"/>
                    <w:jc w:val="center"/>
                  </w:pPr>
                  <w:r>
                    <w:t>80</w:t>
                  </w:r>
                </w:p>
              </w:tc>
              <w:tc>
                <w:tcPr>
                  <w:tcW w:w="1278" w:type="dxa"/>
                </w:tcPr>
                <w:p w:rsidR="009412A4" w:rsidRDefault="009412A4" w:rsidP="009412A4">
                  <w:pPr>
                    <w:pStyle w:val="Body1"/>
                    <w:spacing w:after="0"/>
                    <w:jc w:val="center"/>
                  </w:pPr>
                  <w:r w:rsidRPr="000F22AB">
                    <w:t>10.8</w:t>
                  </w:r>
                </w:p>
              </w:tc>
            </w:tr>
            <w:tr w:rsidR="009412A4" w:rsidTr="002638DA">
              <w:trPr>
                <w:jc w:val="center"/>
              </w:trPr>
              <w:tc>
                <w:tcPr>
                  <w:tcW w:w="1368" w:type="dxa"/>
                  <w:vMerge/>
                  <w:vAlign w:val="center"/>
                </w:tcPr>
                <w:p w:rsidR="009412A4" w:rsidRDefault="009412A4" w:rsidP="009412A4">
                  <w:pPr>
                    <w:pStyle w:val="Body1"/>
                    <w:spacing w:after="0"/>
                    <w:jc w:val="center"/>
                  </w:pPr>
                </w:p>
              </w:tc>
              <w:tc>
                <w:tcPr>
                  <w:tcW w:w="1428" w:type="dxa"/>
                </w:tcPr>
                <w:p w:rsidR="009412A4" w:rsidRDefault="009412A4" w:rsidP="009412A4">
                  <w:pPr>
                    <w:pStyle w:val="Body1"/>
                    <w:spacing w:after="0"/>
                    <w:jc w:val="center"/>
                  </w:pPr>
                  <w:r>
                    <w:t>90</w:t>
                  </w:r>
                </w:p>
              </w:tc>
              <w:tc>
                <w:tcPr>
                  <w:tcW w:w="1278" w:type="dxa"/>
                </w:tcPr>
                <w:p w:rsidR="009412A4" w:rsidRDefault="009412A4" w:rsidP="009412A4">
                  <w:pPr>
                    <w:pStyle w:val="Body1"/>
                    <w:spacing w:after="0"/>
                    <w:jc w:val="center"/>
                  </w:pPr>
                  <w:r w:rsidRPr="000F22AB">
                    <w:t>12.6</w:t>
                  </w:r>
                </w:p>
              </w:tc>
            </w:tr>
            <w:tr w:rsidR="009412A4" w:rsidTr="002638DA">
              <w:trPr>
                <w:jc w:val="center"/>
              </w:trPr>
              <w:tc>
                <w:tcPr>
                  <w:tcW w:w="1368" w:type="dxa"/>
                  <w:vMerge/>
                  <w:vAlign w:val="center"/>
                </w:tcPr>
                <w:p w:rsidR="009412A4" w:rsidRDefault="009412A4" w:rsidP="009412A4">
                  <w:pPr>
                    <w:pStyle w:val="Body1"/>
                    <w:spacing w:after="0"/>
                    <w:jc w:val="center"/>
                  </w:pPr>
                </w:p>
              </w:tc>
              <w:tc>
                <w:tcPr>
                  <w:tcW w:w="1428" w:type="dxa"/>
                </w:tcPr>
                <w:p w:rsidR="009412A4" w:rsidRDefault="009412A4" w:rsidP="009412A4">
                  <w:pPr>
                    <w:pStyle w:val="Body1"/>
                    <w:spacing w:after="0"/>
                    <w:jc w:val="center"/>
                  </w:pPr>
                  <w:r>
                    <w:t>100</w:t>
                  </w:r>
                </w:p>
              </w:tc>
              <w:tc>
                <w:tcPr>
                  <w:tcW w:w="1278" w:type="dxa"/>
                </w:tcPr>
                <w:p w:rsidR="009412A4" w:rsidRDefault="009412A4" w:rsidP="009412A4">
                  <w:pPr>
                    <w:pStyle w:val="Body1"/>
                    <w:spacing w:after="0"/>
                    <w:jc w:val="center"/>
                  </w:pPr>
                  <w:r w:rsidRPr="000F22AB">
                    <w:t>13.5</w:t>
                  </w:r>
                </w:p>
              </w:tc>
            </w:tr>
            <w:tr w:rsidR="009412A4" w:rsidTr="002638DA">
              <w:trPr>
                <w:jc w:val="center"/>
              </w:trPr>
              <w:tc>
                <w:tcPr>
                  <w:tcW w:w="1368" w:type="dxa"/>
                  <w:vMerge/>
                  <w:vAlign w:val="center"/>
                </w:tcPr>
                <w:p w:rsidR="009412A4" w:rsidRDefault="009412A4" w:rsidP="009412A4">
                  <w:pPr>
                    <w:pStyle w:val="Body1"/>
                    <w:spacing w:after="0"/>
                    <w:jc w:val="center"/>
                  </w:pPr>
                </w:p>
              </w:tc>
              <w:tc>
                <w:tcPr>
                  <w:tcW w:w="1428" w:type="dxa"/>
                </w:tcPr>
                <w:p w:rsidR="009412A4" w:rsidRDefault="009412A4" w:rsidP="009412A4">
                  <w:pPr>
                    <w:pStyle w:val="Body1"/>
                    <w:spacing w:after="0"/>
                    <w:jc w:val="center"/>
                  </w:pPr>
                  <w:r>
                    <w:t>110</w:t>
                  </w:r>
                </w:p>
              </w:tc>
              <w:tc>
                <w:tcPr>
                  <w:tcW w:w="1278" w:type="dxa"/>
                </w:tcPr>
                <w:p w:rsidR="009412A4" w:rsidRDefault="009412A4" w:rsidP="009412A4">
                  <w:pPr>
                    <w:pStyle w:val="Body1"/>
                    <w:spacing w:after="0"/>
                    <w:jc w:val="center"/>
                  </w:pPr>
                  <w:r w:rsidRPr="000F22AB">
                    <w:t>15.4</w:t>
                  </w:r>
                </w:p>
              </w:tc>
            </w:tr>
            <w:tr w:rsidR="009412A4" w:rsidTr="002638DA">
              <w:trPr>
                <w:jc w:val="center"/>
              </w:trPr>
              <w:tc>
                <w:tcPr>
                  <w:tcW w:w="1368" w:type="dxa"/>
                  <w:vMerge/>
                  <w:vAlign w:val="center"/>
                </w:tcPr>
                <w:p w:rsidR="009412A4" w:rsidRDefault="009412A4" w:rsidP="009412A4">
                  <w:pPr>
                    <w:pStyle w:val="Body1"/>
                    <w:spacing w:after="0"/>
                    <w:jc w:val="center"/>
                  </w:pPr>
                </w:p>
              </w:tc>
              <w:tc>
                <w:tcPr>
                  <w:tcW w:w="1428" w:type="dxa"/>
                </w:tcPr>
                <w:p w:rsidR="009412A4" w:rsidRDefault="009412A4" w:rsidP="009412A4">
                  <w:pPr>
                    <w:pStyle w:val="Body1"/>
                    <w:spacing w:after="0"/>
                    <w:jc w:val="center"/>
                  </w:pPr>
                  <w:r>
                    <w:t>120</w:t>
                  </w:r>
                </w:p>
              </w:tc>
              <w:tc>
                <w:tcPr>
                  <w:tcW w:w="1278" w:type="dxa"/>
                </w:tcPr>
                <w:p w:rsidR="009412A4" w:rsidRDefault="009412A4" w:rsidP="009412A4">
                  <w:pPr>
                    <w:pStyle w:val="Body1"/>
                    <w:spacing w:after="0"/>
                    <w:jc w:val="center"/>
                  </w:pPr>
                  <w:r w:rsidRPr="000F22AB">
                    <w:t>17.6</w:t>
                  </w:r>
                </w:p>
              </w:tc>
            </w:tr>
            <w:tr w:rsidR="009412A4" w:rsidTr="002638DA">
              <w:trPr>
                <w:jc w:val="center"/>
              </w:trPr>
              <w:tc>
                <w:tcPr>
                  <w:tcW w:w="1368" w:type="dxa"/>
                  <w:vMerge w:val="restart"/>
                  <w:vAlign w:val="center"/>
                </w:tcPr>
                <w:p w:rsidR="009412A4" w:rsidRDefault="009412A4" w:rsidP="009412A4">
                  <w:pPr>
                    <w:pStyle w:val="Body1"/>
                    <w:spacing w:after="0"/>
                    <w:jc w:val="center"/>
                  </w:pPr>
                  <w:r>
                    <w:t>100</w:t>
                  </w:r>
                </w:p>
              </w:tc>
              <w:tc>
                <w:tcPr>
                  <w:tcW w:w="1428" w:type="dxa"/>
                </w:tcPr>
                <w:p w:rsidR="009412A4" w:rsidRDefault="009412A4" w:rsidP="009412A4">
                  <w:pPr>
                    <w:pStyle w:val="Body1"/>
                    <w:spacing w:after="0"/>
                    <w:jc w:val="center"/>
                  </w:pPr>
                  <w:r>
                    <w:t>80</w:t>
                  </w:r>
                </w:p>
              </w:tc>
              <w:tc>
                <w:tcPr>
                  <w:tcW w:w="1278" w:type="dxa"/>
                </w:tcPr>
                <w:p w:rsidR="009412A4" w:rsidRDefault="009412A4" w:rsidP="009412A4">
                  <w:pPr>
                    <w:pStyle w:val="Body1"/>
                    <w:spacing w:after="0"/>
                    <w:jc w:val="center"/>
                  </w:pPr>
                  <w:r w:rsidRPr="00014851">
                    <w:t>14.9</w:t>
                  </w:r>
                </w:p>
              </w:tc>
            </w:tr>
            <w:tr w:rsidR="009412A4" w:rsidTr="002638DA">
              <w:trPr>
                <w:jc w:val="center"/>
              </w:trPr>
              <w:tc>
                <w:tcPr>
                  <w:tcW w:w="1368" w:type="dxa"/>
                  <w:vMerge/>
                </w:tcPr>
                <w:p w:rsidR="009412A4" w:rsidRDefault="009412A4" w:rsidP="009412A4">
                  <w:pPr>
                    <w:pStyle w:val="Body1"/>
                    <w:spacing w:after="0"/>
                    <w:jc w:val="center"/>
                  </w:pPr>
                </w:p>
              </w:tc>
              <w:tc>
                <w:tcPr>
                  <w:tcW w:w="1428" w:type="dxa"/>
                </w:tcPr>
                <w:p w:rsidR="009412A4" w:rsidRDefault="009412A4" w:rsidP="009412A4">
                  <w:pPr>
                    <w:pStyle w:val="Body1"/>
                    <w:spacing w:after="0"/>
                    <w:jc w:val="center"/>
                  </w:pPr>
                  <w:r>
                    <w:t>90</w:t>
                  </w:r>
                </w:p>
              </w:tc>
              <w:tc>
                <w:tcPr>
                  <w:tcW w:w="1278" w:type="dxa"/>
                </w:tcPr>
                <w:p w:rsidR="009412A4" w:rsidRDefault="009412A4" w:rsidP="009412A4">
                  <w:pPr>
                    <w:pStyle w:val="Body1"/>
                    <w:spacing w:after="0"/>
                    <w:jc w:val="center"/>
                  </w:pPr>
                  <w:r w:rsidRPr="00014851">
                    <w:t>17.2</w:t>
                  </w:r>
                </w:p>
              </w:tc>
            </w:tr>
            <w:tr w:rsidR="009412A4" w:rsidTr="002638DA">
              <w:trPr>
                <w:jc w:val="center"/>
              </w:trPr>
              <w:tc>
                <w:tcPr>
                  <w:tcW w:w="1368" w:type="dxa"/>
                  <w:vMerge/>
                </w:tcPr>
                <w:p w:rsidR="009412A4" w:rsidRDefault="009412A4" w:rsidP="009412A4">
                  <w:pPr>
                    <w:pStyle w:val="Body1"/>
                    <w:spacing w:after="0"/>
                    <w:jc w:val="center"/>
                  </w:pPr>
                </w:p>
              </w:tc>
              <w:tc>
                <w:tcPr>
                  <w:tcW w:w="1428" w:type="dxa"/>
                </w:tcPr>
                <w:p w:rsidR="009412A4" w:rsidRDefault="009412A4" w:rsidP="009412A4">
                  <w:pPr>
                    <w:pStyle w:val="Body1"/>
                    <w:spacing w:after="0"/>
                    <w:jc w:val="center"/>
                  </w:pPr>
                  <w:r>
                    <w:t>100</w:t>
                  </w:r>
                </w:p>
              </w:tc>
              <w:tc>
                <w:tcPr>
                  <w:tcW w:w="1278" w:type="dxa"/>
                </w:tcPr>
                <w:p w:rsidR="009412A4" w:rsidRDefault="009412A4" w:rsidP="009412A4">
                  <w:pPr>
                    <w:pStyle w:val="Body1"/>
                    <w:spacing w:after="0"/>
                    <w:jc w:val="center"/>
                  </w:pPr>
                  <w:r w:rsidRPr="00014851">
                    <w:t>19.1</w:t>
                  </w:r>
                </w:p>
              </w:tc>
            </w:tr>
            <w:tr w:rsidR="009412A4" w:rsidTr="002638DA">
              <w:trPr>
                <w:jc w:val="center"/>
              </w:trPr>
              <w:tc>
                <w:tcPr>
                  <w:tcW w:w="1368" w:type="dxa"/>
                  <w:vMerge/>
                </w:tcPr>
                <w:p w:rsidR="009412A4" w:rsidRDefault="009412A4" w:rsidP="009412A4">
                  <w:pPr>
                    <w:pStyle w:val="Body1"/>
                    <w:spacing w:after="0"/>
                    <w:jc w:val="center"/>
                  </w:pPr>
                </w:p>
              </w:tc>
              <w:tc>
                <w:tcPr>
                  <w:tcW w:w="1428" w:type="dxa"/>
                </w:tcPr>
                <w:p w:rsidR="009412A4" w:rsidRDefault="009412A4" w:rsidP="009412A4">
                  <w:pPr>
                    <w:pStyle w:val="Body1"/>
                    <w:spacing w:after="0"/>
                    <w:jc w:val="center"/>
                  </w:pPr>
                  <w:r>
                    <w:t>110</w:t>
                  </w:r>
                </w:p>
              </w:tc>
              <w:tc>
                <w:tcPr>
                  <w:tcW w:w="1278" w:type="dxa"/>
                </w:tcPr>
                <w:p w:rsidR="009412A4" w:rsidRDefault="009412A4" w:rsidP="009412A4">
                  <w:pPr>
                    <w:pStyle w:val="Body1"/>
                    <w:spacing w:after="0"/>
                    <w:jc w:val="center"/>
                  </w:pPr>
                  <w:r w:rsidRPr="00014851">
                    <w:t>19.9</w:t>
                  </w:r>
                </w:p>
              </w:tc>
            </w:tr>
            <w:tr w:rsidR="009412A4" w:rsidTr="002638DA">
              <w:trPr>
                <w:jc w:val="center"/>
              </w:trPr>
              <w:tc>
                <w:tcPr>
                  <w:tcW w:w="1368" w:type="dxa"/>
                </w:tcPr>
                <w:p w:rsidR="009412A4" w:rsidRDefault="009412A4" w:rsidP="009412A4">
                  <w:pPr>
                    <w:pStyle w:val="Body1"/>
                    <w:spacing w:after="0"/>
                    <w:jc w:val="center"/>
                  </w:pPr>
                </w:p>
              </w:tc>
              <w:tc>
                <w:tcPr>
                  <w:tcW w:w="1428" w:type="dxa"/>
                </w:tcPr>
                <w:p w:rsidR="009412A4" w:rsidRDefault="009412A4" w:rsidP="009412A4">
                  <w:pPr>
                    <w:pStyle w:val="Body1"/>
                    <w:spacing w:after="0"/>
                    <w:jc w:val="center"/>
                  </w:pPr>
                </w:p>
              </w:tc>
              <w:tc>
                <w:tcPr>
                  <w:tcW w:w="1278" w:type="dxa"/>
                </w:tcPr>
                <w:p w:rsidR="009412A4" w:rsidRPr="00014851" w:rsidRDefault="009412A4" w:rsidP="009412A4">
                  <w:pPr>
                    <w:pStyle w:val="Body1"/>
                    <w:spacing w:after="0"/>
                    <w:jc w:val="center"/>
                  </w:pPr>
                </w:p>
              </w:tc>
            </w:tr>
          </w:tbl>
          <w:p w:rsidR="009412A4" w:rsidRDefault="009412A4" w:rsidP="009412A4">
            <w:pPr>
              <w:rPr>
                <w:rFonts w:cs="Arial"/>
                <w:sz w:val="20"/>
                <w:szCs w:val="20"/>
              </w:rPr>
            </w:pPr>
          </w:p>
          <w:p w:rsidR="009412A4" w:rsidRPr="00241A1F" w:rsidRDefault="009412A4" w:rsidP="009412A4">
            <w:pPr>
              <w:rPr>
                <w:rFonts w:cs="Arial"/>
                <w:sz w:val="20"/>
                <w:szCs w:val="20"/>
              </w:rPr>
            </w:pPr>
          </w:p>
        </w:tc>
      </w:tr>
      <w:tr w:rsidR="009412A4" w:rsidTr="009412A4">
        <w:trPr>
          <w:cantSplit/>
        </w:trPr>
        <w:tc>
          <w:tcPr>
            <w:tcW w:w="1440" w:type="dxa"/>
            <w:vAlign w:val="center"/>
          </w:tcPr>
          <w:p w:rsidR="009412A4" w:rsidRDefault="009412A4" w:rsidP="009412A4">
            <w:pPr>
              <w:jc w:val="right"/>
            </w:pPr>
            <w:r>
              <w:rPr>
                <w:rFonts w:cs="Arial"/>
                <w:sz w:val="20"/>
                <w:szCs w:val="20"/>
              </w:rPr>
              <w:t>Energy Savings/Peak Demand Reduction – All Measures</w:t>
            </w:r>
          </w:p>
        </w:tc>
        <w:tc>
          <w:tcPr>
            <w:tcW w:w="7910" w:type="dxa"/>
          </w:tcPr>
          <w:p w:rsidR="009412A4" w:rsidRPr="00555671" w:rsidRDefault="009412A4" w:rsidP="009412A4">
            <w:pPr>
              <w:tabs>
                <w:tab w:val="right" w:pos="6732"/>
              </w:tabs>
              <w:jc w:val="both"/>
              <w:rPr>
                <w:rFonts w:cs="Arial"/>
                <w:sz w:val="20"/>
                <w:szCs w:val="20"/>
              </w:rPr>
            </w:pPr>
            <w:r w:rsidRPr="00CD265D">
              <w:rPr>
                <w:rFonts w:cs="Arial"/>
                <w:sz w:val="20"/>
                <w:szCs w:val="20"/>
              </w:rPr>
              <w:t>See Excel workbook entitled “</w:t>
            </w:r>
            <w:r w:rsidR="00E65078" w:rsidRPr="00E65078">
              <w:rPr>
                <w:rFonts w:cs="Arial"/>
                <w:sz w:val="20"/>
                <w:szCs w:val="20"/>
              </w:rPr>
              <w:t>WPSDGENRLG0106-Rev05_workbook</w:t>
            </w:r>
            <w:r>
              <w:rPr>
                <w:rFonts w:cs="Arial"/>
                <w:sz w:val="20"/>
                <w:szCs w:val="20"/>
              </w:rPr>
              <w:t>” for SDG&amp;E sourced savings</w:t>
            </w:r>
            <w:r w:rsidRPr="00CD265D">
              <w:rPr>
                <w:rFonts w:cs="Arial"/>
                <w:sz w:val="20"/>
                <w:szCs w:val="20"/>
              </w:rPr>
              <w:t xml:space="preserve"> documentation.</w:t>
            </w:r>
          </w:p>
        </w:tc>
      </w:tr>
      <w:tr w:rsidR="009412A4" w:rsidTr="009412A4">
        <w:trPr>
          <w:cantSplit/>
        </w:trPr>
        <w:tc>
          <w:tcPr>
            <w:tcW w:w="1440" w:type="dxa"/>
            <w:vAlign w:val="center"/>
          </w:tcPr>
          <w:p w:rsidR="009412A4" w:rsidRPr="001D77F7" w:rsidRDefault="009412A4" w:rsidP="009412A4">
            <w:pPr>
              <w:rPr>
                <w:b/>
              </w:rPr>
            </w:pPr>
            <w:r w:rsidRPr="001D77F7">
              <w:rPr>
                <w:b/>
              </w:rPr>
              <w:lastRenderedPageBreak/>
              <w:t>Section 3. Load Shapes</w:t>
            </w:r>
          </w:p>
        </w:tc>
        <w:tc>
          <w:tcPr>
            <w:tcW w:w="7910" w:type="dxa"/>
          </w:tcPr>
          <w:p w:rsidR="009412A4" w:rsidRPr="00476F40" w:rsidRDefault="009412A4" w:rsidP="009412A4">
            <w:pPr>
              <w:tabs>
                <w:tab w:val="right" w:pos="6732"/>
              </w:tabs>
              <w:rPr>
                <w:rFonts w:cs="Arial"/>
                <w:sz w:val="20"/>
                <w:szCs w:val="20"/>
              </w:rPr>
            </w:pPr>
            <w:r>
              <w:rPr>
                <w:rFonts w:cs="Arial"/>
                <w:sz w:val="20"/>
                <w:szCs w:val="20"/>
              </w:rPr>
              <w:t>Varies – per READI linking</w:t>
            </w:r>
          </w:p>
        </w:tc>
      </w:tr>
      <w:tr w:rsidR="009412A4" w:rsidTr="009412A4">
        <w:trPr>
          <w:cantSplit/>
        </w:trPr>
        <w:tc>
          <w:tcPr>
            <w:tcW w:w="1440" w:type="dxa"/>
            <w:vAlign w:val="center"/>
          </w:tcPr>
          <w:p w:rsidR="009412A4" w:rsidRPr="001D77F7" w:rsidRDefault="009412A4" w:rsidP="009412A4">
            <w:pPr>
              <w:rPr>
                <w:b/>
              </w:rPr>
            </w:pPr>
            <w:r w:rsidRPr="001D77F7">
              <w:rPr>
                <w:b/>
              </w:rPr>
              <w:t>Section 4. Costs</w:t>
            </w:r>
          </w:p>
        </w:tc>
        <w:tc>
          <w:tcPr>
            <w:tcW w:w="7910" w:type="dxa"/>
          </w:tcPr>
          <w:p w:rsidR="009412A4" w:rsidRPr="00476F40" w:rsidRDefault="009412A4" w:rsidP="009412A4">
            <w:pPr>
              <w:rPr>
                <w:rFonts w:cs="Arial"/>
                <w:sz w:val="20"/>
                <w:szCs w:val="20"/>
              </w:rPr>
            </w:pPr>
            <w:r>
              <w:rPr>
                <w:rFonts w:cs="Arial"/>
                <w:sz w:val="20"/>
                <w:szCs w:val="20"/>
              </w:rPr>
              <w:t>July 22, 2016 Energy Division Disposition and SDGE defined costs</w:t>
            </w:r>
          </w:p>
        </w:tc>
      </w:tr>
      <w:tr w:rsidR="009412A4" w:rsidRPr="00393EC8" w:rsidTr="009412A4">
        <w:trPr>
          <w:cantSplit/>
        </w:trPr>
        <w:tc>
          <w:tcPr>
            <w:tcW w:w="1440" w:type="dxa"/>
          </w:tcPr>
          <w:p w:rsidR="009412A4" w:rsidRPr="00393EC8" w:rsidRDefault="009412A4" w:rsidP="009412A4">
            <w:pPr>
              <w:rPr>
                <w:b/>
              </w:rPr>
            </w:pPr>
            <w:r w:rsidRPr="00393EC8">
              <w:rPr>
                <w:b/>
              </w:rPr>
              <w:t xml:space="preserve">Section 4.1 </w:t>
            </w:r>
            <w:r>
              <w:rPr>
                <w:b/>
              </w:rPr>
              <w:t>Base and Measure Costs</w:t>
            </w:r>
          </w:p>
        </w:tc>
        <w:tc>
          <w:tcPr>
            <w:tcW w:w="7910" w:type="dxa"/>
          </w:tcPr>
          <w:p w:rsidR="009412A4" w:rsidRPr="00772C18" w:rsidRDefault="009412A4" w:rsidP="009412A4">
            <w:pPr>
              <w:rPr>
                <w:b/>
                <w:sz w:val="20"/>
                <w:szCs w:val="20"/>
              </w:rPr>
            </w:pPr>
            <w:r w:rsidRPr="00772C18">
              <w:rPr>
                <w:b/>
                <w:sz w:val="20"/>
                <w:szCs w:val="20"/>
              </w:rPr>
              <w:t>A-Lamps</w:t>
            </w:r>
          </w:p>
          <w:p w:rsidR="009412A4" w:rsidRDefault="009412A4" w:rsidP="009412A4">
            <w:pPr>
              <w:rPr>
                <w:sz w:val="20"/>
                <w:szCs w:val="20"/>
              </w:rPr>
            </w:pPr>
            <w:r>
              <w:rPr>
                <w:sz w:val="20"/>
                <w:szCs w:val="20"/>
              </w:rPr>
              <w:t>SDG&amp;E was comparing measure and base cost data from PG&amp;E.  The base costs needed to be revised based on the lumens per watt.  Per the disposition:</w:t>
            </w:r>
          </w:p>
          <w:p w:rsidR="009412A4" w:rsidRDefault="009412A4" w:rsidP="009412A4">
            <w:pPr>
              <w:numPr>
                <w:ilvl w:val="0"/>
                <w:numId w:val="15"/>
              </w:numPr>
              <w:rPr>
                <w:sz w:val="20"/>
                <w:szCs w:val="20"/>
              </w:rPr>
            </w:pPr>
            <w:r>
              <w:rPr>
                <w:sz w:val="20"/>
                <w:szCs w:val="20"/>
              </w:rPr>
              <w:t>For lamps greater than or equal to 90 LPW, the baseline is revised to be 75% CFL and 25% halogens.</w:t>
            </w:r>
          </w:p>
          <w:p w:rsidR="009412A4" w:rsidRPr="00772C18" w:rsidRDefault="009412A4" w:rsidP="009412A4">
            <w:pPr>
              <w:numPr>
                <w:ilvl w:val="0"/>
                <w:numId w:val="15"/>
              </w:numPr>
              <w:rPr>
                <w:sz w:val="20"/>
                <w:szCs w:val="20"/>
              </w:rPr>
            </w:pPr>
            <w:r>
              <w:rPr>
                <w:sz w:val="20"/>
                <w:szCs w:val="20"/>
              </w:rPr>
              <w:t>For lamps less than 90 LPW, the baseline is revised to be 55% CFLs, 20% LEDs, and 25% halogens.</w:t>
            </w:r>
          </w:p>
          <w:p w:rsidR="009412A4" w:rsidRDefault="009412A4" w:rsidP="009412A4">
            <w:pPr>
              <w:rPr>
                <w:sz w:val="20"/>
                <w:szCs w:val="20"/>
              </w:rPr>
            </w:pPr>
          </w:p>
          <w:p w:rsidR="009412A4" w:rsidRDefault="009412A4" w:rsidP="009412A4">
            <w:pPr>
              <w:rPr>
                <w:sz w:val="20"/>
                <w:szCs w:val="20"/>
              </w:rPr>
            </w:pPr>
            <w:r>
              <w:rPr>
                <w:sz w:val="20"/>
                <w:szCs w:val="20"/>
              </w:rPr>
              <w:t>Although the base costs were thoroughly researched, the material costs were not in line with SDG&amp;E’s current MSRPs from its manufactures/distributors.  SDG&amp;E was provided guidance that it’s the IOUs discretion on the source and methodology used in developing cost data.  Given that the MSRPs were SDG&amp;E’s own, SDG&amp;E elected to utilize the contracted values when comparing to PG&amp;E’s base cost.</w:t>
            </w:r>
          </w:p>
          <w:p w:rsidR="009412A4" w:rsidRDefault="009412A4" w:rsidP="009412A4">
            <w:pPr>
              <w:rPr>
                <w:sz w:val="20"/>
                <w:szCs w:val="20"/>
              </w:rPr>
            </w:pPr>
          </w:p>
          <w:p w:rsidR="009412A4" w:rsidRPr="00772C18" w:rsidRDefault="009412A4" w:rsidP="009412A4">
            <w:pPr>
              <w:rPr>
                <w:b/>
                <w:sz w:val="20"/>
                <w:szCs w:val="20"/>
              </w:rPr>
            </w:pPr>
            <w:r w:rsidRPr="00772C18">
              <w:rPr>
                <w:b/>
                <w:sz w:val="20"/>
                <w:szCs w:val="20"/>
              </w:rPr>
              <w:t>Reflector Lamps (PARs, BR/R)</w:t>
            </w:r>
          </w:p>
          <w:p w:rsidR="009412A4" w:rsidRDefault="009412A4" w:rsidP="009412A4">
            <w:pPr>
              <w:rPr>
                <w:sz w:val="20"/>
                <w:szCs w:val="20"/>
              </w:rPr>
            </w:pPr>
            <w:r>
              <w:rPr>
                <w:sz w:val="20"/>
                <w:szCs w:val="20"/>
              </w:rPr>
              <w:t xml:space="preserve">The disposition also adjusted the base costs of these lamp types to incorporate 40% CFLs in the gross baseline.  DEER Cost IDs were utilized </w:t>
            </w:r>
          </w:p>
          <w:p w:rsidR="009412A4" w:rsidRPr="008E71C1" w:rsidRDefault="009412A4" w:rsidP="009412A4">
            <w:pPr>
              <w:rPr>
                <w:sz w:val="20"/>
                <w:szCs w:val="20"/>
              </w:rPr>
            </w:pPr>
          </w:p>
        </w:tc>
      </w:tr>
      <w:tr w:rsidR="009412A4" w:rsidTr="009412A4">
        <w:trPr>
          <w:cantSplit/>
        </w:trPr>
        <w:tc>
          <w:tcPr>
            <w:tcW w:w="1440" w:type="dxa"/>
          </w:tcPr>
          <w:p w:rsidR="009412A4" w:rsidRPr="00822B6F" w:rsidRDefault="009412A4" w:rsidP="009412A4">
            <w:pPr>
              <w:jc w:val="right"/>
              <w:rPr>
                <w:sz w:val="20"/>
                <w:szCs w:val="20"/>
              </w:rPr>
            </w:pPr>
          </w:p>
        </w:tc>
        <w:tc>
          <w:tcPr>
            <w:tcW w:w="7910" w:type="dxa"/>
          </w:tcPr>
          <w:p w:rsidR="009412A4" w:rsidRPr="008E71C1" w:rsidRDefault="009412A4" w:rsidP="009412A4">
            <w:pPr>
              <w:rPr>
                <w:rFonts w:ascii="Calibri" w:hAnsi="Calibri"/>
                <w:color w:val="000000"/>
                <w:sz w:val="20"/>
                <w:szCs w:val="20"/>
              </w:rPr>
            </w:pPr>
            <w:r>
              <w:rPr>
                <w:rFonts w:ascii="Calibri" w:hAnsi="Calibri"/>
                <w:color w:val="000000"/>
                <w:sz w:val="20"/>
                <w:szCs w:val="20"/>
              </w:rPr>
              <w:t>Cost IDs are included in the cost table found in “</w:t>
            </w:r>
            <w:r w:rsidR="00E65078" w:rsidRPr="00E65078">
              <w:rPr>
                <w:rFonts w:ascii="Calibri" w:hAnsi="Calibri"/>
                <w:color w:val="000000"/>
                <w:sz w:val="20"/>
                <w:szCs w:val="20"/>
              </w:rPr>
              <w:t>20170630_WPSDGENRLG0106-Rev05</w:t>
            </w:r>
            <w:r>
              <w:rPr>
                <w:rFonts w:ascii="Calibri" w:hAnsi="Calibri"/>
                <w:color w:val="000000"/>
                <w:sz w:val="20"/>
                <w:szCs w:val="20"/>
              </w:rPr>
              <w:t>”</w:t>
            </w:r>
          </w:p>
          <w:p w:rsidR="009412A4" w:rsidRDefault="009412A4" w:rsidP="009412A4">
            <w:pPr>
              <w:tabs>
                <w:tab w:val="right" w:pos="6732"/>
              </w:tabs>
              <w:rPr>
                <w:rFonts w:cs="Arial"/>
                <w:sz w:val="20"/>
                <w:szCs w:val="20"/>
              </w:rPr>
            </w:pPr>
          </w:p>
        </w:tc>
      </w:tr>
      <w:tr w:rsidR="009412A4" w:rsidTr="009412A4">
        <w:trPr>
          <w:cantSplit/>
        </w:trPr>
        <w:tc>
          <w:tcPr>
            <w:tcW w:w="1440" w:type="dxa"/>
          </w:tcPr>
          <w:p w:rsidR="009412A4" w:rsidRPr="00822B6F" w:rsidRDefault="009412A4" w:rsidP="009412A4">
            <w:pPr>
              <w:jc w:val="right"/>
              <w:rPr>
                <w:sz w:val="20"/>
                <w:szCs w:val="20"/>
              </w:rPr>
            </w:pPr>
          </w:p>
        </w:tc>
        <w:tc>
          <w:tcPr>
            <w:tcW w:w="7910" w:type="dxa"/>
          </w:tcPr>
          <w:p w:rsidR="009412A4" w:rsidRPr="008E71C1" w:rsidRDefault="009412A4" w:rsidP="009412A4">
            <w:pPr>
              <w:rPr>
                <w:rFonts w:ascii="Calibri" w:hAnsi="Calibri"/>
                <w:color w:val="000000"/>
                <w:sz w:val="20"/>
                <w:szCs w:val="20"/>
              </w:rPr>
            </w:pPr>
            <w:r w:rsidRPr="008E71C1">
              <w:rPr>
                <w:rFonts w:ascii="Calibri" w:hAnsi="Calibri"/>
                <w:color w:val="000000"/>
                <w:sz w:val="20"/>
                <w:szCs w:val="20"/>
              </w:rPr>
              <w:t>See Excel workbook entitled “</w:t>
            </w:r>
            <w:r w:rsidR="00E65078" w:rsidRPr="00E65078">
              <w:rPr>
                <w:rFonts w:ascii="Calibri" w:hAnsi="Calibri"/>
                <w:sz w:val="20"/>
                <w:szCs w:val="20"/>
              </w:rPr>
              <w:t>WPSDGENRLG0106-Rev05_workbook</w:t>
            </w:r>
            <w:bookmarkStart w:id="4" w:name="_GoBack"/>
            <w:bookmarkEnd w:id="4"/>
            <w:r w:rsidRPr="008E71C1">
              <w:rPr>
                <w:rFonts w:ascii="Calibri" w:hAnsi="Calibri"/>
                <w:color w:val="000000"/>
                <w:sz w:val="20"/>
                <w:szCs w:val="20"/>
              </w:rPr>
              <w:t>” for SDG&amp;E sourced cost documentation.</w:t>
            </w:r>
          </w:p>
        </w:tc>
      </w:tr>
    </w:tbl>
    <w:p w:rsidR="001B5D6C" w:rsidRDefault="001B5D6C" w:rsidP="00FE636E">
      <w:pPr>
        <w:spacing w:after="200" w:line="276" w:lineRule="auto"/>
      </w:pPr>
    </w:p>
    <w:sectPr w:rsidR="001B5D6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5A14" w:rsidRDefault="001E5A14" w:rsidP="00FE520B">
      <w:r>
        <w:separator/>
      </w:r>
    </w:p>
  </w:endnote>
  <w:endnote w:type="continuationSeparator" w:id="0">
    <w:p w:rsidR="001E5A14" w:rsidRDefault="001E5A14" w:rsidP="00FE5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Franklin Gothic Medium Cond">
    <w:panose1 w:val="020B06060304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2E00" w:rsidRPr="00241A1F" w:rsidRDefault="00B57F32" w:rsidP="00241A1F">
    <w:pPr>
      <w:pStyle w:val="Footer"/>
      <w:rPr>
        <w:rFonts w:cstheme="minorHAnsi"/>
        <w:b/>
        <w:szCs w:val="22"/>
      </w:rPr>
    </w:pPr>
    <w:r>
      <w:rPr>
        <w:b/>
      </w:rPr>
      <w:t xml:space="preserve">Workpaper </w:t>
    </w:r>
    <w:r w:rsidR="002C15E6">
      <w:rPr>
        <w:b/>
      </w:rPr>
      <w:t>WPSDGENR</w:t>
    </w:r>
    <w:r w:rsidR="006A0F17">
      <w:rPr>
        <w:b/>
      </w:rPr>
      <w:t>LG0106</w:t>
    </w:r>
    <w:r>
      <w:rPr>
        <w:b/>
      </w:rPr>
      <w:t xml:space="preserve">, Revision </w:t>
    </w:r>
    <w:r w:rsidR="000158AB">
      <w:rPr>
        <w:b/>
      </w:rPr>
      <w:t>5</w:t>
    </w:r>
    <w:r w:rsidR="00E372B8">
      <w:rPr>
        <w:b/>
      </w:rPr>
      <w:tab/>
    </w:r>
    <w:r w:rsidR="00E372B8">
      <w:rPr>
        <w:b/>
      </w:rPr>
      <w:tab/>
    </w:r>
    <w:r w:rsidR="000158AB">
      <w:rPr>
        <w:rFonts w:cstheme="minorHAnsi"/>
        <w:b/>
        <w:szCs w:val="22"/>
      </w:rPr>
      <w:t>June 30, 2017</w:t>
    </w:r>
  </w:p>
  <w:p w:rsidR="008F2E00" w:rsidRPr="009500DC" w:rsidRDefault="00E372B8" w:rsidP="00241A1F">
    <w:pPr>
      <w:pStyle w:val="Footer"/>
      <w:tabs>
        <w:tab w:val="clear" w:pos="4680"/>
        <w:tab w:val="clear" w:pos="9360"/>
        <w:tab w:val="left" w:pos="5274"/>
      </w:tabs>
      <w:rPr>
        <w:rFonts w:cstheme="minorHAnsi"/>
      </w:rPr>
    </w:pPr>
    <w:r>
      <w:rPr>
        <w:b/>
      </w:rPr>
      <w:t>San Diego Gas &amp; Electric</w:t>
    </w:r>
    <w:r>
      <w:rPr>
        <w:b/>
      </w:rPr>
      <w:tab/>
    </w:r>
    <w:r w:rsidR="00C7215A" w:rsidRPr="00C7215A">
      <w:rPr>
        <w:b/>
      </w:rPr>
      <w:fldChar w:fldCharType="begin"/>
    </w:r>
    <w:r w:rsidR="00C7215A" w:rsidRPr="00C7215A">
      <w:rPr>
        <w:b/>
      </w:rPr>
      <w:instrText xml:space="preserve"> PAGE   \* MERGEFORMAT </w:instrText>
    </w:r>
    <w:r w:rsidR="00C7215A" w:rsidRPr="00C7215A">
      <w:rPr>
        <w:b/>
      </w:rPr>
      <w:fldChar w:fldCharType="separate"/>
    </w:r>
    <w:r w:rsidR="00E65078">
      <w:rPr>
        <w:b/>
        <w:noProof/>
      </w:rPr>
      <w:t>2</w:t>
    </w:r>
    <w:r w:rsidR="00C7215A" w:rsidRPr="00C7215A">
      <w:rPr>
        <w:b/>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5A14" w:rsidRDefault="001E5A14" w:rsidP="00FE520B">
      <w:r>
        <w:separator/>
      </w:r>
    </w:p>
  </w:footnote>
  <w:footnote w:type="continuationSeparator" w:id="0">
    <w:p w:rsidR="001E5A14" w:rsidRDefault="001E5A14" w:rsidP="00FE52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02"/>
    <w:multiLevelType w:val="multilevel"/>
    <w:tmpl w:val="00000885"/>
    <w:lvl w:ilvl="0">
      <w:numFmt w:val="bullet"/>
      <w:lvlText w:val=""/>
      <w:lvlJc w:val="left"/>
      <w:pPr>
        <w:ind w:left="188" w:hanging="288"/>
      </w:pPr>
      <w:rPr>
        <w:rFonts w:ascii="Wingdings" w:hAnsi="Wingdings" w:cs="Wingdings"/>
        <w:b w:val="0"/>
        <w:bCs w:val="0"/>
        <w:w w:val="99"/>
        <w:sz w:val="20"/>
        <w:szCs w:val="20"/>
      </w:rPr>
    </w:lvl>
    <w:lvl w:ilvl="1">
      <w:numFmt w:val="bullet"/>
      <w:lvlText w:val="•"/>
      <w:lvlJc w:val="left"/>
      <w:pPr>
        <w:ind w:left="1072" w:hanging="288"/>
      </w:pPr>
    </w:lvl>
    <w:lvl w:ilvl="2">
      <w:numFmt w:val="bullet"/>
      <w:lvlText w:val="•"/>
      <w:lvlJc w:val="left"/>
      <w:pPr>
        <w:ind w:left="1964" w:hanging="288"/>
      </w:pPr>
    </w:lvl>
    <w:lvl w:ilvl="3">
      <w:numFmt w:val="bullet"/>
      <w:lvlText w:val="•"/>
      <w:lvlJc w:val="left"/>
      <w:pPr>
        <w:ind w:left="2856" w:hanging="288"/>
      </w:pPr>
    </w:lvl>
    <w:lvl w:ilvl="4">
      <w:numFmt w:val="bullet"/>
      <w:lvlText w:val="•"/>
      <w:lvlJc w:val="left"/>
      <w:pPr>
        <w:ind w:left="3748" w:hanging="288"/>
      </w:pPr>
    </w:lvl>
    <w:lvl w:ilvl="5">
      <w:numFmt w:val="bullet"/>
      <w:lvlText w:val="•"/>
      <w:lvlJc w:val="left"/>
      <w:pPr>
        <w:ind w:left="4640" w:hanging="288"/>
      </w:pPr>
    </w:lvl>
    <w:lvl w:ilvl="6">
      <w:numFmt w:val="bullet"/>
      <w:lvlText w:val="•"/>
      <w:lvlJc w:val="left"/>
      <w:pPr>
        <w:ind w:left="5532" w:hanging="288"/>
      </w:pPr>
    </w:lvl>
    <w:lvl w:ilvl="7">
      <w:numFmt w:val="bullet"/>
      <w:lvlText w:val="•"/>
      <w:lvlJc w:val="left"/>
      <w:pPr>
        <w:ind w:left="6424" w:hanging="288"/>
      </w:pPr>
    </w:lvl>
    <w:lvl w:ilvl="8">
      <w:numFmt w:val="bullet"/>
      <w:lvlText w:val="•"/>
      <w:lvlJc w:val="left"/>
      <w:pPr>
        <w:ind w:left="7316" w:hanging="288"/>
      </w:pPr>
    </w:lvl>
  </w:abstractNum>
  <w:abstractNum w:abstractNumId="1" w15:restartNumberingAfterBreak="0">
    <w:nsid w:val="18F536F9"/>
    <w:multiLevelType w:val="hybridMultilevel"/>
    <w:tmpl w:val="5766488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29853F8"/>
    <w:multiLevelType w:val="hybridMultilevel"/>
    <w:tmpl w:val="4D00688A"/>
    <w:lvl w:ilvl="0" w:tplc="2196B82A">
      <w:start w:val="1"/>
      <w:numFmt w:val="bullet"/>
      <w:lvlText w:val=""/>
      <w:lvlJc w:val="left"/>
      <w:pPr>
        <w:tabs>
          <w:tab w:val="num" w:pos="504"/>
        </w:tabs>
        <w:ind w:left="288" w:hanging="72"/>
      </w:pPr>
      <w:rPr>
        <w:rFonts w:ascii="Wingdings" w:hAnsi="Wingdings" w:hint="default"/>
      </w:rPr>
    </w:lvl>
    <w:lvl w:ilvl="1" w:tplc="C72A4F4E">
      <w:start w:val="1"/>
      <w:numFmt w:val="bullet"/>
      <w:lvlText w:val="o"/>
      <w:lvlJc w:val="left"/>
      <w:pPr>
        <w:tabs>
          <w:tab w:val="num" w:pos="720"/>
        </w:tabs>
        <w:ind w:left="792" w:hanging="144"/>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7B76320"/>
    <w:multiLevelType w:val="hybridMultilevel"/>
    <w:tmpl w:val="273CAF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8E06E2"/>
    <w:multiLevelType w:val="hybridMultilevel"/>
    <w:tmpl w:val="840678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026C56"/>
    <w:multiLevelType w:val="hybridMultilevel"/>
    <w:tmpl w:val="B64C09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959735B"/>
    <w:multiLevelType w:val="hybridMultilevel"/>
    <w:tmpl w:val="8B781070"/>
    <w:lvl w:ilvl="0" w:tplc="04090005">
      <w:start w:val="1"/>
      <w:numFmt w:val="bullet"/>
      <w:lvlText w:val=""/>
      <w:lvlJc w:val="left"/>
      <w:pPr>
        <w:ind w:left="720" w:hanging="360"/>
      </w:pPr>
      <w:rPr>
        <w:rFonts w:ascii="Wingdings" w:hAnsi="Wingdings" w:hint="default"/>
      </w:rPr>
    </w:lvl>
    <w:lvl w:ilvl="1" w:tplc="ED2EB220">
      <w:numFmt w:val="bullet"/>
      <w:lvlText w:val="•"/>
      <w:lvlJc w:val="left"/>
      <w:pPr>
        <w:ind w:left="1440" w:hanging="360"/>
      </w:pPr>
      <w:rPr>
        <w:rFonts w:ascii="Calibri" w:eastAsia="Times New Roman" w:hAnsi="Calibri"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69E114C"/>
    <w:multiLevelType w:val="hybridMultilevel"/>
    <w:tmpl w:val="CA14D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20907F1"/>
    <w:multiLevelType w:val="hybridMultilevel"/>
    <w:tmpl w:val="920ECDAA"/>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start w:val="1"/>
      <w:numFmt w:val="bullet"/>
      <w:lvlText w:val="o"/>
      <w:lvlJc w:val="left"/>
      <w:pPr>
        <w:tabs>
          <w:tab w:val="num" w:pos="2520"/>
        </w:tabs>
        <w:ind w:left="2520" w:hanging="360"/>
      </w:pPr>
      <w:rPr>
        <w:rFonts w:ascii="Courier New" w:hAnsi="Courier New" w:cs="Courier New" w:hint="default"/>
      </w:rPr>
    </w:lvl>
    <w:lvl w:ilvl="5" w:tplc="04090005">
      <w:start w:val="1"/>
      <w:numFmt w:val="bullet"/>
      <w:lvlText w:val=""/>
      <w:lvlJc w:val="left"/>
      <w:pPr>
        <w:tabs>
          <w:tab w:val="num" w:pos="3240"/>
        </w:tabs>
        <w:ind w:left="3240" w:hanging="360"/>
      </w:pPr>
      <w:rPr>
        <w:rFonts w:ascii="Wingdings" w:hAnsi="Wingdings" w:hint="default"/>
      </w:rPr>
    </w:lvl>
    <w:lvl w:ilvl="6" w:tplc="04090001">
      <w:start w:val="1"/>
      <w:numFmt w:val="bullet"/>
      <w:lvlText w:val=""/>
      <w:lvlJc w:val="left"/>
      <w:pPr>
        <w:tabs>
          <w:tab w:val="num" w:pos="3960"/>
        </w:tabs>
        <w:ind w:left="3960" w:hanging="360"/>
      </w:pPr>
      <w:rPr>
        <w:rFonts w:ascii="Symbol" w:hAnsi="Symbol" w:hint="default"/>
      </w:rPr>
    </w:lvl>
    <w:lvl w:ilvl="7" w:tplc="04090003">
      <w:start w:val="1"/>
      <w:numFmt w:val="bullet"/>
      <w:lvlText w:val="o"/>
      <w:lvlJc w:val="left"/>
      <w:pPr>
        <w:tabs>
          <w:tab w:val="num" w:pos="4680"/>
        </w:tabs>
        <w:ind w:left="4680" w:hanging="360"/>
      </w:pPr>
      <w:rPr>
        <w:rFonts w:ascii="Courier New" w:hAnsi="Courier New" w:cs="Courier New" w:hint="default"/>
      </w:rPr>
    </w:lvl>
    <w:lvl w:ilvl="8" w:tplc="04090005">
      <w:start w:val="1"/>
      <w:numFmt w:val="bullet"/>
      <w:lvlText w:val=""/>
      <w:lvlJc w:val="left"/>
      <w:pPr>
        <w:tabs>
          <w:tab w:val="num" w:pos="5400"/>
        </w:tabs>
        <w:ind w:left="5400" w:hanging="360"/>
      </w:pPr>
      <w:rPr>
        <w:rFonts w:ascii="Wingdings" w:hAnsi="Wingdings" w:hint="default"/>
      </w:rPr>
    </w:lvl>
  </w:abstractNum>
  <w:abstractNum w:abstractNumId="9" w15:restartNumberingAfterBreak="0">
    <w:nsid w:val="436E15C8"/>
    <w:multiLevelType w:val="hybridMultilevel"/>
    <w:tmpl w:val="849E0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5411277"/>
    <w:multiLevelType w:val="hybridMultilevel"/>
    <w:tmpl w:val="47E0B6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48A06F7"/>
    <w:multiLevelType w:val="hybridMultilevel"/>
    <w:tmpl w:val="EDD22FC0"/>
    <w:lvl w:ilvl="0" w:tplc="04090001">
      <w:start w:val="1"/>
      <w:numFmt w:val="bullet"/>
      <w:lvlText w:val=""/>
      <w:lvlJc w:val="left"/>
      <w:pPr>
        <w:ind w:left="720" w:hanging="360"/>
      </w:pPr>
      <w:rPr>
        <w:rFonts w:ascii="Symbol" w:hAnsi="Symbol" w:hint="default"/>
      </w:rPr>
    </w:lvl>
    <w:lvl w:ilvl="1" w:tplc="ED2EB220">
      <w:numFmt w:val="bullet"/>
      <w:lvlText w:val="•"/>
      <w:lvlJc w:val="left"/>
      <w:pPr>
        <w:ind w:left="1440" w:hanging="360"/>
      </w:pPr>
      <w:rPr>
        <w:rFonts w:ascii="Calibri" w:eastAsia="Times New Roman" w:hAnsi="Calibri"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6235535"/>
    <w:multiLevelType w:val="hybridMultilevel"/>
    <w:tmpl w:val="1B08537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6BEB74B8"/>
    <w:multiLevelType w:val="hybridMultilevel"/>
    <w:tmpl w:val="EEF6FA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7C7E2F62"/>
    <w:multiLevelType w:val="hybridMultilevel"/>
    <w:tmpl w:val="1D4658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7CA47ADA"/>
    <w:multiLevelType w:val="hybridMultilevel"/>
    <w:tmpl w:val="A6245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
  </w:num>
  <w:num w:numId="4">
    <w:abstractNumId w:val="7"/>
  </w:num>
  <w:num w:numId="5">
    <w:abstractNumId w:val="10"/>
  </w:num>
  <w:num w:numId="6">
    <w:abstractNumId w:val="5"/>
  </w:num>
  <w:num w:numId="7">
    <w:abstractNumId w:val="14"/>
  </w:num>
  <w:num w:numId="8">
    <w:abstractNumId w:val="11"/>
  </w:num>
  <w:num w:numId="9">
    <w:abstractNumId w:val="6"/>
  </w:num>
  <w:num w:numId="10">
    <w:abstractNumId w:val="12"/>
  </w:num>
  <w:num w:numId="11">
    <w:abstractNumId w:val="13"/>
  </w:num>
  <w:num w:numId="12">
    <w:abstractNumId w:val="9"/>
  </w:num>
  <w:num w:numId="13">
    <w:abstractNumId w:val="15"/>
  </w:num>
  <w:num w:numId="14">
    <w:abstractNumId w:val="8"/>
  </w:num>
  <w:num w:numId="15">
    <w:abstractNumId w:val="2"/>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17C6"/>
    <w:rsid w:val="00004D4E"/>
    <w:rsid w:val="000158AB"/>
    <w:rsid w:val="00023C32"/>
    <w:rsid w:val="00031221"/>
    <w:rsid w:val="00031BA0"/>
    <w:rsid w:val="00052743"/>
    <w:rsid w:val="00052CE4"/>
    <w:rsid w:val="00067315"/>
    <w:rsid w:val="000719BF"/>
    <w:rsid w:val="000C13AE"/>
    <w:rsid w:val="000E19CA"/>
    <w:rsid w:val="000E2CA6"/>
    <w:rsid w:val="000F6BA3"/>
    <w:rsid w:val="000F72EF"/>
    <w:rsid w:val="0012271D"/>
    <w:rsid w:val="00123B74"/>
    <w:rsid w:val="00143843"/>
    <w:rsid w:val="001752E5"/>
    <w:rsid w:val="00194466"/>
    <w:rsid w:val="001A11C1"/>
    <w:rsid w:val="001A34A6"/>
    <w:rsid w:val="001A4875"/>
    <w:rsid w:val="001B08AC"/>
    <w:rsid w:val="001B1C8A"/>
    <w:rsid w:val="001B5D6C"/>
    <w:rsid w:val="001C3663"/>
    <w:rsid w:val="001D0AB9"/>
    <w:rsid w:val="001D57D7"/>
    <w:rsid w:val="001D6A64"/>
    <w:rsid w:val="001E4006"/>
    <w:rsid w:val="001E5A14"/>
    <w:rsid w:val="00200310"/>
    <w:rsid w:val="00204EFC"/>
    <w:rsid w:val="00215828"/>
    <w:rsid w:val="00231DE1"/>
    <w:rsid w:val="00241A1F"/>
    <w:rsid w:val="00244447"/>
    <w:rsid w:val="00291B2B"/>
    <w:rsid w:val="00297005"/>
    <w:rsid w:val="002C1030"/>
    <w:rsid w:val="002C15E6"/>
    <w:rsid w:val="002D7B3E"/>
    <w:rsid w:val="002E0948"/>
    <w:rsid w:val="002E1B50"/>
    <w:rsid w:val="002E24BE"/>
    <w:rsid w:val="00323C28"/>
    <w:rsid w:val="0032761E"/>
    <w:rsid w:val="00360CFA"/>
    <w:rsid w:val="003A0D2B"/>
    <w:rsid w:val="003A4277"/>
    <w:rsid w:val="003A7B4E"/>
    <w:rsid w:val="003B18D4"/>
    <w:rsid w:val="003B4AA8"/>
    <w:rsid w:val="003B5DCF"/>
    <w:rsid w:val="003C2EE4"/>
    <w:rsid w:val="003D1C21"/>
    <w:rsid w:val="003E0DC8"/>
    <w:rsid w:val="003E122A"/>
    <w:rsid w:val="003E6E57"/>
    <w:rsid w:val="003E6FA5"/>
    <w:rsid w:val="003F1F0D"/>
    <w:rsid w:val="00402B3D"/>
    <w:rsid w:val="00413EF4"/>
    <w:rsid w:val="00431763"/>
    <w:rsid w:val="0044686E"/>
    <w:rsid w:val="004519B4"/>
    <w:rsid w:val="00463A68"/>
    <w:rsid w:val="00467DB3"/>
    <w:rsid w:val="004A6215"/>
    <w:rsid w:val="004D0326"/>
    <w:rsid w:val="004D5D19"/>
    <w:rsid w:val="004E13B2"/>
    <w:rsid w:val="005428E1"/>
    <w:rsid w:val="00555671"/>
    <w:rsid w:val="00556B27"/>
    <w:rsid w:val="005613FC"/>
    <w:rsid w:val="00567FEF"/>
    <w:rsid w:val="00580664"/>
    <w:rsid w:val="0059117D"/>
    <w:rsid w:val="00591D85"/>
    <w:rsid w:val="0059663B"/>
    <w:rsid w:val="005B5614"/>
    <w:rsid w:val="005C1518"/>
    <w:rsid w:val="005E18A1"/>
    <w:rsid w:val="00636490"/>
    <w:rsid w:val="00650C31"/>
    <w:rsid w:val="00650F0D"/>
    <w:rsid w:val="00653B2E"/>
    <w:rsid w:val="00653C4B"/>
    <w:rsid w:val="00666CDA"/>
    <w:rsid w:val="00684ABA"/>
    <w:rsid w:val="006875B3"/>
    <w:rsid w:val="00695478"/>
    <w:rsid w:val="006A0F17"/>
    <w:rsid w:val="006A3E63"/>
    <w:rsid w:val="006B0D5C"/>
    <w:rsid w:val="006D03F9"/>
    <w:rsid w:val="00707736"/>
    <w:rsid w:val="00711B58"/>
    <w:rsid w:val="00727839"/>
    <w:rsid w:val="0073730F"/>
    <w:rsid w:val="00762D81"/>
    <w:rsid w:val="0076481A"/>
    <w:rsid w:val="00772C18"/>
    <w:rsid w:val="00785AC8"/>
    <w:rsid w:val="00786E32"/>
    <w:rsid w:val="00787D7C"/>
    <w:rsid w:val="00792928"/>
    <w:rsid w:val="00796174"/>
    <w:rsid w:val="00797B54"/>
    <w:rsid w:val="007D1F1E"/>
    <w:rsid w:val="007D3A21"/>
    <w:rsid w:val="0081521B"/>
    <w:rsid w:val="00856FA4"/>
    <w:rsid w:val="00862113"/>
    <w:rsid w:val="008724D6"/>
    <w:rsid w:val="008775D7"/>
    <w:rsid w:val="00884B9C"/>
    <w:rsid w:val="008A1557"/>
    <w:rsid w:val="008A1D1C"/>
    <w:rsid w:val="008A4224"/>
    <w:rsid w:val="008C2C8A"/>
    <w:rsid w:val="008D0B3C"/>
    <w:rsid w:val="008D2A13"/>
    <w:rsid w:val="008E0850"/>
    <w:rsid w:val="008E5CD5"/>
    <w:rsid w:val="008E71C1"/>
    <w:rsid w:val="00910D54"/>
    <w:rsid w:val="00920B88"/>
    <w:rsid w:val="009269CE"/>
    <w:rsid w:val="0093657B"/>
    <w:rsid w:val="009412A4"/>
    <w:rsid w:val="00950249"/>
    <w:rsid w:val="00957C01"/>
    <w:rsid w:val="00975C10"/>
    <w:rsid w:val="00986A83"/>
    <w:rsid w:val="0098739E"/>
    <w:rsid w:val="009C3F2D"/>
    <w:rsid w:val="009C6AE8"/>
    <w:rsid w:val="009F3770"/>
    <w:rsid w:val="00A051D9"/>
    <w:rsid w:val="00A3401B"/>
    <w:rsid w:val="00A61271"/>
    <w:rsid w:val="00A748CA"/>
    <w:rsid w:val="00A75EDC"/>
    <w:rsid w:val="00A93EAD"/>
    <w:rsid w:val="00AA43C4"/>
    <w:rsid w:val="00B1624B"/>
    <w:rsid w:val="00B471CC"/>
    <w:rsid w:val="00B47B58"/>
    <w:rsid w:val="00B57F32"/>
    <w:rsid w:val="00B61FCD"/>
    <w:rsid w:val="00B75260"/>
    <w:rsid w:val="00B818B4"/>
    <w:rsid w:val="00B9234D"/>
    <w:rsid w:val="00B9551F"/>
    <w:rsid w:val="00BB2D80"/>
    <w:rsid w:val="00BC2681"/>
    <w:rsid w:val="00BC6454"/>
    <w:rsid w:val="00C048F4"/>
    <w:rsid w:val="00C06B9E"/>
    <w:rsid w:val="00C15F66"/>
    <w:rsid w:val="00C228B0"/>
    <w:rsid w:val="00C23CAB"/>
    <w:rsid w:val="00C24892"/>
    <w:rsid w:val="00C414A6"/>
    <w:rsid w:val="00C44E5A"/>
    <w:rsid w:val="00C462C1"/>
    <w:rsid w:val="00C54AC6"/>
    <w:rsid w:val="00C7215A"/>
    <w:rsid w:val="00C96A4C"/>
    <w:rsid w:val="00CA48A0"/>
    <w:rsid w:val="00CB10BC"/>
    <w:rsid w:val="00CD265D"/>
    <w:rsid w:val="00CF295D"/>
    <w:rsid w:val="00CF2ABA"/>
    <w:rsid w:val="00D00FCF"/>
    <w:rsid w:val="00D60240"/>
    <w:rsid w:val="00D73723"/>
    <w:rsid w:val="00DA5D17"/>
    <w:rsid w:val="00DB544A"/>
    <w:rsid w:val="00DB71F1"/>
    <w:rsid w:val="00DC7243"/>
    <w:rsid w:val="00DE1C5D"/>
    <w:rsid w:val="00DE364E"/>
    <w:rsid w:val="00DE7873"/>
    <w:rsid w:val="00E048EA"/>
    <w:rsid w:val="00E05871"/>
    <w:rsid w:val="00E05B9C"/>
    <w:rsid w:val="00E159C8"/>
    <w:rsid w:val="00E165FC"/>
    <w:rsid w:val="00E35D68"/>
    <w:rsid w:val="00E372B8"/>
    <w:rsid w:val="00E408A9"/>
    <w:rsid w:val="00E56CE7"/>
    <w:rsid w:val="00E6385A"/>
    <w:rsid w:val="00E65078"/>
    <w:rsid w:val="00E6631C"/>
    <w:rsid w:val="00E733C7"/>
    <w:rsid w:val="00E76853"/>
    <w:rsid w:val="00E84938"/>
    <w:rsid w:val="00E859F0"/>
    <w:rsid w:val="00EC38B0"/>
    <w:rsid w:val="00ED3B34"/>
    <w:rsid w:val="00ED65C0"/>
    <w:rsid w:val="00EE38DA"/>
    <w:rsid w:val="00EE6CFE"/>
    <w:rsid w:val="00F117C6"/>
    <w:rsid w:val="00F20CD6"/>
    <w:rsid w:val="00F77C08"/>
    <w:rsid w:val="00F855DD"/>
    <w:rsid w:val="00F96BF5"/>
    <w:rsid w:val="00FA3359"/>
    <w:rsid w:val="00FB4B16"/>
    <w:rsid w:val="00FD3D43"/>
    <w:rsid w:val="00FE520B"/>
    <w:rsid w:val="00FE636E"/>
    <w:rsid w:val="00FF31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A700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3B18D4"/>
    <w:pPr>
      <w:spacing w:after="0" w:line="240" w:lineRule="auto"/>
    </w:pPr>
    <w:rPr>
      <w:rFonts w:eastAsia="Times New Roman" w:cs="Times New Roman"/>
      <w:szCs w:val="24"/>
    </w:rPr>
  </w:style>
  <w:style w:type="paragraph" w:styleId="Heading1">
    <w:name w:val="heading 1"/>
    <w:basedOn w:val="Normal"/>
    <w:next w:val="Normal"/>
    <w:link w:val="Heading1Char"/>
    <w:qFormat/>
    <w:rsid w:val="00F117C6"/>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F117C6"/>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uiPriority w:val="9"/>
    <w:unhideWhenUsed/>
    <w:qFormat/>
    <w:rsid w:val="00C414A6"/>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D00FCF"/>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minders">
    <w:name w:val="Reminders"/>
    <w:basedOn w:val="Normal"/>
    <w:link w:val="RemindersChar"/>
    <w:rsid w:val="00F117C6"/>
    <w:pPr>
      <w:spacing w:before="40" w:after="40"/>
    </w:pPr>
    <w:rPr>
      <w:rFonts w:ascii="Trebuchet MS" w:hAnsi="Trebuchet MS"/>
      <w:i/>
      <w:color w:val="FF0000"/>
    </w:rPr>
  </w:style>
  <w:style w:type="character" w:customStyle="1" w:styleId="RemindersChar">
    <w:name w:val="Reminders Char"/>
    <w:basedOn w:val="DefaultParagraphFont"/>
    <w:link w:val="Reminders"/>
    <w:rsid w:val="00F117C6"/>
    <w:rPr>
      <w:rFonts w:ascii="Trebuchet MS" w:eastAsia="Times New Roman" w:hAnsi="Trebuchet MS" w:cs="Times New Roman"/>
      <w:i/>
      <w:color w:val="FF0000"/>
      <w:szCs w:val="24"/>
    </w:rPr>
  </w:style>
  <w:style w:type="paragraph" w:styleId="Caption">
    <w:name w:val="caption"/>
    <w:basedOn w:val="Normal"/>
    <w:next w:val="Normal"/>
    <w:link w:val="CaptionChar"/>
    <w:qFormat/>
    <w:rsid w:val="00F117C6"/>
    <w:rPr>
      <w:b/>
      <w:bCs/>
      <w:szCs w:val="3276"/>
    </w:rPr>
  </w:style>
  <w:style w:type="character" w:customStyle="1" w:styleId="CaptionChar">
    <w:name w:val="Caption Char"/>
    <w:basedOn w:val="DefaultParagraphFont"/>
    <w:link w:val="Caption"/>
    <w:rsid w:val="00F117C6"/>
    <w:rPr>
      <w:rFonts w:eastAsia="Times New Roman" w:cs="Times New Roman"/>
      <w:b/>
      <w:bCs/>
      <w:szCs w:val="3276"/>
    </w:rPr>
  </w:style>
  <w:style w:type="paragraph" w:styleId="Footer">
    <w:name w:val="footer"/>
    <w:basedOn w:val="Normal"/>
    <w:link w:val="FooterChar"/>
    <w:uiPriority w:val="99"/>
    <w:unhideWhenUsed/>
    <w:rsid w:val="00F117C6"/>
    <w:pPr>
      <w:tabs>
        <w:tab w:val="center" w:pos="4680"/>
        <w:tab w:val="right" w:pos="9360"/>
      </w:tabs>
    </w:pPr>
  </w:style>
  <w:style w:type="character" w:customStyle="1" w:styleId="FooterChar">
    <w:name w:val="Footer Char"/>
    <w:basedOn w:val="DefaultParagraphFont"/>
    <w:link w:val="Footer"/>
    <w:uiPriority w:val="99"/>
    <w:rsid w:val="00F117C6"/>
    <w:rPr>
      <w:rFonts w:eastAsia="Times New Roman" w:cs="Times New Roman"/>
      <w:szCs w:val="24"/>
    </w:rPr>
  </w:style>
  <w:style w:type="paragraph" w:customStyle="1" w:styleId="WPnumber">
    <w:name w:val="WPnumber"/>
    <w:basedOn w:val="Normal"/>
    <w:link w:val="WPnumberChar"/>
    <w:rsid w:val="00F117C6"/>
    <w:pPr>
      <w:jc w:val="right"/>
    </w:pPr>
    <w:rPr>
      <w:rFonts w:cstheme="minorHAnsi"/>
      <w:b/>
      <w:sz w:val="48"/>
      <w:szCs w:val="48"/>
    </w:rPr>
  </w:style>
  <w:style w:type="character" w:customStyle="1" w:styleId="WPnumberChar">
    <w:name w:val="WPnumber Char"/>
    <w:basedOn w:val="DefaultParagraphFont"/>
    <w:link w:val="WPnumber"/>
    <w:rsid w:val="00F117C6"/>
    <w:rPr>
      <w:rFonts w:eastAsia="Times New Roman" w:cstheme="minorHAnsi"/>
      <w:b/>
      <w:sz w:val="48"/>
      <w:szCs w:val="48"/>
    </w:rPr>
  </w:style>
  <w:style w:type="paragraph" w:customStyle="1" w:styleId="Revnumber">
    <w:name w:val="Revnumber"/>
    <w:basedOn w:val="WPnumber"/>
    <w:link w:val="RevnumberChar"/>
    <w:rsid w:val="00F117C6"/>
  </w:style>
  <w:style w:type="character" w:customStyle="1" w:styleId="RevnumberChar">
    <w:name w:val="Revnumber Char"/>
    <w:basedOn w:val="WPnumberChar"/>
    <w:link w:val="Revnumber"/>
    <w:rsid w:val="00F117C6"/>
    <w:rPr>
      <w:rFonts w:eastAsia="Times New Roman" w:cstheme="minorHAnsi"/>
      <w:b/>
      <w:sz w:val="48"/>
      <w:szCs w:val="48"/>
    </w:rPr>
  </w:style>
  <w:style w:type="character" w:styleId="PlaceholderText">
    <w:name w:val="Placeholder Text"/>
    <w:basedOn w:val="DefaultParagraphFont"/>
    <w:uiPriority w:val="99"/>
    <w:semiHidden/>
    <w:rsid w:val="00F117C6"/>
    <w:rPr>
      <w:color w:val="808080"/>
    </w:rPr>
  </w:style>
  <w:style w:type="paragraph" w:styleId="BalloonText">
    <w:name w:val="Balloon Text"/>
    <w:basedOn w:val="Normal"/>
    <w:link w:val="BalloonTextChar"/>
    <w:uiPriority w:val="99"/>
    <w:semiHidden/>
    <w:unhideWhenUsed/>
    <w:rsid w:val="00F117C6"/>
    <w:rPr>
      <w:rFonts w:ascii="Tahoma" w:hAnsi="Tahoma" w:cs="Tahoma"/>
      <w:sz w:val="16"/>
      <w:szCs w:val="16"/>
    </w:rPr>
  </w:style>
  <w:style w:type="character" w:customStyle="1" w:styleId="BalloonTextChar">
    <w:name w:val="Balloon Text Char"/>
    <w:basedOn w:val="DefaultParagraphFont"/>
    <w:link w:val="BalloonText"/>
    <w:uiPriority w:val="99"/>
    <w:semiHidden/>
    <w:rsid w:val="00F117C6"/>
    <w:rPr>
      <w:rFonts w:ascii="Tahoma" w:eastAsia="Times New Roman" w:hAnsi="Tahoma" w:cs="Tahoma"/>
      <w:sz w:val="16"/>
      <w:szCs w:val="16"/>
    </w:rPr>
  </w:style>
  <w:style w:type="character" w:customStyle="1" w:styleId="Heading1Char">
    <w:name w:val="Heading 1 Char"/>
    <w:basedOn w:val="DefaultParagraphFont"/>
    <w:link w:val="Heading1"/>
    <w:rsid w:val="00F117C6"/>
    <w:rPr>
      <w:rFonts w:eastAsia="Times New Roman" w:cs="Arial"/>
      <w:b/>
      <w:bCs/>
      <w:smallCaps/>
      <w:kern w:val="32"/>
      <w:sz w:val="36"/>
      <w:szCs w:val="32"/>
    </w:rPr>
  </w:style>
  <w:style w:type="character" w:customStyle="1" w:styleId="Heading2Char">
    <w:name w:val="Heading 2 Char"/>
    <w:basedOn w:val="DefaultParagraphFont"/>
    <w:link w:val="Heading2"/>
    <w:rsid w:val="00F117C6"/>
    <w:rPr>
      <w:rFonts w:ascii="Arial Narrow" w:eastAsia="Times New Roman" w:hAnsi="Arial Narrow" w:cs="Arial"/>
      <w:b/>
      <w:bCs/>
      <w:iCs/>
      <w:smallCaps/>
      <w:sz w:val="28"/>
      <w:szCs w:val="28"/>
    </w:rPr>
  </w:style>
  <w:style w:type="table" w:customStyle="1" w:styleId="TableGrid1">
    <w:name w:val="Table Grid1"/>
    <w:basedOn w:val="TableNormal"/>
    <w:next w:val="TableGrid"/>
    <w:rsid w:val="00F117C6"/>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F117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117C6"/>
    <w:pPr>
      <w:ind w:left="720"/>
      <w:contextualSpacing/>
    </w:pPr>
  </w:style>
  <w:style w:type="paragraph" w:styleId="Header">
    <w:name w:val="header"/>
    <w:basedOn w:val="Normal"/>
    <w:link w:val="HeaderChar"/>
    <w:uiPriority w:val="99"/>
    <w:unhideWhenUsed/>
    <w:rsid w:val="00FE520B"/>
    <w:pPr>
      <w:tabs>
        <w:tab w:val="center" w:pos="4680"/>
        <w:tab w:val="right" w:pos="9360"/>
      </w:tabs>
    </w:pPr>
  </w:style>
  <w:style w:type="character" w:customStyle="1" w:styleId="HeaderChar">
    <w:name w:val="Header Char"/>
    <w:basedOn w:val="DefaultParagraphFont"/>
    <w:link w:val="Header"/>
    <w:uiPriority w:val="99"/>
    <w:rsid w:val="00FE520B"/>
    <w:rPr>
      <w:rFonts w:eastAsia="Times New Roman" w:cs="Times New Roman"/>
      <w:szCs w:val="24"/>
    </w:rPr>
  </w:style>
  <w:style w:type="character" w:customStyle="1" w:styleId="Heading3Char">
    <w:name w:val="Heading 3 Char"/>
    <w:basedOn w:val="DefaultParagraphFont"/>
    <w:link w:val="Heading3"/>
    <w:uiPriority w:val="9"/>
    <w:rsid w:val="00C414A6"/>
    <w:rPr>
      <w:rFonts w:asciiTheme="majorHAnsi" w:eastAsiaTheme="majorEastAsia" w:hAnsiTheme="majorHAnsi" w:cstheme="majorBidi"/>
      <w:b/>
      <w:bCs/>
      <w:color w:val="4F81BD" w:themeColor="accent1"/>
      <w:szCs w:val="24"/>
    </w:rPr>
  </w:style>
  <w:style w:type="character" w:styleId="Strong">
    <w:name w:val="Strong"/>
    <w:qFormat/>
    <w:rsid w:val="00B57F32"/>
    <w:rPr>
      <w:b/>
      <w:bCs/>
    </w:rPr>
  </w:style>
  <w:style w:type="table" w:customStyle="1" w:styleId="TableGrid11">
    <w:name w:val="Table Grid11"/>
    <w:basedOn w:val="TableNormal"/>
    <w:next w:val="TableGrid"/>
    <w:rsid w:val="00B57F32"/>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04D4E"/>
    <w:pPr>
      <w:autoSpaceDE w:val="0"/>
      <w:autoSpaceDN w:val="0"/>
      <w:adjustRightInd w:val="0"/>
      <w:spacing w:after="0" w:line="240" w:lineRule="auto"/>
    </w:pPr>
    <w:rPr>
      <w:rFonts w:ascii="Franklin Gothic Medium Cond" w:hAnsi="Franklin Gothic Medium Cond" w:cs="Franklin Gothic Medium Cond"/>
      <w:color w:val="000000"/>
      <w:sz w:val="24"/>
      <w:szCs w:val="24"/>
    </w:rPr>
  </w:style>
  <w:style w:type="character" w:styleId="Hyperlink">
    <w:name w:val="Hyperlink"/>
    <w:basedOn w:val="DefaultParagraphFont"/>
    <w:uiPriority w:val="99"/>
    <w:unhideWhenUsed/>
    <w:rsid w:val="001B5D6C"/>
    <w:rPr>
      <w:color w:val="0000FF" w:themeColor="hyperlink"/>
      <w:u w:val="single"/>
    </w:rPr>
  </w:style>
  <w:style w:type="character" w:styleId="CommentReference">
    <w:name w:val="annotation reference"/>
    <w:basedOn w:val="DefaultParagraphFont"/>
    <w:uiPriority w:val="99"/>
    <w:semiHidden/>
    <w:unhideWhenUsed/>
    <w:rsid w:val="00DA5D17"/>
    <w:rPr>
      <w:sz w:val="16"/>
      <w:szCs w:val="16"/>
    </w:rPr>
  </w:style>
  <w:style w:type="paragraph" w:styleId="CommentText">
    <w:name w:val="annotation text"/>
    <w:basedOn w:val="Normal"/>
    <w:link w:val="CommentTextChar"/>
    <w:uiPriority w:val="99"/>
    <w:semiHidden/>
    <w:unhideWhenUsed/>
    <w:rsid w:val="00DA5D17"/>
    <w:rPr>
      <w:sz w:val="20"/>
      <w:szCs w:val="20"/>
    </w:rPr>
  </w:style>
  <w:style w:type="character" w:customStyle="1" w:styleId="CommentTextChar">
    <w:name w:val="Comment Text Char"/>
    <w:basedOn w:val="DefaultParagraphFont"/>
    <w:link w:val="CommentText"/>
    <w:uiPriority w:val="99"/>
    <w:semiHidden/>
    <w:rsid w:val="00DA5D17"/>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A5D17"/>
    <w:rPr>
      <w:b/>
      <w:bCs/>
    </w:rPr>
  </w:style>
  <w:style w:type="character" w:customStyle="1" w:styleId="CommentSubjectChar">
    <w:name w:val="Comment Subject Char"/>
    <w:basedOn w:val="CommentTextChar"/>
    <w:link w:val="CommentSubject"/>
    <w:uiPriority w:val="99"/>
    <w:semiHidden/>
    <w:rsid w:val="00DA5D17"/>
    <w:rPr>
      <w:rFonts w:eastAsia="Times New Roman" w:cs="Times New Roman"/>
      <w:b/>
      <w:bCs/>
      <w:sz w:val="20"/>
      <w:szCs w:val="20"/>
    </w:rPr>
  </w:style>
  <w:style w:type="paragraph" w:styleId="EndnoteText">
    <w:name w:val="endnote text"/>
    <w:basedOn w:val="Normal"/>
    <w:link w:val="EndnoteTextChar"/>
    <w:semiHidden/>
    <w:rsid w:val="00D00FCF"/>
    <w:rPr>
      <w:rFonts w:ascii="Times New Roman" w:hAnsi="Times New Roman"/>
      <w:sz w:val="20"/>
      <w:szCs w:val="20"/>
      <w:lang w:val="x-none" w:eastAsia="x-none"/>
    </w:rPr>
  </w:style>
  <w:style w:type="character" w:customStyle="1" w:styleId="EndnoteTextChar">
    <w:name w:val="Endnote Text Char"/>
    <w:basedOn w:val="DefaultParagraphFont"/>
    <w:link w:val="EndnoteText"/>
    <w:semiHidden/>
    <w:rsid w:val="00D00FCF"/>
    <w:rPr>
      <w:rFonts w:ascii="Times New Roman" w:eastAsia="Times New Roman" w:hAnsi="Times New Roman" w:cs="Times New Roman"/>
      <w:sz w:val="20"/>
      <w:szCs w:val="20"/>
      <w:lang w:val="x-none" w:eastAsia="x-none"/>
    </w:rPr>
  </w:style>
  <w:style w:type="character" w:styleId="EndnoteReference">
    <w:name w:val="endnote reference"/>
    <w:semiHidden/>
    <w:rsid w:val="00D00FCF"/>
    <w:rPr>
      <w:vertAlign w:val="superscript"/>
    </w:rPr>
  </w:style>
  <w:style w:type="character" w:customStyle="1" w:styleId="Heading4Char">
    <w:name w:val="Heading 4 Char"/>
    <w:basedOn w:val="DefaultParagraphFont"/>
    <w:link w:val="Heading4"/>
    <w:uiPriority w:val="9"/>
    <w:semiHidden/>
    <w:rsid w:val="00D00FCF"/>
    <w:rPr>
      <w:rFonts w:asciiTheme="majorHAnsi" w:eastAsiaTheme="majorEastAsia" w:hAnsiTheme="majorHAnsi" w:cstheme="majorBidi"/>
      <w:b/>
      <w:bCs/>
      <w:i/>
      <w:iCs/>
      <w:color w:val="4F81BD" w:themeColor="accent1"/>
      <w:szCs w:val="24"/>
    </w:rPr>
  </w:style>
  <w:style w:type="paragraph" w:customStyle="1" w:styleId="Body1">
    <w:name w:val="Body1"/>
    <w:basedOn w:val="Normal"/>
    <w:qFormat/>
    <w:rsid w:val="00F96BF5"/>
    <w:pPr>
      <w:spacing w:after="200" w:line="276" w:lineRule="auto"/>
    </w:pPr>
    <w:rPr>
      <w:rFonts w:ascii="Calibri" w:hAnsi="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134138">
      <w:bodyDiv w:val="1"/>
      <w:marLeft w:val="0"/>
      <w:marRight w:val="0"/>
      <w:marTop w:val="0"/>
      <w:marBottom w:val="0"/>
      <w:divBdr>
        <w:top w:val="none" w:sz="0" w:space="0" w:color="auto"/>
        <w:left w:val="none" w:sz="0" w:space="0" w:color="auto"/>
        <w:bottom w:val="none" w:sz="0" w:space="0" w:color="auto"/>
        <w:right w:val="none" w:sz="0" w:space="0" w:color="auto"/>
      </w:divBdr>
    </w:div>
    <w:div w:id="170798036">
      <w:bodyDiv w:val="1"/>
      <w:marLeft w:val="0"/>
      <w:marRight w:val="0"/>
      <w:marTop w:val="0"/>
      <w:marBottom w:val="0"/>
      <w:divBdr>
        <w:top w:val="none" w:sz="0" w:space="0" w:color="auto"/>
        <w:left w:val="none" w:sz="0" w:space="0" w:color="auto"/>
        <w:bottom w:val="none" w:sz="0" w:space="0" w:color="auto"/>
        <w:right w:val="none" w:sz="0" w:space="0" w:color="auto"/>
      </w:divBdr>
    </w:div>
    <w:div w:id="540749283">
      <w:bodyDiv w:val="1"/>
      <w:marLeft w:val="0"/>
      <w:marRight w:val="0"/>
      <w:marTop w:val="0"/>
      <w:marBottom w:val="0"/>
      <w:divBdr>
        <w:top w:val="none" w:sz="0" w:space="0" w:color="auto"/>
        <w:left w:val="none" w:sz="0" w:space="0" w:color="auto"/>
        <w:bottom w:val="none" w:sz="0" w:space="0" w:color="auto"/>
        <w:right w:val="none" w:sz="0" w:space="0" w:color="auto"/>
      </w:divBdr>
    </w:div>
    <w:div w:id="622078384">
      <w:bodyDiv w:val="1"/>
      <w:marLeft w:val="0"/>
      <w:marRight w:val="0"/>
      <w:marTop w:val="0"/>
      <w:marBottom w:val="0"/>
      <w:divBdr>
        <w:top w:val="none" w:sz="0" w:space="0" w:color="auto"/>
        <w:left w:val="none" w:sz="0" w:space="0" w:color="auto"/>
        <w:bottom w:val="none" w:sz="0" w:space="0" w:color="auto"/>
        <w:right w:val="none" w:sz="0" w:space="0" w:color="auto"/>
      </w:divBdr>
    </w:div>
    <w:div w:id="802427604">
      <w:bodyDiv w:val="1"/>
      <w:marLeft w:val="0"/>
      <w:marRight w:val="0"/>
      <w:marTop w:val="0"/>
      <w:marBottom w:val="0"/>
      <w:divBdr>
        <w:top w:val="none" w:sz="0" w:space="0" w:color="auto"/>
        <w:left w:val="none" w:sz="0" w:space="0" w:color="auto"/>
        <w:bottom w:val="none" w:sz="0" w:space="0" w:color="auto"/>
        <w:right w:val="none" w:sz="0" w:space="0" w:color="auto"/>
      </w:divBdr>
    </w:div>
    <w:div w:id="1214924601">
      <w:bodyDiv w:val="1"/>
      <w:marLeft w:val="0"/>
      <w:marRight w:val="0"/>
      <w:marTop w:val="0"/>
      <w:marBottom w:val="0"/>
      <w:divBdr>
        <w:top w:val="none" w:sz="0" w:space="0" w:color="auto"/>
        <w:left w:val="none" w:sz="0" w:space="0" w:color="auto"/>
        <w:bottom w:val="none" w:sz="0" w:space="0" w:color="auto"/>
        <w:right w:val="none" w:sz="0" w:space="0" w:color="auto"/>
      </w:divBdr>
    </w:div>
    <w:div w:id="1475834088">
      <w:bodyDiv w:val="1"/>
      <w:marLeft w:val="0"/>
      <w:marRight w:val="0"/>
      <w:marTop w:val="0"/>
      <w:marBottom w:val="0"/>
      <w:divBdr>
        <w:top w:val="none" w:sz="0" w:space="0" w:color="auto"/>
        <w:left w:val="none" w:sz="0" w:space="0" w:color="auto"/>
        <w:bottom w:val="none" w:sz="0" w:space="0" w:color="auto"/>
        <w:right w:val="none" w:sz="0" w:space="0" w:color="auto"/>
      </w:divBdr>
    </w:div>
    <w:div w:id="1480685654">
      <w:bodyDiv w:val="1"/>
      <w:marLeft w:val="0"/>
      <w:marRight w:val="0"/>
      <w:marTop w:val="0"/>
      <w:marBottom w:val="0"/>
      <w:divBdr>
        <w:top w:val="none" w:sz="0" w:space="0" w:color="auto"/>
        <w:left w:val="none" w:sz="0" w:space="0" w:color="auto"/>
        <w:bottom w:val="none" w:sz="0" w:space="0" w:color="auto"/>
        <w:right w:val="none" w:sz="0" w:space="0" w:color="auto"/>
      </w:divBdr>
    </w:div>
    <w:div w:id="1862669191">
      <w:bodyDiv w:val="1"/>
      <w:marLeft w:val="0"/>
      <w:marRight w:val="0"/>
      <w:marTop w:val="0"/>
      <w:marBottom w:val="0"/>
      <w:divBdr>
        <w:top w:val="none" w:sz="0" w:space="0" w:color="auto"/>
        <w:left w:val="none" w:sz="0" w:space="0" w:color="auto"/>
        <w:bottom w:val="none" w:sz="0" w:space="0" w:color="auto"/>
        <w:right w:val="none" w:sz="0" w:space="0" w:color="auto"/>
      </w:divBdr>
    </w:div>
    <w:div w:id="1884632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DAAFFF4-8B16-451F-86D4-B1943EA06A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1713</Words>
  <Characters>9766</Characters>
  <Application>Microsoft Office Word</Application>
  <DocSecurity>4</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2017-07-01T06:30:00Z</dcterms:created>
  <dcterms:modified xsi:type="dcterms:W3CDTF">2017-07-01T06:30:00Z</dcterms:modified>
</cp:coreProperties>
</file>